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8A081" w14:textId="77777777" w:rsidR="001C204A" w:rsidRPr="00900123" w:rsidRDefault="001C204A" w:rsidP="00DE3F02">
      <w:pPr>
        <w:spacing w:before="120" w:after="120" w:line="360" w:lineRule="auto"/>
        <w:jc w:val="center"/>
        <w:rPr>
          <w:rFonts w:ascii="Arial" w:eastAsia="Arial" w:hAnsi="Arial" w:cs="Arial"/>
          <w:kern w:val="0"/>
          <w:lang w:val="en-GB"/>
          <w14:ligatures w14:val="none"/>
        </w:rPr>
      </w:pPr>
      <w:r w:rsidRPr="00900123">
        <w:rPr>
          <w:rFonts w:ascii="Arial" w:eastAsia="Arial" w:hAnsi="Arial" w:cs="Arial"/>
          <w:noProof/>
          <w:kern w:val="0"/>
          <w:lang w:val="en-GB"/>
          <w14:ligatures w14:val="none"/>
        </w:rPr>
        <w:drawing>
          <wp:inline distT="0" distB="0" distL="0" distR="0" wp14:anchorId="722C6FBB" wp14:editId="0127E543">
            <wp:extent cx="2133601" cy="762000"/>
            <wp:effectExtent l="0" t="0" r="0" b="0"/>
            <wp:docPr id="732048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48600" name=""/>
                    <pic:cNvPicPr/>
                  </pic:nvPicPr>
                  <pic:blipFill>
                    <a:blip r:embed="rId8"/>
                    <a:stretch>
                      <a:fillRect/>
                    </a:stretch>
                  </pic:blipFill>
                  <pic:spPr>
                    <a:xfrm>
                      <a:off x="0" y="0"/>
                      <a:ext cx="2148807" cy="767431"/>
                    </a:xfrm>
                    <a:prstGeom prst="rect">
                      <a:avLst/>
                    </a:prstGeom>
                  </pic:spPr>
                </pic:pic>
              </a:graphicData>
            </a:graphic>
          </wp:inline>
        </w:drawing>
      </w:r>
    </w:p>
    <w:p w14:paraId="4321332C" w14:textId="77777777" w:rsidR="009729CF" w:rsidRPr="00900123" w:rsidRDefault="009729CF" w:rsidP="00DE3F02">
      <w:pPr>
        <w:spacing w:before="120" w:after="120" w:line="360" w:lineRule="auto"/>
        <w:jc w:val="center"/>
        <w:rPr>
          <w:rFonts w:ascii="Arial" w:eastAsia="Arial" w:hAnsi="Arial" w:cs="Arial"/>
          <w:b/>
          <w:bCs/>
          <w:kern w:val="0"/>
          <w:lang w:val="en-GB"/>
          <w14:ligatures w14:val="none"/>
        </w:rPr>
      </w:pPr>
    </w:p>
    <w:p w14:paraId="162845F1" w14:textId="77777777" w:rsidR="009729CF" w:rsidRPr="00900123" w:rsidRDefault="009729CF" w:rsidP="00DE3F02">
      <w:pPr>
        <w:spacing w:before="120" w:after="120" w:line="360" w:lineRule="auto"/>
        <w:jc w:val="center"/>
        <w:rPr>
          <w:rFonts w:ascii="Arial" w:eastAsia="Arial" w:hAnsi="Arial" w:cs="Arial"/>
          <w:b/>
          <w:bCs/>
          <w:kern w:val="0"/>
          <w:lang w:val="en-GB"/>
          <w14:ligatures w14:val="none"/>
        </w:rPr>
      </w:pPr>
    </w:p>
    <w:p w14:paraId="49CD39BC" w14:textId="6BB4E7AA" w:rsidR="00DE3F02" w:rsidRPr="00900123" w:rsidRDefault="00DE3F02" w:rsidP="00DE3F02">
      <w:pPr>
        <w:spacing w:before="120" w:after="120" w:line="360" w:lineRule="auto"/>
        <w:jc w:val="center"/>
        <w:rPr>
          <w:rFonts w:ascii="Arial" w:eastAsia="Arial" w:hAnsi="Arial" w:cs="Arial"/>
          <w:b/>
          <w:bCs/>
          <w:kern w:val="0"/>
          <w:sz w:val="28"/>
          <w:szCs w:val="28"/>
          <w:lang w:val="en-GB"/>
          <w14:ligatures w14:val="none"/>
        </w:rPr>
      </w:pPr>
      <w:r w:rsidRPr="00900123">
        <w:rPr>
          <w:rFonts w:ascii="Arial" w:eastAsia="Arial" w:hAnsi="Arial" w:cs="Arial"/>
          <w:b/>
          <w:bCs/>
          <w:kern w:val="0"/>
          <w:sz w:val="28"/>
          <w:szCs w:val="28"/>
          <w:lang w:val="en-GB"/>
          <w14:ligatures w14:val="none"/>
        </w:rPr>
        <w:t>LCHS7000 Social Epidemiology and Public Health Development</w:t>
      </w:r>
    </w:p>
    <w:p w14:paraId="45B216F1" w14:textId="77777777" w:rsidR="009729CF" w:rsidRPr="00900123" w:rsidRDefault="009729CF" w:rsidP="00DE3F02">
      <w:pPr>
        <w:spacing w:before="120" w:after="120" w:line="360" w:lineRule="auto"/>
        <w:jc w:val="center"/>
        <w:rPr>
          <w:rFonts w:ascii="Arial" w:eastAsia="Arial" w:hAnsi="Arial" w:cs="Arial"/>
          <w:b/>
          <w:bCs/>
          <w:kern w:val="0"/>
          <w:sz w:val="28"/>
          <w:szCs w:val="28"/>
          <w:lang w:val="en-GB"/>
          <w14:ligatures w14:val="none"/>
        </w:rPr>
      </w:pPr>
    </w:p>
    <w:p w14:paraId="44DBB935" w14:textId="77777777" w:rsidR="00DE3F02" w:rsidRPr="00900123" w:rsidRDefault="00DE3F02" w:rsidP="00DE3F02">
      <w:pPr>
        <w:spacing w:before="120" w:after="120" w:line="360" w:lineRule="auto"/>
        <w:jc w:val="center"/>
        <w:rPr>
          <w:rFonts w:ascii="Arial" w:eastAsia="Arial" w:hAnsi="Arial" w:cs="Arial"/>
          <w:b/>
          <w:bCs/>
          <w:kern w:val="0"/>
          <w:sz w:val="28"/>
          <w:szCs w:val="28"/>
          <w:lang w:val="en-GB"/>
          <w14:ligatures w14:val="none"/>
        </w:rPr>
      </w:pPr>
      <w:r w:rsidRPr="00900123">
        <w:rPr>
          <w:rFonts w:ascii="Arial" w:eastAsia="Arial" w:hAnsi="Arial" w:cs="Arial"/>
          <w:b/>
          <w:bCs/>
          <w:kern w:val="0"/>
          <w:sz w:val="28"/>
          <w:szCs w:val="28"/>
          <w:lang w:val="en-GB"/>
          <w14:ligatures w14:val="none"/>
        </w:rPr>
        <w:t>Assignment Title: Component 2: Analytical Report</w:t>
      </w:r>
    </w:p>
    <w:p w14:paraId="2C54A502" w14:textId="77777777" w:rsidR="009729CF" w:rsidRPr="00900123" w:rsidRDefault="009729CF" w:rsidP="00DE3F02">
      <w:pPr>
        <w:spacing w:before="120" w:after="120" w:line="360" w:lineRule="auto"/>
        <w:jc w:val="center"/>
        <w:rPr>
          <w:rFonts w:ascii="Arial" w:eastAsia="Arial" w:hAnsi="Arial" w:cs="Arial"/>
          <w:b/>
          <w:bCs/>
          <w:kern w:val="0"/>
          <w:sz w:val="28"/>
          <w:szCs w:val="28"/>
          <w:lang w:val="en-GB"/>
          <w14:ligatures w14:val="none"/>
        </w:rPr>
      </w:pPr>
    </w:p>
    <w:p w14:paraId="5A4FDCF0" w14:textId="77777777" w:rsidR="00DE3F02" w:rsidRPr="00900123" w:rsidRDefault="00DE3F02" w:rsidP="00DE3F02">
      <w:pPr>
        <w:spacing w:before="120" w:after="120" w:line="360" w:lineRule="auto"/>
        <w:jc w:val="center"/>
        <w:rPr>
          <w:rFonts w:ascii="Arial" w:eastAsia="Arial" w:hAnsi="Arial" w:cs="Arial"/>
          <w:kern w:val="0"/>
          <w:lang w:val="en-GB"/>
          <w14:ligatures w14:val="none"/>
        </w:rPr>
      </w:pPr>
    </w:p>
    <w:p w14:paraId="76CDA203" w14:textId="77777777" w:rsidR="00DE3F02" w:rsidRPr="00900123" w:rsidRDefault="00DE3F02" w:rsidP="00DE3F02">
      <w:pPr>
        <w:spacing w:before="120" w:after="120" w:line="360" w:lineRule="auto"/>
        <w:jc w:val="center"/>
        <w:rPr>
          <w:rFonts w:ascii="Arial" w:eastAsia="Arial" w:hAnsi="Arial" w:cs="Arial"/>
          <w:kern w:val="0"/>
          <w:lang w:val="en-GB"/>
          <w14:ligatures w14:val="none"/>
        </w:rPr>
      </w:pPr>
    </w:p>
    <w:p w14:paraId="6D4A2EA5" w14:textId="10ED362F" w:rsidR="009729CF" w:rsidRPr="00900123" w:rsidRDefault="009729CF" w:rsidP="009729CF">
      <w:pPr>
        <w:spacing w:before="120" w:after="120" w:line="360" w:lineRule="auto"/>
        <w:jc w:val="center"/>
        <w:rPr>
          <w:rFonts w:ascii="Arial" w:eastAsia="Arial" w:hAnsi="Arial" w:cs="Arial"/>
          <w:b/>
          <w:bCs/>
          <w:kern w:val="0"/>
          <w:lang w:val="en-GB"/>
          <w14:ligatures w14:val="none"/>
        </w:rPr>
      </w:pPr>
      <w:r w:rsidRPr="00900123">
        <w:rPr>
          <w:rFonts w:ascii="Arial" w:eastAsia="Arial" w:hAnsi="Arial" w:cs="Arial"/>
          <w:b/>
          <w:bCs/>
          <w:kern w:val="0"/>
          <w:lang w:val="en-GB"/>
          <w14:ligatures w14:val="none"/>
        </w:rPr>
        <w:t>Student Name:</w:t>
      </w:r>
      <w:r w:rsidR="00F8618B" w:rsidRPr="00900123">
        <w:rPr>
          <w:rFonts w:ascii="Arial" w:eastAsia="Arial" w:hAnsi="Arial" w:cs="Arial"/>
          <w:b/>
          <w:bCs/>
          <w:kern w:val="0"/>
          <w:lang w:val="en-GB"/>
          <w14:ligatures w14:val="none"/>
        </w:rPr>
        <w:t xml:space="preserve"> </w:t>
      </w:r>
      <w:proofErr w:type="spellStart"/>
      <w:r w:rsidRPr="00900123">
        <w:rPr>
          <w:rFonts w:ascii="Arial" w:eastAsia="Arial" w:hAnsi="Arial" w:cs="Arial"/>
          <w:b/>
          <w:bCs/>
          <w:kern w:val="0"/>
          <w:lang w:val="en-GB"/>
          <w14:ligatures w14:val="none"/>
        </w:rPr>
        <w:t>Shivaniben</w:t>
      </w:r>
      <w:proofErr w:type="spellEnd"/>
      <w:r w:rsidRPr="00900123">
        <w:rPr>
          <w:rFonts w:ascii="Arial" w:eastAsia="Arial" w:hAnsi="Arial" w:cs="Arial"/>
          <w:b/>
          <w:bCs/>
          <w:kern w:val="0"/>
          <w:lang w:val="en-GB"/>
          <w14:ligatures w14:val="none"/>
        </w:rPr>
        <w:t xml:space="preserve"> </w:t>
      </w:r>
      <w:proofErr w:type="spellStart"/>
      <w:r w:rsidRPr="00900123">
        <w:rPr>
          <w:rFonts w:ascii="Arial" w:eastAsia="Arial" w:hAnsi="Arial" w:cs="Arial"/>
          <w:b/>
          <w:bCs/>
          <w:kern w:val="0"/>
          <w:lang w:val="en-GB"/>
          <w14:ligatures w14:val="none"/>
        </w:rPr>
        <w:t>Pulkitbhai</w:t>
      </w:r>
      <w:proofErr w:type="spellEnd"/>
      <w:r w:rsidRPr="00900123">
        <w:rPr>
          <w:rFonts w:ascii="Arial" w:eastAsia="Arial" w:hAnsi="Arial" w:cs="Arial"/>
          <w:b/>
          <w:bCs/>
          <w:kern w:val="0"/>
          <w:lang w:val="en-GB"/>
          <w14:ligatures w14:val="none"/>
        </w:rPr>
        <w:t xml:space="preserve"> Patel</w:t>
      </w:r>
    </w:p>
    <w:p w14:paraId="1686A307" w14:textId="51EC6C9F" w:rsidR="00DE3F02" w:rsidRPr="00900123" w:rsidRDefault="009729CF" w:rsidP="009729CF">
      <w:pPr>
        <w:spacing w:before="120" w:after="120" w:line="360" w:lineRule="auto"/>
        <w:jc w:val="center"/>
        <w:rPr>
          <w:rFonts w:ascii="Arial" w:eastAsia="Arial" w:hAnsi="Arial" w:cs="Arial"/>
          <w:b/>
          <w:bCs/>
          <w:kern w:val="0"/>
          <w:lang w:val="en-GB"/>
          <w14:ligatures w14:val="none"/>
        </w:rPr>
      </w:pPr>
      <w:r w:rsidRPr="00900123">
        <w:rPr>
          <w:rFonts w:ascii="Arial" w:eastAsia="Arial" w:hAnsi="Arial" w:cs="Arial"/>
          <w:b/>
          <w:bCs/>
          <w:kern w:val="0"/>
          <w:lang w:val="en-GB"/>
          <w14:ligatures w14:val="none"/>
        </w:rPr>
        <w:t>Student ID: 2537051</w:t>
      </w:r>
    </w:p>
    <w:p w14:paraId="49D4E68A" w14:textId="77777777" w:rsidR="009C0ED3" w:rsidRPr="009C0ED3" w:rsidRDefault="009C0ED3" w:rsidP="009C0ED3">
      <w:pPr>
        <w:spacing w:before="120" w:after="120" w:line="360" w:lineRule="auto"/>
        <w:jc w:val="center"/>
        <w:rPr>
          <w:rFonts w:ascii="Arial" w:eastAsia="Arial" w:hAnsi="Arial" w:cs="Arial"/>
          <w:b/>
          <w:bCs/>
          <w:kern w:val="0"/>
          <w:lang w:val="en-GB"/>
          <w14:ligatures w14:val="none"/>
        </w:rPr>
      </w:pPr>
      <w:r w:rsidRPr="009C0ED3">
        <w:rPr>
          <w:rFonts w:ascii="Arial" w:eastAsia="Arial" w:hAnsi="Arial" w:cs="Arial"/>
          <w:b/>
          <w:bCs/>
          <w:kern w:val="0"/>
          <w14:ligatures w14:val="none"/>
        </w:rPr>
        <w:t xml:space="preserve">Lecturer: </w:t>
      </w:r>
      <w:proofErr w:type="spellStart"/>
      <w:r w:rsidRPr="009C0ED3">
        <w:rPr>
          <w:rFonts w:ascii="Arial" w:eastAsia="Arial" w:hAnsi="Arial" w:cs="Arial"/>
          <w:b/>
          <w:bCs/>
          <w:kern w:val="0"/>
          <w14:ligatures w14:val="none"/>
        </w:rPr>
        <w:t>Itse</w:t>
      </w:r>
      <w:proofErr w:type="spellEnd"/>
      <w:r w:rsidRPr="009C0ED3">
        <w:rPr>
          <w:rFonts w:ascii="Arial" w:eastAsia="Arial" w:hAnsi="Arial" w:cs="Arial"/>
          <w:b/>
          <w:bCs/>
          <w:kern w:val="0"/>
          <w14:ligatures w14:val="none"/>
        </w:rPr>
        <w:t xml:space="preserve"> Olaoye</w:t>
      </w:r>
    </w:p>
    <w:p w14:paraId="3B1C8A98" w14:textId="45831756" w:rsidR="00DE3F02" w:rsidRPr="00900123" w:rsidRDefault="00DE3F02" w:rsidP="00DE3F02">
      <w:pPr>
        <w:spacing w:before="120" w:after="120" w:line="360" w:lineRule="auto"/>
        <w:jc w:val="center"/>
        <w:rPr>
          <w:rFonts w:ascii="Arial" w:eastAsia="Arial" w:hAnsi="Arial" w:cs="Arial"/>
          <w:b/>
          <w:bCs/>
          <w:kern w:val="0"/>
          <w:lang w:val="en-GB"/>
          <w14:ligatures w14:val="none"/>
        </w:rPr>
      </w:pPr>
    </w:p>
    <w:p w14:paraId="51232618" w14:textId="77777777" w:rsidR="009B7FC5" w:rsidRPr="00900123" w:rsidRDefault="009B7FC5" w:rsidP="00DE3F02">
      <w:pPr>
        <w:spacing w:before="120" w:after="120" w:line="360" w:lineRule="auto"/>
        <w:jc w:val="center"/>
        <w:rPr>
          <w:rFonts w:ascii="Arial" w:eastAsia="Arial" w:hAnsi="Arial" w:cs="Arial"/>
          <w:b/>
          <w:bCs/>
          <w:kern w:val="0"/>
          <w:lang w:val="en-GB"/>
          <w14:ligatures w14:val="none"/>
        </w:rPr>
      </w:pPr>
    </w:p>
    <w:p w14:paraId="13720EB0" w14:textId="77777777" w:rsidR="001C204A" w:rsidRPr="00900123" w:rsidRDefault="001C204A" w:rsidP="00DE3F02">
      <w:pPr>
        <w:spacing w:before="120" w:after="120" w:line="360" w:lineRule="auto"/>
        <w:jc w:val="center"/>
        <w:rPr>
          <w:rFonts w:ascii="Arial" w:eastAsia="Arial" w:hAnsi="Arial" w:cs="Arial"/>
          <w:b/>
          <w:bCs/>
          <w:kern w:val="0"/>
          <w:lang w:val="en-GB"/>
          <w14:ligatures w14:val="none"/>
        </w:rPr>
      </w:pPr>
    </w:p>
    <w:p w14:paraId="19AA26CB" w14:textId="13156331" w:rsidR="001C204A" w:rsidRPr="00900123" w:rsidRDefault="001C204A" w:rsidP="00DE3F02">
      <w:pPr>
        <w:spacing w:before="120" w:after="120" w:line="360" w:lineRule="auto"/>
        <w:jc w:val="center"/>
        <w:rPr>
          <w:rFonts w:ascii="Arial" w:eastAsia="Arial" w:hAnsi="Arial" w:cs="Arial"/>
          <w:b/>
          <w:bCs/>
          <w:kern w:val="0"/>
          <w:lang w:val="en-GB"/>
          <w14:ligatures w14:val="none"/>
        </w:rPr>
      </w:pPr>
    </w:p>
    <w:p w14:paraId="368B1130" w14:textId="101F35BB" w:rsidR="009B7FC5" w:rsidRPr="00900123" w:rsidRDefault="009B7FC5" w:rsidP="00DE3F02">
      <w:pPr>
        <w:spacing w:before="120" w:after="120" w:line="360" w:lineRule="auto"/>
        <w:jc w:val="center"/>
        <w:rPr>
          <w:rFonts w:ascii="Arial" w:eastAsia="Arial" w:hAnsi="Arial" w:cs="Arial"/>
          <w:b/>
          <w:bCs/>
          <w:kern w:val="0"/>
          <w:lang w:val="en-GB"/>
          <w14:ligatures w14:val="none"/>
        </w:rPr>
      </w:pPr>
    </w:p>
    <w:p w14:paraId="185D11DD" w14:textId="77777777" w:rsidR="009B7FC5" w:rsidRPr="00900123" w:rsidRDefault="009B7FC5" w:rsidP="00DE3F02">
      <w:pPr>
        <w:spacing w:before="120" w:after="120" w:line="360" w:lineRule="auto"/>
        <w:jc w:val="center"/>
        <w:rPr>
          <w:rFonts w:ascii="Arial" w:eastAsia="Arial" w:hAnsi="Arial" w:cs="Arial"/>
          <w:b/>
          <w:bCs/>
          <w:kern w:val="0"/>
          <w:lang w:val="en-GB"/>
          <w14:ligatures w14:val="none"/>
        </w:rPr>
      </w:pPr>
    </w:p>
    <w:p w14:paraId="0177D8EE" w14:textId="0FC212C4" w:rsidR="001C204A" w:rsidRPr="00900123" w:rsidRDefault="001C204A" w:rsidP="00DE3F02">
      <w:pPr>
        <w:spacing w:before="120" w:after="120" w:line="360" w:lineRule="auto"/>
        <w:jc w:val="center"/>
        <w:rPr>
          <w:rFonts w:ascii="Arial" w:eastAsia="Arial" w:hAnsi="Arial" w:cs="Arial"/>
          <w:kern w:val="0"/>
          <w:lang w:val="en-GB"/>
          <w14:ligatures w14:val="none"/>
        </w:rPr>
      </w:pPr>
      <w:r w:rsidRPr="00900123">
        <w:rPr>
          <w:rFonts w:ascii="Arial" w:eastAsia="Arial" w:hAnsi="Arial" w:cs="Arial"/>
          <w:b/>
          <w:bCs/>
          <w:kern w:val="0"/>
          <w:lang w:val="en-GB"/>
          <w14:ligatures w14:val="none"/>
        </w:rPr>
        <w:t>Word Count: 2</w:t>
      </w:r>
      <w:r w:rsidR="00900123" w:rsidRPr="00900123">
        <w:rPr>
          <w:rFonts w:ascii="Arial" w:eastAsia="Arial" w:hAnsi="Arial" w:cs="Arial"/>
          <w:b/>
          <w:bCs/>
          <w:kern w:val="0"/>
          <w:lang w:val="en-GB"/>
          <w14:ligatures w14:val="none"/>
        </w:rPr>
        <w:t>704</w:t>
      </w:r>
      <w:r w:rsidRPr="00900123">
        <w:rPr>
          <w:rFonts w:ascii="Arial" w:eastAsia="Arial" w:hAnsi="Arial" w:cs="Arial"/>
          <w:kern w:val="0"/>
          <w:lang w:val="en-GB"/>
          <w14:ligatures w14:val="none"/>
        </w:rPr>
        <w:br w:type="page"/>
      </w:r>
    </w:p>
    <w:sdt>
      <w:sdtPr>
        <w:rPr>
          <w:rFonts w:ascii="Calibri" w:eastAsia="Times New Roman" w:hAnsi="Calibri" w:cs="Times New Roman"/>
          <w:b/>
          <w:bCs/>
          <w:kern w:val="0"/>
          <w:sz w:val="36"/>
          <w:szCs w:val="36"/>
          <w:lang w:val="en-GB"/>
          <w14:ligatures w14:val="none"/>
        </w:rPr>
        <w:id w:val="-122002094"/>
        <w:docPartObj>
          <w:docPartGallery w:val="Table of Contents"/>
          <w:docPartUnique/>
        </w:docPartObj>
      </w:sdtPr>
      <w:sdtEndPr>
        <w:rPr>
          <w:rFonts w:ascii="Arial" w:eastAsia="Arial" w:hAnsi="Arial" w:cs="Arial"/>
          <w:noProof/>
          <w:sz w:val="22"/>
          <w:szCs w:val="22"/>
        </w:rPr>
      </w:sdtEndPr>
      <w:sdtContent>
        <w:p w14:paraId="6DC9E392" w14:textId="77777777" w:rsidR="001C204A" w:rsidRPr="00900123" w:rsidRDefault="001C204A" w:rsidP="00DE3F02">
          <w:pPr>
            <w:keepNext/>
            <w:keepLines/>
            <w:spacing w:before="120" w:after="120" w:line="360" w:lineRule="auto"/>
            <w:jc w:val="center"/>
            <w:rPr>
              <w:rFonts w:ascii="Arial" w:eastAsia="Times New Roman" w:hAnsi="Arial" w:cs="Arial"/>
              <w:b/>
              <w:bCs/>
              <w:kern w:val="0"/>
              <w:sz w:val="24"/>
              <w:szCs w:val="24"/>
              <w:lang w:val="en-GB"/>
              <w14:ligatures w14:val="none"/>
            </w:rPr>
          </w:pPr>
          <w:r w:rsidRPr="00900123">
            <w:rPr>
              <w:rFonts w:ascii="Arial" w:eastAsia="Times New Roman" w:hAnsi="Arial" w:cs="Arial"/>
              <w:b/>
              <w:bCs/>
              <w:kern w:val="0"/>
              <w:sz w:val="24"/>
              <w:szCs w:val="24"/>
              <w:lang w:val="en-GB"/>
              <w14:ligatures w14:val="none"/>
            </w:rPr>
            <w:t>Table of Contents</w:t>
          </w:r>
        </w:p>
        <w:p w14:paraId="2CF03BA0" w14:textId="223D184C" w:rsidR="00DA0EE0" w:rsidRPr="00900123" w:rsidRDefault="001C204A">
          <w:pPr>
            <w:pStyle w:val="TOC1"/>
            <w:tabs>
              <w:tab w:val="right" w:leader="dot" w:pos="9019"/>
            </w:tabs>
            <w:rPr>
              <w:rFonts w:ascii="Arial" w:hAnsi="Arial" w:cs="Arial"/>
              <w:noProof/>
              <w:lang w:val="en-GB"/>
            </w:rPr>
          </w:pPr>
          <w:r w:rsidRPr="00900123">
            <w:rPr>
              <w:rFonts w:ascii="Arial" w:eastAsia="Arial" w:hAnsi="Arial" w:cs="Arial"/>
              <w:kern w:val="0"/>
              <w:lang w:val="en-GB"/>
              <w14:ligatures w14:val="none"/>
            </w:rPr>
            <w:fldChar w:fldCharType="begin"/>
          </w:r>
          <w:r w:rsidRPr="00900123">
            <w:rPr>
              <w:rFonts w:ascii="Arial" w:eastAsia="Arial" w:hAnsi="Arial" w:cs="Arial"/>
              <w:kern w:val="0"/>
              <w:lang w:val="en-GB"/>
              <w14:ligatures w14:val="none"/>
            </w:rPr>
            <w:instrText xml:space="preserve"> TOC \o "1-3" \h \z \u </w:instrText>
          </w:r>
          <w:r w:rsidRPr="00900123">
            <w:rPr>
              <w:rFonts w:ascii="Arial" w:eastAsia="Arial" w:hAnsi="Arial" w:cs="Arial"/>
              <w:kern w:val="0"/>
              <w:lang w:val="en-GB"/>
              <w14:ligatures w14:val="none"/>
            </w:rPr>
            <w:fldChar w:fldCharType="separate"/>
          </w:r>
          <w:hyperlink w:anchor="_Toc236870692" w:history="1">
            <w:r w:rsidR="00DA0EE0" w:rsidRPr="00900123">
              <w:rPr>
                <w:rStyle w:val="Hyperlink"/>
                <w:rFonts w:ascii="Arial" w:eastAsia="Arial" w:hAnsi="Arial" w:cs="Arial"/>
                <w:noProof/>
                <w:lang w:val="en-GB"/>
              </w:rPr>
              <w:t>Task 1: Social Epidemiological Analysis - Age Inequalities in Health among Older Adults in England</w:t>
            </w:r>
            <w:r w:rsidR="00DA0EE0" w:rsidRPr="00900123">
              <w:rPr>
                <w:rFonts w:ascii="Arial" w:hAnsi="Arial" w:cs="Arial"/>
                <w:noProof/>
                <w:webHidden/>
                <w:lang w:val="en-GB"/>
              </w:rPr>
              <w:tab/>
            </w:r>
            <w:r w:rsidR="00DA0EE0" w:rsidRPr="00900123">
              <w:rPr>
                <w:rFonts w:ascii="Arial" w:hAnsi="Arial" w:cs="Arial"/>
                <w:noProof/>
                <w:webHidden/>
                <w:lang w:val="en-GB"/>
              </w:rPr>
              <w:fldChar w:fldCharType="begin"/>
            </w:r>
            <w:r w:rsidR="00DA0EE0" w:rsidRPr="00900123">
              <w:rPr>
                <w:rFonts w:ascii="Arial" w:hAnsi="Arial" w:cs="Arial"/>
                <w:noProof/>
                <w:webHidden/>
                <w:lang w:val="en-GB"/>
              </w:rPr>
              <w:instrText xml:space="preserve"> PAGEREF _Toc236870692 \h </w:instrText>
            </w:r>
            <w:r w:rsidR="00DA0EE0" w:rsidRPr="00900123">
              <w:rPr>
                <w:rFonts w:ascii="Arial" w:hAnsi="Arial" w:cs="Arial"/>
                <w:noProof/>
                <w:webHidden/>
                <w:lang w:val="en-GB"/>
              </w:rPr>
            </w:r>
            <w:r w:rsidR="00DA0EE0" w:rsidRPr="00900123">
              <w:rPr>
                <w:rFonts w:ascii="Arial" w:hAnsi="Arial" w:cs="Arial"/>
                <w:noProof/>
                <w:webHidden/>
                <w:lang w:val="en-GB"/>
              </w:rPr>
              <w:fldChar w:fldCharType="separate"/>
            </w:r>
            <w:r w:rsidR="00DA0EE0" w:rsidRPr="00900123">
              <w:rPr>
                <w:rFonts w:ascii="Arial" w:hAnsi="Arial" w:cs="Arial"/>
                <w:noProof/>
                <w:webHidden/>
                <w:lang w:val="en-GB"/>
              </w:rPr>
              <w:t>1</w:t>
            </w:r>
            <w:r w:rsidR="00DA0EE0" w:rsidRPr="00900123">
              <w:rPr>
                <w:rFonts w:ascii="Arial" w:hAnsi="Arial" w:cs="Arial"/>
                <w:noProof/>
                <w:webHidden/>
                <w:lang w:val="en-GB"/>
              </w:rPr>
              <w:fldChar w:fldCharType="end"/>
            </w:r>
          </w:hyperlink>
        </w:p>
        <w:p w14:paraId="172C21D9" w14:textId="3A5B735E" w:rsidR="00DA0EE0" w:rsidRPr="00900123" w:rsidRDefault="00DA0EE0">
          <w:pPr>
            <w:pStyle w:val="TOC2"/>
            <w:tabs>
              <w:tab w:val="right" w:leader="dot" w:pos="9019"/>
            </w:tabs>
            <w:rPr>
              <w:rFonts w:ascii="Arial" w:hAnsi="Arial" w:cs="Arial"/>
              <w:noProof/>
              <w:lang w:val="en-GB"/>
            </w:rPr>
          </w:pPr>
          <w:hyperlink w:anchor="_Toc236870693" w:history="1">
            <w:r w:rsidRPr="00900123">
              <w:rPr>
                <w:rStyle w:val="Hyperlink"/>
                <w:rFonts w:ascii="Arial" w:eastAsia="Arial" w:hAnsi="Arial" w:cs="Arial"/>
                <w:noProof/>
                <w:lang w:val="en-GB"/>
              </w:rPr>
              <w:t>1. Introduction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_Toc236870693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1</w:t>
            </w:r>
            <w:r w:rsidRPr="00900123">
              <w:rPr>
                <w:rFonts w:ascii="Arial" w:hAnsi="Arial" w:cs="Arial"/>
                <w:noProof/>
                <w:webHidden/>
                <w:lang w:val="en-GB"/>
              </w:rPr>
              <w:fldChar w:fldCharType="end"/>
            </w:r>
          </w:hyperlink>
        </w:p>
        <w:p w14:paraId="131B4891" w14:textId="06DBE036" w:rsidR="00DA0EE0" w:rsidRPr="00900123" w:rsidRDefault="00DA0EE0">
          <w:pPr>
            <w:pStyle w:val="TOC2"/>
            <w:tabs>
              <w:tab w:val="right" w:leader="dot" w:pos="9019"/>
            </w:tabs>
            <w:rPr>
              <w:rFonts w:ascii="Arial" w:hAnsi="Arial" w:cs="Arial"/>
              <w:noProof/>
              <w:lang w:val="en-GB"/>
            </w:rPr>
          </w:pPr>
          <w:hyperlink w:anchor="_Toc236870694" w:history="1">
            <w:r w:rsidRPr="00900123">
              <w:rPr>
                <w:rStyle w:val="Hyperlink"/>
                <w:rFonts w:ascii="Arial" w:eastAsia="Arial" w:hAnsi="Arial" w:cs="Arial"/>
                <w:noProof/>
                <w:lang w:val="en-GB"/>
              </w:rPr>
              <w:t>2. Contextual Background and Underlying Factors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_Toc236870694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1</w:t>
            </w:r>
            <w:r w:rsidRPr="00900123">
              <w:rPr>
                <w:rFonts w:ascii="Arial" w:hAnsi="Arial" w:cs="Arial"/>
                <w:noProof/>
                <w:webHidden/>
                <w:lang w:val="en-GB"/>
              </w:rPr>
              <w:fldChar w:fldCharType="end"/>
            </w:r>
          </w:hyperlink>
        </w:p>
        <w:p w14:paraId="18BBA823" w14:textId="1D5B8EFC" w:rsidR="00DA0EE0" w:rsidRPr="00900123" w:rsidRDefault="00DA0EE0">
          <w:pPr>
            <w:pStyle w:val="TOC3"/>
            <w:tabs>
              <w:tab w:val="right" w:leader="dot" w:pos="9019"/>
            </w:tabs>
            <w:rPr>
              <w:rFonts w:ascii="Arial" w:hAnsi="Arial" w:cs="Arial"/>
              <w:noProof/>
              <w:lang w:val="en-GB"/>
            </w:rPr>
          </w:pPr>
          <w:hyperlink w:anchor="_Toc236870695" w:history="1">
            <w:r w:rsidRPr="00900123">
              <w:rPr>
                <w:rStyle w:val="Hyperlink"/>
                <w:rFonts w:ascii="Arial" w:eastAsia="Arial" w:hAnsi="Arial" w:cs="Arial"/>
                <w:i/>
                <w:iCs/>
                <w:noProof/>
                <w:lang w:val="en-GB"/>
              </w:rPr>
              <w:t>2.1 Health Issue 1: Dementia</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_Toc236870695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1</w:t>
            </w:r>
            <w:r w:rsidRPr="00900123">
              <w:rPr>
                <w:rFonts w:ascii="Arial" w:hAnsi="Arial" w:cs="Arial"/>
                <w:noProof/>
                <w:webHidden/>
                <w:lang w:val="en-GB"/>
              </w:rPr>
              <w:fldChar w:fldCharType="end"/>
            </w:r>
          </w:hyperlink>
        </w:p>
        <w:p w14:paraId="722E08CD" w14:textId="10489C27" w:rsidR="00DA0EE0" w:rsidRPr="00900123" w:rsidRDefault="00DA0EE0">
          <w:pPr>
            <w:pStyle w:val="TOC3"/>
            <w:tabs>
              <w:tab w:val="right" w:leader="dot" w:pos="9019"/>
            </w:tabs>
            <w:rPr>
              <w:rFonts w:ascii="Arial" w:hAnsi="Arial" w:cs="Arial"/>
              <w:noProof/>
              <w:lang w:val="en-GB"/>
            </w:rPr>
          </w:pPr>
          <w:hyperlink w:anchor="_Toc236870696" w:history="1">
            <w:r w:rsidRPr="00900123">
              <w:rPr>
                <w:rStyle w:val="Hyperlink"/>
                <w:rFonts w:ascii="Arial" w:eastAsia="Arial" w:hAnsi="Arial" w:cs="Arial"/>
                <w:i/>
                <w:iCs/>
                <w:noProof/>
                <w:lang w:val="en-GB"/>
              </w:rPr>
              <w:t>2.2 Health Issue 2: Cardiovascular Disease</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_Toc236870696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1</w:t>
            </w:r>
            <w:r w:rsidRPr="00900123">
              <w:rPr>
                <w:rFonts w:ascii="Arial" w:hAnsi="Arial" w:cs="Arial"/>
                <w:noProof/>
                <w:webHidden/>
                <w:lang w:val="en-GB"/>
              </w:rPr>
              <w:fldChar w:fldCharType="end"/>
            </w:r>
          </w:hyperlink>
        </w:p>
        <w:p w14:paraId="6B148240" w14:textId="172A8D9C" w:rsidR="00DA0EE0" w:rsidRPr="00900123" w:rsidRDefault="00DA0EE0">
          <w:pPr>
            <w:pStyle w:val="TOC3"/>
            <w:tabs>
              <w:tab w:val="right" w:leader="dot" w:pos="9019"/>
            </w:tabs>
            <w:rPr>
              <w:rFonts w:ascii="Arial" w:hAnsi="Arial" w:cs="Arial"/>
              <w:noProof/>
              <w:lang w:val="en-GB"/>
            </w:rPr>
          </w:pPr>
          <w:hyperlink w:anchor="_Toc236870697" w:history="1">
            <w:r w:rsidRPr="00900123">
              <w:rPr>
                <w:rStyle w:val="Hyperlink"/>
                <w:rFonts w:ascii="Arial" w:eastAsia="Arial" w:hAnsi="Arial" w:cs="Arial"/>
                <w:i/>
                <w:iCs/>
                <w:noProof/>
                <w:lang w:val="en-GB"/>
              </w:rPr>
              <w:t>2.3 Health Issue 3: Falls and Frailty</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_Toc236870697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1</w:t>
            </w:r>
            <w:r w:rsidRPr="00900123">
              <w:rPr>
                <w:rFonts w:ascii="Arial" w:hAnsi="Arial" w:cs="Arial"/>
                <w:noProof/>
                <w:webHidden/>
                <w:lang w:val="en-GB"/>
              </w:rPr>
              <w:fldChar w:fldCharType="end"/>
            </w:r>
          </w:hyperlink>
        </w:p>
        <w:p w14:paraId="0CD5D31B" w14:textId="02E895B6" w:rsidR="00DA0EE0" w:rsidRPr="00900123" w:rsidRDefault="00DA0EE0">
          <w:pPr>
            <w:pStyle w:val="TOC3"/>
            <w:tabs>
              <w:tab w:val="right" w:leader="dot" w:pos="9019"/>
            </w:tabs>
            <w:rPr>
              <w:rFonts w:ascii="Arial" w:hAnsi="Arial" w:cs="Arial"/>
              <w:noProof/>
              <w:lang w:val="en-GB"/>
            </w:rPr>
          </w:pPr>
          <w:hyperlink w:anchor="_Toc236870698" w:history="1">
            <w:r w:rsidRPr="00900123">
              <w:rPr>
                <w:rStyle w:val="Hyperlink"/>
                <w:rFonts w:ascii="Arial" w:eastAsia="Arial" w:hAnsi="Arial" w:cs="Arial"/>
                <w:i/>
                <w:iCs/>
                <w:noProof/>
                <w:lang w:val="en-GB"/>
              </w:rPr>
              <w:t>2.4 Social Issue 1: Social Isolation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_Toc236870698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2</w:t>
            </w:r>
            <w:r w:rsidRPr="00900123">
              <w:rPr>
                <w:rFonts w:ascii="Arial" w:hAnsi="Arial" w:cs="Arial"/>
                <w:noProof/>
                <w:webHidden/>
                <w:lang w:val="en-GB"/>
              </w:rPr>
              <w:fldChar w:fldCharType="end"/>
            </w:r>
          </w:hyperlink>
        </w:p>
        <w:p w14:paraId="02105E0C" w14:textId="71EDD477" w:rsidR="00DA0EE0" w:rsidRPr="00900123" w:rsidRDefault="00DA0EE0">
          <w:pPr>
            <w:pStyle w:val="TOC3"/>
            <w:tabs>
              <w:tab w:val="right" w:leader="dot" w:pos="9019"/>
            </w:tabs>
            <w:rPr>
              <w:rFonts w:ascii="Arial" w:hAnsi="Arial" w:cs="Arial"/>
              <w:noProof/>
              <w:lang w:val="en-GB"/>
            </w:rPr>
          </w:pPr>
          <w:hyperlink w:anchor="_Toc236870699" w:history="1">
            <w:r w:rsidRPr="00900123">
              <w:rPr>
                <w:rStyle w:val="Hyperlink"/>
                <w:rFonts w:ascii="Arial" w:eastAsia="Arial" w:hAnsi="Arial" w:cs="Arial"/>
                <w:i/>
                <w:iCs/>
                <w:noProof/>
                <w:lang w:val="en-GB"/>
              </w:rPr>
              <w:t>2.5 Social Issue 2: Poverty</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_Toc236870699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2</w:t>
            </w:r>
            <w:r w:rsidRPr="00900123">
              <w:rPr>
                <w:rFonts w:ascii="Arial" w:hAnsi="Arial" w:cs="Arial"/>
                <w:noProof/>
                <w:webHidden/>
                <w:lang w:val="en-GB"/>
              </w:rPr>
              <w:fldChar w:fldCharType="end"/>
            </w:r>
          </w:hyperlink>
        </w:p>
        <w:p w14:paraId="48F49E6B" w14:textId="042181C0" w:rsidR="00DA0EE0" w:rsidRPr="00900123" w:rsidRDefault="00DA0EE0">
          <w:pPr>
            <w:pStyle w:val="TOC3"/>
            <w:tabs>
              <w:tab w:val="right" w:leader="dot" w:pos="9019"/>
            </w:tabs>
            <w:rPr>
              <w:rFonts w:ascii="Arial" w:hAnsi="Arial" w:cs="Arial"/>
              <w:noProof/>
              <w:lang w:val="en-GB"/>
            </w:rPr>
          </w:pPr>
          <w:hyperlink w:anchor="_Toc236870700" w:history="1">
            <w:r w:rsidRPr="00900123">
              <w:rPr>
                <w:rStyle w:val="Hyperlink"/>
                <w:rFonts w:ascii="Arial" w:eastAsia="Arial" w:hAnsi="Arial" w:cs="Arial"/>
                <w:i/>
                <w:iCs/>
                <w:noProof/>
                <w:lang w:val="en-GB"/>
              </w:rPr>
              <w:t>2.6 Social Issue 3: Housing Conditions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_Toc236870700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2</w:t>
            </w:r>
            <w:r w:rsidRPr="00900123">
              <w:rPr>
                <w:rFonts w:ascii="Arial" w:hAnsi="Arial" w:cs="Arial"/>
                <w:noProof/>
                <w:webHidden/>
                <w:lang w:val="en-GB"/>
              </w:rPr>
              <w:fldChar w:fldCharType="end"/>
            </w:r>
          </w:hyperlink>
        </w:p>
        <w:p w14:paraId="6B6E4138" w14:textId="72F8E8A7" w:rsidR="00DA0EE0" w:rsidRPr="00900123" w:rsidRDefault="00DA0EE0">
          <w:pPr>
            <w:pStyle w:val="TOC2"/>
            <w:tabs>
              <w:tab w:val="right" w:leader="dot" w:pos="9019"/>
            </w:tabs>
            <w:rPr>
              <w:rFonts w:ascii="Arial" w:hAnsi="Arial" w:cs="Arial"/>
              <w:noProof/>
              <w:lang w:val="en-GB"/>
            </w:rPr>
          </w:pPr>
          <w:hyperlink w:anchor="_Toc236870701" w:history="1">
            <w:r w:rsidRPr="00900123">
              <w:rPr>
                <w:rStyle w:val="Hyperlink"/>
                <w:rFonts w:ascii="Arial" w:eastAsia="Arial" w:hAnsi="Arial" w:cs="Arial"/>
                <w:noProof/>
                <w:lang w:val="en-GB"/>
              </w:rPr>
              <w:t>3. National Response to Reduce Health Inequalities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_Toc236870701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2</w:t>
            </w:r>
            <w:r w:rsidRPr="00900123">
              <w:rPr>
                <w:rFonts w:ascii="Arial" w:hAnsi="Arial" w:cs="Arial"/>
                <w:noProof/>
                <w:webHidden/>
                <w:lang w:val="en-GB"/>
              </w:rPr>
              <w:fldChar w:fldCharType="end"/>
            </w:r>
          </w:hyperlink>
        </w:p>
        <w:p w14:paraId="7FC8E3B9" w14:textId="156A8321" w:rsidR="00DA0EE0" w:rsidRPr="00900123" w:rsidRDefault="00DA0EE0">
          <w:pPr>
            <w:pStyle w:val="TOC2"/>
            <w:tabs>
              <w:tab w:val="right" w:leader="dot" w:pos="9019"/>
            </w:tabs>
            <w:rPr>
              <w:rFonts w:ascii="Arial" w:hAnsi="Arial" w:cs="Arial"/>
              <w:noProof/>
              <w:lang w:val="en-GB"/>
            </w:rPr>
          </w:pPr>
          <w:hyperlink w:anchor="_Toc236870702" w:history="1">
            <w:r w:rsidRPr="00900123">
              <w:rPr>
                <w:rStyle w:val="Hyperlink"/>
                <w:rFonts w:ascii="Arial" w:eastAsia="Arial" w:hAnsi="Arial" w:cs="Arial"/>
                <w:noProof/>
                <w:lang w:val="en-GB"/>
              </w:rPr>
              <w:t>4. Organisation Supporting Older Adults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_Toc236870702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3</w:t>
            </w:r>
            <w:r w:rsidRPr="00900123">
              <w:rPr>
                <w:rFonts w:ascii="Arial" w:hAnsi="Arial" w:cs="Arial"/>
                <w:noProof/>
                <w:webHidden/>
                <w:lang w:val="en-GB"/>
              </w:rPr>
              <w:fldChar w:fldCharType="end"/>
            </w:r>
          </w:hyperlink>
        </w:p>
        <w:p w14:paraId="58D51D14" w14:textId="584A5404" w:rsidR="00DA0EE0" w:rsidRPr="00900123" w:rsidRDefault="00DA0EE0">
          <w:pPr>
            <w:pStyle w:val="TOC2"/>
            <w:tabs>
              <w:tab w:val="right" w:leader="dot" w:pos="9019"/>
            </w:tabs>
            <w:rPr>
              <w:rFonts w:ascii="Arial" w:hAnsi="Arial" w:cs="Arial"/>
              <w:noProof/>
              <w:lang w:val="en-GB"/>
            </w:rPr>
          </w:pPr>
          <w:hyperlink w:anchor="_Toc236870703" w:history="1">
            <w:r w:rsidRPr="00900123">
              <w:rPr>
                <w:rStyle w:val="Hyperlink"/>
                <w:rFonts w:ascii="Arial" w:eastAsia="Arial" w:hAnsi="Arial" w:cs="Arial"/>
                <w:noProof/>
                <w:lang w:val="en-GB"/>
              </w:rPr>
              <w:t>5. Conclusion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_Toc236870703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3</w:t>
            </w:r>
            <w:r w:rsidRPr="00900123">
              <w:rPr>
                <w:rFonts w:ascii="Arial" w:hAnsi="Arial" w:cs="Arial"/>
                <w:noProof/>
                <w:webHidden/>
                <w:lang w:val="en-GB"/>
              </w:rPr>
              <w:fldChar w:fldCharType="end"/>
            </w:r>
          </w:hyperlink>
        </w:p>
        <w:p w14:paraId="02C95F43" w14:textId="2E01A076" w:rsidR="00DA0EE0" w:rsidRPr="00900123" w:rsidRDefault="00DA0EE0">
          <w:pPr>
            <w:pStyle w:val="TOC1"/>
            <w:tabs>
              <w:tab w:val="right" w:leader="dot" w:pos="9019"/>
            </w:tabs>
            <w:rPr>
              <w:rFonts w:ascii="Arial" w:hAnsi="Arial" w:cs="Arial"/>
              <w:noProof/>
              <w:lang w:val="en-GB"/>
            </w:rPr>
          </w:pPr>
          <w:hyperlink w:anchor="_Toc236870704" w:history="1">
            <w:r w:rsidRPr="00900123">
              <w:rPr>
                <w:rStyle w:val="Hyperlink"/>
                <w:rFonts w:ascii="Arial" w:eastAsia="Arial" w:hAnsi="Arial" w:cs="Arial"/>
                <w:noProof/>
                <w:lang w:val="en-GB"/>
              </w:rPr>
              <w:t>Task 2: Epidemiological Analysis - Epidemiological Analysis of Dementia among Older Adults in England</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_Toc236870704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4</w:t>
            </w:r>
            <w:r w:rsidRPr="00900123">
              <w:rPr>
                <w:rFonts w:ascii="Arial" w:hAnsi="Arial" w:cs="Arial"/>
                <w:noProof/>
                <w:webHidden/>
                <w:lang w:val="en-GB"/>
              </w:rPr>
              <w:fldChar w:fldCharType="end"/>
            </w:r>
          </w:hyperlink>
        </w:p>
        <w:p w14:paraId="02583C66" w14:textId="3EBAAC5D" w:rsidR="00DA0EE0" w:rsidRPr="00900123" w:rsidRDefault="00DA0EE0">
          <w:pPr>
            <w:pStyle w:val="TOC2"/>
            <w:tabs>
              <w:tab w:val="right" w:leader="dot" w:pos="9019"/>
            </w:tabs>
            <w:rPr>
              <w:rFonts w:ascii="Arial" w:hAnsi="Arial" w:cs="Arial"/>
              <w:noProof/>
              <w:lang w:val="en-GB"/>
            </w:rPr>
          </w:pPr>
          <w:hyperlink w:anchor="_Toc236870705" w:history="1">
            <w:r w:rsidRPr="00900123">
              <w:rPr>
                <w:rStyle w:val="Hyperlink"/>
                <w:rFonts w:ascii="Arial" w:eastAsia="Arial" w:hAnsi="Arial" w:cs="Arial"/>
                <w:noProof/>
                <w:lang w:val="en-GB"/>
              </w:rPr>
              <w:t>1. Introduction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_Toc236870705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4</w:t>
            </w:r>
            <w:r w:rsidRPr="00900123">
              <w:rPr>
                <w:rFonts w:ascii="Arial" w:hAnsi="Arial" w:cs="Arial"/>
                <w:noProof/>
                <w:webHidden/>
                <w:lang w:val="en-GB"/>
              </w:rPr>
              <w:fldChar w:fldCharType="end"/>
            </w:r>
          </w:hyperlink>
        </w:p>
        <w:p w14:paraId="0E11CB3C" w14:textId="7B91AFB1" w:rsidR="00DA0EE0" w:rsidRPr="00900123" w:rsidRDefault="00DA0EE0">
          <w:pPr>
            <w:pStyle w:val="TOC2"/>
            <w:tabs>
              <w:tab w:val="right" w:leader="dot" w:pos="9019"/>
            </w:tabs>
            <w:rPr>
              <w:rFonts w:ascii="Arial" w:hAnsi="Arial" w:cs="Arial"/>
              <w:noProof/>
              <w:lang w:val="en-GB"/>
            </w:rPr>
          </w:pPr>
          <w:hyperlink w:anchor="_Toc236870706" w:history="1">
            <w:r w:rsidRPr="00900123">
              <w:rPr>
                <w:rStyle w:val="Hyperlink"/>
                <w:rFonts w:ascii="Arial" w:eastAsia="Arial" w:hAnsi="Arial" w:cs="Arial"/>
                <w:noProof/>
                <w:lang w:val="en-GB"/>
              </w:rPr>
              <w:t>2. Public Health Measures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_Toc236870706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4</w:t>
            </w:r>
            <w:r w:rsidRPr="00900123">
              <w:rPr>
                <w:rFonts w:ascii="Arial" w:hAnsi="Arial" w:cs="Arial"/>
                <w:noProof/>
                <w:webHidden/>
                <w:lang w:val="en-GB"/>
              </w:rPr>
              <w:fldChar w:fldCharType="end"/>
            </w:r>
          </w:hyperlink>
        </w:p>
        <w:p w14:paraId="5BAE6D6B" w14:textId="3BA6DD53" w:rsidR="00DA0EE0" w:rsidRPr="00900123" w:rsidRDefault="00DA0EE0">
          <w:pPr>
            <w:pStyle w:val="TOC3"/>
            <w:tabs>
              <w:tab w:val="right" w:leader="dot" w:pos="9019"/>
            </w:tabs>
            <w:rPr>
              <w:rFonts w:ascii="Arial" w:hAnsi="Arial" w:cs="Arial"/>
              <w:noProof/>
              <w:lang w:val="en-GB"/>
            </w:rPr>
          </w:pPr>
          <w:hyperlink w:anchor="_Toc236870707" w:history="1">
            <w:r w:rsidRPr="00900123">
              <w:rPr>
                <w:rStyle w:val="Hyperlink"/>
                <w:rFonts w:ascii="Arial" w:eastAsia="Arial" w:hAnsi="Arial" w:cs="Arial"/>
                <w:i/>
                <w:iCs/>
                <w:noProof/>
                <w:lang w:val="en-GB"/>
              </w:rPr>
              <w:t>2.1 Prevention, Protection and Promotion (3 Ps)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_Toc236870707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4</w:t>
            </w:r>
            <w:r w:rsidRPr="00900123">
              <w:rPr>
                <w:rFonts w:ascii="Arial" w:hAnsi="Arial" w:cs="Arial"/>
                <w:noProof/>
                <w:webHidden/>
                <w:lang w:val="en-GB"/>
              </w:rPr>
              <w:fldChar w:fldCharType="end"/>
            </w:r>
          </w:hyperlink>
        </w:p>
        <w:p w14:paraId="4DA89607" w14:textId="14CA7E7A" w:rsidR="00DA0EE0" w:rsidRPr="00900123" w:rsidRDefault="00DA0EE0">
          <w:pPr>
            <w:pStyle w:val="TOC2"/>
            <w:tabs>
              <w:tab w:val="right" w:leader="dot" w:pos="9019"/>
            </w:tabs>
            <w:rPr>
              <w:rFonts w:ascii="Arial" w:hAnsi="Arial" w:cs="Arial"/>
              <w:noProof/>
              <w:lang w:val="en-GB"/>
            </w:rPr>
          </w:pPr>
          <w:hyperlink w:anchor="_Toc236870708" w:history="1">
            <w:r w:rsidRPr="00900123">
              <w:rPr>
                <w:rStyle w:val="Hyperlink"/>
                <w:rFonts w:ascii="Arial" w:eastAsia="Arial" w:hAnsi="Arial" w:cs="Arial"/>
                <w:noProof/>
                <w:lang w:val="en-GB"/>
              </w:rPr>
              <w:t>3. Determinants and Risk Factors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_Toc236870708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57907158" w14:textId="483BEF7F" w:rsidR="00DA0EE0" w:rsidRPr="00900123" w:rsidRDefault="00DA0EE0">
          <w:pPr>
            <w:pStyle w:val="TOC3"/>
            <w:tabs>
              <w:tab w:val="right" w:leader="dot" w:pos="9019"/>
            </w:tabs>
            <w:rPr>
              <w:rFonts w:ascii="Arial" w:hAnsi="Arial" w:cs="Arial"/>
              <w:noProof/>
              <w:lang w:val="en-GB"/>
            </w:rPr>
          </w:pPr>
          <w:hyperlink w:anchor="_Toc236870709" w:history="1">
            <w:r w:rsidRPr="00900123">
              <w:rPr>
                <w:rStyle w:val="Hyperlink"/>
                <w:rFonts w:ascii="Arial" w:eastAsia="Arial" w:hAnsi="Arial" w:cs="Arial"/>
                <w:i/>
                <w:iCs/>
                <w:noProof/>
                <w:lang w:val="en-GB"/>
              </w:rPr>
              <w:t>3.1 Key Determinants of Dementia</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_Toc236870709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5B591EE6" w14:textId="04272F2D" w:rsidR="00DA0EE0" w:rsidRPr="00900123" w:rsidRDefault="00DA0EE0">
          <w:pPr>
            <w:pStyle w:val="TOC2"/>
            <w:tabs>
              <w:tab w:val="right" w:leader="dot" w:pos="9019"/>
            </w:tabs>
            <w:rPr>
              <w:rFonts w:ascii="Arial" w:hAnsi="Arial" w:cs="Arial"/>
              <w:noProof/>
              <w:lang w:val="en-GB"/>
            </w:rPr>
          </w:pPr>
          <w:hyperlink w:anchor="_Toc236870710" w:history="1">
            <w:r w:rsidRPr="00900123">
              <w:rPr>
                <w:rStyle w:val="Hyperlink"/>
                <w:rFonts w:ascii="Arial" w:eastAsia="Arial" w:hAnsi="Arial" w:cs="Arial"/>
                <w:noProof/>
                <w:lang w:val="en-GB"/>
              </w:rPr>
              <w:t>4. Epidemiological Studies and Health Needs Assessment</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_Toc236870710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050346E8" w14:textId="3B9156EF" w:rsidR="00DA0EE0" w:rsidRPr="00900123" w:rsidRDefault="00DA0EE0">
          <w:pPr>
            <w:pStyle w:val="TOC3"/>
            <w:tabs>
              <w:tab w:val="right" w:leader="dot" w:pos="9019"/>
            </w:tabs>
            <w:rPr>
              <w:rFonts w:ascii="Arial" w:hAnsi="Arial" w:cs="Arial"/>
              <w:noProof/>
              <w:lang w:val="en-GB"/>
            </w:rPr>
          </w:pPr>
          <w:hyperlink w:anchor="_Toc236870711" w:history="1">
            <w:r w:rsidRPr="00900123">
              <w:rPr>
                <w:rStyle w:val="Hyperlink"/>
                <w:rFonts w:ascii="Arial" w:eastAsia="Arial" w:hAnsi="Arial" w:cs="Arial"/>
                <w:i/>
                <w:iCs/>
                <w:noProof/>
                <w:lang w:val="en-GB"/>
              </w:rPr>
              <w:t>4.1 Population at Risk</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_Toc236870711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69C3F497" w14:textId="6EB6F550" w:rsidR="00DA0EE0" w:rsidRPr="00900123" w:rsidRDefault="00DA0EE0">
          <w:pPr>
            <w:pStyle w:val="TOC2"/>
            <w:tabs>
              <w:tab w:val="right" w:leader="dot" w:pos="9019"/>
            </w:tabs>
            <w:rPr>
              <w:rFonts w:ascii="Arial" w:hAnsi="Arial" w:cs="Arial"/>
              <w:noProof/>
              <w:lang w:val="en-GB"/>
            </w:rPr>
          </w:pPr>
          <w:hyperlink w:anchor="_Toc236870712" w:history="1">
            <w:r w:rsidRPr="00900123">
              <w:rPr>
                <w:rStyle w:val="Hyperlink"/>
                <w:rFonts w:ascii="Arial" w:eastAsia="Arial" w:hAnsi="Arial" w:cs="Arial"/>
                <w:noProof/>
                <w:lang w:val="en-GB"/>
              </w:rPr>
              <w:t>5. Surveillance and Monitoring</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_Toc236870712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1D8B3B8B" w14:textId="0A36B40F" w:rsidR="00DA0EE0" w:rsidRPr="00900123" w:rsidRDefault="00DA0EE0">
          <w:pPr>
            <w:pStyle w:val="TOC3"/>
            <w:tabs>
              <w:tab w:val="right" w:leader="dot" w:pos="9019"/>
            </w:tabs>
            <w:rPr>
              <w:rFonts w:ascii="Arial" w:hAnsi="Arial" w:cs="Arial"/>
              <w:noProof/>
              <w:lang w:val="en-GB"/>
            </w:rPr>
          </w:pPr>
          <w:hyperlink w:anchor="_Toc236870713" w:history="1">
            <w:r w:rsidRPr="00900123">
              <w:rPr>
                <w:rStyle w:val="Hyperlink"/>
                <w:rFonts w:ascii="Arial" w:eastAsia="Arial" w:hAnsi="Arial" w:cs="Arial"/>
                <w:i/>
                <w:iCs/>
                <w:noProof/>
                <w:lang w:val="en-GB"/>
              </w:rPr>
              <w:t>5.1 Monitoring Dementia</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_Toc236870713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0178128D" w14:textId="2AB8E27E" w:rsidR="00DA0EE0" w:rsidRPr="00900123" w:rsidRDefault="00DA0EE0">
          <w:pPr>
            <w:pStyle w:val="TOC2"/>
            <w:tabs>
              <w:tab w:val="right" w:leader="dot" w:pos="9019"/>
            </w:tabs>
            <w:rPr>
              <w:rFonts w:ascii="Arial" w:hAnsi="Arial" w:cs="Arial"/>
              <w:noProof/>
              <w:lang w:val="en-GB"/>
            </w:rPr>
          </w:pPr>
          <w:hyperlink w:anchor="_Toc236870714" w:history="1">
            <w:r w:rsidRPr="00900123">
              <w:rPr>
                <w:rStyle w:val="Hyperlink"/>
                <w:rFonts w:ascii="Arial" w:eastAsia="Arial" w:hAnsi="Arial" w:cs="Arial"/>
                <w:noProof/>
                <w:lang w:val="en-GB"/>
              </w:rPr>
              <w:t>6. Public Health Impact</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_Toc236870714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6</w:t>
            </w:r>
            <w:r w:rsidRPr="00900123">
              <w:rPr>
                <w:rFonts w:ascii="Arial" w:hAnsi="Arial" w:cs="Arial"/>
                <w:noProof/>
                <w:webHidden/>
                <w:lang w:val="en-GB"/>
              </w:rPr>
              <w:fldChar w:fldCharType="end"/>
            </w:r>
          </w:hyperlink>
        </w:p>
        <w:p w14:paraId="766C5089" w14:textId="066B99A8" w:rsidR="00DA0EE0" w:rsidRPr="00900123" w:rsidRDefault="00DA0EE0">
          <w:pPr>
            <w:pStyle w:val="TOC3"/>
            <w:tabs>
              <w:tab w:val="right" w:leader="dot" w:pos="9019"/>
            </w:tabs>
            <w:rPr>
              <w:rFonts w:ascii="Arial" w:hAnsi="Arial" w:cs="Arial"/>
              <w:noProof/>
              <w:lang w:val="en-GB"/>
            </w:rPr>
          </w:pPr>
          <w:hyperlink w:anchor="_Toc236870715" w:history="1">
            <w:r w:rsidRPr="00900123">
              <w:rPr>
                <w:rStyle w:val="Hyperlink"/>
                <w:rFonts w:ascii="Arial" w:eastAsia="Arial" w:hAnsi="Arial" w:cs="Arial"/>
                <w:i/>
                <w:iCs/>
                <w:noProof/>
                <w:lang w:val="en-GB"/>
              </w:rPr>
              <w:t>6.1 Short- and Long-Term Consequences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_Toc236870715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6</w:t>
            </w:r>
            <w:r w:rsidRPr="00900123">
              <w:rPr>
                <w:rFonts w:ascii="Arial" w:hAnsi="Arial" w:cs="Arial"/>
                <w:noProof/>
                <w:webHidden/>
                <w:lang w:val="en-GB"/>
              </w:rPr>
              <w:fldChar w:fldCharType="end"/>
            </w:r>
          </w:hyperlink>
        </w:p>
        <w:p w14:paraId="345A8325" w14:textId="4DAA0677" w:rsidR="00DA0EE0" w:rsidRPr="00900123" w:rsidRDefault="00DA0EE0">
          <w:pPr>
            <w:pStyle w:val="TOC2"/>
            <w:tabs>
              <w:tab w:val="right" w:leader="dot" w:pos="9019"/>
            </w:tabs>
            <w:rPr>
              <w:rFonts w:ascii="Arial" w:hAnsi="Arial" w:cs="Arial"/>
              <w:noProof/>
              <w:lang w:val="en-GB"/>
            </w:rPr>
          </w:pPr>
          <w:hyperlink w:anchor="_Toc236870716" w:history="1">
            <w:r w:rsidRPr="00900123">
              <w:rPr>
                <w:rStyle w:val="Hyperlink"/>
                <w:rFonts w:ascii="Arial" w:eastAsia="Arial" w:hAnsi="Arial" w:cs="Arial"/>
                <w:noProof/>
                <w:lang w:val="en-GB"/>
              </w:rPr>
              <w:t>7. Health Intervention Programme</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_Toc236870716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6</w:t>
            </w:r>
            <w:r w:rsidRPr="00900123">
              <w:rPr>
                <w:rFonts w:ascii="Arial" w:hAnsi="Arial" w:cs="Arial"/>
                <w:noProof/>
                <w:webHidden/>
                <w:lang w:val="en-GB"/>
              </w:rPr>
              <w:fldChar w:fldCharType="end"/>
            </w:r>
          </w:hyperlink>
        </w:p>
        <w:p w14:paraId="0F65ECB3" w14:textId="10153553" w:rsidR="00DA0EE0" w:rsidRPr="00900123" w:rsidRDefault="00DA0EE0">
          <w:pPr>
            <w:pStyle w:val="TOC3"/>
            <w:tabs>
              <w:tab w:val="right" w:leader="dot" w:pos="9019"/>
            </w:tabs>
            <w:rPr>
              <w:rFonts w:ascii="Arial" w:hAnsi="Arial" w:cs="Arial"/>
              <w:noProof/>
              <w:lang w:val="en-GB"/>
            </w:rPr>
          </w:pPr>
          <w:hyperlink w:anchor="_Toc236870717" w:history="1">
            <w:r w:rsidRPr="00900123">
              <w:rPr>
                <w:rStyle w:val="Hyperlink"/>
                <w:rFonts w:ascii="Arial" w:eastAsia="Arial" w:hAnsi="Arial" w:cs="Arial"/>
                <w:i/>
                <w:iCs/>
                <w:noProof/>
                <w:lang w:val="en-GB"/>
              </w:rPr>
              <w:t>7.1 Proposed Intervention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_Toc236870717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6</w:t>
            </w:r>
            <w:r w:rsidRPr="00900123">
              <w:rPr>
                <w:rFonts w:ascii="Arial" w:hAnsi="Arial" w:cs="Arial"/>
                <w:noProof/>
                <w:webHidden/>
                <w:lang w:val="en-GB"/>
              </w:rPr>
              <w:fldChar w:fldCharType="end"/>
            </w:r>
          </w:hyperlink>
        </w:p>
        <w:p w14:paraId="543642BA" w14:textId="5501B998" w:rsidR="00DA0EE0" w:rsidRPr="00900123" w:rsidRDefault="00DA0EE0">
          <w:pPr>
            <w:pStyle w:val="TOC2"/>
            <w:tabs>
              <w:tab w:val="right" w:leader="dot" w:pos="9019"/>
            </w:tabs>
            <w:rPr>
              <w:rFonts w:ascii="Arial" w:hAnsi="Arial" w:cs="Arial"/>
              <w:noProof/>
              <w:lang w:val="en-GB"/>
            </w:rPr>
          </w:pPr>
          <w:hyperlink w:anchor="_Toc236870718" w:history="1">
            <w:r w:rsidRPr="00900123">
              <w:rPr>
                <w:rStyle w:val="Hyperlink"/>
                <w:rFonts w:ascii="Arial" w:eastAsia="Arial" w:hAnsi="Arial" w:cs="Arial"/>
                <w:noProof/>
                <w:lang w:val="en-GB"/>
              </w:rPr>
              <w:t>8. Strengths and Weaknesses of the Epidemiological Approach</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_Toc236870718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7</w:t>
            </w:r>
            <w:r w:rsidRPr="00900123">
              <w:rPr>
                <w:rFonts w:ascii="Arial" w:hAnsi="Arial" w:cs="Arial"/>
                <w:noProof/>
                <w:webHidden/>
                <w:lang w:val="en-GB"/>
              </w:rPr>
              <w:fldChar w:fldCharType="end"/>
            </w:r>
          </w:hyperlink>
        </w:p>
        <w:p w14:paraId="40AAC026" w14:textId="31AA2367" w:rsidR="00DA0EE0" w:rsidRPr="00900123" w:rsidRDefault="00DA0EE0">
          <w:pPr>
            <w:pStyle w:val="TOC3"/>
            <w:tabs>
              <w:tab w:val="right" w:leader="dot" w:pos="9019"/>
            </w:tabs>
            <w:rPr>
              <w:rFonts w:ascii="Arial" w:hAnsi="Arial" w:cs="Arial"/>
              <w:noProof/>
              <w:lang w:val="en-GB"/>
            </w:rPr>
          </w:pPr>
          <w:hyperlink w:anchor="_Toc236870719" w:history="1">
            <w:r w:rsidRPr="00900123">
              <w:rPr>
                <w:rStyle w:val="Hyperlink"/>
                <w:rFonts w:ascii="Arial" w:eastAsia="Arial" w:hAnsi="Arial" w:cs="Arial"/>
                <w:i/>
                <w:iCs/>
                <w:noProof/>
                <w:lang w:val="en-GB"/>
              </w:rPr>
              <w:t>8.1 Critical Evaluation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_Toc236870719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7</w:t>
            </w:r>
            <w:r w:rsidRPr="00900123">
              <w:rPr>
                <w:rFonts w:ascii="Arial" w:hAnsi="Arial" w:cs="Arial"/>
                <w:noProof/>
                <w:webHidden/>
                <w:lang w:val="en-GB"/>
              </w:rPr>
              <w:fldChar w:fldCharType="end"/>
            </w:r>
          </w:hyperlink>
        </w:p>
        <w:p w14:paraId="719A3ED4" w14:textId="1C4553B8" w:rsidR="00DA0EE0" w:rsidRPr="00900123" w:rsidRDefault="00DA0EE0">
          <w:pPr>
            <w:pStyle w:val="TOC2"/>
            <w:tabs>
              <w:tab w:val="right" w:leader="dot" w:pos="9019"/>
            </w:tabs>
            <w:rPr>
              <w:rFonts w:ascii="Arial" w:hAnsi="Arial" w:cs="Arial"/>
              <w:noProof/>
              <w:lang w:val="en-GB"/>
            </w:rPr>
          </w:pPr>
          <w:hyperlink w:anchor="_Toc236870720" w:history="1">
            <w:r w:rsidRPr="00900123">
              <w:rPr>
                <w:rStyle w:val="Hyperlink"/>
                <w:rFonts w:ascii="Arial" w:eastAsia="Arial" w:hAnsi="Arial" w:cs="Arial"/>
                <w:noProof/>
                <w:lang w:val="en-GB"/>
              </w:rPr>
              <w:t>9. Conclusion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_Toc236870720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7</w:t>
            </w:r>
            <w:r w:rsidRPr="00900123">
              <w:rPr>
                <w:rFonts w:ascii="Arial" w:hAnsi="Arial" w:cs="Arial"/>
                <w:noProof/>
                <w:webHidden/>
                <w:lang w:val="en-GB"/>
              </w:rPr>
              <w:fldChar w:fldCharType="end"/>
            </w:r>
          </w:hyperlink>
        </w:p>
        <w:p w14:paraId="456940BA" w14:textId="7F3D8867" w:rsidR="00DA0EE0" w:rsidRPr="00900123" w:rsidRDefault="00DA0EE0">
          <w:pPr>
            <w:pStyle w:val="TOC1"/>
            <w:tabs>
              <w:tab w:val="right" w:leader="dot" w:pos="9019"/>
            </w:tabs>
            <w:rPr>
              <w:rFonts w:ascii="Arial" w:hAnsi="Arial" w:cs="Arial"/>
              <w:noProof/>
              <w:lang w:val="en-GB"/>
            </w:rPr>
          </w:pPr>
          <w:hyperlink w:anchor="_Toc236870721" w:history="1">
            <w:r w:rsidRPr="00900123">
              <w:rPr>
                <w:rStyle w:val="Hyperlink"/>
                <w:rFonts w:ascii="Arial" w:eastAsia="Arial" w:hAnsi="Arial" w:cs="Arial"/>
                <w:noProof/>
                <w:lang w:val="en-GB"/>
              </w:rPr>
              <w:t>References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_Toc236870721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8</w:t>
            </w:r>
            <w:r w:rsidRPr="00900123">
              <w:rPr>
                <w:rFonts w:ascii="Arial" w:hAnsi="Arial" w:cs="Arial"/>
                <w:noProof/>
                <w:webHidden/>
                <w:lang w:val="en-GB"/>
              </w:rPr>
              <w:fldChar w:fldCharType="end"/>
            </w:r>
          </w:hyperlink>
        </w:p>
        <w:p w14:paraId="09DAA129" w14:textId="71E50732"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noProof/>
              <w:kern w:val="0"/>
              <w:lang w:val="en-GB"/>
              <w14:ligatures w14:val="none"/>
            </w:rPr>
            <w:fldChar w:fldCharType="end"/>
          </w:r>
        </w:p>
      </w:sdtContent>
    </w:sdt>
    <w:p w14:paraId="23654AF6" w14:textId="77777777" w:rsidR="001C204A" w:rsidRPr="00900123" w:rsidRDefault="001C204A" w:rsidP="00DE3F02">
      <w:pPr>
        <w:spacing w:before="120" w:after="120" w:line="360" w:lineRule="auto"/>
        <w:jc w:val="both"/>
        <w:rPr>
          <w:rFonts w:ascii="Arial" w:eastAsia="Arial" w:hAnsi="Arial" w:cs="Arial"/>
          <w:b/>
          <w:bCs/>
          <w:kern w:val="0"/>
          <w:sz w:val="24"/>
          <w:szCs w:val="24"/>
          <w:lang w:val="en-GB"/>
          <w14:ligatures w14:val="none"/>
        </w:rPr>
      </w:pPr>
      <w:r w:rsidRPr="00900123">
        <w:rPr>
          <w:rFonts w:ascii="Arial" w:eastAsia="Arial" w:hAnsi="Arial" w:cs="Arial"/>
          <w:kern w:val="0"/>
          <w:lang w:val="en-GB"/>
          <w14:ligatures w14:val="none"/>
        </w:rPr>
        <w:br w:type="page"/>
      </w:r>
    </w:p>
    <w:p w14:paraId="7FF97826" w14:textId="77777777" w:rsidR="001C204A" w:rsidRPr="00900123" w:rsidRDefault="001C204A" w:rsidP="00DE3F02">
      <w:pPr>
        <w:keepNext/>
        <w:keepLines/>
        <w:spacing w:before="120" w:after="120" w:line="360" w:lineRule="auto"/>
        <w:jc w:val="both"/>
        <w:outlineLvl w:val="0"/>
        <w:rPr>
          <w:rFonts w:ascii="Arial" w:eastAsia="Arial" w:hAnsi="Arial" w:cs="Arial"/>
          <w:b/>
          <w:bCs/>
          <w:kern w:val="0"/>
          <w:sz w:val="24"/>
          <w:szCs w:val="24"/>
          <w:lang w:val="en-GB"/>
          <w14:ligatures w14:val="none"/>
        </w:rPr>
        <w:sectPr w:rsidR="001C204A" w:rsidRPr="00900123" w:rsidSect="001C204A">
          <w:footerReference w:type="default" r:id="rId9"/>
          <w:pgSz w:w="11909" w:h="16834"/>
          <w:pgMar w:top="1440" w:right="1440" w:bottom="1440" w:left="1440" w:header="720" w:footer="720" w:gutter="0"/>
          <w:pgNumType w:fmt="lowerRoman" w:start="1"/>
          <w:cols w:space="720"/>
          <w:titlePg/>
          <w:docGrid w:linePitch="299"/>
        </w:sectPr>
      </w:pPr>
    </w:p>
    <w:p w14:paraId="208354FC" w14:textId="18E71D8B" w:rsidR="001C204A" w:rsidRPr="00900123" w:rsidRDefault="001C204A" w:rsidP="00DE3F02">
      <w:pPr>
        <w:keepNext/>
        <w:keepLines/>
        <w:spacing w:before="120" w:after="120" w:line="360" w:lineRule="auto"/>
        <w:jc w:val="both"/>
        <w:outlineLvl w:val="0"/>
        <w:rPr>
          <w:rFonts w:ascii="Arial" w:eastAsia="Arial" w:hAnsi="Arial" w:cs="Arial"/>
          <w:b/>
          <w:bCs/>
          <w:kern w:val="0"/>
          <w:sz w:val="24"/>
          <w:szCs w:val="24"/>
          <w:lang w:val="en-GB"/>
          <w14:ligatures w14:val="none"/>
        </w:rPr>
      </w:pPr>
      <w:bookmarkStart w:id="0" w:name="_Toc236870692"/>
      <w:r w:rsidRPr="00900123">
        <w:rPr>
          <w:rFonts w:ascii="Arial" w:eastAsia="Arial" w:hAnsi="Arial" w:cs="Arial"/>
          <w:b/>
          <w:bCs/>
          <w:kern w:val="0"/>
          <w:sz w:val="24"/>
          <w:szCs w:val="24"/>
          <w:lang w:val="en-GB"/>
          <w14:ligatures w14:val="none"/>
        </w:rPr>
        <w:lastRenderedPageBreak/>
        <w:t>Task 1: Social Epidemiological Analysis - Age Inequalities in Health among Older Adults in England</w:t>
      </w:r>
      <w:bookmarkEnd w:id="0"/>
    </w:p>
    <w:p w14:paraId="69601D7D" w14:textId="4EAEFCF1"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1" w:name="_e5rcw1kmg8ki" w:colFirst="0" w:colLast="0"/>
      <w:bookmarkStart w:id="2" w:name="_Toc236870693"/>
      <w:bookmarkEnd w:id="1"/>
      <w:r w:rsidRPr="00900123">
        <w:rPr>
          <w:rFonts w:ascii="Arial" w:eastAsia="Arial" w:hAnsi="Arial" w:cs="Arial"/>
          <w:b/>
          <w:bCs/>
          <w:kern w:val="0"/>
          <w:lang w:val="en-GB"/>
          <w14:ligatures w14:val="none"/>
        </w:rPr>
        <w:t>1. Introduction</w:t>
      </w:r>
      <w:bookmarkEnd w:id="2"/>
    </w:p>
    <w:p w14:paraId="27582B5D" w14:textId="7A3E813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00123">
        <w:rPr>
          <w:rFonts w:ascii="Arial" w:eastAsia="Arial" w:hAnsi="Arial" w:cs="Arial"/>
          <w:kern w:val="0"/>
          <w:lang w:val="en-GB"/>
          <w14:ligatures w14:val="none"/>
        </w:rPr>
        <w:t>In order to understand the reason ageing is associated with unequal health outcomes, it is essential to first learn about health inequality. According to the World Health Organisation (WHO), the unfair and avoidable differences in health outcomes shaped by social and demographic characteristics can be termed health inequality (WHO, 2026). Based on the insights derived from this definition, it can be said that the accumulation of social and economic disadvantages compounding with time reveals the association of ageing with health inequality.</w:t>
      </w:r>
      <w:r w:rsidR="00453CB4" w:rsidRPr="00900123">
        <w:rPr>
          <w:rFonts w:ascii="Arial" w:eastAsia="Arial" w:hAnsi="Arial" w:cs="Arial"/>
          <w:kern w:val="0"/>
          <w:lang w:val="en-GB"/>
          <w14:ligatures w14:val="none"/>
        </w:rPr>
        <w:t xml:space="preserve"> </w:t>
      </w:r>
      <w:r w:rsidR="00453CB4" w:rsidRPr="009147B4">
        <w:rPr>
          <w:rFonts w:ascii="Arial" w:eastAsia="Arial" w:hAnsi="Arial" w:cs="Arial"/>
          <w:color w:val="000000" w:themeColor="text1"/>
          <w:kern w:val="0"/>
          <w:lang w:val="en-GB"/>
          <w14:ligatures w14:val="none"/>
        </w:rPr>
        <w:t>Therefore, this report aims to examine age-related health inequalities among older adults in England by analysing key health and social issues, the underlying determinants, and the national responses implemented to reduce these inequalities.</w:t>
      </w:r>
    </w:p>
    <w:p w14:paraId="7C845849" w14:textId="5D7D8E47" w:rsidR="001C204A" w:rsidRPr="009147B4" w:rsidRDefault="001C204A" w:rsidP="00DE3F02">
      <w:pPr>
        <w:keepNext/>
        <w:keepLines/>
        <w:spacing w:before="120" w:after="120" w:line="360" w:lineRule="auto"/>
        <w:jc w:val="both"/>
        <w:outlineLvl w:val="1"/>
        <w:rPr>
          <w:rFonts w:ascii="Arial" w:eastAsia="Arial" w:hAnsi="Arial" w:cs="Arial"/>
          <w:b/>
          <w:bCs/>
          <w:color w:val="000000" w:themeColor="text1"/>
          <w:kern w:val="0"/>
          <w:lang w:val="en-GB"/>
          <w14:ligatures w14:val="none"/>
        </w:rPr>
      </w:pPr>
      <w:bookmarkStart w:id="3" w:name="_8b18q1y609t4" w:colFirst="0" w:colLast="0"/>
      <w:bookmarkStart w:id="4" w:name="_Toc236870694"/>
      <w:bookmarkEnd w:id="3"/>
      <w:r w:rsidRPr="009147B4">
        <w:rPr>
          <w:rFonts w:ascii="Arial" w:eastAsia="Arial" w:hAnsi="Arial" w:cs="Arial"/>
          <w:b/>
          <w:bCs/>
          <w:color w:val="000000" w:themeColor="text1"/>
          <w:kern w:val="0"/>
          <w:lang w:val="en-GB"/>
          <w14:ligatures w14:val="none"/>
        </w:rPr>
        <w:t>2. Contextual Background and Underlying Factors</w:t>
      </w:r>
      <w:bookmarkEnd w:id="4"/>
    </w:p>
    <w:p w14:paraId="7C3BEFFD" w14:textId="6CC0F325"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5" w:name="_ukq4bq1gyazp" w:colFirst="0" w:colLast="0"/>
      <w:bookmarkStart w:id="6" w:name="_Toc236870695"/>
      <w:bookmarkEnd w:id="5"/>
      <w:r w:rsidRPr="009147B4">
        <w:rPr>
          <w:rFonts w:ascii="Arial" w:eastAsia="Arial" w:hAnsi="Arial" w:cs="Arial"/>
          <w:b/>
          <w:bCs/>
          <w:i/>
          <w:iCs/>
          <w:color w:val="000000" w:themeColor="text1"/>
          <w:kern w:val="0"/>
          <w:lang w:val="en-GB"/>
          <w14:ligatures w14:val="none"/>
        </w:rPr>
        <w:t>2.1 Health Issue 1: Dementia</w:t>
      </w:r>
      <w:bookmarkEnd w:id="6"/>
    </w:p>
    <w:p w14:paraId="2272A656"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As per the National Health Service (NHS) of the UK, more than half a million people are formally diagnosed with dementia, and the June 2026 data reveals that over 66% of people aged 65 and above are suffering from this health condition (NHS, 2026a; NHS, 2026b). The underlying causes of this health outcome inequality associated with older adults in the UK are found to be related to their longevity, resulting in the rise of the elderly population in the UK, which is causing a decline in their functional abilities (Stevenson </w:t>
      </w:r>
      <w:r w:rsidRPr="009147B4">
        <w:rPr>
          <w:rFonts w:ascii="Arial" w:eastAsia="Arial" w:hAnsi="Arial" w:cs="Arial"/>
          <w:i/>
          <w:iCs/>
          <w:color w:val="000000" w:themeColor="text1"/>
          <w:kern w:val="0"/>
          <w:lang w:val="en-GB"/>
          <w14:ligatures w14:val="none"/>
        </w:rPr>
        <w:t>et al</w:t>
      </w:r>
      <w:r w:rsidRPr="009147B4">
        <w:rPr>
          <w:rFonts w:ascii="Arial" w:eastAsia="Arial" w:hAnsi="Arial" w:cs="Arial"/>
          <w:color w:val="000000" w:themeColor="text1"/>
          <w:kern w:val="0"/>
          <w:lang w:val="en-GB"/>
          <w14:ligatures w14:val="none"/>
        </w:rPr>
        <w:t xml:space="preserve">., 2023; Timmons </w:t>
      </w:r>
      <w:r w:rsidRPr="009147B4">
        <w:rPr>
          <w:rFonts w:ascii="Arial" w:eastAsia="Arial" w:hAnsi="Arial" w:cs="Arial"/>
          <w:i/>
          <w:iCs/>
          <w:color w:val="000000" w:themeColor="text1"/>
          <w:kern w:val="0"/>
          <w:lang w:val="en-GB"/>
          <w14:ligatures w14:val="none"/>
        </w:rPr>
        <w:t>et al</w:t>
      </w:r>
      <w:r w:rsidRPr="009147B4">
        <w:rPr>
          <w:rFonts w:ascii="Arial" w:eastAsia="Arial" w:hAnsi="Arial" w:cs="Arial"/>
          <w:color w:val="000000" w:themeColor="text1"/>
          <w:kern w:val="0"/>
          <w:lang w:val="en-GB"/>
          <w14:ligatures w14:val="none"/>
        </w:rPr>
        <w:t xml:space="preserve">., 2022). Therefore, physical activities and proper sleep can solve this growing challenge (Zhang </w:t>
      </w:r>
      <w:r w:rsidRPr="009147B4">
        <w:rPr>
          <w:rFonts w:ascii="Arial" w:eastAsia="Arial" w:hAnsi="Arial" w:cs="Arial"/>
          <w:i/>
          <w:iCs/>
          <w:color w:val="000000" w:themeColor="text1"/>
          <w:kern w:val="0"/>
          <w:lang w:val="en-GB"/>
          <w14:ligatures w14:val="none"/>
        </w:rPr>
        <w:t>et al</w:t>
      </w:r>
      <w:r w:rsidRPr="009147B4">
        <w:rPr>
          <w:rFonts w:ascii="Arial" w:eastAsia="Arial" w:hAnsi="Arial" w:cs="Arial"/>
          <w:color w:val="000000" w:themeColor="text1"/>
          <w:kern w:val="0"/>
          <w:lang w:val="en-GB"/>
          <w14:ligatures w14:val="none"/>
        </w:rPr>
        <w:t>., 2024).</w:t>
      </w:r>
    </w:p>
    <w:p w14:paraId="2363FA99" w14:textId="19B6D041"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7" w:name="_tcc4fsdjz2z" w:colFirst="0" w:colLast="0"/>
      <w:bookmarkStart w:id="8" w:name="_Toc236870696"/>
      <w:bookmarkEnd w:id="7"/>
      <w:r w:rsidRPr="009147B4">
        <w:rPr>
          <w:rFonts w:ascii="Arial" w:eastAsia="Arial" w:hAnsi="Arial" w:cs="Arial"/>
          <w:b/>
          <w:bCs/>
          <w:i/>
          <w:iCs/>
          <w:color w:val="000000" w:themeColor="text1"/>
          <w:kern w:val="0"/>
          <w:lang w:val="en-GB"/>
          <w14:ligatures w14:val="none"/>
        </w:rPr>
        <w:t>2.2 Health Issue 2: Cardiovascular Disease</w:t>
      </w:r>
      <w:bookmarkEnd w:id="8"/>
    </w:p>
    <w:p w14:paraId="4D9192C0" w14:textId="7C113B22"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Apart from dementia, the burden of cardiovascular disease among older adults in the UK is also increasing. The data obtained from the NHS shows that compared to 92,600 cardiovascular disease cases in 2009-10, the same has gone up to 114,900 in 2023-24, with the risk factor more noticeably prevalent among individuals aged 70 years and over (NHS, 2025a). From this instance, it may appear that the influence of ageing is the most significant cause for the cardiovascular disease prevalence among older adults in the UK. However, financial limitations and social isolation of older adults in the UK also deprive them of getting optimal healthcare access (Townsend </w:t>
      </w:r>
      <w:r w:rsidRPr="009147B4">
        <w:rPr>
          <w:rFonts w:ascii="Arial" w:eastAsia="Arial" w:hAnsi="Arial" w:cs="Arial"/>
          <w:i/>
          <w:iCs/>
          <w:color w:val="000000" w:themeColor="text1"/>
          <w:kern w:val="0"/>
          <w:lang w:val="en-GB"/>
          <w14:ligatures w14:val="none"/>
        </w:rPr>
        <w:t>et al</w:t>
      </w:r>
      <w:r w:rsidRPr="009147B4">
        <w:rPr>
          <w:rFonts w:ascii="Arial" w:eastAsia="Arial" w:hAnsi="Arial" w:cs="Arial"/>
          <w:color w:val="000000" w:themeColor="text1"/>
          <w:kern w:val="0"/>
          <w:lang w:val="en-GB"/>
          <w14:ligatures w14:val="none"/>
        </w:rPr>
        <w:t xml:space="preserve">., 2026). </w:t>
      </w:r>
      <w:r w:rsidR="00453CB4" w:rsidRPr="009147B4">
        <w:rPr>
          <w:rFonts w:ascii="Arial" w:eastAsia="Arial" w:hAnsi="Arial" w:cs="Arial"/>
          <w:color w:val="000000" w:themeColor="text1"/>
          <w:kern w:val="0"/>
          <w:lang w:val="en-GB"/>
          <w14:ligatures w14:val="none"/>
        </w:rPr>
        <w:t xml:space="preserve">Hence, reduction of CVD inequalities among older adults is the key necessity where it is imperative to ensure targeted prevention and early detection, including regular blood pressure and cholesterol monitoring, NHS Health Checks where appropriate, </w:t>
      </w:r>
      <w:r w:rsidR="00457BD5" w:rsidRPr="009147B4">
        <w:rPr>
          <w:rFonts w:ascii="Arial" w:eastAsia="Arial" w:hAnsi="Arial" w:cs="Arial"/>
          <w:color w:val="000000" w:themeColor="text1"/>
          <w:kern w:val="0"/>
          <w:lang w:val="en-GB"/>
          <w14:ligatures w14:val="none"/>
        </w:rPr>
        <w:t xml:space="preserve">as well as </w:t>
      </w:r>
      <w:r w:rsidR="00453CB4" w:rsidRPr="009147B4">
        <w:rPr>
          <w:rFonts w:ascii="Arial" w:eastAsia="Arial" w:hAnsi="Arial" w:cs="Arial"/>
          <w:color w:val="000000" w:themeColor="text1"/>
          <w:kern w:val="0"/>
          <w:lang w:val="en-GB"/>
          <w14:ligatures w14:val="none"/>
        </w:rPr>
        <w:t xml:space="preserve">lifestyle support, and improved access to primary </w:t>
      </w:r>
      <w:r w:rsidR="00453CB4" w:rsidRPr="009147B4">
        <w:rPr>
          <w:rFonts w:ascii="Arial" w:eastAsia="Arial" w:hAnsi="Arial" w:cs="Arial"/>
          <w:color w:val="000000" w:themeColor="text1"/>
          <w:kern w:val="0"/>
          <w:lang w:val="en-GB"/>
          <w14:ligatures w14:val="none"/>
        </w:rPr>
        <w:lastRenderedPageBreak/>
        <w:t>healthcare services</w:t>
      </w:r>
      <w:r w:rsidR="00457BD5" w:rsidRPr="009147B4">
        <w:rPr>
          <w:rFonts w:ascii="Arial" w:eastAsia="Arial" w:hAnsi="Arial" w:cs="Arial"/>
          <w:color w:val="000000" w:themeColor="text1"/>
          <w:kern w:val="0"/>
          <w:lang w:val="en-GB"/>
          <w14:ligatures w14:val="none"/>
        </w:rPr>
        <w:t xml:space="preserve"> for the vulnerable population</w:t>
      </w:r>
      <w:r w:rsidR="00453CB4" w:rsidRPr="009147B4">
        <w:rPr>
          <w:rFonts w:ascii="Arial" w:eastAsia="Arial" w:hAnsi="Arial" w:cs="Arial"/>
          <w:color w:val="000000" w:themeColor="text1"/>
          <w:kern w:val="0"/>
          <w:lang w:val="en-GB"/>
          <w14:ligatures w14:val="none"/>
        </w:rPr>
        <w:t>.</w:t>
      </w:r>
      <w:r w:rsidR="00457BD5" w:rsidRPr="009147B4">
        <w:rPr>
          <w:rFonts w:ascii="Arial" w:eastAsia="Arial" w:hAnsi="Arial" w:cs="Arial"/>
          <w:color w:val="000000" w:themeColor="text1"/>
          <w:kern w:val="0"/>
          <w:lang w:val="en-GB"/>
          <w14:ligatures w14:val="none"/>
        </w:rPr>
        <w:t xml:space="preserve"> Additionally, community-based screening and outreach programmes needs more focus to reach the grassroot level in order to avert the social, financial as well as mobility-related barriers.</w:t>
      </w:r>
    </w:p>
    <w:p w14:paraId="64B7C16A" w14:textId="624F9BDC"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9" w:name="_vkp2wqno3wg0" w:colFirst="0" w:colLast="0"/>
      <w:bookmarkStart w:id="10" w:name="_Toc236870697"/>
      <w:bookmarkEnd w:id="9"/>
      <w:r w:rsidRPr="009147B4">
        <w:rPr>
          <w:rFonts w:ascii="Arial" w:eastAsia="Arial" w:hAnsi="Arial" w:cs="Arial"/>
          <w:b/>
          <w:bCs/>
          <w:i/>
          <w:iCs/>
          <w:color w:val="000000" w:themeColor="text1"/>
          <w:kern w:val="0"/>
          <w:lang w:val="en-GB"/>
          <w14:ligatures w14:val="none"/>
        </w:rPr>
        <w:t>2.3 Health Issue 3: Falls and Frailty</w:t>
      </w:r>
      <w:bookmarkEnd w:id="10"/>
    </w:p>
    <w:p w14:paraId="7883EE66"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At the later stages of life, falls and frailty become more common, and a few of the reasons for these include natural loss of muscle and slowing down of reflex actions. As a consequence, such conditions severely affect the overall health and independence of an elderly person. Injury from falling down can significantly reduce the overall mobility of an older adult, and can also make them dependent on others in the long term. Falls and frailty have equally impacted the NHS, costing the UK healthcare system approximately 5.8 billion pounds a year (NHS, 2026c). With 47% of hospital inpatients aged over 65, the issue also causes significant delays in patient discharge (NHS, 2026c).</w:t>
      </w:r>
    </w:p>
    <w:p w14:paraId="785DB8A9" w14:textId="23EE667B"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11" w:name="_293z9x8snvxv" w:colFirst="0" w:colLast="0"/>
      <w:bookmarkStart w:id="12" w:name="_Toc236870698"/>
      <w:bookmarkEnd w:id="11"/>
      <w:r w:rsidRPr="009147B4">
        <w:rPr>
          <w:rFonts w:ascii="Arial" w:eastAsia="Arial" w:hAnsi="Arial" w:cs="Arial"/>
          <w:b/>
          <w:bCs/>
          <w:i/>
          <w:iCs/>
          <w:color w:val="000000" w:themeColor="text1"/>
          <w:kern w:val="0"/>
          <w:lang w:val="en-GB"/>
          <w14:ligatures w14:val="none"/>
        </w:rPr>
        <w:t>2.4 Social Issue 1: Social Isolation</w:t>
      </w:r>
      <w:bookmarkEnd w:id="12"/>
    </w:p>
    <w:p w14:paraId="3E82241B"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Loneliness and social isolation negatively impact the physical and mental health of older adults. A past study conducted by </w:t>
      </w:r>
      <w:proofErr w:type="spellStart"/>
      <w:r w:rsidRPr="009147B4">
        <w:rPr>
          <w:rFonts w:ascii="Arial" w:eastAsia="Arial" w:hAnsi="Arial" w:cs="Arial"/>
          <w:color w:val="000000" w:themeColor="text1"/>
          <w:kern w:val="0"/>
          <w:lang w:val="en-GB"/>
          <w14:ligatures w14:val="none"/>
        </w:rPr>
        <w:t>Tragantzopoulou</w:t>
      </w:r>
      <w:proofErr w:type="spellEnd"/>
      <w:r w:rsidRPr="009147B4">
        <w:rPr>
          <w:rFonts w:ascii="Arial" w:eastAsia="Arial" w:hAnsi="Arial" w:cs="Arial"/>
          <w:color w:val="000000" w:themeColor="text1"/>
          <w:kern w:val="0"/>
          <w:lang w:val="en-GB"/>
          <w14:ligatures w14:val="none"/>
        </w:rPr>
        <w:t xml:space="preserve"> and Giannouli (2021) revealed that loneliness and social isolation in old age make individuals feel unworthy, causing them to experience deep anxiety and depression, as well as different physical disorders, such as the onset of cardiovascular disease. The findings of this study underscore the significant health damage caused by social isolation in older adults. With depression, the increasing risk of cardiovascular disease onset, premature death, and cognitive decline are particularly evident among older adults, pointing to the negative impacts of social isolation.</w:t>
      </w:r>
    </w:p>
    <w:p w14:paraId="21AFEB43" w14:textId="5BB941D3"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13" w:name="_pomxruamvj64" w:colFirst="0" w:colLast="0"/>
      <w:bookmarkStart w:id="14" w:name="_Toc236870699"/>
      <w:bookmarkEnd w:id="13"/>
      <w:r w:rsidRPr="009147B4">
        <w:rPr>
          <w:rFonts w:ascii="Arial" w:eastAsia="Arial" w:hAnsi="Arial" w:cs="Arial"/>
          <w:b/>
          <w:bCs/>
          <w:i/>
          <w:iCs/>
          <w:color w:val="000000" w:themeColor="text1"/>
          <w:kern w:val="0"/>
          <w:lang w:val="en-GB"/>
          <w14:ligatures w14:val="none"/>
        </w:rPr>
        <w:t>2.5 Social Issue 2: Poverty</w:t>
      </w:r>
      <w:bookmarkEnd w:id="14"/>
    </w:p>
    <w:p w14:paraId="74E13FCE"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Other than the challenges stemming from social isolation, financial hardship also contributes to poorer health outcomes. From the findings presented by Vilar-Compte </w:t>
      </w:r>
      <w:r w:rsidRPr="009147B4">
        <w:rPr>
          <w:rFonts w:ascii="Arial" w:eastAsia="Arial" w:hAnsi="Arial" w:cs="Arial"/>
          <w:i/>
          <w:iCs/>
          <w:color w:val="000000" w:themeColor="text1"/>
          <w:kern w:val="0"/>
          <w:lang w:val="en-GB"/>
          <w14:ligatures w14:val="none"/>
        </w:rPr>
        <w:t>et al</w:t>
      </w:r>
      <w:r w:rsidRPr="009147B4">
        <w:rPr>
          <w:rFonts w:ascii="Arial" w:eastAsia="Arial" w:hAnsi="Arial" w:cs="Arial"/>
          <w:color w:val="000000" w:themeColor="text1"/>
          <w:kern w:val="0"/>
          <w:lang w:val="en-GB"/>
          <w14:ligatures w14:val="none"/>
        </w:rPr>
        <w:t xml:space="preserve">. (2021), it is understood that poverty prevents individuals from accessing healthy food, resulting in food insecurity and malnutrition. Furthermore, it is also a fact that individuals who migrate from rural areas to urban areas face a high cost of living because of the lack of affordable housing, making them economically weaker, which also prevents them from accessing healthcare services (Kaiser, </w:t>
      </w:r>
      <w:proofErr w:type="spellStart"/>
      <w:r w:rsidRPr="009147B4">
        <w:rPr>
          <w:rFonts w:ascii="Arial" w:eastAsia="Arial" w:hAnsi="Arial" w:cs="Arial"/>
          <w:color w:val="000000" w:themeColor="text1"/>
          <w:kern w:val="0"/>
          <w:lang w:val="en-GB"/>
          <w14:ligatures w14:val="none"/>
        </w:rPr>
        <w:t>Sakil</w:t>
      </w:r>
      <w:proofErr w:type="spellEnd"/>
      <w:r w:rsidRPr="009147B4">
        <w:rPr>
          <w:rFonts w:ascii="Arial" w:eastAsia="Arial" w:hAnsi="Arial" w:cs="Arial"/>
          <w:color w:val="000000" w:themeColor="text1"/>
          <w:kern w:val="0"/>
          <w:lang w:val="en-GB"/>
          <w14:ligatures w14:val="none"/>
        </w:rPr>
        <w:t xml:space="preserve"> and </w:t>
      </w:r>
      <w:proofErr w:type="spellStart"/>
      <w:r w:rsidRPr="009147B4">
        <w:rPr>
          <w:rFonts w:ascii="Arial" w:eastAsia="Arial" w:hAnsi="Arial" w:cs="Arial"/>
          <w:color w:val="000000" w:themeColor="text1"/>
          <w:kern w:val="0"/>
          <w:lang w:val="en-GB"/>
          <w14:ligatures w14:val="none"/>
        </w:rPr>
        <w:t>Akte</w:t>
      </w:r>
      <w:proofErr w:type="spellEnd"/>
      <w:r w:rsidRPr="009147B4">
        <w:rPr>
          <w:rFonts w:ascii="Arial" w:eastAsia="Arial" w:hAnsi="Arial" w:cs="Arial"/>
          <w:color w:val="000000" w:themeColor="text1"/>
          <w:kern w:val="0"/>
          <w:lang w:val="en-GB"/>
          <w14:ligatures w14:val="none"/>
        </w:rPr>
        <w:t xml:space="preserve">, 2024). Therefore, it can be inferred that financial stresses on individuals indeed shape adverse health outcomes. </w:t>
      </w:r>
    </w:p>
    <w:p w14:paraId="0059B335" w14:textId="5F6DCB84"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15" w:name="_ultaq9mlv7pw" w:colFirst="0" w:colLast="0"/>
      <w:bookmarkStart w:id="16" w:name="_Toc236870700"/>
      <w:bookmarkEnd w:id="15"/>
      <w:r w:rsidRPr="009147B4">
        <w:rPr>
          <w:rFonts w:ascii="Arial" w:eastAsia="Arial" w:hAnsi="Arial" w:cs="Arial"/>
          <w:b/>
          <w:bCs/>
          <w:i/>
          <w:iCs/>
          <w:color w:val="000000" w:themeColor="text1"/>
          <w:kern w:val="0"/>
          <w:lang w:val="en-GB"/>
          <w14:ligatures w14:val="none"/>
        </w:rPr>
        <w:t>2.6 Social Issue 3: Housing Conditions</w:t>
      </w:r>
      <w:bookmarkEnd w:id="16"/>
    </w:p>
    <w:p w14:paraId="0C3CA4FD"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It is also a fact that poor or unsuitable housing increases the risk of injury, illness, and reduced quality of life for older adults. For example, poor lighting can make it difficult for older adults to see the ends of loose rugs, which in turn may cause them to trip over and injure themselves. </w:t>
      </w:r>
      <w:r w:rsidRPr="009147B4">
        <w:rPr>
          <w:rFonts w:ascii="Arial" w:eastAsia="Arial" w:hAnsi="Arial" w:cs="Arial"/>
          <w:color w:val="000000" w:themeColor="text1"/>
          <w:kern w:val="0"/>
          <w:lang w:val="en-GB"/>
          <w14:ligatures w14:val="none"/>
        </w:rPr>
        <w:lastRenderedPageBreak/>
        <w:t>Likewise, poorly ventilated housing can accumulate a significant amount of dampness, increasing the risks of illness as well. The evaluation of these housing conditions suggests that older adults living in such environments are bound to feel mentally distressed, which in turn can also affect their overall quality of life.</w:t>
      </w:r>
    </w:p>
    <w:p w14:paraId="0D924240" w14:textId="7339E580" w:rsidR="001C204A" w:rsidRPr="009147B4" w:rsidRDefault="001C204A" w:rsidP="00DE3F02">
      <w:pPr>
        <w:keepNext/>
        <w:keepLines/>
        <w:spacing w:before="120" w:after="120" w:line="360" w:lineRule="auto"/>
        <w:jc w:val="both"/>
        <w:outlineLvl w:val="1"/>
        <w:rPr>
          <w:rFonts w:ascii="Arial" w:eastAsia="Arial" w:hAnsi="Arial" w:cs="Arial"/>
          <w:b/>
          <w:bCs/>
          <w:color w:val="000000" w:themeColor="text1"/>
          <w:kern w:val="0"/>
          <w:lang w:val="en-GB"/>
          <w14:ligatures w14:val="none"/>
        </w:rPr>
      </w:pPr>
      <w:bookmarkStart w:id="17" w:name="_vk21lwjtpxs5" w:colFirst="0" w:colLast="0"/>
      <w:bookmarkStart w:id="18" w:name="_Toc236870701"/>
      <w:bookmarkEnd w:id="17"/>
      <w:r w:rsidRPr="009147B4">
        <w:rPr>
          <w:rFonts w:ascii="Arial" w:eastAsia="Arial" w:hAnsi="Arial" w:cs="Arial"/>
          <w:b/>
          <w:bCs/>
          <w:color w:val="000000" w:themeColor="text1"/>
          <w:kern w:val="0"/>
          <w:lang w:val="en-GB"/>
          <w14:ligatures w14:val="none"/>
        </w:rPr>
        <w:t>3. National Response to Reduce Health Inequalities</w:t>
      </w:r>
      <w:bookmarkEnd w:id="18"/>
    </w:p>
    <w:p w14:paraId="3F0445EA" w14:textId="403D2CB3"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Considering the significance of age-related health inequalities among older adults in the UK, the NHS</w:t>
      </w:r>
      <w:r w:rsidR="00457BD5" w:rsidRPr="009147B4">
        <w:rPr>
          <w:rFonts w:ascii="Arial" w:eastAsia="Arial" w:hAnsi="Arial" w:cs="Arial"/>
          <w:color w:val="000000" w:themeColor="text1"/>
          <w:kern w:val="0"/>
          <w:lang w:val="en-GB"/>
          <w14:ligatures w14:val="none"/>
        </w:rPr>
        <w:t xml:space="preserve"> has implemented programmes and initiatives aimed at improving health outcomes and supporting healthy ageing.</w:t>
      </w:r>
      <w:r w:rsidRPr="009147B4">
        <w:rPr>
          <w:rFonts w:ascii="Arial" w:eastAsia="Arial" w:hAnsi="Arial" w:cs="Arial"/>
          <w:color w:val="000000" w:themeColor="text1"/>
          <w:kern w:val="0"/>
          <w:lang w:val="en-GB"/>
          <w14:ligatures w14:val="none"/>
        </w:rPr>
        <w:t xml:space="preserve"> For example, </w:t>
      </w:r>
      <w:r w:rsidR="00457BD5" w:rsidRPr="009147B4">
        <w:rPr>
          <w:rFonts w:ascii="Arial" w:eastAsia="Arial" w:hAnsi="Arial" w:cs="Arial"/>
          <w:color w:val="000000" w:themeColor="text1"/>
          <w:kern w:val="0"/>
          <w:lang w:val="en-GB"/>
          <w14:ligatures w14:val="none"/>
        </w:rPr>
        <w:t>one national response by the NHS is the NHS Healthy Ageing approach where guidance is provided to the older adults to help them become more aware about CVD. In addition, the NHS has developed urgent community response services, which use multidisciplinary teams to provide rapid assessment and support to people in the community, including older adults, with the aim of reducing unnecessary hospital admissions and supporting people to remain independent in their own homes</w:t>
      </w:r>
      <w:r w:rsidRPr="009147B4">
        <w:rPr>
          <w:rFonts w:ascii="Arial" w:eastAsia="Arial" w:hAnsi="Arial" w:cs="Arial"/>
          <w:color w:val="000000" w:themeColor="text1"/>
          <w:kern w:val="0"/>
          <w:lang w:val="en-GB"/>
          <w14:ligatures w14:val="none"/>
        </w:rPr>
        <w:t xml:space="preserve"> (NHS, 2026d; UK Gov, 2025).</w:t>
      </w:r>
      <w:r w:rsidR="00457BD5" w:rsidRPr="009147B4">
        <w:rPr>
          <w:rFonts w:ascii="Arial" w:eastAsia="Arial" w:hAnsi="Arial" w:cs="Arial"/>
          <w:color w:val="000000" w:themeColor="text1"/>
          <w:kern w:val="0"/>
          <w:lang w:val="en-GB"/>
          <w14:ligatures w14:val="none"/>
        </w:rPr>
        <w:t xml:space="preserve"> These initiatives are particularly </w:t>
      </w:r>
      <w:r w:rsidR="00383FCA" w:rsidRPr="009147B4">
        <w:rPr>
          <w:rFonts w:ascii="Arial" w:eastAsia="Arial" w:hAnsi="Arial" w:cs="Arial"/>
          <w:color w:val="000000" w:themeColor="text1"/>
          <w:kern w:val="0"/>
          <w:lang w:val="en-GB"/>
          <w14:ligatures w14:val="none"/>
        </w:rPr>
        <w:t xml:space="preserve">relevant in promoting programmes to avert age-related health inequalities that may result into CVD vulnerability and </w:t>
      </w:r>
      <w:proofErr w:type="gramStart"/>
      <w:r w:rsidR="00383FCA" w:rsidRPr="009147B4">
        <w:rPr>
          <w:rFonts w:ascii="Arial" w:eastAsia="Arial" w:hAnsi="Arial" w:cs="Arial"/>
          <w:color w:val="000000" w:themeColor="text1"/>
          <w:kern w:val="0"/>
          <w:lang w:val="en-GB"/>
          <w14:ligatures w14:val="none"/>
        </w:rPr>
        <w:t>also</w:t>
      </w:r>
      <w:proofErr w:type="gramEnd"/>
      <w:r w:rsidR="00383FCA" w:rsidRPr="009147B4">
        <w:rPr>
          <w:rFonts w:ascii="Arial" w:eastAsia="Arial" w:hAnsi="Arial" w:cs="Arial"/>
          <w:color w:val="000000" w:themeColor="text1"/>
          <w:kern w:val="0"/>
          <w:lang w:val="en-GB"/>
          <w14:ligatures w14:val="none"/>
        </w:rPr>
        <w:t xml:space="preserve"> they aim to improve access to appropriate care, promote independence and reduce the risk that older adults become unnecessarily dependent on hospital or residential care.</w:t>
      </w:r>
    </w:p>
    <w:p w14:paraId="21FB0733" w14:textId="544DAB3A" w:rsidR="001C204A" w:rsidRPr="009147B4" w:rsidRDefault="001C204A" w:rsidP="00DE3F02">
      <w:pPr>
        <w:keepNext/>
        <w:keepLines/>
        <w:spacing w:before="120" w:after="120" w:line="360" w:lineRule="auto"/>
        <w:jc w:val="both"/>
        <w:outlineLvl w:val="1"/>
        <w:rPr>
          <w:rFonts w:ascii="Arial" w:eastAsia="Arial" w:hAnsi="Arial" w:cs="Arial"/>
          <w:b/>
          <w:bCs/>
          <w:color w:val="000000" w:themeColor="text1"/>
          <w:kern w:val="0"/>
          <w:lang w:val="en-GB"/>
          <w14:ligatures w14:val="none"/>
        </w:rPr>
      </w:pPr>
      <w:bookmarkStart w:id="19" w:name="_s323ug79tdhk" w:colFirst="0" w:colLast="0"/>
      <w:bookmarkStart w:id="20" w:name="_Toc236870702"/>
      <w:bookmarkEnd w:id="19"/>
      <w:r w:rsidRPr="009147B4">
        <w:rPr>
          <w:rFonts w:ascii="Arial" w:eastAsia="Arial" w:hAnsi="Arial" w:cs="Arial"/>
          <w:b/>
          <w:bCs/>
          <w:color w:val="000000" w:themeColor="text1"/>
          <w:kern w:val="0"/>
          <w:lang w:val="en-GB"/>
          <w14:ligatures w14:val="none"/>
        </w:rPr>
        <w:t>4. Organisation Supporting Older Adults</w:t>
      </w:r>
      <w:bookmarkEnd w:id="20"/>
    </w:p>
    <w:p w14:paraId="365001F3"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Among different organisations, Age UK has been offering noticeable support to older adults through different services with the objective of reducing age-related health inequalities in the older population in the UK. For example, the organisation, through its 120 service points, offers domestic help to older adults, conducts exercise classes, runs charity shops, and provides 24-hour helpline services (Age UK, 2026). </w:t>
      </w:r>
    </w:p>
    <w:p w14:paraId="366799A0" w14:textId="7E11E6CE" w:rsidR="001C204A" w:rsidRPr="009147B4" w:rsidRDefault="001C204A" w:rsidP="00DE3F02">
      <w:pPr>
        <w:keepNext/>
        <w:keepLines/>
        <w:spacing w:before="120" w:after="120" w:line="360" w:lineRule="auto"/>
        <w:jc w:val="both"/>
        <w:outlineLvl w:val="1"/>
        <w:rPr>
          <w:rFonts w:ascii="Arial" w:eastAsia="Arial" w:hAnsi="Arial" w:cs="Arial"/>
          <w:b/>
          <w:bCs/>
          <w:color w:val="000000" w:themeColor="text1"/>
          <w:kern w:val="0"/>
          <w:lang w:val="en-GB"/>
          <w14:ligatures w14:val="none"/>
        </w:rPr>
      </w:pPr>
      <w:bookmarkStart w:id="21" w:name="_pd2djvsl6avb" w:colFirst="0" w:colLast="0"/>
      <w:bookmarkStart w:id="22" w:name="_Toc236870703"/>
      <w:bookmarkEnd w:id="21"/>
      <w:r w:rsidRPr="009147B4">
        <w:rPr>
          <w:rFonts w:ascii="Arial" w:eastAsia="Arial" w:hAnsi="Arial" w:cs="Arial"/>
          <w:b/>
          <w:bCs/>
          <w:color w:val="000000" w:themeColor="text1"/>
          <w:kern w:val="0"/>
          <w:lang w:val="en-GB"/>
          <w14:ligatures w14:val="none"/>
        </w:rPr>
        <w:t>5. Conclusion</w:t>
      </w:r>
      <w:bookmarkEnd w:id="22"/>
    </w:p>
    <w:p w14:paraId="3F7D5A81"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The discussion up to this point helps to understand the importance of continued public health action in order to mitigate the age-related health inequalities experienced by older adults in the UK. The findings pointed to certain prominent health and social issues that contribute to its exacerbation. While the rising ageing population in the UK is causing disease prevalence and economic burden on the NHS, different social issues also aggravate health outcomes.</w:t>
      </w:r>
    </w:p>
    <w:p w14:paraId="4705D65D" w14:textId="77777777" w:rsidR="001C204A" w:rsidRPr="00900123" w:rsidRDefault="001C204A" w:rsidP="00DE3F02">
      <w:pPr>
        <w:spacing w:before="120" w:after="120" w:line="360" w:lineRule="auto"/>
        <w:jc w:val="both"/>
        <w:rPr>
          <w:rFonts w:ascii="Arial" w:eastAsia="Arial" w:hAnsi="Arial" w:cs="Arial"/>
          <w:b/>
          <w:bCs/>
          <w:kern w:val="0"/>
          <w:sz w:val="24"/>
          <w:szCs w:val="24"/>
          <w:lang w:val="en-GB"/>
          <w14:ligatures w14:val="none"/>
        </w:rPr>
      </w:pPr>
      <w:bookmarkStart w:id="23" w:name="_piznk3hkh0iz" w:colFirst="0" w:colLast="0"/>
      <w:bookmarkEnd w:id="23"/>
      <w:r w:rsidRPr="00900123">
        <w:rPr>
          <w:rFonts w:ascii="Arial" w:eastAsia="Arial" w:hAnsi="Arial" w:cs="Arial"/>
          <w:kern w:val="0"/>
          <w:lang w:val="en-GB"/>
          <w14:ligatures w14:val="none"/>
        </w:rPr>
        <w:br w:type="page"/>
      </w:r>
    </w:p>
    <w:p w14:paraId="45FD7CE9" w14:textId="63DE6B32" w:rsidR="001C204A" w:rsidRPr="00900123" w:rsidRDefault="001C204A" w:rsidP="00DE3F02">
      <w:pPr>
        <w:keepNext/>
        <w:keepLines/>
        <w:spacing w:before="120" w:after="120" w:line="360" w:lineRule="auto"/>
        <w:jc w:val="both"/>
        <w:outlineLvl w:val="0"/>
        <w:rPr>
          <w:rFonts w:ascii="Arial" w:eastAsia="Arial" w:hAnsi="Arial" w:cs="Arial"/>
          <w:b/>
          <w:bCs/>
          <w:kern w:val="0"/>
          <w:sz w:val="24"/>
          <w:szCs w:val="24"/>
          <w:lang w:val="en-GB"/>
          <w14:ligatures w14:val="none"/>
        </w:rPr>
      </w:pPr>
      <w:bookmarkStart w:id="24" w:name="_Toc236870704"/>
      <w:r w:rsidRPr="00900123">
        <w:rPr>
          <w:rFonts w:ascii="Arial" w:eastAsia="Arial" w:hAnsi="Arial" w:cs="Arial"/>
          <w:b/>
          <w:bCs/>
          <w:kern w:val="0"/>
          <w:sz w:val="24"/>
          <w:szCs w:val="24"/>
          <w:lang w:val="en-GB"/>
          <w14:ligatures w14:val="none"/>
        </w:rPr>
        <w:lastRenderedPageBreak/>
        <w:t>Task 2: Epidemiological Analysis - Epidemiological Analysis of Dementia among Older Adults in England</w:t>
      </w:r>
      <w:bookmarkEnd w:id="24"/>
    </w:p>
    <w:p w14:paraId="28ADC94B" w14:textId="23F8FAFE"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25" w:name="_jpm0qz1mg8to" w:colFirst="0" w:colLast="0"/>
      <w:bookmarkStart w:id="26" w:name="_Toc236870705"/>
      <w:bookmarkEnd w:id="25"/>
      <w:r w:rsidRPr="00900123">
        <w:rPr>
          <w:rFonts w:ascii="Arial" w:eastAsia="Arial" w:hAnsi="Arial" w:cs="Arial"/>
          <w:b/>
          <w:bCs/>
          <w:kern w:val="0"/>
          <w:lang w:val="en-GB"/>
          <w14:ligatures w14:val="none"/>
        </w:rPr>
        <w:t>1. Introduction</w:t>
      </w:r>
      <w:bookmarkEnd w:id="26"/>
    </w:p>
    <w:p w14:paraId="2E100323"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Dementia is a disorder resulting from brain disease or damage, which affects the memory, behaviour and thinking of an individual, and creates difficulties with language, emotions, and motivation as well (</w:t>
      </w:r>
      <w:proofErr w:type="spellStart"/>
      <w:r w:rsidRPr="00900123">
        <w:rPr>
          <w:rFonts w:ascii="Arial" w:eastAsia="Arial" w:hAnsi="Arial" w:cs="Arial"/>
          <w:kern w:val="0"/>
          <w:lang w:val="en-GB"/>
          <w14:ligatures w14:val="none"/>
        </w:rPr>
        <w:t>Błaszczyk</w:t>
      </w:r>
      <w:proofErr w:type="spellEnd"/>
      <w:r w:rsidRPr="00900123">
        <w:rPr>
          <w:rFonts w:ascii="Arial" w:eastAsia="Arial" w:hAnsi="Arial" w:cs="Arial"/>
          <w:kern w:val="0"/>
          <w:lang w:val="en-GB"/>
          <w14:ligatures w14:val="none"/>
        </w:rPr>
        <w:t>, 2022). While across 19 OECD countries 61 individuals out of 1,000, who are aged 65 and above, suffer from dementia, in the UK, the June 2026 data reveals that over 66% of people aged 65 and above are suffering from this health condition (OECD, 2025; NHS, 2026b). From these statistical instances, involving the UK and global perspectives, the epidemiological significance of the disease becomes evident as well.</w:t>
      </w:r>
    </w:p>
    <w:p w14:paraId="375514BB" w14:textId="2A52FA11"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27" w:name="_32b7ucp8540s" w:colFirst="0" w:colLast="0"/>
      <w:bookmarkStart w:id="28" w:name="_Toc236870706"/>
      <w:bookmarkEnd w:id="27"/>
      <w:r w:rsidRPr="00900123">
        <w:rPr>
          <w:rFonts w:ascii="Arial" w:eastAsia="Arial" w:hAnsi="Arial" w:cs="Arial"/>
          <w:b/>
          <w:bCs/>
          <w:kern w:val="0"/>
          <w:lang w:val="en-GB"/>
          <w14:ligatures w14:val="none"/>
        </w:rPr>
        <w:t>2. Public Health Measures</w:t>
      </w:r>
      <w:bookmarkEnd w:id="28"/>
    </w:p>
    <w:p w14:paraId="56091A8E" w14:textId="424FEEC1"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29" w:name="_txq77zr7tq2c" w:colFirst="0" w:colLast="0"/>
      <w:bookmarkStart w:id="30" w:name="_Toc236870707"/>
      <w:bookmarkEnd w:id="29"/>
      <w:r w:rsidRPr="00900123">
        <w:rPr>
          <w:rFonts w:ascii="Arial" w:eastAsia="Arial" w:hAnsi="Arial" w:cs="Arial"/>
          <w:b/>
          <w:bCs/>
          <w:i/>
          <w:iCs/>
          <w:kern w:val="0"/>
          <w:lang w:val="en-GB"/>
          <w14:ligatures w14:val="none"/>
        </w:rPr>
        <w:t>2.1 Prevention, Protection and Promotion (3 Ps)</w:t>
      </w:r>
      <w:bookmarkEnd w:id="30"/>
    </w:p>
    <w:p w14:paraId="364CA482"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b/>
          <w:bCs/>
          <w:kern w:val="0"/>
          <w:lang w:val="en-GB"/>
          <w14:ligatures w14:val="none"/>
        </w:rPr>
        <w:t xml:space="preserve">Prevention </w:t>
      </w:r>
      <w:r w:rsidRPr="00900123">
        <w:rPr>
          <w:rFonts w:ascii="Arial" w:eastAsia="Arial" w:hAnsi="Arial" w:cs="Arial"/>
          <w:kern w:val="0"/>
          <w:lang w:val="en-GB"/>
          <w14:ligatures w14:val="none"/>
        </w:rPr>
        <w:t>- As a preventive measure, the NHS offers free health check-ups for individuals who are aged between 40 and 74 years (NHS, 2026e). The main objective of this approach by the NHS is to discover the early signs of dementia. Moreover, for individuals aged 65 and above, the NHS also engages with them in raising dementia awareness by educating them to look for early signs of the disease and ways to reduce the risks of the disease as well (NHS, 2026e). The evaluation of this information indicates that early detection and education are prioritised for dementia prevention.</w:t>
      </w:r>
    </w:p>
    <w:p w14:paraId="354FF0C9"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b/>
          <w:bCs/>
          <w:kern w:val="0"/>
          <w:lang w:val="en-GB"/>
          <w14:ligatures w14:val="none"/>
        </w:rPr>
        <w:t xml:space="preserve">Protection </w:t>
      </w:r>
      <w:r w:rsidRPr="00900123">
        <w:rPr>
          <w:rFonts w:ascii="Arial" w:eastAsia="Arial" w:hAnsi="Arial" w:cs="Arial"/>
          <w:kern w:val="0"/>
          <w:lang w:val="en-GB"/>
          <w14:ligatures w14:val="none"/>
        </w:rPr>
        <w:t>- The NHS adopts an all-encompassing approach to protect older adults who are suffering from dementia. For example, besides offering speech and language therapy, physiotherapy, and hearing care services, the NHS, in partnership with the local integrated care boards, can also fund nursing care costs for patients with dementia (NHS, 2026f). Another way the NHS supports patients with dementia in their treatment is by involving relatives in care planning so that a personalised care service can be provided to patients (NHS, 2026g). Therefore, from this discussion, it can be said that the NHS takes every measure possible to protect dementia patients.</w:t>
      </w:r>
    </w:p>
    <w:p w14:paraId="56D51587"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b/>
          <w:bCs/>
          <w:kern w:val="0"/>
          <w:lang w:val="en-GB"/>
          <w14:ligatures w14:val="none"/>
        </w:rPr>
        <w:t xml:space="preserve">Promotion </w:t>
      </w:r>
      <w:r w:rsidRPr="00900123">
        <w:rPr>
          <w:rFonts w:ascii="Arial" w:eastAsia="Arial" w:hAnsi="Arial" w:cs="Arial"/>
          <w:kern w:val="0"/>
          <w:lang w:val="en-GB"/>
          <w14:ligatures w14:val="none"/>
        </w:rPr>
        <w:t>- In order to reduce the impact of dementia, the NHS is found to have also taken certain measures to promote health. In this context, the partnership of the NHS with the organisation Age UK can be referred to here because they conduct exercise classes for older adults in the country to keep them physically fit (Age UK, 2026). Furthermore, the NHS offers free health check-ups for individuals who are aged between 40 and 74 years (NHS, 2026e). From these instances, it can be said that by prioritising preventive screening and encouraging physical activities, the NHS is promoting health among older adults.</w:t>
      </w:r>
    </w:p>
    <w:p w14:paraId="47A7B2F6" w14:textId="46722BD8"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31" w:name="_ot8fu4jv14e6" w:colFirst="0" w:colLast="0"/>
      <w:bookmarkStart w:id="32" w:name="_Toc236870708"/>
      <w:bookmarkEnd w:id="31"/>
      <w:r w:rsidRPr="00900123">
        <w:rPr>
          <w:rFonts w:ascii="Arial" w:eastAsia="Arial" w:hAnsi="Arial" w:cs="Arial"/>
          <w:b/>
          <w:bCs/>
          <w:kern w:val="0"/>
          <w:lang w:val="en-GB"/>
          <w14:ligatures w14:val="none"/>
        </w:rPr>
        <w:lastRenderedPageBreak/>
        <w:t>3. Determinants and Risk Factors</w:t>
      </w:r>
      <w:bookmarkEnd w:id="32"/>
    </w:p>
    <w:p w14:paraId="078955D2" w14:textId="5B65A09C"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33" w:name="_qqkhx3atmvfw" w:colFirst="0" w:colLast="0"/>
      <w:bookmarkStart w:id="34" w:name="_Toc236870709"/>
      <w:bookmarkEnd w:id="33"/>
      <w:r w:rsidRPr="00900123">
        <w:rPr>
          <w:rFonts w:ascii="Arial" w:eastAsia="Arial" w:hAnsi="Arial" w:cs="Arial"/>
          <w:b/>
          <w:bCs/>
          <w:i/>
          <w:iCs/>
          <w:kern w:val="0"/>
          <w:lang w:val="en-GB"/>
          <w14:ligatures w14:val="none"/>
        </w:rPr>
        <w:t>3.1 Key Determinants of Dementia</w:t>
      </w:r>
      <w:bookmarkEnd w:id="34"/>
    </w:p>
    <w:p w14:paraId="3AAE1395"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b/>
          <w:bCs/>
          <w:kern w:val="0"/>
          <w:lang w:val="en-GB"/>
          <w14:ligatures w14:val="none"/>
        </w:rPr>
        <w:t xml:space="preserve">Modifiable </w:t>
      </w:r>
      <w:r w:rsidRPr="00900123">
        <w:rPr>
          <w:rFonts w:ascii="Arial" w:eastAsia="Arial" w:hAnsi="Arial" w:cs="Arial"/>
          <w:kern w:val="0"/>
          <w:lang w:val="en-GB"/>
          <w14:ligatures w14:val="none"/>
        </w:rPr>
        <w:t xml:space="preserve">- There are certain risk factors associated with dementia that are modifiable. According to Stephan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(2024), the modifiable factors, which, if modified properly, can significantly improve the present disease burden of dementia, include low physical activity, education, loss of hearing, and high obesity. Therefore, if older adults can focus on staying physically active or receive timely education on what can cause dementia, they can be in a better position to deal with this disease.</w:t>
      </w:r>
    </w:p>
    <w:p w14:paraId="4332211B"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b/>
          <w:bCs/>
          <w:kern w:val="0"/>
          <w:lang w:val="en-GB"/>
          <w14:ligatures w14:val="none"/>
        </w:rPr>
        <w:t xml:space="preserve">Non-modifiable </w:t>
      </w:r>
      <w:r w:rsidRPr="00900123">
        <w:rPr>
          <w:rFonts w:ascii="Arial" w:eastAsia="Arial" w:hAnsi="Arial" w:cs="Arial"/>
          <w:kern w:val="0"/>
          <w:lang w:val="en-GB"/>
          <w14:ligatures w14:val="none"/>
        </w:rPr>
        <w:t>- Unlike modifiable factors, discussed above, there are certain other factors that are beyond control and can cause dementia in older adults. For example, advanced age, family history of dementia, history of prior stroke, gender, and carrying APOE 4 genes can also contribute to the onset of dementia among older adults (</w:t>
      </w:r>
      <w:proofErr w:type="spellStart"/>
      <w:r w:rsidRPr="00900123">
        <w:rPr>
          <w:rFonts w:ascii="Arial" w:eastAsia="Arial" w:hAnsi="Arial" w:cs="Arial"/>
          <w:kern w:val="0"/>
          <w:lang w:val="en-GB"/>
          <w14:ligatures w14:val="none"/>
        </w:rPr>
        <w:t>Lawongsa</w:t>
      </w:r>
      <w:proofErr w:type="spellEnd"/>
      <w:r w:rsidRPr="00900123">
        <w:rPr>
          <w:rFonts w:ascii="Arial" w:eastAsia="Arial" w:hAnsi="Arial" w:cs="Arial"/>
          <w:kern w:val="0"/>
          <w:lang w:val="en-GB"/>
          <w14:ligatures w14:val="none"/>
        </w:rPr>
        <w:t xml:space="preserve"> and </w:t>
      </w:r>
      <w:proofErr w:type="spellStart"/>
      <w:r w:rsidRPr="00900123">
        <w:rPr>
          <w:rFonts w:ascii="Arial" w:eastAsia="Arial" w:hAnsi="Arial" w:cs="Arial"/>
          <w:kern w:val="0"/>
          <w:lang w:val="en-GB"/>
          <w14:ligatures w14:val="none"/>
        </w:rPr>
        <w:t>Kumjan</w:t>
      </w:r>
      <w:proofErr w:type="spellEnd"/>
      <w:r w:rsidRPr="00900123">
        <w:rPr>
          <w:rFonts w:ascii="Arial" w:eastAsia="Arial" w:hAnsi="Arial" w:cs="Arial"/>
          <w:kern w:val="0"/>
          <w:lang w:val="en-GB"/>
          <w14:ligatures w14:val="none"/>
        </w:rPr>
        <w:t xml:space="preserve">, 2025; Low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xml:space="preserve">., 2022). From this, it becomes evident that factors beyond the control of an individual can equally be responsible for dementia development. </w:t>
      </w:r>
    </w:p>
    <w:p w14:paraId="752CEAD0" w14:textId="663F7E19"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35" w:name="_7mv3a0vqnf22" w:colFirst="0" w:colLast="0"/>
      <w:bookmarkStart w:id="36" w:name="_Toc236870710"/>
      <w:bookmarkEnd w:id="35"/>
      <w:r w:rsidRPr="00900123">
        <w:rPr>
          <w:rFonts w:ascii="Arial" w:eastAsia="Arial" w:hAnsi="Arial" w:cs="Arial"/>
          <w:b/>
          <w:bCs/>
          <w:kern w:val="0"/>
          <w:lang w:val="en-GB"/>
          <w14:ligatures w14:val="none"/>
        </w:rPr>
        <w:t>4. Epidemiological Studies and Health Needs Assessment</w:t>
      </w:r>
      <w:bookmarkEnd w:id="36"/>
    </w:p>
    <w:p w14:paraId="57391DE1" w14:textId="224FDF45"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37" w:name="_b22dgcdei67" w:colFirst="0" w:colLast="0"/>
      <w:bookmarkStart w:id="38" w:name="_Toc236870711"/>
      <w:bookmarkEnd w:id="37"/>
      <w:r w:rsidRPr="00900123">
        <w:rPr>
          <w:rFonts w:ascii="Arial" w:eastAsia="Arial" w:hAnsi="Arial" w:cs="Arial"/>
          <w:b/>
          <w:bCs/>
          <w:i/>
          <w:iCs/>
          <w:kern w:val="0"/>
          <w:lang w:val="en-GB"/>
          <w14:ligatures w14:val="none"/>
        </w:rPr>
        <w:t>4.1 Population at Risk</w:t>
      </w:r>
      <w:bookmarkEnd w:id="38"/>
    </w:p>
    <w:p w14:paraId="453C255E"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As per the National Health Service (NHS) of the UK, more than half a million people are formally diagnosed with dementia, and the June 2026 data reveals that over 66% of people aged 65 and above are suffering from this health condition (NHS, 2026a; NHS, 2026b). The evaluation of this information points to the fact that it is the population of older adults in the UK who are mostly affected by the disease. As a result, it is obvious that this population needs to be targeted in order to administer public health interventions for disease containment. The rationale behind this, particularly in the context of the UK, is also the fact that the elderly population of the country is on the rise, adding to the instances of increasing functional disability cases (Stevenson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xml:space="preserve">., 2023; Timmons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2022). Therefore, surveillance and monitoring of this group is also quite justified.</w:t>
      </w:r>
    </w:p>
    <w:p w14:paraId="2F725ED1" w14:textId="7525A4CE"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39" w:name="_d27piblsy9zw" w:colFirst="0" w:colLast="0"/>
      <w:bookmarkStart w:id="40" w:name="_Toc236870712"/>
      <w:bookmarkEnd w:id="39"/>
      <w:r w:rsidRPr="00900123">
        <w:rPr>
          <w:rFonts w:ascii="Arial" w:eastAsia="Arial" w:hAnsi="Arial" w:cs="Arial"/>
          <w:b/>
          <w:bCs/>
          <w:kern w:val="0"/>
          <w:lang w:val="en-GB"/>
          <w14:ligatures w14:val="none"/>
        </w:rPr>
        <w:t>5. Surveillance and Monitoring</w:t>
      </w:r>
      <w:bookmarkEnd w:id="40"/>
    </w:p>
    <w:p w14:paraId="51AC3F55" w14:textId="2C422EAC"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41" w:name="_2rqt6qyntd4q" w:colFirst="0" w:colLast="0"/>
      <w:bookmarkStart w:id="42" w:name="_Toc236870713"/>
      <w:bookmarkEnd w:id="41"/>
      <w:r w:rsidRPr="00900123">
        <w:rPr>
          <w:rFonts w:ascii="Arial" w:eastAsia="Arial" w:hAnsi="Arial" w:cs="Arial"/>
          <w:b/>
          <w:bCs/>
          <w:i/>
          <w:iCs/>
          <w:kern w:val="0"/>
          <w:lang w:val="en-GB"/>
          <w14:ligatures w14:val="none"/>
        </w:rPr>
        <w:t>5.1 Monitoring Dementia</w:t>
      </w:r>
      <w:bookmarkEnd w:id="42"/>
    </w:p>
    <w:p w14:paraId="58067DB0"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For conducting surveillance and monitoring of patients living with dementia, the NHS leverages advanced technologies and national datasets. With the implementation of the </w:t>
      </w:r>
      <w:proofErr w:type="spellStart"/>
      <w:r w:rsidRPr="00900123">
        <w:rPr>
          <w:rFonts w:ascii="Arial" w:eastAsia="Arial" w:hAnsi="Arial" w:cs="Arial"/>
          <w:kern w:val="0"/>
          <w:lang w:val="en-GB"/>
          <w14:ligatures w14:val="none"/>
        </w:rPr>
        <w:t>MinderCare</w:t>
      </w:r>
      <w:proofErr w:type="spellEnd"/>
      <w:r w:rsidRPr="00900123">
        <w:rPr>
          <w:rFonts w:ascii="Arial" w:eastAsia="Arial" w:hAnsi="Arial" w:cs="Arial"/>
          <w:kern w:val="0"/>
          <w:lang w:val="en-GB"/>
          <w14:ligatures w14:val="none"/>
        </w:rPr>
        <w:t xml:space="preserve"> sensor network, the NHS is able to gather patient data and offer personalised advice (NHS, 2025b). In parallel, the NHS also introduced the Technology Integrated Health Management (TIHM) platform, which allows the organisation to collect observational, longitudinal, and measurement data of dementia patients and analyse the data with the help </w:t>
      </w:r>
      <w:r w:rsidRPr="00900123">
        <w:rPr>
          <w:rFonts w:ascii="Arial" w:eastAsia="Arial" w:hAnsi="Arial" w:cs="Arial"/>
          <w:kern w:val="0"/>
          <w:lang w:val="en-GB"/>
          <w14:ligatures w14:val="none"/>
        </w:rPr>
        <w:lastRenderedPageBreak/>
        <w:t xml:space="preserve">of machine learning to predict potential adverse health conditions of dementia patients (Palermo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2023). The evaluation of this information points to the fact that by leveraging technologies, the NHS monitors real-time patient data of dementia patients in the UK. Moreover, the NHS is also found to have considered a proactive approach to further contain the disease through the analysis of historical patient data, which empowers the firm to predict potential future conditions of dementia patients.</w:t>
      </w:r>
    </w:p>
    <w:p w14:paraId="0C10B2AA" w14:textId="4641033B"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43" w:name="_z9g7j53j45cb" w:colFirst="0" w:colLast="0"/>
      <w:bookmarkStart w:id="44" w:name="_Toc236870714"/>
      <w:bookmarkEnd w:id="43"/>
      <w:r w:rsidRPr="00900123">
        <w:rPr>
          <w:rFonts w:ascii="Arial" w:eastAsia="Arial" w:hAnsi="Arial" w:cs="Arial"/>
          <w:b/>
          <w:bCs/>
          <w:kern w:val="0"/>
          <w:lang w:val="en-GB"/>
          <w14:ligatures w14:val="none"/>
        </w:rPr>
        <w:t>6. Public Health Impact</w:t>
      </w:r>
      <w:bookmarkEnd w:id="44"/>
    </w:p>
    <w:p w14:paraId="77A2E28B" w14:textId="6E1D6485"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45" w:name="_z8tnjr60m2ii" w:colFirst="0" w:colLast="0"/>
      <w:bookmarkStart w:id="46" w:name="_Toc236870715"/>
      <w:bookmarkEnd w:id="45"/>
      <w:r w:rsidRPr="00900123">
        <w:rPr>
          <w:rFonts w:ascii="Arial" w:eastAsia="Arial" w:hAnsi="Arial" w:cs="Arial"/>
          <w:b/>
          <w:bCs/>
          <w:i/>
          <w:iCs/>
          <w:kern w:val="0"/>
          <w:lang w:val="en-GB"/>
          <w14:ligatures w14:val="none"/>
        </w:rPr>
        <w:t>6.1 Short- and Long-Term Consequences</w:t>
      </w:r>
      <w:bookmarkEnd w:id="46"/>
    </w:p>
    <w:p w14:paraId="3ED9F6F1"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Patients suffering from dementia experience varying kinds of health impacts. For example, initially, they face issues with memory, decision-making, and mood swings, which gradually progress to feelings of depression, and finally lead to difficulty in swallowing, defecating, and moving around (Pradana, 2022). This shows the holistic mental and physical health issues of dementia patients.</w:t>
      </w:r>
    </w:p>
    <w:p w14:paraId="4AE34C8C"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Going beyond, the families of dementia patients also go through social consequences. Caregivers in the family are forced to withdraw from social gatherings as they are required to look after the patient (Azevedo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xml:space="preserve">., 2021). Furthermore, families also experience financial hardships in the long term because of the continued care costs of dementia patients (Oba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xml:space="preserve">., 2021; Goto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2023).</w:t>
      </w:r>
    </w:p>
    <w:p w14:paraId="0CFC7E44"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Apart from the patients and their families, the NHS also faces consequences of the disease. It has been observed that for the management of falls and frailty associated with dementia, the NHS spends approximately 5.8 billion pounds a year (NHS, 2026c). As a consequence, it can be inferred that dementia leaves a holistic public health impact in the UK.</w:t>
      </w:r>
    </w:p>
    <w:p w14:paraId="4D849D4A" w14:textId="6B2384E0"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47" w:name="_w5k64pnmf05a" w:colFirst="0" w:colLast="0"/>
      <w:bookmarkStart w:id="48" w:name="_Toc236870716"/>
      <w:bookmarkEnd w:id="47"/>
      <w:r w:rsidRPr="00900123">
        <w:rPr>
          <w:rFonts w:ascii="Arial" w:eastAsia="Arial" w:hAnsi="Arial" w:cs="Arial"/>
          <w:b/>
          <w:bCs/>
          <w:kern w:val="0"/>
          <w:lang w:val="en-GB"/>
          <w14:ligatures w14:val="none"/>
        </w:rPr>
        <w:t>7. Health Intervention Programme</w:t>
      </w:r>
      <w:bookmarkEnd w:id="48"/>
    </w:p>
    <w:p w14:paraId="73930EA0" w14:textId="33386EC7"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49" w:name="_hjpdjjmb1vgv" w:colFirst="0" w:colLast="0"/>
      <w:bookmarkStart w:id="50" w:name="_Toc236870717"/>
      <w:bookmarkEnd w:id="49"/>
      <w:r w:rsidRPr="00900123">
        <w:rPr>
          <w:rFonts w:ascii="Arial" w:eastAsia="Arial" w:hAnsi="Arial" w:cs="Arial"/>
          <w:b/>
          <w:bCs/>
          <w:i/>
          <w:iCs/>
          <w:kern w:val="0"/>
          <w:lang w:val="en-GB"/>
          <w14:ligatures w14:val="none"/>
        </w:rPr>
        <w:t>7.1 Proposed Intervention</w:t>
      </w:r>
      <w:bookmarkEnd w:id="50"/>
    </w:p>
    <w:p w14:paraId="6BA4FBCB" w14:textId="77777777" w:rsidR="001C204A" w:rsidRPr="00900123" w:rsidRDefault="001C204A" w:rsidP="00DE3F02">
      <w:pPr>
        <w:spacing w:before="120" w:after="120" w:line="360" w:lineRule="auto"/>
        <w:jc w:val="both"/>
        <w:rPr>
          <w:rFonts w:ascii="Arial" w:eastAsia="Arial" w:hAnsi="Arial" w:cs="Arial"/>
          <w:b/>
          <w:bCs/>
          <w:kern w:val="0"/>
          <w:lang w:val="en-GB"/>
          <w14:ligatures w14:val="none"/>
        </w:rPr>
      </w:pPr>
      <w:r w:rsidRPr="00900123">
        <w:rPr>
          <w:rFonts w:ascii="Arial" w:eastAsia="Arial" w:hAnsi="Arial" w:cs="Arial"/>
          <w:b/>
          <w:bCs/>
          <w:kern w:val="0"/>
          <w:lang w:val="en-GB"/>
          <w14:ligatures w14:val="none"/>
        </w:rPr>
        <w:t>Cognitive Stimulation Therapy</w:t>
      </w:r>
    </w:p>
    <w:p w14:paraId="335C9BB3"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This intervention is designed and proposed for older adults with dementia because of its proven multifaceted effectiveness. A randomised controlled trial with 2,444 participants showed that cognitive stimulation can help in improving daily activities, memory, and depressive symptoms of dementia patients, proving to be effective in treating their cognitive decline (Cafferata, Hicks and von Bastian, 2021).</w:t>
      </w:r>
    </w:p>
    <w:p w14:paraId="02CDECBC" w14:textId="77777777" w:rsidR="001C204A" w:rsidRPr="00900123" w:rsidRDefault="001C204A" w:rsidP="00DE3F02">
      <w:pPr>
        <w:numPr>
          <w:ilvl w:val="0"/>
          <w:numId w:val="1"/>
        </w:num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The therapy session would consist of 14 sessions, spanning 7 days, containing a small group of up to 8 participants, and lasting for approximately 60 minutes. </w:t>
      </w:r>
    </w:p>
    <w:p w14:paraId="30FF9F72" w14:textId="77777777" w:rsidR="001C204A" w:rsidRPr="00900123" w:rsidRDefault="001C204A" w:rsidP="00DE3F02">
      <w:pPr>
        <w:numPr>
          <w:ilvl w:val="0"/>
          <w:numId w:val="1"/>
        </w:num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lastRenderedPageBreak/>
        <w:t xml:space="preserve">The activities would focus on memory stimulation, problem-solving, and word games. The sessions would be facilitated by healthcare professionals and occupational therapists. </w:t>
      </w:r>
    </w:p>
    <w:p w14:paraId="5994A644" w14:textId="77777777" w:rsidR="001C204A" w:rsidRPr="00900123" w:rsidRDefault="001C204A" w:rsidP="00DE3F02">
      <w:pPr>
        <w:numPr>
          <w:ilvl w:val="0"/>
          <w:numId w:val="1"/>
        </w:num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The areas of evaluation of the effectiveness of this therapy can be measured through the improvement of cognitive scores of participants, higher self-reported quality of life, better emotional well-being and interaction with peers, with gradually declining dependence on others.</w:t>
      </w:r>
    </w:p>
    <w:p w14:paraId="36BB64FB" w14:textId="434D662D"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51" w:name="_xqkrro2jsxtx" w:colFirst="0" w:colLast="0"/>
      <w:bookmarkStart w:id="52" w:name="_Toc236870718"/>
      <w:bookmarkEnd w:id="51"/>
      <w:r w:rsidRPr="00900123">
        <w:rPr>
          <w:rFonts w:ascii="Arial" w:eastAsia="Arial" w:hAnsi="Arial" w:cs="Arial"/>
          <w:b/>
          <w:bCs/>
          <w:kern w:val="0"/>
          <w:lang w:val="en-GB"/>
          <w14:ligatures w14:val="none"/>
        </w:rPr>
        <w:t>8. Strengths and Weaknesses of the Epidemiological Approach</w:t>
      </w:r>
      <w:bookmarkEnd w:id="52"/>
    </w:p>
    <w:p w14:paraId="4E1DC8B3" w14:textId="6CA5D63A"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53" w:name="_xqbhczyo25ij" w:colFirst="0" w:colLast="0"/>
      <w:bookmarkStart w:id="54" w:name="_Toc236870719"/>
      <w:bookmarkEnd w:id="53"/>
      <w:r w:rsidRPr="00900123">
        <w:rPr>
          <w:rFonts w:ascii="Arial" w:eastAsia="Arial" w:hAnsi="Arial" w:cs="Arial"/>
          <w:b/>
          <w:bCs/>
          <w:i/>
          <w:iCs/>
          <w:kern w:val="0"/>
          <w:lang w:val="en-GB"/>
          <w14:ligatures w14:val="none"/>
        </w:rPr>
        <w:t>8.1 Critical Evaluation</w:t>
      </w:r>
      <w:bookmarkEnd w:id="54"/>
    </w:p>
    <w:p w14:paraId="67A95ADC"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The strengths of the epidemiological methods used to investigate dementia here are multifaceted. The comparison of the UK data with the data of OECD countries offers a representative insight into the population-based data of the study. The integration of surveillance technologies strengthens the overall narrative of this study, particularly in terms of highlighting the overall effectiveness of the NHS to tackle the rising challenge of dementia in the healthcare system of the country. From an epidemiological perspective, the integration of modifiable and non-modifiable risk factors and evidence-based interventions also improved the understanding of the disease and its potential treatment avenues. However, heavy reliance on prevalence data, particularly those obtained directly from the NHS repositories, may have caused sampling bias. The rationale for this is the fact that undiagnosed cases might not have been considered. Likewise, disregarding the cost constraints of technological surveillance, patient lifestyle, and socio-economic aspects also weakened this study.</w:t>
      </w:r>
    </w:p>
    <w:p w14:paraId="670F8FF9" w14:textId="2253D4AA"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55" w:name="_p0iwaa36473y" w:colFirst="0" w:colLast="0"/>
      <w:bookmarkStart w:id="56" w:name="_Toc236870720"/>
      <w:bookmarkEnd w:id="55"/>
      <w:r w:rsidRPr="00900123">
        <w:rPr>
          <w:rFonts w:ascii="Arial" w:eastAsia="Arial" w:hAnsi="Arial" w:cs="Arial"/>
          <w:b/>
          <w:bCs/>
          <w:kern w:val="0"/>
          <w:lang w:val="en-GB"/>
          <w14:ligatures w14:val="none"/>
        </w:rPr>
        <w:t>9. Conclusion</w:t>
      </w:r>
      <w:bookmarkEnd w:id="56"/>
    </w:p>
    <w:p w14:paraId="5B132C6E"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Based on the overall findings presented in this study, it can be concluded that the prevalence of dementia is significantly high in older adults, even in the UK. It is noted that the NHS adopts technological means to monitor dementia patients, as the overall financial burden of the disease is rising significantly. The evidence-based intervention proposed is found to be equally effective in preventing, protecting, and promoting the health of dementia patients. However, it is recommended that future strategies be formed by addressing dependence on NHS data, as well as mitigating sampling bias.</w:t>
      </w:r>
    </w:p>
    <w:p w14:paraId="099C6429"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br w:type="page"/>
      </w:r>
    </w:p>
    <w:p w14:paraId="4FBB3776" w14:textId="27D38447" w:rsidR="001C204A" w:rsidRPr="00900123" w:rsidRDefault="001C204A" w:rsidP="00DE3F02">
      <w:pPr>
        <w:keepNext/>
        <w:keepLines/>
        <w:spacing w:before="120" w:after="120" w:line="360" w:lineRule="auto"/>
        <w:jc w:val="both"/>
        <w:outlineLvl w:val="0"/>
        <w:rPr>
          <w:rFonts w:ascii="Arial" w:eastAsia="Arial" w:hAnsi="Arial" w:cs="Arial"/>
          <w:b/>
          <w:bCs/>
          <w:kern w:val="0"/>
          <w:sz w:val="24"/>
          <w:szCs w:val="24"/>
          <w:lang w:val="en-GB"/>
          <w14:ligatures w14:val="none"/>
        </w:rPr>
      </w:pPr>
      <w:bookmarkStart w:id="57" w:name="_Toc236870721"/>
      <w:r w:rsidRPr="00900123">
        <w:rPr>
          <w:rFonts w:ascii="Arial" w:eastAsia="Arial" w:hAnsi="Arial" w:cs="Arial"/>
          <w:b/>
          <w:bCs/>
          <w:kern w:val="0"/>
          <w:sz w:val="24"/>
          <w:szCs w:val="24"/>
          <w:lang w:val="en-GB"/>
          <w14:ligatures w14:val="none"/>
        </w:rPr>
        <w:lastRenderedPageBreak/>
        <w:t>Reference</w:t>
      </w:r>
      <w:r w:rsidR="00DE3F02" w:rsidRPr="00900123">
        <w:rPr>
          <w:rFonts w:ascii="Arial" w:eastAsia="Arial" w:hAnsi="Arial" w:cs="Arial"/>
          <w:b/>
          <w:bCs/>
          <w:kern w:val="0"/>
          <w:sz w:val="24"/>
          <w:szCs w:val="24"/>
          <w:lang w:val="en-GB"/>
          <w14:ligatures w14:val="none"/>
        </w:rPr>
        <w:t>s</w:t>
      </w:r>
      <w:bookmarkEnd w:id="57"/>
    </w:p>
    <w:p w14:paraId="5C4B770B" w14:textId="2BC9CC48"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Age UK. (2026). </w:t>
      </w:r>
      <w:r w:rsidR="009B7FC5" w:rsidRPr="00900123">
        <w:rPr>
          <w:rFonts w:ascii="Arial" w:eastAsia="Arial" w:hAnsi="Arial" w:cs="Arial"/>
          <w:i/>
          <w:iCs/>
          <w:kern w:val="0"/>
          <w:lang w:val="en-GB"/>
          <w14:ligatures w14:val="none"/>
        </w:rPr>
        <w:t>AGE UK: Our S</w:t>
      </w:r>
      <w:r w:rsidRPr="00900123">
        <w:rPr>
          <w:rFonts w:ascii="Arial" w:eastAsia="Arial" w:hAnsi="Arial" w:cs="Arial"/>
          <w:i/>
          <w:iCs/>
          <w:kern w:val="0"/>
          <w:lang w:val="en-GB"/>
          <w14:ligatures w14:val="none"/>
        </w:rPr>
        <w:t>ervices</w:t>
      </w:r>
      <w:r w:rsidRPr="00900123">
        <w:rPr>
          <w:rFonts w:ascii="Arial" w:eastAsia="Arial" w:hAnsi="Arial" w:cs="Arial"/>
          <w:kern w:val="0"/>
          <w:lang w:val="en-GB"/>
          <w14:ligatures w14:val="none"/>
        </w:rPr>
        <w:t xml:space="preserve">. Available: </w:t>
      </w:r>
      <w:hyperlink r:id="rId10" w:history="1">
        <w:r w:rsidRPr="00900123">
          <w:rPr>
            <w:rFonts w:ascii="Arial" w:eastAsia="Arial" w:hAnsi="Arial" w:cs="Arial"/>
            <w:color w:val="0000FF"/>
            <w:kern w:val="0"/>
            <w:u w:val="single"/>
            <w:lang w:val="en-GB"/>
            <w14:ligatures w14:val="none"/>
          </w:rPr>
          <w:t>https://www.ageuk.org.uk/services/</w:t>
        </w:r>
      </w:hyperlink>
      <w:r w:rsidRPr="00900123">
        <w:rPr>
          <w:rFonts w:ascii="Arial" w:eastAsia="Arial" w:hAnsi="Arial" w:cs="Arial"/>
          <w:kern w:val="0"/>
          <w:lang w:val="en-GB"/>
          <w14:ligatures w14:val="none"/>
        </w:rPr>
        <w:t xml:space="preserve"> [Accessed: 5.8.2026]</w:t>
      </w:r>
    </w:p>
    <w:p w14:paraId="5622BE48"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Azevedo, L. V. D. S., </w:t>
      </w:r>
      <w:proofErr w:type="spellStart"/>
      <w:r w:rsidRPr="00900123">
        <w:rPr>
          <w:rFonts w:ascii="Arial" w:eastAsia="Arial" w:hAnsi="Arial" w:cs="Arial"/>
          <w:kern w:val="0"/>
          <w:lang w:val="en-GB"/>
          <w14:ligatures w14:val="none"/>
        </w:rPr>
        <w:t>Calandri</w:t>
      </w:r>
      <w:proofErr w:type="spellEnd"/>
      <w:r w:rsidRPr="00900123">
        <w:rPr>
          <w:rFonts w:ascii="Arial" w:eastAsia="Arial" w:hAnsi="Arial" w:cs="Arial"/>
          <w:kern w:val="0"/>
          <w:lang w:val="en-GB"/>
          <w14:ligatures w14:val="none"/>
        </w:rPr>
        <w:t xml:space="preserve">, I. L., </w:t>
      </w:r>
      <w:proofErr w:type="spellStart"/>
      <w:r w:rsidRPr="00900123">
        <w:rPr>
          <w:rFonts w:ascii="Arial" w:eastAsia="Arial" w:hAnsi="Arial" w:cs="Arial"/>
          <w:kern w:val="0"/>
          <w:lang w:val="en-GB"/>
          <w14:ligatures w14:val="none"/>
        </w:rPr>
        <w:t>Slachevsky</w:t>
      </w:r>
      <w:proofErr w:type="spellEnd"/>
      <w:r w:rsidRPr="00900123">
        <w:rPr>
          <w:rFonts w:ascii="Arial" w:eastAsia="Arial" w:hAnsi="Arial" w:cs="Arial"/>
          <w:kern w:val="0"/>
          <w:lang w:val="en-GB"/>
          <w14:ligatures w14:val="none"/>
        </w:rPr>
        <w:t xml:space="preserve">, A., </w:t>
      </w:r>
      <w:proofErr w:type="spellStart"/>
      <w:r w:rsidRPr="00900123">
        <w:rPr>
          <w:rFonts w:ascii="Arial" w:eastAsia="Arial" w:hAnsi="Arial" w:cs="Arial"/>
          <w:kern w:val="0"/>
          <w:lang w:val="en-GB"/>
          <w14:ligatures w14:val="none"/>
        </w:rPr>
        <w:t>Graviotto</w:t>
      </w:r>
      <w:proofErr w:type="spellEnd"/>
      <w:r w:rsidRPr="00900123">
        <w:rPr>
          <w:rFonts w:ascii="Arial" w:eastAsia="Arial" w:hAnsi="Arial" w:cs="Arial"/>
          <w:kern w:val="0"/>
          <w:lang w:val="en-GB"/>
          <w14:ligatures w14:val="none"/>
        </w:rPr>
        <w:t xml:space="preserve">, H. G., Vieira, M. C. S., Andrade, C. B. D., </w:t>
      </w:r>
      <w:proofErr w:type="spellStart"/>
      <w:r w:rsidRPr="00900123">
        <w:rPr>
          <w:rFonts w:ascii="Arial" w:eastAsia="Arial" w:hAnsi="Arial" w:cs="Arial"/>
          <w:kern w:val="0"/>
          <w:lang w:val="en-GB"/>
          <w14:ligatures w14:val="none"/>
        </w:rPr>
        <w:t>Rossettih</w:t>
      </w:r>
      <w:proofErr w:type="spellEnd"/>
      <w:r w:rsidRPr="00900123">
        <w:rPr>
          <w:rFonts w:ascii="Arial" w:eastAsia="Arial" w:hAnsi="Arial" w:cs="Arial"/>
          <w:kern w:val="0"/>
          <w:lang w:val="en-GB"/>
          <w14:ligatures w14:val="none"/>
        </w:rPr>
        <w:t xml:space="preserve">. A. P. </w:t>
      </w:r>
      <w:proofErr w:type="spellStart"/>
      <w:r w:rsidRPr="00900123">
        <w:rPr>
          <w:rFonts w:ascii="Arial" w:eastAsia="Arial" w:hAnsi="Arial" w:cs="Arial"/>
          <w:kern w:val="0"/>
          <w:lang w:val="en-GB"/>
          <w14:ligatures w14:val="none"/>
        </w:rPr>
        <w:t>Generosoi</w:t>
      </w:r>
      <w:proofErr w:type="spellEnd"/>
      <w:r w:rsidRPr="00900123">
        <w:rPr>
          <w:rFonts w:ascii="Arial" w:eastAsia="Arial" w:hAnsi="Arial" w:cs="Arial"/>
          <w:kern w:val="0"/>
          <w:lang w:val="en-GB"/>
          <w14:ligatures w14:val="none"/>
        </w:rPr>
        <w:t xml:space="preserve">. A. B. </w:t>
      </w:r>
      <w:proofErr w:type="spellStart"/>
      <w:r w:rsidRPr="00900123">
        <w:rPr>
          <w:rFonts w:ascii="Arial" w:eastAsia="Arial" w:hAnsi="Arial" w:cs="Arial"/>
          <w:kern w:val="0"/>
          <w:lang w:val="en-GB"/>
          <w14:ligatures w14:val="none"/>
        </w:rPr>
        <w:t>Carmonaa</w:t>
      </w:r>
      <w:proofErr w:type="spellEnd"/>
      <w:r w:rsidRPr="00900123">
        <w:rPr>
          <w:rFonts w:ascii="Arial" w:eastAsia="Arial" w:hAnsi="Arial" w:cs="Arial"/>
          <w:kern w:val="0"/>
          <w:lang w:val="en-GB"/>
          <w14:ligatures w14:val="none"/>
        </w:rPr>
        <w:t xml:space="preserve">. K. C. </w:t>
      </w:r>
      <w:proofErr w:type="spellStart"/>
      <w:r w:rsidRPr="00900123">
        <w:rPr>
          <w:rFonts w:ascii="Arial" w:eastAsia="Arial" w:hAnsi="Arial" w:cs="Arial"/>
          <w:kern w:val="0"/>
          <w:lang w:val="en-GB"/>
          <w14:ligatures w14:val="none"/>
        </w:rPr>
        <w:t>Pintoa</w:t>
      </w:r>
      <w:proofErr w:type="spellEnd"/>
      <w:r w:rsidRPr="00900123">
        <w:rPr>
          <w:rFonts w:ascii="Arial" w:eastAsia="Arial" w:hAnsi="Arial" w:cs="Arial"/>
          <w:kern w:val="0"/>
          <w:lang w:val="en-GB"/>
          <w14:ligatures w14:val="none"/>
        </w:rPr>
        <w:t xml:space="preserve">. L A. C. </w:t>
      </w:r>
      <w:proofErr w:type="spellStart"/>
      <w:r w:rsidRPr="00900123">
        <w:rPr>
          <w:rFonts w:ascii="Arial" w:eastAsia="Arial" w:hAnsi="Arial" w:cs="Arial"/>
          <w:kern w:val="0"/>
          <w:lang w:val="en-GB"/>
          <w14:ligatures w14:val="none"/>
        </w:rPr>
        <w:t>Sorbarag</w:t>
      </w:r>
      <w:proofErr w:type="spellEnd"/>
      <w:r w:rsidRPr="00900123">
        <w:rPr>
          <w:rFonts w:ascii="Arial" w:eastAsia="Arial" w:hAnsi="Arial" w:cs="Arial"/>
          <w:kern w:val="0"/>
          <w:lang w:val="en-GB"/>
          <w14:ligatures w14:val="none"/>
        </w:rPr>
        <w:t xml:space="preserve">. M. </w:t>
      </w:r>
      <w:proofErr w:type="spellStart"/>
      <w:r w:rsidRPr="00900123">
        <w:rPr>
          <w:rFonts w:ascii="Arial" w:eastAsia="Arial" w:hAnsi="Arial" w:cs="Arial"/>
          <w:kern w:val="0"/>
          <w:lang w:val="en-GB"/>
          <w14:ligatures w14:val="none"/>
        </w:rPr>
        <w:t>Pintod</w:t>
      </w:r>
      <w:proofErr w:type="spellEnd"/>
      <w:r w:rsidRPr="00900123">
        <w:rPr>
          <w:rFonts w:ascii="Arial" w:eastAsia="Arial" w:hAnsi="Arial" w:cs="Arial"/>
          <w:kern w:val="0"/>
          <w:lang w:val="en-GB"/>
          <w14:ligatures w14:val="none"/>
        </w:rPr>
        <w:t xml:space="preserve">. A. </w:t>
      </w:r>
      <w:proofErr w:type="spellStart"/>
      <w:r w:rsidRPr="00900123">
        <w:rPr>
          <w:rFonts w:ascii="Arial" w:eastAsia="Arial" w:hAnsi="Arial" w:cs="Arial"/>
          <w:kern w:val="0"/>
          <w:lang w:val="en-GB"/>
          <w14:ligatures w14:val="none"/>
        </w:rPr>
        <w:t>Guajardod</w:t>
      </w:r>
      <w:proofErr w:type="spellEnd"/>
      <w:r w:rsidRPr="00900123">
        <w:rPr>
          <w:rFonts w:ascii="Arial" w:eastAsia="Arial" w:hAnsi="Arial" w:cs="Arial"/>
          <w:kern w:val="0"/>
          <w:lang w:val="en-GB"/>
          <w14:ligatures w14:val="none"/>
        </w:rPr>
        <w:t xml:space="preserve">. T. </w:t>
      </w:r>
      <w:proofErr w:type="spellStart"/>
      <w:r w:rsidRPr="00900123">
        <w:rPr>
          <w:rFonts w:ascii="Arial" w:eastAsia="Arial" w:hAnsi="Arial" w:cs="Arial"/>
          <w:kern w:val="0"/>
          <w:lang w:val="en-GB"/>
          <w14:ligatures w14:val="none"/>
        </w:rPr>
        <w:t>Olavarriad</w:t>
      </w:r>
      <w:proofErr w:type="spellEnd"/>
      <w:r w:rsidRPr="00900123">
        <w:rPr>
          <w:rFonts w:ascii="Arial" w:eastAsia="Arial" w:hAnsi="Arial" w:cs="Arial"/>
          <w:kern w:val="0"/>
          <w:lang w:val="en-GB"/>
          <w14:ligatures w14:val="none"/>
        </w:rPr>
        <w:t xml:space="preserve">. L. </w:t>
      </w:r>
      <w:proofErr w:type="spellStart"/>
      <w:r w:rsidRPr="00900123">
        <w:rPr>
          <w:rFonts w:ascii="Arial" w:eastAsia="Arial" w:hAnsi="Arial" w:cs="Arial"/>
          <w:kern w:val="0"/>
          <w:lang w:val="en-GB"/>
          <w14:ligatures w14:val="none"/>
        </w:rPr>
        <w:t>Thumalac</w:t>
      </w:r>
      <w:proofErr w:type="spellEnd"/>
      <w:r w:rsidRPr="00900123">
        <w:rPr>
          <w:rFonts w:ascii="Arial" w:eastAsia="Arial" w:hAnsi="Arial" w:cs="Arial"/>
          <w:kern w:val="0"/>
          <w:lang w:val="en-GB"/>
          <w14:ligatures w14:val="none"/>
        </w:rPr>
        <w:t xml:space="preserve">. D. </w:t>
      </w:r>
      <w:proofErr w:type="spellStart"/>
      <w:r w:rsidRPr="00900123">
        <w:rPr>
          <w:rFonts w:ascii="Arial" w:eastAsia="Arial" w:hAnsi="Arial" w:cs="Arial"/>
          <w:kern w:val="0"/>
          <w:lang w:val="en-GB"/>
          <w14:ligatures w14:val="none"/>
        </w:rPr>
        <w:t>Crivellib</w:t>
      </w:r>
      <w:proofErr w:type="spellEnd"/>
      <w:r w:rsidRPr="00900123">
        <w:rPr>
          <w:rFonts w:ascii="Arial" w:eastAsia="Arial" w:hAnsi="Arial" w:cs="Arial"/>
          <w:kern w:val="0"/>
          <w:lang w:val="en-GB"/>
          <w14:ligatures w14:val="none"/>
        </w:rPr>
        <w:t xml:space="preserve">. L. </w:t>
      </w:r>
      <w:proofErr w:type="spellStart"/>
      <w:r w:rsidRPr="00900123">
        <w:rPr>
          <w:rFonts w:ascii="Arial" w:eastAsia="Arial" w:hAnsi="Arial" w:cs="Arial"/>
          <w:kern w:val="0"/>
          <w:lang w:val="en-GB"/>
          <w14:ligatures w14:val="none"/>
        </w:rPr>
        <w:t>Vivasb</w:t>
      </w:r>
      <w:proofErr w:type="spellEnd"/>
      <w:r w:rsidRPr="00900123">
        <w:rPr>
          <w:rFonts w:ascii="Arial" w:eastAsia="Arial" w:hAnsi="Arial" w:cs="Arial"/>
          <w:kern w:val="0"/>
          <w:lang w:val="en-GB"/>
          <w14:ligatures w14:val="none"/>
        </w:rPr>
        <w:t xml:space="preserve">. L. </w:t>
      </w:r>
      <w:proofErr w:type="spellStart"/>
      <w:r w:rsidRPr="00900123">
        <w:rPr>
          <w:rFonts w:ascii="Arial" w:eastAsia="Arial" w:hAnsi="Arial" w:cs="Arial"/>
          <w:kern w:val="0"/>
          <w:lang w:val="en-GB"/>
          <w14:ligatures w14:val="none"/>
        </w:rPr>
        <w:t>Allegrib</w:t>
      </w:r>
      <w:proofErr w:type="spellEnd"/>
      <w:r w:rsidRPr="00900123">
        <w:rPr>
          <w:rFonts w:ascii="Arial" w:eastAsia="Arial" w:hAnsi="Arial" w:cs="Arial"/>
          <w:kern w:val="0"/>
          <w:lang w:val="en-GB"/>
          <w14:ligatures w14:val="none"/>
        </w:rPr>
        <w:t xml:space="preserve">. R. F. </w:t>
      </w:r>
      <w:proofErr w:type="spellStart"/>
      <w:r w:rsidRPr="00900123">
        <w:rPr>
          <w:rFonts w:ascii="Arial" w:eastAsia="Arial" w:hAnsi="Arial" w:cs="Arial"/>
          <w:kern w:val="0"/>
          <w:lang w:val="en-GB"/>
          <w14:ligatures w14:val="none"/>
        </w:rPr>
        <w:t>Barbosaa</w:t>
      </w:r>
      <w:proofErr w:type="spellEnd"/>
      <w:r w:rsidRPr="00900123">
        <w:rPr>
          <w:rFonts w:ascii="Arial" w:eastAsia="Arial" w:hAnsi="Arial" w:cs="Arial"/>
          <w:kern w:val="0"/>
          <w:lang w:val="en-GB"/>
          <w14:ligatures w14:val="none"/>
        </w:rPr>
        <w:t xml:space="preserve">. M. T. </w:t>
      </w:r>
      <w:proofErr w:type="spellStart"/>
      <w:r w:rsidRPr="00900123">
        <w:rPr>
          <w:rFonts w:ascii="Arial" w:eastAsia="Arial" w:hAnsi="Arial" w:cs="Arial"/>
          <w:kern w:val="0"/>
          <w:lang w:val="en-GB"/>
          <w14:ligatures w14:val="none"/>
        </w:rPr>
        <w:t>Serranog</w:t>
      </w:r>
      <w:proofErr w:type="spellEnd"/>
      <w:r w:rsidRPr="00900123">
        <w:rPr>
          <w:rFonts w:ascii="Arial" w:eastAsia="Arial" w:hAnsi="Arial" w:cs="Arial"/>
          <w:kern w:val="0"/>
          <w:lang w:val="en-GB"/>
          <w14:ligatures w14:val="none"/>
        </w:rPr>
        <w:t xml:space="preserve">. C. M. </w:t>
      </w:r>
      <w:proofErr w:type="spellStart"/>
      <w:r w:rsidRPr="00900123">
        <w:rPr>
          <w:rFonts w:ascii="Arial" w:eastAsia="Arial" w:hAnsi="Arial" w:cs="Arial"/>
          <w:kern w:val="0"/>
          <w:lang w:val="en-GB"/>
          <w14:ligatures w14:val="none"/>
        </w:rPr>
        <w:t>Castillok</w:t>
      </w:r>
      <w:proofErr w:type="spellEnd"/>
      <w:r w:rsidRPr="00900123">
        <w:rPr>
          <w:rFonts w:ascii="Arial" w:eastAsia="Arial" w:hAnsi="Arial" w:cs="Arial"/>
          <w:kern w:val="0"/>
          <w:lang w:val="en-GB"/>
          <w14:ligatures w14:val="none"/>
        </w:rPr>
        <w:t xml:space="preserve">. C. M. and Caramelli, P. (2021). Impact of social isolation on people with dementia and their family caregivers. </w:t>
      </w:r>
      <w:r w:rsidRPr="00900123">
        <w:rPr>
          <w:rFonts w:ascii="Arial" w:eastAsia="Arial" w:hAnsi="Arial" w:cs="Arial"/>
          <w:i/>
          <w:iCs/>
          <w:kern w:val="0"/>
          <w:lang w:val="en-GB"/>
          <w14:ligatures w14:val="none"/>
        </w:rPr>
        <w:t>Journal of Alzheimer’s Disease</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81</w:t>
      </w:r>
      <w:r w:rsidRPr="00900123">
        <w:rPr>
          <w:rFonts w:ascii="Arial" w:eastAsia="Arial" w:hAnsi="Arial" w:cs="Arial"/>
          <w:kern w:val="0"/>
          <w:lang w:val="en-GB"/>
          <w14:ligatures w14:val="none"/>
        </w:rPr>
        <w:t>(2), 607-617. </w:t>
      </w:r>
    </w:p>
    <w:p w14:paraId="0DEAAF78"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proofErr w:type="spellStart"/>
      <w:r w:rsidRPr="00900123">
        <w:rPr>
          <w:rFonts w:ascii="Arial" w:eastAsia="Arial" w:hAnsi="Arial" w:cs="Arial"/>
          <w:kern w:val="0"/>
          <w:lang w:val="en-GB"/>
          <w14:ligatures w14:val="none"/>
        </w:rPr>
        <w:t>Błaszczyk</w:t>
      </w:r>
      <w:proofErr w:type="spellEnd"/>
      <w:r w:rsidRPr="00900123">
        <w:rPr>
          <w:rFonts w:ascii="Arial" w:eastAsia="Arial" w:hAnsi="Arial" w:cs="Arial"/>
          <w:kern w:val="0"/>
          <w:lang w:val="en-GB"/>
          <w14:ligatures w14:val="none"/>
        </w:rPr>
        <w:t xml:space="preserve">, J. W. (2022). Pathogenesis of dementia. </w:t>
      </w:r>
      <w:r w:rsidRPr="00900123">
        <w:rPr>
          <w:rFonts w:ascii="Arial" w:eastAsia="Arial" w:hAnsi="Arial" w:cs="Arial"/>
          <w:i/>
          <w:iCs/>
          <w:kern w:val="0"/>
          <w:lang w:val="en-GB"/>
          <w14:ligatures w14:val="none"/>
        </w:rPr>
        <w:t>International Journal of Molecular Sciences</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24</w:t>
      </w:r>
      <w:r w:rsidRPr="00900123">
        <w:rPr>
          <w:rFonts w:ascii="Arial" w:eastAsia="Arial" w:hAnsi="Arial" w:cs="Arial"/>
          <w:kern w:val="0"/>
          <w:lang w:val="en-GB"/>
          <w14:ligatures w14:val="none"/>
        </w:rPr>
        <w:t>(1), 543. </w:t>
      </w:r>
    </w:p>
    <w:p w14:paraId="7F5A43DD"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Cafferata, R. M., Hicks, B., and von Bastian, C. C. (2021). Effectiveness of cognitive stimulation for dementia: A systematic review and meta-analysis. </w:t>
      </w:r>
      <w:r w:rsidRPr="00900123">
        <w:rPr>
          <w:rFonts w:ascii="Arial" w:eastAsia="Arial" w:hAnsi="Arial" w:cs="Arial"/>
          <w:i/>
          <w:iCs/>
          <w:kern w:val="0"/>
          <w:lang w:val="en-GB"/>
          <w14:ligatures w14:val="none"/>
        </w:rPr>
        <w:t>Psychological bulletin</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147</w:t>
      </w:r>
      <w:r w:rsidRPr="00900123">
        <w:rPr>
          <w:rFonts w:ascii="Arial" w:eastAsia="Arial" w:hAnsi="Arial" w:cs="Arial"/>
          <w:kern w:val="0"/>
          <w:lang w:val="en-GB"/>
          <w14:ligatures w14:val="none"/>
        </w:rPr>
        <w:t>(5), 455.</w:t>
      </w:r>
    </w:p>
    <w:p w14:paraId="44EA7B1B"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Goto, Y., Morita, K., Suematsu, M., Imaizumi, T., and Suzuki, Y. (2023). Caregiver burdens, health risks, coping and interventions among caregivers of dementia patients: a review of the literature. </w:t>
      </w:r>
      <w:r w:rsidRPr="00900123">
        <w:rPr>
          <w:rFonts w:ascii="Arial" w:eastAsia="Arial" w:hAnsi="Arial" w:cs="Arial"/>
          <w:i/>
          <w:iCs/>
          <w:kern w:val="0"/>
          <w:lang w:val="en-GB"/>
          <w14:ligatures w14:val="none"/>
        </w:rPr>
        <w:t>Internal Medicine</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62</w:t>
      </w:r>
      <w:r w:rsidRPr="00900123">
        <w:rPr>
          <w:rFonts w:ascii="Arial" w:eastAsia="Arial" w:hAnsi="Arial" w:cs="Arial"/>
          <w:kern w:val="0"/>
          <w:lang w:val="en-GB"/>
          <w14:ligatures w14:val="none"/>
        </w:rPr>
        <w:t>(22), 3277-3282.</w:t>
      </w:r>
    </w:p>
    <w:p w14:paraId="7281A488"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Kaiser, Z. A., </w:t>
      </w:r>
      <w:proofErr w:type="spellStart"/>
      <w:r w:rsidRPr="00900123">
        <w:rPr>
          <w:rFonts w:ascii="Arial" w:eastAsia="Arial" w:hAnsi="Arial" w:cs="Arial"/>
          <w:kern w:val="0"/>
          <w:lang w:val="en-GB"/>
          <w14:ligatures w14:val="none"/>
        </w:rPr>
        <w:t>Sakil</w:t>
      </w:r>
      <w:proofErr w:type="spellEnd"/>
      <w:r w:rsidRPr="00900123">
        <w:rPr>
          <w:rFonts w:ascii="Arial" w:eastAsia="Arial" w:hAnsi="Arial" w:cs="Arial"/>
          <w:kern w:val="0"/>
          <w:lang w:val="en-GB"/>
          <w14:ligatures w14:val="none"/>
        </w:rPr>
        <w:t xml:space="preserve">, A. H., and Akter, F. (2024). Urban poverty: causes, current trends, consequences, and pathways to sustainable solutions. In </w:t>
      </w:r>
      <w:r w:rsidRPr="00900123">
        <w:rPr>
          <w:rFonts w:ascii="Arial" w:eastAsia="Arial" w:hAnsi="Arial" w:cs="Arial"/>
          <w:i/>
          <w:iCs/>
          <w:kern w:val="0"/>
          <w:lang w:val="en-GB"/>
          <w14:ligatures w14:val="none"/>
        </w:rPr>
        <w:t>The Palgrave handbook of global social problems</w:t>
      </w:r>
      <w:r w:rsidRPr="00900123">
        <w:rPr>
          <w:rFonts w:ascii="Arial" w:eastAsia="Arial" w:hAnsi="Arial" w:cs="Arial"/>
          <w:kern w:val="0"/>
          <w:lang w:val="en-GB"/>
          <w14:ligatures w14:val="none"/>
        </w:rPr>
        <w:t xml:space="preserve"> (pp. 1-17). Cham: Springer International Publishing. </w:t>
      </w:r>
    </w:p>
    <w:p w14:paraId="7291DA8F"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proofErr w:type="spellStart"/>
      <w:r w:rsidRPr="00900123">
        <w:rPr>
          <w:rFonts w:ascii="Arial" w:eastAsia="Arial" w:hAnsi="Arial" w:cs="Arial"/>
          <w:kern w:val="0"/>
          <w:lang w:val="en-GB"/>
          <w14:ligatures w14:val="none"/>
        </w:rPr>
        <w:t>Lawongsa</w:t>
      </w:r>
      <w:proofErr w:type="spellEnd"/>
      <w:r w:rsidRPr="00900123">
        <w:rPr>
          <w:rFonts w:ascii="Arial" w:eastAsia="Arial" w:hAnsi="Arial" w:cs="Arial"/>
          <w:kern w:val="0"/>
          <w:lang w:val="en-GB"/>
          <w14:ligatures w14:val="none"/>
        </w:rPr>
        <w:t xml:space="preserve">, K., and </w:t>
      </w:r>
      <w:proofErr w:type="spellStart"/>
      <w:r w:rsidRPr="00900123">
        <w:rPr>
          <w:rFonts w:ascii="Arial" w:eastAsia="Arial" w:hAnsi="Arial" w:cs="Arial"/>
          <w:kern w:val="0"/>
          <w:lang w:val="en-GB"/>
          <w14:ligatures w14:val="none"/>
        </w:rPr>
        <w:t>Kumjan</w:t>
      </w:r>
      <w:proofErr w:type="spellEnd"/>
      <w:r w:rsidRPr="00900123">
        <w:rPr>
          <w:rFonts w:ascii="Arial" w:eastAsia="Arial" w:hAnsi="Arial" w:cs="Arial"/>
          <w:kern w:val="0"/>
          <w:lang w:val="en-GB"/>
          <w14:ligatures w14:val="none"/>
        </w:rPr>
        <w:t xml:space="preserve">, S. (2025). Prevalence and determinants of dementia among older adults attending outpatient clinics in a tertiary care hospital in Thailand: A secondary data analysis. </w:t>
      </w:r>
      <w:r w:rsidRPr="00900123">
        <w:rPr>
          <w:rFonts w:ascii="Arial" w:eastAsia="Arial" w:hAnsi="Arial" w:cs="Arial"/>
          <w:i/>
          <w:iCs/>
          <w:kern w:val="0"/>
          <w:lang w:val="en-GB"/>
          <w14:ligatures w14:val="none"/>
        </w:rPr>
        <w:t>Cureus</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17</w:t>
      </w:r>
      <w:r w:rsidRPr="00900123">
        <w:rPr>
          <w:rFonts w:ascii="Arial" w:eastAsia="Arial" w:hAnsi="Arial" w:cs="Arial"/>
          <w:kern w:val="0"/>
          <w:lang w:val="en-GB"/>
          <w14:ligatures w14:val="none"/>
        </w:rPr>
        <w:t>(9). </w:t>
      </w:r>
    </w:p>
    <w:p w14:paraId="607A822E"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Low, A., Prats-Sedano, M. A., McKiernan, E., Carter, S. F., Stefaniak, J. D., </w:t>
      </w:r>
      <w:proofErr w:type="spellStart"/>
      <w:r w:rsidRPr="00900123">
        <w:rPr>
          <w:rFonts w:ascii="Arial" w:eastAsia="Arial" w:hAnsi="Arial" w:cs="Arial"/>
          <w:kern w:val="0"/>
          <w:lang w:val="en-GB"/>
          <w14:ligatures w14:val="none"/>
        </w:rPr>
        <w:t>Nannoni</w:t>
      </w:r>
      <w:proofErr w:type="spellEnd"/>
      <w:r w:rsidRPr="00900123">
        <w:rPr>
          <w:rFonts w:ascii="Arial" w:eastAsia="Arial" w:hAnsi="Arial" w:cs="Arial"/>
          <w:kern w:val="0"/>
          <w:lang w:val="en-GB"/>
          <w14:ligatures w14:val="none"/>
        </w:rPr>
        <w:t xml:space="preserve">, S., Su. L. </w:t>
      </w:r>
      <w:proofErr w:type="spellStart"/>
      <w:r w:rsidRPr="00900123">
        <w:rPr>
          <w:rFonts w:ascii="Arial" w:eastAsia="Arial" w:hAnsi="Arial" w:cs="Arial"/>
          <w:kern w:val="0"/>
          <w:lang w:val="en-GB"/>
          <w14:ligatures w14:val="none"/>
        </w:rPr>
        <w:t>Dounavi</w:t>
      </w:r>
      <w:proofErr w:type="spellEnd"/>
      <w:r w:rsidRPr="00900123">
        <w:rPr>
          <w:rFonts w:ascii="Arial" w:eastAsia="Arial" w:hAnsi="Arial" w:cs="Arial"/>
          <w:kern w:val="0"/>
          <w:lang w:val="en-GB"/>
          <w14:ligatures w14:val="none"/>
        </w:rPr>
        <w:t>. M. E. Muniz</w:t>
      </w:r>
      <w:r w:rsidRPr="00900123">
        <w:rPr>
          <w:rFonts w:ascii="Arial" w:eastAsia="Arial" w:hAnsi="Arial" w:cs="Arial"/>
          <w:kern w:val="0"/>
          <w:lang w:val="en-GB"/>
          <w14:ligatures w14:val="none"/>
        </w:rPr>
        <w:noBreakHyphen/>
      </w:r>
      <w:proofErr w:type="spellStart"/>
      <w:r w:rsidRPr="00900123">
        <w:rPr>
          <w:rFonts w:ascii="Arial" w:eastAsia="Arial" w:hAnsi="Arial" w:cs="Arial"/>
          <w:kern w:val="0"/>
          <w:lang w:val="en-GB"/>
          <w14:ligatures w14:val="none"/>
        </w:rPr>
        <w:t>Terrera</w:t>
      </w:r>
      <w:proofErr w:type="spellEnd"/>
      <w:r w:rsidRPr="00900123">
        <w:rPr>
          <w:rFonts w:ascii="Arial" w:eastAsia="Arial" w:hAnsi="Arial" w:cs="Arial"/>
          <w:kern w:val="0"/>
          <w:lang w:val="en-GB"/>
          <w14:ligatures w14:val="none"/>
        </w:rPr>
        <w:t xml:space="preserve">. G. Ritchie. K. Lawlor. B. Naci. L. Malhotra. P. Mackay. C. Koychev. I. Ritchie. C. W. Markus. H. S. and O’Brien, J. T. (2022). Modifiable and non-modifiable risk factors of dementia on midlife cerebral small vessel disease in cognitively healthy middle-aged adults: the PREVENT-Dementia study. </w:t>
      </w:r>
      <w:r w:rsidRPr="00900123">
        <w:rPr>
          <w:rFonts w:ascii="Arial" w:eastAsia="Arial" w:hAnsi="Arial" w:cs="Arial"/>
          <w:i/>
          <w:iCs/>
          <w:kern w:val="0"/>
          <w:lang w:val="en-GB"/>
          <w14:ligatures w14:val="none"/>
        </w:rPr>
        <w:t>Alzheimer's research &amp; therapy</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14</w:t>
      </w:r>
      <w:r w:rsidRPr="00900123">
        <w:rPr>
          <w:rFonts w:ascii="Arial" w:eastAsia="Arial" w:hAnsi="Arial" w:cs="Arial"/>
          <w:kern w:val="0"/>
          <w:lang w:val="en-GB"/>
          <w14:ligatures w14:val="none"/>
        </w:rPr>
        <w:t>(1), 154. </w:t>
      </w:r>
    </w:p>
    <w:p w14:paraId="56E0FDA5"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(2025a). </w:t>
      </w:r>
      <w:r w:rsidRPr="00900123">
        <w:rPr>
          <w:rFonts w:ascii="Arial" w:eastAsia="Arial" w:hAnsi="Arial" w:cs="Arial"/>
          <w:i/>
          <w:iCs/>
          <w:kern w:val="0"/>
          <w:lang w:val="en-GB"/>
          <w14:ligatures w14:val="none"/>
        </w:rPr>
        <w:t>Cardiovascular disease prevalence, trends, risk factors, and 10-year projections</w:t>
      </w:r>
      <w:r w:rsidRPr="00900123">
        <w:rPr>
          <w:rFonts w:ascii="Arial" w:eastAsia="Arial" w:hAnsi="Arial" w:cs="Arial"/>
          <w:kern w:val="0"/>
          <w:lang w:val="en-GB"/>
          <w14:ligatures w14:val="none"/>
        </w:rPr>
        <w:t xml:space="preserve">. Available: </w:t>
      </w:r>
      <w:hyperlink r:id="rId11" w:history="1">
        <w:r w:rsidRPr="00900123">
          <w:rPr>
            <w:rFonts w:ascii="Arial" w:eastAsia="Arial" w:hAnsi="Arial" w:cs="Arial"/>
            <w:color w:val="0000FF"/>
            <w:kern w:val="0"/>
            <w:u w:val="single"/>
            <w:lang w:val="en-GB"/>
            <w14:ligatures w14:val="none"/>
          </w:rPr>
          <w:t>https://phw.nhs.wales/reports/cardiovascular-disease-prevalence-trends-risk-factors-and-10-year-projections/</w:t>
        </w:r>
      </w:hyperlink>
      <w:r w:rsidRPr="00900123">
        <w:rPr>
          <w:rFonts w:ascii="Arial" w:eastAsia="Arial" w:hAnsi="Arial" w:cs="Arial"/>
          <w:kern w:val="0"/>
          <w:lang w:val="en-GB"/>
          <w14:ligatures w14:val="none"/>
        </w:rPr>
        <w:t xml:space="preserve"> [Accessed: 5.8.2026]</w:t>
      </w:r>
    </w:p>
    <w:p w14:paraId="106F821B"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lastRenderedPageBreak/>
        <w:t xml:space="preserve">NHS. (2025b). </w:t>
      </w:r>
      <w:r w:rsidRPr="00900123">
        <w:rPr>
          <w:rFonts w:ascii="Arial" w:eastAsia="Arial" w:hAnsi="Arial" w:cs="Arial"/>
          <w:i/>
          <w:iCs/>
          <w:kern w:val="0"/>
          <w:lang w:val="en-GB"/>
          <w14:ligatures w14:val="none"/>
        </w:rPr>
        <w:t>Innovative home monitoring service aims to improve care for patients with dementia</w:t>
      </w:r>
      <w:r w:rsidRPr="00900123">
        <w:rPr>
          <w:rFonts w:ascii="Arial" w:eastAsia="Arial" w:hAnsi="Arial" w:cs="Arial"/>
          <w:kern w:val="0"/>
          <w:lang w:val="en-GB"/>
          <w14:ligatures w14:val="none"/>
        </w:rPr>
        <w:t xml:space="preserve">. Available: </w:t>
      </w:r>
      <w:hyperlink r:id="rId12" w:history="1">
        <w:r w:rsidRPr="00900123">
          <w:rPr>
            <w:rFonts w:ascii="Arial" w:eastAsia="Arial" w:hAnsi="Arial" w:cs="Arial"/>
            <w:color w:val="0000FF"/>
            <w:kern w:val="0"/>
            <w:u w:val="single"/>
            <w:lang w:val="en-GB"/>
            <w14:ligatures w14:val="none"/>
          </w:rPr>
          <w:t>https://www.imperial.nhs.uk/about-us/news/innovative-home-monitoring-service-aims-to-improve-care</w:t>
        </w:r>
      </w:hyperlink>
      <w:r w:rsidRPr="00900123">
        <w:rPr>
          <w:rFonts w:ascii="Arial" w:eastAsia="Arial" w:hAnsi="Arial" w:cs="Arial"/>
          <w:kern w:val="0"/>
          <w:lang w:val="en-GB"/>
          <w14:ligatures w14:val="none"/>
        </w:rPr>
        <w:t xml:space="preserve"> [Accessed: 5.8.2026]</w:t>
      </w:r>
    </w:p>
    <w:p w14:paraId="20DEED26"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(2026a). </w:t>
      </w:r>
      <w:r w:rsidRPr="00900123">
        <w:rPr>
          <w:rFonts w:ascii="Arial" w:eastAsia="Arial" w:hAnsi="Arial" w:cs="Arial"/>
          <w:i/>
          <w:iCs/>
          <w:kern w:val="0"/>
          <w:lang w:val="en-GB"/>
          <w14:ligatures w14:val="none"/>
        </w:rPr>
        <w:t>Dementia</w:t>
      </w:r>
      <w:r w:rsidRPr="00900123">
        <w:rPr>
          <w:rFonts w:ascii="Arial" w:eastAsia="Arial" w:hAnsi="Arial" w:cs="Arial"/>
          <w:kern w:val="0"/>
          <w:lang w:val="en-GB"/>
          <w14:ligatures w14:val="none"/>
        </w:rPr>
        <w:t xml:space="preserve">. Available: </w:t>
      </w:r>
      <w:hyperlink r:id="rId13" w:history="1">
        <w:r w:rsidRPr="00900123">
          <w:rPr>
            <w:rFonts w:ascii="Arial" w:eastAsia="Arial" w:hAnsi="Arial" w:cs="Arial"/>
            <w:color w:val="0000FF"/>
            <w:kern w:val="0"/>
            <w:u w:val="single"/>
            <w:lang w:val="en-GB"/>
            <w14:ligatures w14:val="none"/>
          </w:rPr>
          <w:t>https://www.england.nhs.uk/mental-health/dementia/</w:t>
        </w:r>
      </w:hyperlink>
      <w:r w:rsidRPr="00900123">
        <w:rPr>
          <w:rFonts w:ascii="Arial" w:eastAsia="Arial" w:hAnsi="Arial" w:cs="Arial"/>
          <w:kern w:val="0"/>
          <w:lang w:val="en-GB"/>
          <w14:ligatures w14:val="none"/>
        </w:rPr>
        <w:t xml:space="preserve"> [Accessed: 5.8.2026]</w:t>
      </w:r>
    </w:p>
    <w:p w14:paraId="233C8C25"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(2026b). </w:t>
      </w:r>
      <w:r w:rsidRPr="00900123">
        <w:rPr>
          <w:rFonts w:ascii="Arial" w:eastAsia="Arial" w:hAnsi="Arial" w:cs="Arial"/>
          <w:i/>
          <w:iCs/>
          <w:kern w:val="0"/>
          <w:lang w:val="en-GB"/>
          <w14:ligatures w14:val="none"/>
        </w:rPr>
        <w:t>Primary Care Dementia Data, June 2026</w:t>
      </w:r>
      <w:r w:rsidRPr="00900123">
        <w:rPr>
          <w:rFonts w:ascii="Arial" w:eastAsia="Arial" w:hAnsi="Arial" w:cs="Arial"/>
          <w:kern w:val="0"/>
          <w:lang w:val="en-GB"/>
          <w14:ligatures w14:val="none"/>
        </w:rPr>
        <w:t xml:space="preserve">. Available: </w:t>
      </w:r>
      <w:hyperlink r:id="rId14" w:history="1">
        <w:r w:rsidRPr="00900123">
          <w:rPr>
            <w:rFonts w:ascii="Arial" w:eastAsia="Arial" w:hAnsi="Arial" w:cs="Arial"/>
            <w:color w:val="0000FF"/>
            <w:kern w:val="0"/>
            <w:u w:val="single"/>
            <w:lang w:val="en-GB"/>
            <w14:ligatures w14:val="none"/>
          </w:rPr>
          <w:t>https://digital.nhs.uk/data-and-information/publications/statistical/primary-care-dementia-data/june-2026</w:t>
        </w:r>
      </w:hyperlink>
      <w:r w:rsidRPr="00900123">
        <w:rPr>
          <w:rFonts w:ascii="Arial" w:eastAsia="Arial" w:hAnsi="Arial" w:cs="Arial"/>
          <w:kern w:val="0"/>
          <w:lang w:val="en-GB"/>
          <w14:ligatures w14:val="none"/>
        </w:rPr>
        <w:t xml:space="preserve"> [Accessed: 5.8.2026]</w:t>
      </w:r>
    </w:p>
    <w:p w14:paraId="64D929E7"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NHS. (2026c</w:t>
      </w:r>
      <w:proofErr w:type="gramStart"/>
      <w:r w:rsidRPr="00900123">
        <w:rPr>
          <w:rFonts w:ascii="Arial" w:eastAsia="Arial" w:hAnsi="Arial" w:cs="Arial"/>
          <w:kern w:val="0"/>
          <w:lang w:val="en-GB"/>
          <w14:ligatures w14:val="none"/>
        </w:rPr>
        <w:t>) .</w:t>
      </w:r>
      <w:proofErr w:type="gramEnd"/>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The impacts of frailty and current policy</w:t>
      </w:r>
      <w:r w:rsidRPr="00900123">
        <w:rPr>
          <w:rFonts w:ascii="Arial" w:eastAsia="Arial" w:hAnsi="Arial" w:cs="Arial"/>
          <w:kern w:val="0"/>
          <w:lang w:val="en-GB"/>
          <w14:ligatures w14:val="none"/>
        </w:rPr>
        <w:t xml:space="preserve">. Available: </w:t>
      </w:r>
      <w:hyperlink r:id="rId15" w:history="1">
        <w:r w:rsidRPr="00900123">
          <w:rPr>
            <w:rFonts w:ascii="Arial" w:eastAsia="Arial" w:hAnsi="Arial" w:cs="Arial"/>
            <w:color w:val="0000FF"/>
            <w:kern w:val="0"/>
            <w:u w:val="single"/>
            <w:lang w:val="en-GB"/>
            <w14:ligatures w14:val="none"/>
          </w:rPr>
          <w:t>https://thenhsalliance.org/resources/supporting-people-living-with-frailty/the-impacts-of-frailty-and-current-policy</w:t>
        </w:r>
      </w:hyperlink>
      <w:r w:rsidRPr="00900123">
        <w:rPr>
          <w:rFonts w:ascii="Arial" w:eastAsia="Arial" w:hAnsi="Arial" w:cs="Arial"/>
          <w:kern w:val="0"/>
          <w:lang w:val="en-GB"/>
          <w14:ligatures w14:val="none"/>
        </w:rPr>
        <w:t xml:space="preserve"> [Accessed: 5.8.2026]</w:t>
      </w:r>
    </w:p>
    <w:p w14:paraId="7A29612D"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(2026d). </w:t>
      </w:r>
      <w:r w:rsidRPr="00900123">
        <w:rPr>
          <w:rFonts w:ascii="Arial" w:eastAsia="Arial" w:hAnsi="Arial" w:cs="Arial"/>
          <w:i/>
          <w:iCs/>
          <w:kern w:val="0"/>
          <w:lang w:val="en-GB"/>
          <w14:ligatures w14:val="none"/>
        </w:rPr>
        <w:t>Healthy ageing and caring</w:t>
      </w:r>
      <w:r w:rsidRPr="00900123">
        <w:rPr>
          <w:rFonts w:ascii="Arial" w:eastAsia="Arial" w:hAnsi="Arial" w:cs="Arial"/>
          <w:kern w:val="0"/>
          <w:lang w:val="en-GB"/>
          <w14:ligatures w14:val="none"/>
        </w:rPr>
        <w:t xml:space="preserve">. Available: </w:t>
      </w:r>
      <w:hyperlink r:id="rId16" w:history="1">
        <w:r w:rsidRPr="00900123">
          <w:rPr>
            <w:rFonts w:ascii="Arial" w:eastAsia="Arial" w:hAnsi="Arial" w:cs="Arial"/>
            <w:color w:val="0000FF"/>
            <w:kern w:val="0"/>
            <w:u w:val="single"/>
            <w:lang w:val="en-GB"/>
            <w14:ligatures w14:val="none"/>
          </w:rPr>
          <w:t>https://www.england.nhs.uk/ourwork/clinical-policy/older-people/healthy-ageing-caring/</w:t>
        </w:r>
      </w:hyperlink>
      <w:r w:rsidRPr="00900123">
        <w:rPr>
          <w:rFonts w:ascii="Arial" w:eastAsia="Arial" w:hAnsi="Arial" w:cs="Arial"/>
          <w:kern w:val="0"/>
          <w:lang w:val="en-GB"/>
          <w14:ligatures w14:val="none"/>
        </w:rPr>
        <w:t xml:space="preserve"> [Accessed: 5.8.2026]</w:t>
      </w:r>
    </w:p>
    <w:p w14:paraId="2081E885"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(2026e). </w:t>
      </w:r>
      <w:r w:rsidRPr="00900123">
        <w:rPr>
          <w:rFonts w:ascii="Arial" w:eastAsia="Arial" w:hAnsi="Arial" w:cs="Arial"/>
          <w:i/>
          <w:iCs/>
          <w:kern w:val="0"/>
          <w:lang w:val="en-GB"/>
          <w14:ligatures w14:val="none"/>
        </w:rPr>
        <w:t>Can dementia be prevented?</w:t>
      </w:r>
      <w:r w:rsidRPr="00900123">
        <w:rPr>
          <w:rFonts w:ascii="Arial" w:eastAsia="Arial" w:hAnsi="Arial" w:cs="Arial"/>
          <w:kern w:val="0"/>
          <w:lang w:val="en-GB"/>
          <w14:ligatures w14:val="none"/>
        </w:rPr>
        <w:t xml:space="preserve"> Available: </w:t>
      </w:r>
      <w:hyperlink r:id="rId17" w:history="1">
        <w:r w:rsidRPr="00900123">
          <w:rPr>
            <w:rFonts w:ascii="Arial" w:eastAsia="Arial" w:hAnsi="Arial" w:cs="Arial"/>
            <w:color w:val="0000FF"/>
            <w:kern w:val="0"/>
            <w:u w:val="single"/>
            <w:lang w:val="en-GB"/>
            <w14:ligatures w14:val="none"/>
          </w:rPr>
          <w:t>https://www.nhs.uk/conditions/dementia/about-dementia/prevention/</w:t>
        </w:r>
      </w:hyperlink>
      <w:r w:rsidRPr="00900123">
        <w:rPr>
          <w:rFonts w:ascii="Arial" w:eastAsia="Arial" w:hAnsi="Arial" w:cs="Arial"/>
          <w:kern w:val="0"/>
          <w:lang w:val="en-GB"/>
          <w14:ligatures w14:val="none"/>
        </w:rPr>
        <w:t xml:space="preserve"> [Accessed: 5.8.2026]</w:t>
      </w:r>
    </w:p>
    <w:p w14:paraId="32C202D2"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(2026f). </w:t>
      </w:r>
      <w:r w:rsidRPr="00900123">
        <w:rPr>
          <w:rFonts w:ascii="Arial" w:eastAsia="Arial" w:hAnsi="Arial" w:cs="Arial"/>
          <w:i/>
          <w:iCs/>
          <w:kern w:val="0"/>
          <w:lang w:val="en-GB"/>
          <w14:ligatures w14:val="none"/>
        </w:rPr>
        <w:t>Dementia, social services and the NHS</w:t>
      </w:r>
      <w:r w:rsidRPr="00900123">
        <w:rPr>
          <w:rFonts w:ascii="Arial" w:eastAsia="Arial" w:hAnsi="Arial" w:cs="Arial"/>
          <w:kern w:val="0"/>
          <w:lang w:val="en-GB"/>
          <w14:ligatures w14:val="none"/>
        </w:rPr>
        <w:t xml:space="preserve">. Available: </w:t>
      </w:r>
      <w:hyperlink r:id="rId18" w:history="1">
        <w:r w:rsidRPr="00900123">
          <w:rPr>
            <w:rFonts w:ascii="Arial" w:eastAsia="Arial" w:hAnsi="Arial" w:cs="Arial"/>
            <w:color w:val="0000FF"/>
            <w:kern w:val="0"/>
            <w:u w:val="single"/>
            <w:lang w:val="en-GB"/>
            <w14:ligatures w14:val="none"/>
          </w:rPr>
          <w:t>https://www.nhs.uk/conditions/dementia/care-and-support/social-services-and-the-nhs/</w:t>
        </w:r>
      </w:hyperlink>
      <w:r w:rsidRPr="00900123">
        <w:rPr>
          <w:rFonts w:ascii="Arial" w:eastAsia="Arial" w:hAnsi="Arial" w:cs="Arial"/>
          <w:kern w:val="0"/>
          <w:lang w:val="en-GB"/>
          <w14:ligatures w14:val="none"/>
        </w:rPr>
        <w:t xml:space="preserve"> [Accessed: 5.8.2026]</w:t>
      </w:r>
    </w:p>
    <w:p w14:paraId="57F2F739"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(2026g). </w:t>
      </w:r>
      <w:r w:rsidRPr="00900123">
        <w:rPr>
          <w:rFonts w:ascii="Arial" w:eastAsia="Arial" w:hAnsi="Arial" w:cs="Arial"/>
          <w:i/>
          <w:iCs/>
          <w:kern w:val="0"/>
          <w:lang w:val="en-GB"/>
          <w14:ligatures w14:val="none"/>
        </w:rPr>
        <w:t>Supporting people with dementia</w:t>
      </w:r>
      <w:r w:rsidRPr="00900123">
        <w:rPr>
          <w:rFonts w:ascii="Arial" w:eastAsia="Arial" w:hAnsi="Arial" w:cs="Arial"/>
          <w:kern w:val="0"/>
          <w:lang w:val="en-GB"/>
          <w14:ligatures w14:val="none"/>
        </w:rPr>
        <w:t xml:space="preserve">. Available: </w:t>
      </w:r>
      <w:hyperlink r:id="rId19" w:history="1">
        <w:r w:rsidRPr="00900123">
          <w:rPr>
            <w:rFonts w:ascii="Arial" w:eastAsia="Arial" w:hAnsi="Arial" w:cs="Arial"/>
            <w:color w:val="0000FF"/>
            <w:kern w:val="0"/>
            <w:u w:val="single"/>
            <w:lang w:val="en-GB"/>
            <w14:ligatures w14:val="none"/>
          </w:rPr>
          <w:t>https://www.england.nhs.uk/nursingmidwifery/shared-governance-through-collective-leadership/nursing-covid-19-catalogue-of-change/supporting-people-with-dementia/</w:t>
        </w:r>
      </w:hyperlink>
      <w:r w:rsidRPr="00900123">
        <w:rPr>
          <w:rFonts w:ascii="Arial" w:eastAsia="Arial" w:hAnsi="Arial" w:cs="Arial"/>
          <w:kern w:val="0"/>
          <w:lang w:val="en-GB"/>
          <w14:ligatures w14:val="none"/>
        </w:rPr>
        <w:t xml:space="preserve"> [Accessed: 5.8.2026]</w:t>
      </w:r>
    </w:p>
    <w:p w14:paraId="1F0323BF"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147B4">
        <w:rPr>
          <w:rFonts w:ascii="Arial" w:eastAsia="Arial" w:hAnsi="Arial" w:cs="Arial"/>
          <w:kern w:val="0"/>
          <w:lang w:val="pl-PL"/>
          <w14:ligatures w14:val="none"/>
        </w:rPr>
        <w:t xml:space="preserve">Oba, H., Kadoya, Y., Okamoto, H., Matsuoka, T., Abe, Y., Shibata, K., and Narumoto, J. (2021). </w:t>
      </w:r>
      <w:r w:rsidRPr="00900123">
        <w:rPr>
          <w:rFonts w:ascii="Arial" w:eastAsia="Arial" w:hAnsi="Arial" w:cs="Arial"/>
          <w:kern w:val="0"/>
          <w:lang w:val="en-GB"/>
          <w14:ligatures w14:val="none"/>
        </w:rPr>
        <w:t xml:space="preserve">The economic burden of dementia: evidence from a survey of households of people with dementia and their caregivers. </w:t>
      </w:r>
      <w:r w:rsidRPr="00900123">
        <w:rPr>
          <w:rFonts w:ascii="Arial" w:eastAsia="Arial" w:hAnsi="Arial" w:cs="Arial"/>
          <w:i/>
          <w:iCs/>
          <w:kern w:val="0"/>
          <w:lang w:val="en-GB"/>
          <w14:ligatures w14:val="none"/>
        </w:rPr>
        <w:t>International journal of environmental research and public health</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18</w:t>
      </w:r>
      <w:r w:rsidRPr="00900123">
        <w:rPr>
          <w:rFonts w:ascii="Arial" w:eastAsia="Arial" w:hAnsi="Arial" w:cs="Arial"/>
          <w:kern w:val="0"/>
          <w:lang w:val="en-GB"/>
          <w14:ligatures w14:val="none"/>
        </w:rPr>
        <w:t>(5), 2717. </w:t>
      </w:r>
    </w:p>
    <w:p w14:paraId="567F084A"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OECD. (2025). </w:t>
      </w:r>
      <w:r w:rsidRPr="00900123">
        <w:rPr>
          <w:rFonts w:ascii="Arial" w:eastAsia="Arial" w:hAnsi="Arial" w:cs="Arial"/>
          <w:i/>
          <w:iCs/>
          <w:kern w:val="0"/>
          <w:lang w:val="en-GB"/>
          <w14:ligatures w14:val="none"/>
        </w:rPr>
        <w:t>Health at a Glance 2025</w:t>
      </w:r>
      <w:r w:rsidRPr="00900123">
        <w:rPr>
          <w:rFonts w:ascii="Arial" w:eastAsia="Arial" w:hAnsi="Arial" w:cs="Arial"/>
          <w:kern w:val="0"/>
          <w:lang w:val="en-GB"/>
          <w14:ligatures w14:val="none"/>
        </w:rPr>
        <w:t xml:space="preserve">. Available: </w:t>
      </w:r>
      <w:hyperlink r:id="rId20" w:history="1">
        <w:r w:rsidRPr="00900123">
          <w:rPr>
            <w:rFonts w:ascii="Arial" w:eastAsia="Arial" w:hAnsi="Arial" w:cs="Arial"/>
            <w:color w:val="0000FF"/>
            <w:kern w:val="0"/>
            <w:u w:val="single"/>
            <w:lang w:val="en-GB"/>
            <w14:ligatures w14:val="none"/>
          </w:rPr>
          <w:t>https://www.oecd.org/en/publications/2025/11/health-at-a-glance-2025_a894f72e/full-report/dementia_8b14a2ea.html</w:t>
        </w:r>
      </w:hyperlink>
      <w:r w:rsidRPr="00900123">
        <w:rPr>
          <w:rFonts w:ascii="Arial" w:eastAsia="Arial" w:hAnsi="Arial" w:cs="Arial"/>
          <w:kern w:val="0"/>
          <w:lang w:val="en-GB"/>
          <w14:ligatures w14:val="none"/>
        </w:rPr>
        <w:t xml:space="preserve"> [Accessed: 5.8.2026]</w:t>
      </w:r>
    </w:p>
    <w:p w14:paraId="626DD7AC"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Palermo, F., Chen, Y., Capstick, A., Fletcher-Loyd, N., Walsh, C., Kouchaki, S., True. J. </w:t>
      </w:r>
      <w:proofErr w:type="spellStart"/>
      <w:r w:rsidRPr="00900123">
        <w:rPr>
          <w:rFonts w:ascii="Arial" w:eastAsia="Arial" w:hAnsi="Arial" w:cs="Arial"/>
          <w:kern w:val="0"/>
          <w:lang w:val="en-GB"/>
          <w14:ligatures w14:val="none"/>
        </w:rPr>
        <w:t>Balazikova</w:t>
      </w:r>
      <w:proofErr w:type="spellEnd"/>
      <w:r w:rsidRPr="00900123">
        <w:rPr>
          <w:rFonts w:ascii="Arial" w:eastAsia="Arial" w:hAnsi="Arial" w:cs="Arial"/>
          <w:kern w:val="0"/>
          <w:lang w:val="en-GB"/>
          <w14:ligatures w14:val="none"/>
        </w:rPr>
        <w:t xml:space="preserve">. O. </w:t>
      </w:r>
      <w:proofErr w:type="spellStart"/>
      <w:r w:rsidRPr="00900123">
        <w:rPr>
          <w:rFonts w:ascii="Arial" w:eastAsia="Arial" w:hAnsi="Arial" w:cs="Arial"/>
          <w:kern w:val="0"/>
          <w:lang w:val="en-GB"/>
          <w14:ligatures w14:val="none"/>
        </w:rPr>
        <w:t>Soreq</w:t>
      </w:r>
      <w:proofErr w:type="spellEnd"/>
      <w:r w:rsidRPr="00900123">
        <w:rPr>
          <w:rFonts w:ascii="Arial" w:eastAsia="Arial" w:hAnsi="Arial" w:cs="Arial"/>
          <w:kern w:val="0"/>
          <w:lang w:val="en-GB"/>
          <w14:ligatures w14:val="none"/>
        </w:rPr>
        <w:t xml:space="preserve">. E. Scott. G. </w:t>
      </w:r>
      <w:proofErr w:type="spellStart"/>
      <w:r w:rsidRPr="00900123">
        <w:rPr>
          <w:rFonts w:ascii="Arial" w:eastAsia="Arial" w:hAnsi="Arial" w:cs="Arial"/>
          <w:kern w:val="0"/>
          <w:lang w:val="en-GB"/>
          <w14:ligatures w14:val="none"/>
        </w:rPr>
        <w:t>Rostill</w:t>
      </w:r>
      <w:proofErr w:type="spellEnd"/>
      <w:r w:rsidRPr="00900123">
        <w:rPr>
          <w:rFonts w:ascii="Arial" w:eastAsia="Arial" w:hAnsi="Arial" w:cs="Arial"/>
          <w:kern w:val="0"/>
          <w:lang w:val="en-GB"/>
          <w14:ligatures w14:val="none"/>
        </w:rPr>
        <w:t xml:space="preserve">. H. </w:t>
      </w:r>
      <w:proofErr w:type="spellStart"/>
      <w:r w:rsidRPr="00900123">
        <w:rPr>
          <w:rFonts w:ascii="Arial" w:eastAsia="Arial" w:hAnsi="Arial" w:cs="Arial"/>
          <w:kern w:val="0"/>
          <w:lang w:val="en-GB"/>
          <w14:ligatures w14:val="none"/>
        </w:rPr>
        <w:t>Nilforooshan</w:t>
      </w:r>
      <w:proofErr w:type="spellEnd"/>
      <w:r w:rsidRPr="00900123">
        <w:rPr>
          <w:rFonts w:ascii="Arial" w:eastAsia="Arial" w:hAnsi="Arial" w:cs="Arial"/>
          <w:kern w:val="0"/>
          <w:lang w:val="en-GB"/>
          <w14:ligatures w14:val="none"/>
        </w:rPr>
        <w:t xml:space="preserve">. R. and Barnaghi, P. (2023). TIHM: An open dataset for remote healthcare monitoring in dementia. </w:t>
      </w:r>
      <w:r w:rsidRPr="00900123">
        <w:rPr>
          <w:rFonts w:ascii="Arial" w:eastAsia="Arial" w:hAnsi="Arial" w:cs="Arial"/>
          <w:i/>
          <w:iCs/>
          <w:kern w:val="0"/>
          <w:lang w:val="en-GB"/>
          <w14:ligatures w14:val="none"/>
        </w:rPr>
        <w:t>Scientific data</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10</w:t>
      </w:r>
      <w:r w:rsidRPr="00900123">
        <w:rPr>
          <w:rFonts w:ascii="Arial" w:eastAsia="Arial" w:hAnsi="Arial" w:cs="Arial"/>
          <w:kern w:val="0"/>
          <w:lang w:val="en-GB"/>
          <w14:ligatures w14:val="none"/>
        </w:rPr>
        <w:t>(1), 606. </w:t>
      </w:r>
    </w:p>
    <w:p w14:paraId="2AF7C4B1"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lastRenderedPageBreak/>
        <w:t xml:space="preserve">Pradana, A. A. (2022). Dementia: An overview. </w:t>
      </w:r>
      <w:r w:rsidRPr="00900123">
        <w:rPr>
          <w:rFonts w:ascii="Arial" w:eastAsia="Arial" w:hAnsi="Arial" w:cs="Arial"/>
          <w:i/>
          <w:iCs/>
          <w:kern w:val="0"/>
          <w:lang w:val="en-GB"/>
          <w14:ligatures w14:val="none"/>
        </w:rPr>
        <w:t>Journal of Medical Internet Research</w:t>
      </w:r>
      <w:r w:rsidRPr="00900123">
        <w:rPr>
          <w:rFonts w:ascii="Arial" w:eastAsia="Arial" w:hAnsi="Arial" w:cs="Arial"/>
          <w:kern w:val="0"/>
          <w:lang w:val="en-GB"/>
          <w14:ligatures w14:val="none"/>
        </w:rPr>
        <w:t>. Pp.1-12.</w:t>
      </w:r>
    </w:p>
    <w:p w14:paraId="7E4180A8"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Stephan, B. C., Cochrane, L., </w:t>
      </w:r>
      <w:proofErr w:type="spellStart"/>
      <w:r w:rsidRPr="00900123">
        <w:rPr>
          <w:rFonts w:ascii="Arial" w:eastAsia="Arial" w:hAnsi="Arial" w:cs="Arial"/>
          <w:kern w:val="0"/>
          <w:lang w:val="en-GB"/>
          <w14:ligatures w14:val="none"/>
        </w:rPr>
        <w:t>Kafadar</w:t>
      </w:r>
      <w:proofErr w:type="spellEnd"/>
      <w:r w:rsidRPr="00900123">
        <w:rPr>
          <w:rFonts w:ascii="Arial" w:eastAsia="Arial" w:hAnsi="Arial" w:cs="Arial"/>
          <w:kern w:val="0"/>
          <w:lang w:val="en-GB"/>
          <w14:ligatures w14:val="none"/>
        </w:rPr>
        <w:t xml:space="preserve">, A. H., Brain, J., Burton, E., Myers, B., </w:t>
      </w:r>
      <w:proofErr w:type="spellStart"/>
      <w:r w:rsidRPr="00900123">
        <w:rPr>
          <w:rFonts w:ascii="Arial" w:eastAsia="Arial" w:hAnsi="Arial" w:cs="Arial"/>
          <w:kern w:val="0"/>
          <w:lang w:val="en-GB"/>
          <w14:ligatures w14:val="none"/>
        </w:rPr>
        <w:t>Brayne</w:t>
      </w:r>
      <w:proofErr w:type="spellEnd"/>
      <w:r w:rsidRPr="00900123">
        <w:rPr>
          <w:rFonts w:ascii="Arial" w:eastAsia="Arial" w:hAnsi="Arial" w:cs="Arial"/>
          <w:kern w:val="0"/>
          <w:lang w:val="en-GB"/>
          <w14:ligatures w14:val="none"/>
        </w:rPr>
        <w:t xml:space="preserve">. C. Naheed. A. Anstey. K. J. Ashor. A. W. and </w:t>
      </w:r>
      <w:proofErr w:type="spellStart"/>
      <w:r w:rsidRPr="00900123">
        <w:rPr>
          <w:rFonts w:ascii="Arial" w:eastAsia="Arial" w:hAnsi="Arial" w:cs="Arial"/>
          <w:kern w:val="0"/>
          <w:lang w:val="en-GB"/>
          <w14:ligatures w14:val="none"/>
        </w:rPr>
        <w:t>Siervo</w:t>
      </w:r>
      <w:proofErr w:type="spellEnd"/>
      <w:r w:rsidRPr="00900123">
        <w:rPr>
          <w:rFonts w:ascii="Arial" w:eastAsia="Arial" w:hAnsi="Arial" w:cs="Arial"/>
          <w:kern w:val="0"/>
          <w:lang w:val="en-GB"/>
          <w14:ligatures w14:val="none"/>
        </w:rPr>
        <w:t xml:space="preserve">, M. (2024). Population attributable fractions of modifiable risk factors for dementia: a systematic review and meta-analysis. </w:t>
      </w:r>
      <w:r w:rsidRPr="00900123">
        <w:rPr>
          <w:rFonts w:ascii="Arial" w:eastAsia="Arial" w:hAnsi="Arial" w:cs="Arial"/>
          <w:i/>
          <w:iCs/>
          <w:kern w:val="0"/>
          <w:lang w:val="en-GB"/>
          <w14:ligatures w14:val="none"/>
        </w:rPr>
        <w:t>The Lancet Healthy Longevity</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5</w:t>
      </w:r>
      <w:r w:rsidRPr="00900123">
        <w:rPr>
          <w:rFonts w:ascii="Arial" w:eastAsia="Arial" w:hAnsi="Arial" w:cs="Arial"/>
          <w:kern w:val="0"/>
          <w:lang w:val="en-GB"/>
          <w14:ligatures w14:val="none"/>
        </w:rPr>
        <w:t>(6), e406-e421. </w:t>
      </w:r>
    </w:p>
    <w:p w14:paraId="31F19C60"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Stevenson-Hoare, J., </w:t>
      </w:r>
      <w:proofErr w:type="spellStart"/>
      <w:r w:rsidRPr="00900123">
        <w:rPr>
          <w:rFonts w:ascii="Arial" w:eastAsia="Arial" w:hAnsi="Arial" w:cs="Arial"/>
          <w:kern w:val="0"/>
          <w:lang w:val="en-GB"/>
          <w14:ligatures w14:val="none"/>
        </w:rPr>
        <w:t>Schalkamp</w:t>
      </w:r>
      <w:proofErr w:type="spellEnd"/>
      <w:r w:rsidRPr="00900123">
        <w:rPr>
          <w:rFonts w:ascii="Arial" w:eastAsia="Arial" w:hAnsi="Arial" w:cs="Arial"/>
          <w:kern w:val="0"/>
          <w:lang w:val="en-GB"/>
          <w14:ligatures w14:val="none"/>
        </w:rPr>
        <w:t xml:space="preserve">, A. K., Sandor, C., Hardy, J., and Escott-Price, V. (2023). New cases of dementia are rising in elderly populations in Wales, UK. </w:t>
      </w:r>
      <w:r w:rsidRPr="00900123">
        <w:rPr>
          <w:rFonts w:ascii="Arial" w:eastAsia="Arial" w:hAnsi="Arial" w:cs="Arial"/>
          <w:i/>
          <w:iCs/>
          <w:kern w:val="0"/>
          <w:lang w:val="en-GB"/>
          <w14:ligatures w14:val="none"/>
        </w:rPr>
        <w:t>Journal of the neurological sciences</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451</w:t>
      </w:r>
      <w:r w:rsidRPr="00900123">
        <w:rPr>
          <w:rFonts w:ascii="Arial" w:eastAsia="Arial" w:hAnsi="Arial" w:cs="Arial"/>
          <w:kern w:val="0"/>
          <w:lang w:val="en-GB"/>
          <w14:ligatures w14:val="none"/>
        </w:rPr>
        <w:t>, 120715. </w:t>
      </w:r>
    </w:p>
    <w:p w14:paraId="1D08E5B8"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Timmons, S., Fox, S., Drennan, J., Guerin, S., and Kernohan, W. G. (2022). Palliative care for older people with dementia—we need a paradigm shift in our approach. </w:t>
      </w:r>
      <w:r w:rsidRPr="00900123">
        <w:rPr>
          <w:rFonts w:ascii="Arial" w:eastAsia="Arial" w:hAnsi="Arial" w:cs="Arial"/>
          <w:i/>
          <w:iCs/>
          <w:kern w:val="0"/>
          <w:lang w:val="en-GB"/>
          <w14:ligatures w14:val="none"/>
        </w:rPr>
        <w:t>Age and Ageing</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51</w:t>
      </w:r>
      <w:r w:rsidRPr="00900123">
        <w:rPr>
          <w:rFonts w:ascii="Arial" w:eastAsia="Arial" w:hAnsi="Arial" w:cs="Arial"/>
          <w:kern w:val="0"/>
          <w:lang w:val="en-GB"/>
          <w14:ligatures w14:val="none"/>
        </w:rPr>
        <w:t>(3), afac066. </w:t>
      </w:r>
    </w:p>
    <w:p w14:paraId="79618B52"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Townsend, N., Timmis, A., </w:t>
      </w:r>
      <w:proofErr w:type="spellStart"/>
      <w:r w:rsidRPr="00900123">
        <w:rPr>
          <w:rFonts w:ascii="Arial" w:eastAsia="Arial" w:hAnsi="Arial" w:cs="Arial"/>
          <w:kern w:val="0"/>
          <w:lang w:val="en-GB"/>
          <w14:ligatures w14:val="none"/>
        </w:rPr>
        <w:t>Erglis</w:t>
      </w:r>
      <w:proofErr w:type="spellEnd"/>
      <w:r w:rsidRPr="00900123">
        <w:rPr>
          <w:rFonts w:ascii="Arial" w:eastAsia="Arial" w:hAnsi="Arial" w:cs="Arial"/>
          <w:kern w:val="0"/>
          <w:lang w:val="en-GB"/>
          <w14:ligatures w14:val="none"/>
        </w:rPr>
        <w:t xml:space="preserve">, A., </w:t>
      </w:r>
      <w:proofErr w:type="spellStart"/>
      <w:r w:rsidRPr="00900123">
        <w:rPr>
          <w:rFonts w:ascii="Arial" w:eastAsia="Arial" w:hAnsi="Arial" w:cs="Arial"/>
          <w:kern w:val="0"/>
          <w:lang w:val="en-GB"/>
          <w14:ligatures w14:val="none"/>
        </w:rPr>
        <w:t>Miličić</w:t>
      </w:r>
      <w:proofErr w:type="spellEnd"/>
      <w:r w:rsidRPr="00900123">
        <w:rPr>
          <w:rFonts w:ascii="Arial" w:eastAsia="Arial" w:hAnsi="Arial" w:cs="Arial"/>
          <w:kern w:val="0"/>
          <w:lang w:val="en-GB"/>
          <w14:ligatures w14:val="none"/>
        </w:rPr>
        <w:t xml:space="preserve">, D., Perrone-Filardi, P., Weidinger, F., Guzik. T. and Gale, C. P. (2025). Challenges in the prevention, treatment and management of cardiovascular disease among older adults. </w:t>
      </w:r>
      <w:r w:rsidRPr="00900123">
        <w:rPr>
          <w:rFonts w:ascii="Arial" w:eastAsia="Arial" w:hAnsi="Arial" w:cs="Arial"/>
          <w:i/>
          <w:iCs/>
          <w:kern w:val="0"/>
          <w:lang w:val="en-GB"/>
          <w14:ligatures w14:val="none"/>
        </w:rPr>
        <w:t>The Lancet Regional Health–Europe</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56</w:t>
      </w:r>
      <w:r w:rsidRPr="00900123">
        <w:rPr>
          <w:rFonts w:ascii="Arial" w:eastAsia="Arial" w:hAnsi="Arial" w:cs="Arial"/>
          <w:kern w:val="0"/>
          <w:lang w:val="en-GB"/>
          <w14:ligatures w14:val="none"/>
        </w:rPr>
        <w:t>.</w:t>
      </w:r>
    </w:p>
    <w:p w14:paraId="2E2AD3EF"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proofErr w:type="spellStart"/>
      <w:r w:rsidRPr="00900123">
        <w:rPr>
          <w:rFonts w:ascii="Arial" w:eastAsia="Arial" w:hAnsi="Arial" w:cs="Arial"/>
          <w:kern w:val="0"/>
          <w:lang w:val="en-GB"/>
          <w14:ligatures w14:val="none"/>
        </w:rPr>
        <w:t>Tragantzopoulou</w:t>
      </w:r>
      <w:proofErr w:type="spellEnd"/>
      <w:r w:rsidRPr="00900123">
        <w:rPr>
          <w:rFonts w:ascii="Arial" w:eastAsia="Arial" w:hAnsi="Arial" w:cs="Arial"/>
          <w:kern w:val="0"/>
          <w:lang w:val="en-GB"/>
          <w14:ligatures w14:val="none"/>
        </w:rPr>
        <w:t xml:space="preserve">, P., and Giannouli, V. (2021). Social isolation and loneliness in old age: Exploring their role in mental and physical health. </w:t>
      </w:r>
      <w:proofErr w:type="spellStart"/>
      <w:r w:rsidRPr="00900123">
        <w:rPr>
          <w:rFonts w:ascii="Arial" w:eastAsia="Arial" w:hAnsi="Arial" w:cs="Arial"/>
          <w:i/>
          <w:iCs/>
          <w:kern w:val="0"/>
          <w:lang w:val="en-GB"/>
          <w14:ligatures w14:val="none"/>
        </w:rPr>
        <w:t>Psychiatriki</w:t>
      </w:r>
      <w:proofErr w:type="spellEnd"/>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32</w:t>
      </w:r>
      <w:r w:rsidRPr="00900123">
        <w:rPr>
          <w:rFonts w:ascii="Arial" w:eastAsia="Arial" w:hAnsi="Arial" w:cs="Arial"/>
          <w:kern w:val="0"/>
          <w:lang w:val="en-GB"/>
          <w14:ligatures w14:val="none"/>
        </w:rPr>
        <w:t>(1), 59-66. </w:t>
      </w:r>
    </w:p>
    <w:p w14:paraId="3C113724"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UK Gov. (2026). </w:t>
      </w:r>
      <w:r w:rsidRPr="00900123">
        <w:rPr>
          <w:rFonts w:ascii="Arial" w:eastAsia="Arial" w:hAnsi="Arial" w:cs="Arial"/>
          <w:i/>
          <w:iCs/>
          <w:kern w:val="0"/>
          <w:lang w:val="en-GB"/>
          <w14:ligatures w14:val="none"/>
        </w:rPr>
        <w:t>Ageing well</w:t>
      </w:r>
      <w:r w:rsidRPr="00900123">
        <w:rPr>
          <w:rFonts w:ascii="Arial" w:eastAsia="Arial" w:hAnsi="Arial" w:cs="Arial"/>
          <w:kern w:val="0"/>
          <w:lang w:val="en-GB"/>
          <w14:ligatures w14:val="none"/>
        </w:rPr>
        <w:t xml:space="preserve">. Available: </w:t>
      </w:r>
      <w:hyperlink r:id="rId21" w:history="1">
        <w:r w:rsidRPr="00900123">
          <w:rPr>
            <w:rFonts w:ascii="Arial" w:eastAsia="Arial" w:hAnsi="Arial" w:cs="Arial"/>
            <w:color w:val="0000FF"/>
            <w:kern w:val="0"/>
            <w:u w:val="single"/>
            <w:lang w:val="en-GB"/>
            <w14:ligatures w14:val="none"/>
          </w:rPr>
          <w:t>https://webarchive.nationalarchives.gov.uk/ukgwa/20250506042058/https://www.longtermplan.nhs.uk/areas-of-work/ageing-well/</w:t>
        </w:r>
      </w:hyperlink>
      <w:r w:rsidRPr="00900123">
        <w:rPr>
          <w:rFonts w:ascii="Arial" w:eastAsia="Arial" w:hAnsi="Arial" w:cs="Arial"/>
          <w:kern w:val="0"/>
          <w:lang w:val="en-GB"/>
          <w14:ligatures w14:val="none"/>
        </w:rPr>
        <w:t xml:space="preserve"> [Accessed: 5.8.2026]</w:t>
      </w:r>
    </w:p>
    <w:p w14:paraId="7B7D2635"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Vilar-Compte, M., Burrola-Méndez, S., Lozano-Marrufo, A., Ferré-Eguiluz, I., Flores, D., Gaitán-Rossi, P., Teruel. G. and Pérez-Escamilla, R. (2021). Urban poverty and nutrition challenges associated with accessibility to a healthy diet: a global systematic literature review. </w:t>
      </w:r>
      <w:r w:rsidRPr="00900123">
        <w:rPr>
          <w:rFonts w:ascii="Arial" w:eastAsia="Arial" w:hAnsi="Arial" w:cs="Arial"/>
          <w:i/>
          <w:iCs/>
          <w:kern w:val="0"/>
          <w:lang w:val="en-GB"/>
          <w14:ligatures w14:val="none"/>
        </w:rPr>
        <w:t>International journal for equity in health</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20</w:t>
      </w:r>
      <w:r w:rsidRPr="00900123">
        <w:rPr>
          <w:rFonts w:ascii="Arial" w:eastAsia="Arial" w:hAnsi="Arial" w:cs="Arial"/>
          <w:kern w:val="0"/>
          <w:lang w:val="en-GB"/>
          <w14:ligatures w14:val="none"/>
        </w:rPr>
        <w:t>(1), 40. </w:t>
      </w:r>
    </w:p>
    <w:p w14:paraId="0B2FC00F"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WHO. (2026). </w:t>
      </w:r>
      <w:r w:rsidRPr="00900123">
        <w:rPr>
          <w:rFonts w:ascii="Arial" w:eastAsia="Arial" w:hAnsi="Arial" w:cs="Arial"/>
          <w:i/>
          <w:iCs/>
          <w:kern w:val="0"/>
          <w:lang w:val="en-GB"/>
          <w14:ligatures w14:val="none"/>
        </w:rPr>
        <w:t>Health Inequality Monitor</w:t>
      </w:r>
      <w:r w:rsidRPr="00900123">
        <w:rPr>
          <w:rFonts w:ascii="Arial" w:eastAsia="Arial" w:hAnsi="Arial" w:cs="Arial"/>
          <w:kern w:val="0"/>
          <w:lang w:val="en-GB"/>
          <w14:ligatures w14:val="none"/>
        </w:rPr>
        <w:t xml:space="preserve">. Available: </w:t>
      </w:r>
      <w:hyperlink r:id="rId22" w:history="1">
        <w:r w:rsidRPr="00900123">
          <w:rPr>
            <w:rFonts w:ascii="Arial" w:eastAsia="Arial" w:hAnsi="Arial" w:cs="Arial"/>
            <w:color w:val="0000FF"/>
            <w:kern w:val="0"/>
            <w:u w:val="single"/>
            <w:lang w:val="en-GB"/>
            <w14:ligatures w14:val="none"/>
          </w:rPr>
          <w:t>https://www.who.int/data/inequality-monitor</w:t>
        </w:r>
      </w:hyperlink>
      <w:r w:rsidRPr="00900123">
        <w:rPr>
          <w:rFonts w:ascii="Arial" w:eastAsia="Arial" w:hAnsi="Arial" w:cs="Arial"/>
          <w:kern w:val="0"/>
          <w:lang w:val="en-GB"/>
          <w14:ligatures w14:val="none"/>
        </w:rPr>
        <w:t xml:space="preserve"> [Accessed: 5.8.2026]</w:t>
      </w:r>
    </w:p>
    <w:p w14:paraId="41E7BC37"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Zhang, Y., Fu, Y., Guan, X., Wang, C., Fu, M., Xiao, Y., Liu. C. Zhong. G. Wu. T. You. Y. Zhao. H. Chen. S. Wang. Y. and Guo, H. (2024). Associations of ambient air pollution exposure and lifestyle factors with incident dementia in the elderly: a prospective study in the UK Biobank. </w:t>
      </w:r>
      <w:r w:rsidRPr="00900123">
        <w:rPr>
          <w:rFonts w:ascii="Arial" w:eastAsia="Arial" w:hAnsi="Arial" w:cs="Arial"/>
          <w:i/>
          <w:iCs/>
          <w:kern w:val="0"/>
          <w:lang w:val="en-GB"/>
          <w14:ligatures w14:val="none"/>
        </w:rPr>
        <w:t>Environment international</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190</w:t>
      </w:r>
      <w:r w:rsidRPr="00900123">
        <w:rPr>
          <w:rFonts w:ascii="Arial" w:eastAsia="Arial" w:hAnsi="Arial" w:cs="Arial"/>
          <w:kern w:val="0"/>
          <w:lang w:val="en-GB"/>
          <w14:ligatures w14:val="none"/>
        </w:rPr>
        <w:t>, 108870. </w:t>
      </w:r>
    </w:p>
    <w:p w14:paraId="739955A2" w14:textId="77777777" w:rsidR="00775FA7" w:rsidRPr="00900123" w:rsidRDefault="00775FA7" w:rsidP="00DE3F02">
      <w:pPr>
        <w:spacing w:before="120" w:after="120" w:line="360" w:lineRule="auto"/>
        <w:rPr>
          <w:lang w:val="en-GB"/>
        </w:rPr>
      </w:pPr>
    </w:p>
    <w:sectPr w:rsidR="00775FA7" w:rsidRPr="00900123" w:rsidSect="001C204A">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860AD" w14:textId="77777777" w:rsidR="00AE7B58" w:rsidRDefault="00AE7B58">
      <w:pPr>
        <w:spacing w:after="0" w:line="240" w:lineRule="auto"/>
      </w:pPr>
      <w:r>
        <w:separator/>
      </w:r>
    </w:p>
  </w:endnote>
  <w:endnote w:type="continuationSeparator" w:id="0">
    <w:p w14:paraId="6507AC18" w14:textId="77777777" w:rsidR="00AE7B58" w:rsidRDefault="00AE7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1690108456"/>
      <w:docPartObj>
        <w:docPartGallery w:val="Page Numbers (Bottom of Page)"/>
        <w:docPartUnique/>
      </w:docPartObj>
    </w:sdtPr>
    <w:sdtEndPr>
      <w:rPr>
        <w:noProof/>
        <w:sz w:val="22"/>
        <w:szCs w:val="22"/>
      </w:rPr>
    </w:sdtEndPr>
    <w:sdtContent>
      <w:p w14:paraId="6985EECF" w14:textId="086D6137" w:rsidR="001C204A" w:rsidRPr="009B7FC5" w:rsidRDefault="001C204A" w:rsidP="00DE3F02">
        <w:pPr>
          <w:pStyle w:val="Footer"/>
          <w:jc w:val="right"/>
        </w:pPr>
        <w:r w:rsidRPr="009B7FC5">
          <w:fldChar w:fldCharType="begin"/>
        </w:r>
        <w:r w:rsidRPr="009B7FC5">
          <w:instrText xml:space="preserve"> PAGE   \* MERGEFORMAT </w:instrText>
        </w:r>
        <w:r w:rsidRPr="009B7FC5">
          <w:fldChar w:fldCharType="separate"/>
        </w:r>
        <w:r w:rsidRPr="009B7FC5">
          <w:rPr>
            <w:noProof/>
          </w:rPr>
          <w:t>2</w:t>
        </w:r>
        <w:r w:rsidRPr="009B7FC5">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50323" w14:textId="77777777" w:rsidR="00AE7B58" w:rsidRDefault="00AE7B58">
      <w:pPr>
        <w:spacing w:after="0" w:line="240" w:lineRule="auto"/>
      </w:pPr>
      <w:r>
        <w:separator/>
      </w:r>
    </w:p>
  </w:footnote>
  <w:footnote w:type="continuationSeparator" w:id="0">
    <w:p w14:paraId="16E2A79B" w14:textId="77777777" w:rsidR="00AE7B58" w:rsidRDefault="00AE7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438C2"/>
    <w:multiLevelType w:val="hybridMultilevel"/>
    <w:tmpl w:val="00000000"/>
    <w:lvl w:ilvl="0" w:tplc="DDAEEC3C">
      <w:start w:val="1"/>
      <w:numFmt w:val="bullet"/>
      <w:lvlText w:val="●"/>
      <w:lvlJc w:val="left"/>
      <w:pPr>
        <w:ind w:left="720" w:hanging="360"/>
      </w:pPr>
      <w:rPr>
        <w:u w:val="none"/>
      </w:rPr>
    </w:lvl>
    <w:lvl w:ilvl="1" w:tplc="59928B2E">
      <w:start w:val="1"/>
      <w:numFmt w:val="bullet"/>
      <w:lvlText w:val="○"/>
      <w:lvlJc w:val="left"/>
      <w:pPr>
        <w:ind w:left="1440" w:hanging="360"/>
      </w:pPr>
      <w:rPr>
        <w:u w:val="none"/>
      </w:rPr>
    </w:lvl>
    <w:lvl w:ilvl="2" w:tplc="C8028670">
      <w:start w:val="1"/>
      <w:numFmt w:val="bullet"/>
      <w:lvlText w:val="■"/>
      <w:lvlJc w:val="left"/>
      <w:pPr>
        <w:ind w:left="2160" w:hanging="360"/>
      </w:pPr>
      <w:rPr>
        <w:u w:val="none"/>
      </w:rPr>
    </w:lvl>
    <w:lvl w:ilvl="3" w:tplc="15A26962">
      <w:start w:val="1"/>
      <w:numFmt w:val="bullet"/>
      <w:lvlText w:val="●"/>
      <w:lvlJc w:val="left"/>
      <w:pPr>
        <w:ind w:left="2880" w:hanging="360"/>
      </w:pPr>
      <w:rPr>
        <w:u w:val="none"/>
      </w:rPr>
    </w:lvl>
    <w:lvl w:ilvl="4" w:tplc="2BFCDC1A">
      <w:start w:val="1"/>
      <w:numFmt w:val="bullet"/>
      <w:lvlText w:val="○"/>
      <w:lvlJc w:val="left"/>
      <w:pPr>
        <w:ind w:left="3600" w:hanging="360"/>
      </w:pPr>
      <w:rPr>
        <w:u w:val="none"/>
      </w:rPr>
    </w:lvl>
    <w:lvl w:ilvl="5" w:tplc="791CAEF0">
      <w:start w:val="1"/>
      <w:numFmt w:val="bullet"/>
      <w:lvlText w:val="■"/>
      <w:lvlJc w:val="left"/>
      <w:pPr>
        <w:ind w:left="4320" w:hanging="360"/>
      </w:pPr>
      <w:rPr>
        <w:u w:val="none"/>
      </w:rPr>
    </w:lvl>
    <w:lvl w:ilvl="6" w:tplc="DCB6B8F2">
      <w:start w:val="1"/>
      <w:numFmt w:val="bullet"/>
      <w:lvlText w:val="●"/>
      <w:lvlJc w:val="left"/>
      <w:pPr>
        <w:ind w:left="5040" w:hanging="360"/>
      </w:pPr>
      <w:rPr>
        <w:u w:val="none"/>
      </w:rPr>
    </w:lvl>
    <w:lvl w:ilvl="7" w:tplc="9EEE8D64">
      <w:start w:val="1"/>
      <w:numFmt w:val="bullet"/>
      <w:lvlText w:val="○"/>
      <w:lvlJc w:val="left"/>
      <w:pPr>
        <w:ind w:left="5760" w:hanging="360"/>
      </w:pPr>
      <w:rPr>
        <w:u w:val="none"/>
      </w:rPr>
    </w:lvl>
    <w:lvl w:ilvl="8" w:tplc="AC4C6E52">
      <w:start w:val="1"/>
      <w:numFmt w:val="bullet"/>
      <w:lvlText w:val="■"/>
      <w:lvlJc w:val="left"/>
      <w:pPr>
        <w:ind w:left="6480" w:hanging="360"/>
      </w:pPr>
      <w:rPr>
        <w:u w:val="none"/>
      </w:rPr>
    </w:lvl>
  </w:abstractNum>
  <w:num w:numId="1" w16cid:durableId="314844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04A"/>
    <w:rsid w:val="00082A43"/>
    <w:rsid w:val="000D5974"/>
    <w:rsid w:val="0016506E"/>
    <w:rsid w:val="001C204A"/>
    <w:rsid w:val="00236EB6"/>
    <w:rsid w:val="0029053D"/>
    <w:rsid w:val="00352D96"/>
    <w:rsid w:val="00383FCA"/>
    <w:rsid w:val="00435966"/>
    <w:rsid w:val="00453CB4"/>
    <w:rsid w:val="00457BD5"/>
    <w:rsid w:val="0057260D"/>
    <w:rsid w:val="005F40EE"/>
    <w:rsid w:val="00775FA7"/>
    <w:rsid w:val="007B4DFA"/>
    <w:rsid w:val="008224EF"/>
    <w:rsid w:val="00900123"/>
    <w:rsid w:val="009141EB"/>
    <w:rsid w:val="009147B4"/>
    <w:rsid w:val="0094009A"/>
    <w:rsid w:val="009729CF"/>
    <w:rsid w:val="009B5A43"/>
    <w:rsid w:val="009B7FC5"/>
    <w:rsid w:val="009C0ED3"/>
    <w:rsid w:val="00A6512B"/>
    <w:rsid w:val="00AC58D9"/>
    <w:rsid w:val="00AE7B58"/>
    <w:rsid w:val="00CA262C"/>
    <w:rsid w:val="00D74338"/>
    <w:rsid w:val="00DA0EE0"/>
    <w:rsid w:val="00DE3F02"/>
    <w:rsid w:val="00F8085A"/>
    <w:rsid w:val="00F8618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84E2"/>
  <w15:chartTrackingRefBased/>
  <w15:docId w15:val="{4A475036-C406-4401-B4A1-A0B5EAD30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0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20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20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20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20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20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20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20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20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0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20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20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20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20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20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20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20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204A"/>
    <w:rPr>
      <w:rFonts w:eastAsiaTheme="majorEastAsia" w:cstheme="majorBidi"/>
      <w:color w:val="272727" w:themeColor="text1" w:themeTint="D8"/>
    </w:rPr>
  </w:style>
  <w:style w:type="paragraph" w:styleId="Title">
    <w:name w:val="Title"/>
    <w:basedOn w:val="Normal"/>
    <w:next w:val="Normal"/>
    <w:link w:val="TitleChar"/>
    <w:uiPriority w:val="10"/>
    <w:qFormat/>
    <w:rsid w:val="001C20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0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0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20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204A"/>
    <w:pPr>
      <w:spacing w:before="160"/>
      <w:jc w:val="center"/>
    </w:pPr>
    <w:rPr>
      <w:i/>
      <w:iCs/>
      <w:color w:val="404040" w:themeColor="text1" w:themeTint="BF"/>
    </w:rPr>
  </w:style>
  <w:style w:type="character" w:customStyle="1" w:styleId="QuoteChar">
    <w:name w:val="Quote Char"/>
    <w:basedOn w:val="DefaultParagraphFont"/>
    <w:link w:val="Quote"/>
    <w:uiPriority w:val="29"/>
    <w:rsid w:val="001C204A"/>
    <w:rPr>
      <w:i/>
      <w:iCs/>
      <w:color w:val="404040" w:themeColor="text1" w:themeTint="BF"/>
    </w:rPr>
  </w:style>
  <w:style w:type="paragraph" w:styleId="ListParagraph">
    <w:name w:val="List Paragraph"/>
    <w:basedOn w:val="Normal"/>
    <w:uiPriority w:val="34"/>
    <w:qFormat/>
    <w:rsid w:val="001C204A"/>
    <w:pPr>
      <w:ind w:left="720"/>
      <w:contextualSpacing/>
    </w:pPr>
  </w:style>
  <w:style w:type="character" w:styleId="IntenseEmphasis">
    <w:name w:val="Intense Emphasis"/>
    <w:basedOn w:val="DefaultParagraphFont"/>
    <w:uiPriority w:val="21"/>
    <w:qFormat/>
    <w:rsid w:val="001C204A"/>
    <w:rPr>
      <w:i/>
      <w:iCs/>
      <w:color w:val="2F5496" w:themeColor="accent1" w:themeShade="BF"/>
    </w:rPr>
  </w:style>
  <w:style w:type="paragraph" w:styleId="IntenseQuote">
    <w:name w:val="Intense Quote"/>
    <w:basedOn w:val="Normal"/>
    <w:next w:val="Normal"/>
    <w:link w:val="IntenseQuoteChar"/>
    <w:uiPriority w:val="30"/>
    <w:qFormat/>
    <w:rsid w:val="001C20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204A"/>
    <w:rPr>
      <w:i/>
      <w:iCs/>
      <w:color w:val="2F5496" w:themeColor="accent1" w:themeShade="BF"/>
    </w:rPr>
  </w:style>
  <w:style w:type="character" w:styleId="IntenseReference">
    <w:name w:val="Intense Reference"/>
    <w:basedOn w:val="DefaultParagraphFont"/>
    <w:uiPriority w:val="32"/>
    <w:qFormat/>
    <w:rsid w:val="001C204A"/>
    <w:rPr>
      <w:b/>
      <w:bCs/>
      <w:smallCaps/>
      <w:color w:val="2F5496" w:themeColor="accent1" w:themeShade="BF"/>
      <w:spacing w:val="5"/>
    </w:rPr>
  </w:style>
  <w:style w:type="paragraph" w:styleId="Footer">
    <w:name w:val="footer"/>
    <w:basedOn w:val="Normal"/>
    <w:link w:val="FooterChar"/>
    <w:uiPriority w:val="99"/>
    <w:unhideWhenUsed/>
    <w:rsid w:val="001C204A"/>
    <w:pPr>
      <w:tabs>
        <w:tab w:val="center" w:pos="4513"/>
        <w:tab w:val="right" w:pos="9026"/>
      </w:tabs>
      <w:spacing w:after="0" w:line="240" w:lineRule="auto"/>
      <w:jc w:val="both"/>
    </w:pPr>
    <w:rPr>
      <w:rFonts w:ascii="Arial" w:eastAsia="Arial" w:hAnsi="Arial" w:cs="Arial"/>
      <w:kern w:val="0"/>
      <w:lang w:val=""/>
      <w14:ligatures w14:val="none"/>
    </w:rPr>
  </w:style>
  <w:style w:type="character" w:customStyle="1" w:styleId="FooterChar">
    <w:name w:val="Footer Char"/>
    <w:basedOn w:val="DefaultParagraphFont"/>
    <w:link w:val="Footer"/>
    <w:uiPriority w:val="99"/>
    <w:rsid w:val="001C204A"/>
    <w:rPr>
      <w:rFonts w:ascii="Arial" w:eastAsia="Arial" w:hAnsi="Arial" w:cs="Arial"/>
      <w:kern w:val="0"/>
      <w:lang w:val=""/>
      <w14:ligatures w14:val="none"/>
    </w:rPr>
  </w:style>
  <w:style w:type="paragraph" w:styleId="Header">
    <w:name w:val="header"/>
    <w:basedOn w:val="Normal"/>
    <w:link w:val="HeaderChar"/>
    <w:uiPriority w:val="99"/>
    <w:unhideWhenUsed/>
    <w:rsid w:val="00DE3F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F02"/>
  </w:style>
  <w:style w:type="paragraph" w:styleId="TOC1">
    <w:name w:val="toc 1"/>
    <w:basedOn w:val="Normal"/>
    <w:next w:val="Normal"/>
    <w:autoRedefine/>
    <w:uiPriority w:val="39"/>
    <w:unhideWhenUsed/>
    <w:rsid w:val="00DA0EE0"/>
    <w:pPr>
      <w:spacing w:after="100"/>
    </w:pPr>
  </w:style>
  <w:style w:type="paragraph" w:styleId="TOC2">
    <w:name w:val="toc 2"/>
    <w:basedOn w:val="Normal"/>
    <w:next w:val="Normal"/>
    <w:autoRedefine/>
    <w:uiPriority w:val="39"/>
    <w:unhideWhenUsed/>
    <w:rsid w:val="00DA0EE0"/>
    <w:pPr>
      <w:spacing w:after="100"/>
      <w:ind w:left="220"/>
    </w:pPr>
  </w:style>
  <w:style w:type="paragraph" w:styleId="TOC3">
    <w:name w:val="toc 3"/>
    <w:basedOn w:val="Normal"/>
    <w:next w:val="Normal"/>
    <w:autoRedefine/>
    <w:uiPriority w:val="39"/>
    <w:unhideWhenUsed/>
    <w:rsid w:val="00DA0EE0"/>
    <w:pPr>
      <w:spacing w:after="100"/>
      <w:ind w:left="440"/>
    </w:pPr>
  </w:style>
  <w:style w:type="character" w:styleId="Hyperlink">
    <w:name w:val="Hyperlink"/>
    <w:basedOn w:val="DefaultParagraphFont"/>
    <w:uiPriority w:val="99"/>
    <w:unhideWhenUsed/>
    <w:rsid w:val="00DA0EE0"/>
    <w:rPr>
      <w:color w:val="0563C1" w:themeColor="hyperlink"/>
      <w:u w:val="single"/>
    </w:rPr>
  </w:style>
  <w:style w:type="character" w:styleId="CommentReference">
    <w:name w:val="annotation reference"/>
    <w:basedOn w:val="DefaultParagraphFont"/>
    <w:uiPriority w:val="99"/>
    <w:semiHidden/>
    <w:unhideWhenUsed/>
    <w:rsid w:val="00F8618B"/>
    <w:rPr>
      <w:sz w:val="16"/>
      <w:szCs w:val="16"/>
    </w:rPr>
  </w:style>
  <w:style w:type="paragraph" w:styleId="CommentText">
    <w:name w:val="annotation text"/>
    <w:basedOn w:val="Normal"/>
    <w:link w:val="CommentTextChar"/>
    <w:uiPriority w:val="99"/>
    <w:semiHidden/>
    <w:unhideWhenUsed/>
    <w:rsid w:val="00F8618B"/>
    <w:pPr>
      <w:spacing w:line="240" w:lineRule="auto"/>
    </w:pPr>
    <w:rPr>
      <w:sz w:val="20"/>
      <w:szCs w:val="20"/>
    </w:rPr>
  </w:style>
  <w:style w:type="character" w:customStyle="1" w:styleId="CommentTextChar">
    <w:name w:val="Comment Text Char"/>
    <w:basedOn w:val="DefaultParagraphFont"/>
    <w:link w:val="CommentText"/>
    <w:uiPriority w:val="99"/>
    <w:semiHidden/>
    <w:rsid w:val="00F8618B"/>
    <w:rPr>
      <w:sz w:val="20"/>
      <w:szCs w:val="20"/>
    </w:rPr>
  </w:style>
  <w:style w:type="paragraph" w:styleId="CommentSubject">
    <w:name w:val="annotation subject"/>
    <w:basedOn w:val="CommentText"/>
    <w:next w:val="CommentText"/>
    <w:link w:val="CommentSubjectChar"/>
    <w:uiPriority w:val="99"/>
    <w:semiHidden/>
    <w:unhideWhenUsed/>
    <w:rsid w:val="00F8618B"/>
    <w:rPr>
      <w:b/>
      <w:bCs/>
    </w:rPr>
  </w:style>
  <w:style w:type="character" w:customStyle="1" w:styleId="CommentSubjectChar">
    <w:name w:val="Comment Subject Char"/>
    <w:basedOn w:val="CommentTextChar"/>
    <w:link w:val="CommentSubject"/>
    <w:uiPriority w:val="99"/>
    <w:semiHidden/>
    <w:rsid w:val="00F861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mental-health/dementia/" TargetMode="External"/><Relationship Id="rId18" Type="http://schemas.openxmlformats.org/officeDocument/2006/relationships/hyperlink" Target="https://www.nhs.uk/conditions/dementia/care-and-support/social-services-and-the-nhs/" TargetMode="External"/><Relationship Id="rId3" Type="http://schemas.openxmlformats.org/officeDocument/2006/relationships/styles" Target="styles.xml"/><Relationship Id="rId21" Type="http://schemas.openxmlformats.org/officeDocument/2006/relationships/hyperlink" Target="https://webarchive.nationalarchives.gov.uk/ukgwa/20250506042058/https:/www.longtermplan.nhs.uk/areas-of-work/ageing-well/" TargetMode="External"/><Relationship Id="rId7" Type="http://schemas.openxmlformats.org/officeDocument/2006/relationships/endnotes" Target="endnotes.xml"/><Relationship Id="rId12" Type="http://schemas.openxmlformats.org/officeDocument/2006/relationships/hyperlink" Target="https://www.imperial.nhs.uk/about-us/news/innovative-home-monitoring-service-aims-to-improve-care" TargetMode="External"/><Relationship Id="rId17" Type="http://schemas.openxmlformats.org/officeDocument/2006/relationships/hyperlink" Target="https://www.nhs.uk/conditions/dementia/about-dementia/prevention/" TargetMode="External"/><Relationship Id="rId2" Type="http://schemas.openxmlformats.org/officeDocument/2006/relationships/numbering" Target="numbering.xml"/><Relationship Id="rId16" Type="http://schemas.openxmlformats.org/officeDocument/2006/relationships/hyperlink" Target="https://www.england.nhs.uk/ourwork/clinical-policy/older-people/healthy-ageing-caring/" TargetMode="External"/><Relationship Id="rId20" Type="http://schemas.openxmlformats.org/officeDocument/2006/relationships/hyperlink" Target="https://www.oecd.org/en/publications/2025/11/health-at-a-glance-2025_a894f72e/full-report/dementia_8b14a2e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hw.nhs.wales/reports/cardiovascular-disease-prevalence-trends-risk-factors-and-10-year-projection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henhsalliance.org/resources/supporting-people-living-with-frailty/the-impacts-of-frailty-and-current-policy" TargetMode="External"/><Relationship Id="rId23" Type="http://schemas.openxmlformats.org/officeDocument/2006/relationships/fontTable" Target="fontTable.xml"/><Relationship Id="rId10" Type="http://schemas.openxmlformats.org/officeDocument/2006/relationships/hyperlink" Target="https://www.ageuk.org.uk/services/" TargetMode="External"/><Relationship Id="rId19" Type="http://schemas.openxmlformats.org/officeDocument/2006/relationships/hyperlink" Target="https://www.england.nhs.uk/nursingmidwifery/shared-governance-through-collective-leadership/nursing-covid-19-catalogue-of-change/supporting-people-with-dementi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igital.nhs.uk/data-and-information/publications/statistical/primary-care-dementia-data/june-2026" TargetMode="External"/><Relationship Id="rId22" Type="http://schemas.openxmlformats.org/officeDocument/2006/relationships/hyperlink" Target="https://www.who.int/data/inequality-moni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B1F48-7512-49D9-9400-4E4532874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4348</Words>
  <Characters>24788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pulkit patel</cp:lastModifiedBy>
  <cp:revision>3</cp:revision>
  <dcterms:created xsi:type="dcterms:W3CDTF">2026-08-13T15:19:00Z</dcterms:created>
  <dcterms:modified xsi:type="dcterms:W3CDTF">2026-08-17T18:02:00Z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d779ebb0-5885-413b-b6ad-57dadc0359ea</vt:lpwstr>
  </property>
</Properties>
</file>