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7D2FEE" w14:textId="77777777" w:rsidR="00064705" w:rsidRDefault="00064705" w:rsidP="00064705">
      <w:pPr>
        <w:jc w:val="center"/>
        <w:rPr>
          <w:rFonts w:asciiTheme="majorHAnsi" w:hAnsiTheme="majorHAnsi" w:cs="Segoe UI"/>
          <w:b/>
          <w:bCs/>
          <w:color w:val="1D2125"/>
          <w:sz w:val="28"/>
          <w:szCs w:val="28"/>
          <w:shd w:val="clear" w:color="auto" w:fill="FFFFFF"/>
        </w:rPr>
      </w:pPr>
      <w:r w:rsidRPr="003C09BE">
        <w:rPr>
          <w:rFonts w:asciiTheme="majorHAnsi" w:hAnsiTheme="majorHAnsi" w:cs="Segoe UI"/>
          <w:b/>
          <w:bCs/>
          <w:color w:val="1D2125"/>
          <w:sz w:val="28"/>
          <w:szCs w:val="28"/>
          <w:shd w:val="clear" w:color="auto" w:fill="FFFFFF"/>
        </w:rPr>
        <w:t>How useful is it to conceptualise the genocide of the Herero and Nama people in Namibia as a precursor to the Holocaust?</w:t>
      </w:r>
    </w:p>
    <w:p w14:paraId="75948C82" w14:textId="77777777" w:rsidR="003E7FA8" w:rsidRDefault="003E7FA8"/>
    <w:p w14:paraId="77987B2D" w14:textId="77777777" w:rsidR="00064705" w:rsidRDefault="00064705"/>
    <w:p w14:paraId="33D6BADE" w14:textId="07C99DC5" w:rsidR="00064705" w:rsidRDefault="00064705">
      <w:r>
        <w:tab/>
        <w:t xml:space="preserve">Humankinds’ capacity for extreme violence has arguably been a hallmark, if not </w:t>
      </w:r>
      <w:r>
        <w:rPr>
          <w:i/>
          <w:iCs/>
        </w:rPr>
        <w:t xml:space="preserve">the </w:t>
      </w:r>
      <w:r>
        <w:t>hallmark, of the 20</w:t>
      </w:r>
      <w:r w:rsidRPr="00064705">
        <w:rPr>
          <w:vertAlign w:val="superscript"/>
        </w:rPr>
        <w:t>th</w:t>
      </w:r>
      <w:r>
        <w:t xml:space="preserve"> century.</w:t>
      </w:r>
      <w:r>
        <w:rPr>
          <w:rStyle w:val="FootnoteReference"/>
        </w:rPr>
        <w:footnoteReference w:id="1"/>
      </w:r>
      <w:r>
        <w:t xml:space="preserve"> Th</w:t>
      </w:r>
      <w:r w:rsidR="008D0D32">
        <w:t>e 20</w:t>
      </w:r>
      <w:r w:rsidR="008D0D32" w:rsidRPr="008D0D32">
        <w:rPr>
          <w:vertAlign w:val="superscript"/>
        </w:rPr>
        <w:t>th</w:t>
      </w:r>
      <w:r>
        <w:t xml:space="preserve"> century saw both the peak and rapid decline of European colonialism</w:t>
      </w:r>
      <w:r w:rsidR="003F7C6E">
        <w:t>; it</w:t>
      </w:r>
      <w:r>
        <w:t xml:space="preserve"> was arguably defined in its first half, by horrific colonial violence across</w:t>
      </w:r>
      <w:r w:rsidR="009B2AD1">
        <w:t xml:space="preserve"> both </w:t>
      </w:r>
      <w:r>
        <w:t>the traditional colonies of Africa, and later, across Europe itself. Raphael Lemkin coined the term genocide in the early 1940s, and his work led to its enshrinement into international law in 1948.</w:t>
      </w:r>
      <w:r>
        <w:rPr>
          <w:rStyle w:val="FootnoteReference"/>
        </w:rPr>
        <w:footnoteReference w:id="2"/>
      </w:r>
      <w:r>
        <w:t xml:space="preserve"> The Holocaust was arguably the most infamous genocide of the 20</w:t>
      </w:r>
      <w:r w:rsidRPr="00064705">
        <w:rPr>
          <w:vertAlign w:val="superscript"/>
        </w:rPr>
        <w:t>th</w:t>
      </w:r>
      <w:r>
        <w:t xml:space="preserve"> century, killing an estimated six million jews between 1941 and 1945,</w:t>
      </w:r>
      <w:r w:rsidR="009B2AD1">
        <w:t xml:space="preserve"> </w:t>
      </w:r>
      <w:r>
        <w:t>prompting Lemkin’s work. The first genocide of the 20</w:t>
      </w:r>
      <w:r w:rsidRPr="00064705">
        <w:rPr>
          <w:vertAlign w:val="superscript"/>
        </w:rPr>
        <w:t>th</w:t>
      </w:r>
      <w:r>
        <w:t xml:space="preserve"> </w:t>
      </w:r>
      <w:proofErr w:type="gramStart"/>
      <w:r>
        <w:t>century</w:t>
      </w:r>
      <w:proofErr w:type="gramEnd"/>
      <w:r>
        <w:t xml:space="preserve"> </w:t>
      </w:r>
      <w:r w:rsidR="00534AA7">
        <w:t xml:space="preserve">however, </w:t>
      </w:r>
      <w:r>
        <w:t xml:space="preserve">was also perpetrated by Germany some </w:t>
      </w:r>
      <w:r w:rsidR="00217A75">
        <w:t>near 4</w:t>
      </w:r>
      <w:r>
        <w:t>0 years earlier in German South-west Africa</w:t>
      </w:r>
      <w:r w:rsidR="00691165">
        <w:t xml:space="preserve"> (modern day Namibia)</w:t>
      </w:r>
      <w:r>
        <w:t xml:space="preserve"> against the Herero and Nama people</w:t>
      </w:r>
      <w:r w:rsidR="00691165">
        <w:t>.</w:t>
      </w:r>
      <w:r>
        <w:t xml:space="preserve"> Termed </w:t>
      </w:r>
      <w:r w:rsidRPr="00064705">
        <w:rPr>
          <w:i/>
          <w:iCs/>
        </w:rPr>
        <w:t>‘Germany’s forgotten genocide</w:t>
      </w:r>
      <w:r>
        <w:rPr>
          <w:i/>
          <w:iCs/>
        </w:rPr>
        <w:t>,</w:t>
      </w:r>
      <w:r w:rsidRPr="00064705">
        <w:rPr>
          <w:i/>
          <w:iCs/>
        </w:rPr>
        <w:t>’</w:t>
      </w:r>
      <w:r>
        <w:rPr>
          <w:rStyle w:val="FootnoteReference"/>
          <w:i/>
          <w:iCs/>
        </w:rPr>
        <w:footnoteReference w:id="3"/>
      </w:r>
      <w:r>
        <w:t xml:space="preserve"> between 1904 and 1908</w:t>
      </w:r>
      <w:r>
        <w:rPr>
          <w:i/>
          <w:iCs/>
        </w:rPr>
        <w:t xml:space="preserve"> </w:t>
      </w:r>
      <w:r>
        <w:t>the once 80,000 Herero population was reduced to as little as 20,000,</w:t>
      </w:r>
      <w:r>
        <w:rPr>
          <w:rStyle w:val="FootnoteReference"/>
        </w:rPr>
        <w:footnoteReference w:id="4"/>
      </w:r>
      <w:r>
        <w:t xml:space="preserve"> and an estimated 10,000 Nama had been systematically killed by the German Schutzetruppe.</w:t>
      </w:r>
      <w:r>
        <w:rPr>
          <w:rStyle w:val="FootnoteReference"/>
        </w:rPr>
        <w:footnoteReference w:id="5"/>
      </w:r>
      <w:r>
        <w:t xml:space="preserve"> The links between the separate genocides of the </w:t>
      </w:r>
      <w:r w:rsidR="007624D6">
        <w:t>S</w:t>
      </w:r>
      <w:r>
        <w:t xml:space="preserve">econd and </w:t>
      </w:r>
      <w:r w:rsidR="007624D6">
        <w:t>T</w:t>
      </w:r>
      <w:r>
        <w:t>hird Reich’s have long been debated by scholars, as has the usefulness of such a comparison.</w:t>
      </w:r>
      <w:r>
        <w:rPr>
          <w:rStyle w:val="FootnoteReference"/>
        </w:rPr>
        <w:footnoteReference w:id="6"/>
      </w:r>
      <w:r>
        <w:t xml:space="preserve"> To assess the usefulness of </w:t>
      </w:r>
      <w:r w:rsidR="00AE518E">
        <w:t xml:space="preserve">this </w:t>
      </w:r>
      <w:r>
        <w:t>conceptualis</w:t>
      </w:r>
      <w:r w:rsidR="00AE518E">
        <w:t>ation</w:t>
      </w:r>
      <w:r>
        <w:t xml:space="preserve">, this essay will examine the links between Nazism and the crimes of the </w:t>
      </w:r>
      <w:r w:rsidR="00C63DB4">
        <w:t>S</w:t>
      </w:r>
      <w:r>
        <w:t>econd Reich and whether these links constitute a continuity, directly or indirectly. Then this essay will conclude that the conceptualisation, on balance, is a useful one. Rather than diminishing either genocide, it dismantles the concept of Nazi exceptionalism in German, and wider European history, opening the door to wider conversations about colonial violence in Africa and across the world.</w:t>
      </w:r>
    </w:p>
    <w:p w14:paraId="127457CB" w14:textId="77777777" w:rsidR="00064705" w:rsidRDefault="00064705"/>
    <w:p w14:paraId="4767FAFF" w14:textId="72FC5D2B" w:rsidR="00064705" w:rsidRDefault="00064705">
      <w:r>
        <w:tab/>
        <w:t>Colonial history of the 19</w:t>
      </w:r>
      <w:r w:rsidRPr="00064705">
        <w:rPr>
          <w:vertAlign w:val="superscript"/>
        </w:rPr>
        <w:t>th</w:t>
      </w:r>
      <w:r>
        <w:t xml:space="preserve"> and</w:t>
      </w:r>
      <w:r w:rsidR="0006162F">
        <w:t xml:space="preserve"> early</w:t>
      </w:r>
      <w:r>
        <w:t xml:space="preserve"> 20</w:t>
      </w:r>
      <w:r w:rsidRPr="00064705">
        <w:rPr>
          <w:vertAlign w:val="superscript"/>
        </w:rPr>
        <w:t>th</w:t>
      </w:r>
      <w:r>
        <w:t xml:space="preserve"> centuries was no stranger to brutality</w:t>
      </w:r>
      <w:r w:rsidR="0006162F">
        <w:t>,</w:t>
      </w:r>
      <w:r>
        <w:t xml:space="preserve"> nor</w:t>
      </w:r>
      <w:r w:rsidR="0006162F">
        <w:t xml:space="preserve"> to</w:t>
      </w:r>
      <w:r>
        <w:t xml:space="preserve"> horrific massacres against native African populations. In this respect Namibia was neither unique, nor the only possible source of inspiration </w:t>
      </w:r>
      <w:r w:rsidR="0006162F">
        <w:t>for</w:t>
      </w:r>
      <w:r>
        <w:t xml:space="preserve"> Nazi imperialism.</w:t>
      </w:r>
      <w:r>
        <w:rPr>
          <w:rStyle w:val="FootnoteReference"/>
        </w:rPr>
        <w:footnoteReference w:id="7"/>
      </w:r>
      <w:r>
        <w:t xml:space="preserve"> Between 1885 and 1920, it is estimated that around ten million Africans were killed or worked to death in the Belgian Congo in the pursuit of resources.</w:t>
      </w:r>
      <w:r>
        <w:rPr>
          <w:rStyle w:val="FootnoteReference"/>
        </w:rPr>
        <w:footnoteReference w:id="8"/>
      </w:r>
      <w:r>
        <w:t xml:space="preserve"> Whilst the events in </w:t>
      </w:r>
      <w:r>
        <w:lastRenderedPageBreak/>
        <w:t xml:space="preserve">German South-west Africa were arguably not the first or last genocidal acts of </w:t>
      </w:r>
      <w:r w:rsidR="0006162F">
        <w:t>European</w:t>
      </w:r>
      <w:r>
        <w:t xml:space="preserve"> colonialism</w:t>
      </w:r>
      <w:r w:rsidR="002D565C">
        <w:t>.</w:t>
      </w:r>
      <w:r>
        <w:t xml:space="preserve"> </w:t>
      </w:r>
      <w:r w:rsidR="002D565C" w:rsidRPr="002D565C">
        <w:rPr>
          <w:color w:val="000000" w:themeColor="text1"/>
        </w:rPr>
        <w:t>W</w:t>
      </w:r>
      <w:r w:rsidRPr="002D565C">
        <w:rPr>
          <w:color w:val="000000" w:themeColor="text1"/>
        </w:rPr>
        <w:t xml:space="preserve">hat set </w:t>
      </w:r>
      <w:r w:rsidR="0006162F" w:rsidRPr="002D565C">
        <w:rPr>
          <w:color w:val="000000" w:themeColor="text1"/>
        </w:rPr>
        <w:t>Namibia</w:t>
      </w:r>
      <w:r w:rsidRPr="002D565C">
        <w:rPr>
          <w:color w:val="000000" w:themeColor="text1"/>
        </w:rPr>
        <w:t xml:space="preserve"> apart was the explicit and articulated policy of annihilation or </w:t>
      </w:r>
      <w:r w:rsidRPr="002D565C">
        <w:rPr>
          <w:i/>
          <w:iCs/>
          <w:color w:val="000000" w:themeColor="text1"/>
        </w:rPr>
        <w:t xml:space="preserve">Vernichtung </w:t>
      </w:r>
      <w:r w:rsidRPr="002D565C">
        <w:rPr>
          <w:color w:val="000000" w:themeColor="text1"/>
        </w:rPr>
        <w:t xml:space="preserve">toward </w:t>
      </w:r>
      <w:r>
        <w:t xml:space="preserve">the </w:t>
      </w:r>
      <w:proofErr w:type="gramStart"/>
      <w:r>
        <w:t>Herero</w:t>
      </w:r>
      <w:r w:rsidR="00AB752C">
        <w:t xml:space="preserve"> ,</w:t>
      </w:r>
      <w:r>
        <w:t>and</w:t>
      </w:r>
      <w:proofErr w:type="gramEnd"/>
      <w:r>
        <w:t xml:space="preserve"> later Nama</w:t>
      </w:r>
      <w:r w:rsidR="00AB752C">
        <w:t xml:space="preserve">, </w:t>
      </w:r>
      <w:r>
        <w:t>people.</w:t>
      </w:r>
      <w:r>
        <w:rPr>
          <w:rStyle w:val="FootnoteReference"/>
        </w:rPr>
        <w:footnoteReference w:id="9"/>
      </w:r>
      <w:r>
        <w:t xml:space="preserve"> On the 2</w:t>
      </w:r>
      <w:r w:rsidRPr="00064705">
        <w:rPr>
          <w:vertAlign w:val="superscript"/>
        </w:rPr>
        <w:t>nd</w:t>
      </w:r>
      <w:r>
        <w:t xml:space="preserve"> of October 1904, General Lothar von Trotha promulgated his now infamous extermination order.</w:t>
      </w:r>
      <w:r>
        <w:rPr>
          <w:rStyle w:val="FootnoteReference"/>
        </w:rPr>
        <w:footnoteReference w:id="10"/>
      </w:r>
      <w:r>
        <w:t xml:space="preserve"> “</w:t>
      </w:r>
      <w:r w:rsidRPr="00C40145">
        <w:t>Any Herero found within the German borders with or without a gun, with or without cattle, will be shot. I shall no longer receive any women or children, I will drive them back to their people or I will shoot them.”</w:t>
      </w:r>
      <w:r w:rsidRPr="00C40145">
        <w:rPr>
          <w:rStyle w:val="FootnoteReference"/>
        </w:rPr>
        <w:footnoteReference w:id="11"/>
      </w:r>
      <w:r>
        <w:rPr>
          <w:i/>
          <w:iCs/>
        </w:rPr>
        <w:t xml:space="preserve"> </w:t>
      </w:r>
      <w:r>
        <w:t>Trotha would release a second extermination order in April 1905 for the Nama, which threatened them with the same fate as the Herero.</w:t>
      </w:r>
      <w:r>
        <w:rPr>
          <w:rStyle w:val="FootnoteReference"/>
        </w:rPr>
        <w:footnoteReference w:id="12"/>
      </w:r>
      <w:r>
        <w:t xml:space="preserve"> Recorded in the 1915 British </w:t>
      </w:r>
      <w:r w:rsidR="00EF2B34">
        <w:t>‘</w:t>
      </w:r>
      <w:r w:rsidRPr="00EF2B34">
        <w:rPr>
          <w:i/>
          <w:iCs/>
        </w:rPr>
        <w:t>Blue book</w:t>
      </w:r>
      <w:r w:rsidR="00EF2B34">
        <w:rPr>
          <w:i/>
          <w:iCs/>
        </w:rPr>
        <w:t>’</w:t>
      </w:r>
      <w:r>
        <w:t>, former groom to von Trotha, Manuel Timbu, r</w:t>
      </w:r>
      <w:r w:rsidRPr="00C40145">
        <w:t>ecalls the general giving orders to his troops before they marched on Waterberg</w:t>
      </w:r>
      <w:r w:rsidR="001D4A0D" w:rsidRPr="00C40145">
        <w:t>.</w:t>
      </w:r>
      <w:r w:rsidRPr="00C40145">
        <w:t xml:space="preserve"> “</w:t>
      </w:r>
      <w:r w:rsidR="001D4A0D" w:rsidRPr="00C40145">
        <w:t>N</w:t>
      </w:r>
      <w:r w:rsidRPr="00C40145">
        <w:t>o quarter was to be given to the enemy. No prisoners were to be taken, but all, regardless of age or sex, were to be killed</w:t>
      </w:r>
      <w:r w:rsidR="00857574" w:rsidRPr="00C40145">
        <w:t>.</w:t>
      </w:r>
      <w:r w:rsidRPr="00C40145">
        <w:t>”</w:t>
      </w:r>
      <w:r w:rsidRPr="00C40145">
        <w:rPr>
          <w:rStyle w:val="FootnoteReference"/>
        </w:rPr>
        <w:footnoteReference w:id="13"/>
      </w:r>
      <w:r w:rsidRPr="00C40145">
        <w:t xml:space="preserve"> </w:t>
      </w:r>
      <w:r>
        <w:t>Directly quoting Trotha, Timbu recalls</w:t>
      </w:r>
      <w:r w:rsidR="00857574">
        <w:t>:</w:t>
      </w:r>
      <w:r>
        <w:t xml:space="preserve"> </w:t>
      </w:r>
      <w:r w:rsidRPr="00064705">
        <w:rPr>
          <w:i/>
          <w:iCs/>
        </w:rPr>
        <w:t>“</w:t>
      </w:r>
      <w:r w:rsidR="006A0856">
        <w:rPr>
          <w:i/>
          <w:iCs/>
        </w:rPr>
        <w:t>w</w:t>
      </w:r>
      <w:r w:rsidRPr="00064705">
        <w:rPr>
          <w:i/>
          <w:iCs/>
        </w:rPr>
        <w:t>e must exterminate them, so that we won’t be bothered with rebellions in the future</w:t>
      </w:r>
      <w:r>
        <w:rPr>
          <w:i/>
          <w:iCs/>
        </w:rPr>
        <w:t>.</w:t>
      </w:r>
      <w:r w:rsidRPr="00064705">
        <w:rPr>
          <w:i/>
          <w:iCs/>
        </w:rPr>
        <w:t>”</w:t>
      </w:r>
      <w:r>
        <w:rPr>
          <w:i/>
          <w:iCs/>
        </w:rPr>
        <w:t xml:space="preserve"> </w:t>
      </w:r>
      <w:r>
        <w:rPr>
          <w:rStyle w:val="FootnoteReference"/>
          <w:i/>
          <w:iCs/>
        </w:rPr>
        <w:footnoteReference w:id="14"/>
      </w:r>
      <w:r>
        <w:rPr>
          <w:i/>
          <w:iCs/>
        </w:rPr>
        <w:t xml:space="preserve"> </w:t>
      </w:r>
      <w:r>
        <w:t>It was th</w:t>
      </w:r>
      <w:r w:rsidR="0006162F">
        <w:t>is</w:t>
      </w:r>
      <w:r>
        <w:t xml:space="preserve"> explicit </w:t>
      </w:r>
      <w:r w:rsidR="0006162F">
        <w:t>aim</w:t>
      </w:r>
      <w:r>
        <w:t xml:space="preserve"> of annihilation that set German South-west Africa apart from the rest of colonial violence and </w:t>
      </w:r>
      <w:r w:rsidR="006A0856">
        <w:t xml:space="preserve">arguably </w:t>
      </w:r>
      <w:r>
        <w:t>represented a turning point</w:t>
      </w:r>
      <w:r w:rsidR="0006162F">
        <w:t>.</w:t>
      </w:r>
      <w:r>
        <w:t xml:space="preserve"> </w:t>
      </w:r>
      <w:r w:rsidR="0006162F">
        <w:t>T</w:t>
      </w:r>
      <w:r>
        <w:t xml:space="preserve">he extermination of the Herero and Nama populations was not ‘collateral damage’ it was </w:t>
      </w:r>
      <w:r w:rsidR="0006162F">
        <w:t xml:space="preserve">the </w:t>
      </w:r>
      <w:r>
        <w:t xml:space="preserve">unapologetic and </w:t>
      </w:r>
      <w:proofErr w:type="gramStart"/>
      <w:r>
        <w:t>ultimate goal</w:t>
      </w:r>
      <w:proofErr w:type="gramEnd"/>
      <w:r>
        <w:t>.</w:t>
      </w:r>
      <w:r>
        <w:rPr>
          <w:rStyle w:val="FootnoteReference"/>
        </w:rPr>
        <w:footnoteReference w:id="15"/>
      </w:r>
      <w:r>
        <w:t xml:space="preserve"> The ideas of </w:t>
      </w:r>
      <w:r w:rsidR="001603CA">
        <w:rPr>
          <w:i/>
          <w:iCs/>
        </w:rPr>
        <w:t>r</w:t>
      </w:r>
      <w:r>
        <w:rPr>
          <w:i/>
          <w:iCs/>
        </w:rPr>
        <w:t xml:space="preserve">assenkampf </w:t>
      </w:r>
      <w:r>
        <w:t xml:space="preserve">and social Darwinism that drove von Trotha, separated him from </w:t>
      </w:r>
      <w:r w:rsidR="001603CA">
        <w:t xml:space="preserve">other colonial </w:t>
      </w:r>
      <w:r w:rsidR="00FD336A">
        <w:t xml:space="preserve">governors, namely </w:t>
      </w:r>
      <w:r>
        <w:t>his predecessor Leutwein.</w:t>
      </w:r>
      <w:r>
        <w:rPr>
          <w:rStyle w:val="FootnoteReference"/>
        </w:rPr>
        <w:footnoteReference w:id="16"/>
      </w:r>
      <w:r>
        <w:t xml:space="preserve"> It </w:t>
      </w:r>
      <w:r w:rsidR="0006162F">
        <w:t>i</w:t>
      </w:r>
      <w:r>
        <w:t>s however these leanings that connect that bind</w:t>
      </w:r>
      <w:r w:rsidR="00FD336A">
        <w:t>s</w:t>
      </w:r>
      <w:r>
        <w:t xml:space="preserve"> Trothas rhetoric to that of the later Nazi party.</w:t>
      </w:r>
    </w:p>
    <w:p w14:paraId="7908F1A9" w14:textId="77777777" w:rsidR="00064705" w:rsidRDefault="00064705"/>
    <w:p w14:paraId="2C60DA01" w14:textId="354CBFA7" w:rsidR="00064705" w:rsidRDefault="00064705">
      <w:r>
        <w:tab/>
        <w:t>Nazi colonial expansion into Europe was based largely upon the same theory that drove the expansion and later genocide in German South-west Africa</w:t>
      </w:r>
      <w:r w:rsidR="0036137E">
        <w:t>;</w:t>
      </w:r>
      <w:r>
        <w:t xml:space="preserve"> Friedrich Ratzels theory of Lebensraum, or ‘</w:t>
      </w:r>
      <w:r w:rsidRPr="00064705">
        <w:rPr>
          <w:i/>
          <w:iCs/>
        </w:rPr>
        <w:t>living space</w:t>
      </w:r>
      <w:r>
        <w:t>’.</w:t>
      </w:r>
      <w:r>
        <w:rPr>
          <w:rStyle w:val="FootnoteReference"/>
        </w:rPr>
        <w:footnoteReference w:id="17"/>
      </w:r>
      <w:r>
        <w:t xml:space="preserve"> Coin</w:t>
      </w:r>
      <w:r w:rsidR="0006162F">
        <w:t xml:space="preserve">ing the term </w:t>
      </w:r>
      <w:r>
        <w:t xml:space="preserve">in 1897, Ratzel would continue his work on </w:t>
      </w:r>
      <w:r w:rsidR="0036137E">
        <w:t>the</w:t>
      </w:r>
      <w:r>
        <w:t xml:space="preserve"> theory until his death in 1904.</w:t>
      </w:r>
      <w:r>
        <w:rPr>
          <w:rStyle w:val="FootnoteReference"/>
        </w:rPr>
        <w:footnoteReference w:id="18"/>
      </w:r>
      <w:r>
        <w:t xml:space="preserve"> His theory had three main principles.</w:t>
      </w:r>
      <w:r>
        <w:rPr>
          <w:rStyle w:val="FootnoteReference"/>
        </w:rPr>
        <w:footnoteReference w:id="19"/>
      </w:r>
      <w:r>
        <w:t xml:space="preserve"> The first was that a </w:t>
      </w:r>
      <w:r>
        <w:rPr>
          <w:i/>
          <w:iCs/>
        </w:rPr>
        <w:t xml:space="preserve">Volk </w:t>
      </w:r>
      <w:r>
        <w:t>(</w:t>
      </w:r>
      <w:r w:rsidR="0006162F">
        <w:t xml:space="preserve">or </w:t>
      </w:r>
      <w:r>
        <w:t xml:space="preserve">people) required a geographical space to sustain them. second was that, as </w:t>
      </w:r>
      <w:r w:rsidR="0006162F">
        <w:t>the</w:t>
      </w:r>
      <w:r>
        <w:t xml:space="preserve"> </w:t>
      </w:r>
      <w:r w:rsidRPr="00064705">
        <w:rPr>
          <w:i/>
          <w:iCs/>
        </w:rPr>
        <w:t>Volk</w:t>
      </w:r>
      <w:r>
        <w:t xml:space="preserve"> expands in population, it </w:t>
      </w:r>
      <w:r w:rsidR="00EA1519">
        <w:t>must</w:t>
      </w:r>
      <w:r>
        <w:t xml:space="preserve"> also expand its territory by a combination of migration, colonization, and conquest, or it will perish due to a lack of resources. Thirdly, Ratzel argued that a </w:t>
      </w:r>
      <w:r>
        <w:rPr>
          <w:i/>
          <w:iCs/>
        </w:rPr>
        <w:t>Volk</w:t>
      </w:r>
      <w:r w:rsidRPr="00064705">
        <w:t xml:space="preserve"> needed a strong agricultural base </w:t>
      </w:r>
      <w:proofErr w:type="gramStart"/>
      <w:r>
        <w:t>in order to</w:t>
      </w:r>
      <w:proofErr w:type="gramEnd"/>
      <w:r>
        <w:t xml:space="preserve"> flourish.</w:t>
      </w:r>
      <w:r>
        <w:rPr>
          <w:rStyle w:val="FootnoteReference"/>
        </w:rPr>
        <w:footnoteReference w:id="20"/>
      </w:r>
      <w:r>
        <w:t xml:space="preserve"> Ratzel</w:t>
      </w:r>
      <w:r w:rsidR="00BA354A">
        <w:t>’</w:t>
      </w:r>
      <w:r>
        <w:t xml:space="preserve">s </w:t>
      </w:r>
      <w:r w:rsidR="0006162F">
        <w:t xml:space="preserve">1901 </w:t>
      </w:r>
      <w:r w:rsidR="00BA354A" w:rsidRPr="00D35160">
        <w:rPr>
          <w:i/>
          <w:iCs/>
        </w:rPr>
        <w:t>‘Der Lebensraum’,</w:t>
      </w:r>
      <w:r w:rsidR="00BA354A">
        <w:t xml:space="preserve"> </w:t>
      </w:r>
      <w:r>
        <w:t>makes no mention of German South-west Africa</w:t>
      </w:r>
      <w:r w:rsidR="00BA354A">
        <w:t>. However, Madley argues that German South</w:t>
      </w:r>
      <w:r w:rsidR="00BB5933">
        <w:t>-</w:t>
      </w:r>
      <w:r w:rsidR="00BA354A">
        <w:t xml:space="preserve">west Africa, being the most populous settler colony at the time, and having been previously designated by Ratzel as a great candidate for settlement in 1892, was the clear </w:t>
      </w:r>
      <w:r w:rsidR="00BA354A">
        <w:lastRenderedPageBreak/>
        <w:t xml:space="preserve">candidate </w:t>
      </w:r>
      <w:r w:rsidR="00BB5933">
        <w:t>in Ratzels thinking</w:t>
      </w:r>
      <w:r w:rsidR="00BA354A">
        <w:t>.</w:t>
      </w:r>
      <w:r w:rsidR="00BA354A">
        <w:rPr>
          <w:rStyle w:val="FootnoteReference"/>
        </w:rPr>
        <w:footnoteReference w:id="21"/>
      </w:r>
      <w:r w:rsidR="00C95160">
        <w:t xml:space="preserve"> Lebensraum would go on to be a </w:t>
      </w:r>
      <w:r w:rsidR="00BB5933">
        <w:t>central</w:t>
      </w:r>
      <w:r w:rsidR="00C95160">
        <w:t xml:space="preserve"> theory in Nazi </w:t>
      </w:r>
      <w:r w:rsidR="00BB5933">
        <w:t xml:space="preserve">expansionist </w:t>
      </w:r>
      <w:r w:rsidR="00C95160">
        <w:t>ideology</w:t>
      </w:r>
      <w:r w:rsidR="00BB5933">
        <w:t>.</w:t>
      </w:r>
      <w:r w:rsidR="00C95160">
        <w:t xml:space="preserve"> </w:t>
      </w:r>
      <w:r w:rsidR="00BB5933">
        <w:t>A</w:t>
      </w:r>
      <w:r w:rsidR="00C95160">
        <w:t xml:space="preserve">ccording to </w:t>
      </w:r>
      <w:r w:rsidR="00961CC7">
        <w:t>Professor</w:t>
      </w:r>
      <w:r w:rsidR="00C95160">
        <w:t xml:space="preserve"> Karl Haushofer who visited Hitler in Landsberg prison, Rudolf Hess read and discussed Ratzel</w:t>
      </w:r>
      <w:r w:rsidR="006002E1">
        <w:t>’</w:t>
      </w:r>
      <w:r w:rsidR="00C95160">
        <w:t xml:space="preserve">s 1897 </w:t>
      </w:r>
      <w:r w:rsidR="00255C34">
        <w:t>Political Geography with Hitler while the two were writing Mein Kampf.</w:t>
      </w:r>
      <w:r w:rsidR="00255C34">
        <w:rPr>
          <w:rStyle w:val="FootnoteReference"/>
        </w:rPr>
        <w:footnoteReference w:id="22"/>
      </w:r>
    </w:p>
    <w:p w14:paraId="018D1E1B" w14:textId="77777777" w:rsidR="00255C34" w:rsidRDefault="00255C34"/>
    <w:p w14:paraId="26366F5D" w14:textId="2CCED99F" w:rsidR="00F37195" w:rsidRDefault="00255C34">
      <w:r>
        <w:tab/>
        <w:t xml:space="preserve">Friedrich Ratzel’s </w:t>
      </w:r>
      <w:r>
        <w:rPr>
          <w:i/>
          <w:iCs/>
        </w:rPr>
        <w:t>Volk</w:t>
      </w:r>
      <w:r>
        <w:t xml:space="preserve"> was not </w:t>
      </w:r>
      <w:r w:rsidR="00BB5933">
        <w:t xml:space="preserve">however, an explicitly </w:t>
      </w:r>
      <w:r>
        <w:t>racially homogenous entity</w:t>
      </w:r>
      <w:r w:rsidR="00BB5933">
        <w:t>.</w:t>
      </w:r>
      <w:r>
        <w:t xml:space="preserve"> Ratzel argued that </w:t>
      </w:r>
      <w:r w:rsidRPr="002B7D1F">
        <w:t xml:space="preserve">most </w:t>
      </w:r>
      <w:r w:rsidRPr="002B7D1F">
        <w:rPr>
          <w:i/>
          <w:iCs/>
        </w:rPr>
        <w:t>V</w:t>
      </w:r>
      <w:r w:rsidR="002B7D1F" w:rsidRPr="002B7D1F">
        <w:rPr>
          <w:i/>
          <w:iCs/>
        </w:rPr>
        <w:t>ö</w:t>
      </w:r>
      <w:r w:rsidRPr="002B7D1F">
        <w:rPr>
          <w:i/>
          <w:iCs/>
        </w:rPr>
        <w:t>lker</w:t>
      </w:r>
      <w:r>
        <w:t xml:space="preserve"> were racially mixed</w:t>
      </w:r>
      <w:r w:rsidR="006002E1">
        <w:t>.</w:t>
      </w:r>
      <w:r w:rsidR="006002E1">
        <w:rPr>
          <w:rStyle w:val="FootnoteReference"/>
        </w:rPr>
        <w:footnoteReference w:id="23"/>
      </w:r>
      <w:r w:rsidR="006002E1">
        <w:t xml:space="preserve"> While his concept of a </w:t>
      </w:r>
      <w:r w:rsidR="006002E1">
        <w:rPr>
          <w:i/>
          <w:iCs/>
        </w:rPr>
        <w:t>Volk</w:t>
      </w:r>
      <w:r w:rsidR="006002E1">
        <w:t xml:space="preserve"> as a culturally defined species, or living organism,</w:t>
      </w:r>
      <w:r w:rsidR="006002E1">
        <w:rPr>
          <w:rStyle w:val="FootnoteReference"/>
        </w:rPr>
        <w:footnoteReference w:id="24"/>
      </w:r>
      <w:r w:rsidR="006002E1">
        <w:t xml:space="preserve"> may have contributed to interpretations of a racial </w:t>
      </w:r>
      <w:r w:rsidR="006002E1">
        <w:rPr>
          <w:i/>
          <w:iCs/>
        </w:rPr>
        <w:t>Volk</w:t>
      </w:r>
      <w:r w:rsidR="006002E1">
        <w:t xml:space="preserve">, it was not Ratzel alone </w:t>
      </w:r>
      <w:r w:rsidR="00BB5933">
        <w:t>who</w:t>
      </w:r>
      <w:r w:rsidR="006002E1">
        <w:t xml:space="preserve"> contributed to the racially driven genocides of the second and </w:t>
      </w:r>
      <w:r w:rsidR="00985065">
        <w:t>T</w:t>
      </w:r>
      <w:r w:rsidR="006002E1">
        <w:t>hird Reich’s.</w:t>
      </w:r>
      <w:r w:rsidR="002E258B">
        <w:t xml:space="preserve"> Theories of social Darwinism and scientific racism </w:t>
      </w:r>
      <w:r w:rsidR="00E42774">
        <w:t xml:space="preserve">were central in </w:t>
      </w:r>
      <w:r w:rsidR="001D7055">
        <w:t xml:space="preserve">the </w:t>
      </w:r>
      <w:r w:rsidR="00E42774">
        <w:t>Namibia</w:t>
      </w:r>
      <w:r w:rsidR="001D7055">
        <w:t>n genocide</w:t>
      </w:r>
      <w:r w:rsidR="00E42774">
        <w:t xml:space="preserve"> and </w:t>
      </w:r>
      <w:r w:rsidR="00947D37">
        <w:t>w</w:t>
      </w:r>
      <w:r w:rsidR="00BB5933">
        <w:t xml:space="preserve">ere </w:t>
      </w:r>
      <w:r w:rsidR="00E42774">
        <w:t xml:space="preserve">advanced </w:t>
      </w:r>
      <w:r w:rsidR="00947D37">
        <w:t xml:space="preserve">significantly in </w:t>
      </w:r>
      <w:proofErr w:type="gramStart"/>
      <w:r w:rsidR="003E6840">
        <w:t>it’s</w:t>
      </w:r>
      <w:proofErr w:type="gramEnd"/>
      <w:r w:rsidR="003E6840">
        <w:t xml:space="preserve"> </w:t>
      </w:r>
      <w:r w:rsidR="00947D37">
        <w:t>aftermath. General von Trotha viewed the conflict as a race war between a superior and inferior race.</w:t>
      </w:r>
      <w:r w:rsidR="00947D37">
        <w:rPr>
          <w:rStyle w:val="FootnoteReference"/>
        </w:rPr>
        <w:footnoteReference w:id="25"/>
      </w:r>
      <w:r w:rsidR="00C420C7">
        <w:t xml:space="preserve"> </w:t>
      </w:r>
      <w:r w:rsidR="00BB5933">
        <w:t xml:space="preserve">Stating: </w:t>
      </w:r>
      <w:r w:rsidR="00C420C7" w:rsidRPr="00331800">
        <w:rPr>
          <w:i/>
          <w:iCs/>
        </w:rPr>
        <w:t>“It is better that the Herero nation perish rather than infect our troops.”</w:t>
      </w:r>
      <w:r w:rsidR="00C420C7" w:rsidRPr="00331800">
        <w:rPr>
          <w:rStyle w:val="FootnoteReference"/>
          <w:i/>
          <w:iCs/>
        </w:rPr>
        <w:footnoteReference w:id="26"/>
      </w:r>
      <w:r w:rsidR="00C420C7" w:rsidRPr="00331800">
        <w:rPr>
          <w:i/>
          <w:iCs/>
        </w:rPr>
        <w:t xml:space="preserve"> </w:t>
      </w:r>
      <w:r w:rsidR="00C420C7">
        <w:t>This rhetoric</w:t>
      </w:r>
      <w:r w:rsidR="00E23577">
        <w:t xml:space="preserve"> of infection and health</w:t>
      </w:r>
      <w:r w:rsidR="00C420C7">
        <w:t xml:space="preserve"> applied Ratzel’s theories of the </w:t>
      </w:r>
      <w:r w:rsidR="00C420C7">
        <w:rPr>
          <w:i/>
          <w:iCs/>
        </w:rPr>
        <w:t>Volk</w:t>
      </w:r>
      <w:r w:rsidR="00C420C7">
        <w:t xml:space="preserve"> as an organism, to the hierarchy of races articulated by figures </w:t>
      </w:r>
      <w:r w:rsidR="00BB5933">
        <w:t>such as</w:t>
      </w:r>
      <w:r w:rsidR="00C420C7">
        <w:t xml:space="preserve"> Sir Francis Galton in the late 19</w:t>
      </w:r>
      <w:r w:rsidR="00C420C7" w:rsidRPr="00C420C7">
        <w:rPr>
          <w:vertAlign w:val="superscript"/>
        </w:rPr>
        <w:t>th</w:t>
      </w:r>
      <w:r w:rsidR="00C420C7">
        <w:t xml:space="preserve"> century.</w:t>
      </w:r>
      <w:r w:rsidR="00C420C7">
        <w:rPr>
          <w:rStyle w:val="FootnoteReference"/>
        </w:rPr>
        <w:footnoteReference w:id="27"/>
      </w:r>
      <w:r w:rsidR="00C420C7">
        <w:t xml:space="preserve"> </w:t>
      </w:r>
      <w:r w:rsidR="00D64414">
        <w:t>The genocide of German South-west Africa was of great importance in advancing the work of eugenic</w:t>
      </w:r>
      <w:r w:rsidR="00BB5933">
        <w:t>ists</w:t>
      </w:r>
      <w:r w:rsidR="00D64414">
        <w:t xml:space="preserve"> in Europe. </w:t>
      </w:r>
      <w:r w:rsidR="00352209">
        <w:t>Hundreds</w:t>
      </w:r>
      <w:r w:rsidR="00BB5933">
        <w:t xml:space="preserve"> of b</w:t>
      </w:r>
      <w:r w:rsidR="00371F17">
        <w:t xml:space="preserve">ones, </w:t>
      </w:r>
      <w:proofErr w:type="gramStart"/>
      <w:r w:rsidR="00371F17">
        <w:t>in particular</w:t>
      </w:r>
      <w:proofErr w:type="gramEnd"/>
      <w:r w:rsidR="00371F17">
        <w:t xml:space="preserve"> </w:t>
      </w:r>
      <w:r w:rsidR="008F1CDC">
        <w:t xml:space="preserve">the </w:t>
      </w:r>
      <w:r w:rsidR="00371F17">
        <w:t>skulls, of Herero and Nama victims were sent back to Germany for measurement and scientific analysis</w:t>
      </w:r>
      <w:r w:rsidR="00BB5933">
        <w:t>.</w:t>
      </w:r>
      <w:r w:rsidR="00BB5933">
        <w:rPr>
          <w:rStyle w:val="FootnoteReference"/>
        </w:rPr>
        <w:footnoteReference w:id="28"/>
      </w:r>
      <w:r w:rsidR="00371F17">
        <w:t xml:space="preserve"> </w:t>
      </w:r>
      <w:r w:rsidR="00BB5933">
        <w:t>The trade was</w:t>
      </w:r>
      <w:r w:rsidR="00371F17">
        <w:t xml:space="preserve"> so widespread that postcards were made showing German soldiers packing the crates.</w:t>
      </w:r>
      <w:r w:rsidR="00371F17">
        <w:rPr>
          <w:rStyle w:val="FootnoteReference"/>
        </w:rPr>
        <w:footnoteReference w:id="29"/>
      </w:r>
      <w:r w:rsidR="00371F17">
        <w:t xml:space="preserve"> In</w:t>
      </w:r>
      <w:r w:rsidR="00734BBF">
        <w:t xml:space="preserve"> particular</w:t>
      </w:r>
      <w:r w:rsidR="00F37195">
        <w:t>,</w:t>
      </w:r>
      <w:r w:rsidR="00734BBF">
        <w:t xml:space="preserve"> the work of Eugen Fischer, a later Nazi anatomist,</w:t>
      </w:r>
      <w:r w:rsidR="009776FD">
        <w:t xml:space="preserve"> and </w:t>
      </w:r>
      <w:r w:rsidR="00F37195">
        <w:t>mentor to Josef Mengele,</w:t>
      </w:r>
      <w:r w:rsidR="00734BBF">
        <w:t xml:space="preserve"> was influenced by the genocide. He travelled to the colony in 1908 to conduct a study on the Rehoboth Basters, the offspring of Dutch men and Nama women.</w:t>
      </w:r>
      <w:r w:rsidR="00734BBF">
        <w:rPr>
          <w:rStyle w:val="FootnoteReference"/>
        </w:rPr>
        <w:footnoteReference w:id="30"/>
      </w:r>
      <w:r w:rsidR="00734BBF">
        <w:t xml:space="preserve"> In his research he would visit </w:t>
      </w:r>
      <w:r w:rsidR="00734BBF" w:rsidRPr="00DF5AF2">
        <w:t>R</w:t>
      </w:r>
      <w:r w:rsidR="00DF5AF2" w:rsidRPr="00DF5AF2">
        <w:t>ü</w:t>
      </w:r>
      <w:r w:rsidR="00734BBF" w:rsidRPr="00DF5AF2">
        <w:t>deritz Bay</w:t>
      </w:r>
      <w:r w:rsidR="00734BBF">
        <w:t xml:space="preserve"> </w:t>
      </w:r>
      <w:r w:rsidR="00BB5933">
        <w:t>to</w:t>
      </w:r>
      <w:r w:rsidR="00734BBF">
        <w:t xml:space="preserve"> conduct tests on the remains of Nama prisoners </w:t>
      </w:r>
      <w:r w:rsidR="00BB5933">
        <w:t xml:space="preserve">who had perished </w:t>
      </w:r>
      <w:r w:rsidR="00B90E12">
        <w:t>o</w:t>
      </w:r>
      <w:r w:rsidR="00BB5933">
        <w:t>n</w:t>
      </w:r>
      <w:r w:rsidR="00734BBF">
        <w:t xml:space="preserve"> the Shark Island concentration camp</w:t>
      </w:r>
      <w:r w:rsidR="00636717">
        <w:t>.</w:t>
      </w:r>
      <w:r w:rsidR="009776FD">
        <w:t xml:space="preserve"> </w:t>
      </w:r>
      <w:r w:rsidR="00636717">
        <w:t>H</w:t>
      </w:r>
      <w:r w:rsidR="009776FD">
        <w:t>e is believed to have taken hundreds of dismembered heads and skeletons</w:t>
      </w:r>
      <w:r w:rsidR="00BB5933">
        <w:t xml:space="preserve"> f</w:t>
      </w:r>
      <w:r w:rsidR="00636717">
        <w:t>rom Shark Island for</w:t>
      </w:r>
      <w:r w:rsidR="00BB5933">
        <w:t xml:space="preserve"> further study in </w:t>
      </w:r>
      <w:r w:rsidR="009776FD">
        <w:t>Germany</w:t>
      </w:r>
      <w:r w:rsidR="00734BBF">
        <w:t>.</w:t>
      </w:r>
      <w:r w:rsidR="00734BBF">
        <w:rPr>
          <w:rStyle w:val="FootnoteReference"/>
        </w:rPr>
        <w:footnoteReference w:id="31"/>
      </w:r>
      <w:r w:rsidR="009776FD">
        <w:t xml:space="preserve"> This research led him </w:t>
      </w:r>
      <w:r w:rsidR="009776FD" w:rsidRPr="00DF5AF2">
        <w:t>to conclude on the</w:t>
      </w:r>
      <w:r w:rsidR="009776FD">
        <w:t xml:space="preserve"> “lesser value” of “Negro blood” and that mixing it with white blood would lead to the destruction of European culture.</w:t>
      </w:r>
      <w:r w:rsidR="009776FD">
        <w:rPr>
          <w:rStyle w:val="FootnoteReference"/>
        </w:rPr>
        <w:footnoteReference w:id="32"/>
      </w:r>
      <w:r w:rsidR="009776FD">
        <w:t xml:space="preserve"> </w:t>
      </w:r>
      <w:r w:rsidR="00C420C7">
        <w:t>Th</w:t>
      </w:r>
      <w:r w:rsidR="00BB5933">
        <w:t>e</w:t>
      </w:r>
      <w:r w:rsidR="00C420C7">
        <w:t xml:space="preserve"> rhetoric </w:t>
      </w:r>
      <w:r w:rsidR="009776FD">
        <w:t>of racial purity as a matter of public health w</w:t>
      </w:r>
      <w:r w:rsidR="00C420C7">
        <w:t>ould also be adopted decades later by the Nazi party</w:t>
      </w:r>
      <w:r w:rsidR="009776FD">
        <w:t>. I</w:t>
      </w:r>
      <w:r w:rsidR="00C420C7">
        <w:t xml:space="preserve">n 1943, Himmler </w:t>
      </w:r>
      <w:r w:rsidR="009776FD">
        <w:t>proclaimed</w:t>
      </w:r>
      <w:r w:rsidR="00C420C7">
        <w:t xml:space="preserve"> </w:t>
      </w:r>
      <w:r w:rsidR="00EE3961">
        <w:t xml:space="preserve">such rhetoric </w:t>
      </w:r>
      <w:r w:rsidR="00C420C7">
        <w:t>a speech to SS officers</w:t>
      </w:r>
      <w:r w:rsidR="00D36C64">
        <w:t>.</w:t>
      </w:r>
      <w:r w:rsidR="00C420C7" w:rsidRPr="00331800">
        <w:rPr>
          <w:i/>
          <w:iCs/>
        </w:rPr>
        <w:t xml:space="preserve"> “Anti-Semitism is </w:t>
      </w:r>
      <w:proofErr w:type="gramStart"/>
      <w:r w:rsidR="00C420C7" w:rsidRPr="00331800">
        <w:rPr>
          <w:i/>
          <w:iCs/>
        </w:rPr>
        <w:t>exactly the same</w:t>
      </w:r>
      <w:proofErr w:type="gramEnd"/>
      <w:r w:rsidR="00C420C7" w:rsidRPr="00331800">
        <w:rPr>
          <w:i/>
          <w:iCs/>
        </w:rPr>
        <w:t xml:space="preserve"> thing as delousing</w:t>
      </w:r>
      <w:r w:rsidR="00D64414" w:rsidRPr="00331800">
        <w:rPr>
          <w:i/>
          <w:iCs/>
        </w:rPr>
        <w:t>. Getting rid of lice is not a question of ideology. It is a matter of cleanliness.”</w:t>
      </w:r>
      <w:r w:rsidR="00D64414" w:rsidRPr="00331800">
        <w:rPr>
          <w:rStyle w:val="FootnoteReference"/>
          <w:i/>
          <w:iCs/>
        </w:rPr>
        <w:footnoteReference w:id="33"/>
      </w:r>
      <w:r w:rsidR="00D64414">
        <w:t xml:space="preserve"> So central was the concept of public </w:t>
      </w:r>
      <w:r w:rsidR="00D64414">
        <w:lastRenderedPageBreak/>
        <w:t xml:space="preserve">health, SS gas chamber operators were known as </w:t>
      </w:r>
      <w:r w:rsidR="00D64414">
        <w:rPr>
          <w:i/>
          <w:iCs/>
        </w:rPr>
        <w:t>Desinfektoren</w:t>
      </w:r>
      <w:r w:rsidR="00D64414">
        <w:t>, or disinfectors in Nazi parlance.</w:t>
      </w:r>
      <w:r w:rsidR="00D64414">
        <w:rPr>
          <w:rStyle w:val="FootnoteReference"/>
        </w:rPr>
        <w:footnoteReference w:id="34"/>
      </w:r>
      <w:r w:rsidR="00B13F6E">
        <w:t xml:space="preserve"> Whilst the concept of eugenics was not begun in German South-west Africa, nor was it an exceptionally German science, the advances</w:t>
      </w:r>
      <w:r w:rsidR="00795286">
        <w:t xml:space="preserve"> made during the genocide had a direct impact on the works that influenced the Nazi party. </w:t>
      </w:r>
    </w:p>
    <w:p w14:paraId="197DEB44" w14:textId="14A3E9EF" w:rsidR="00F37195" w:rsidRDefault="00F37195"/>
    <w:p w14:paraId="7502F1A1" w14:textId="74532169" w:rsidR="008D0D32" w:rsidRDefault="00795286">
      <w:r>
        <w:tab/>
        <w:t>A</w:t>
      </w:r>
      <w:r w:rsidR="00920320">
        <w:t>nother</w:t>
      </w:r>
      <w:r>
        <w:t xml:space="preserve"> direct comparison often made between the genocides of the </w:t>
      </w:r>
      <w:r w:rsidR="0069546B">
        <w:t>S</w:t>
      </w:r>
      <w:r>
        <w:t xml:space="preserve">econd and </w:t>
      </w:r>
      <w:r w:rsidR="0069546B">
        <w:t>T</w:t>
      </w:r>
      <w:r>
        <w:t>hird Reich’s is that of concentration camps.</w:t>
      </w:r>
      <w:r w:rsidR="00B83301">
        <w:t xml:space="preserve"> </w:t>
      </w:r>
      <w:r w:rsidR="000D1CEF">
        <w:t xml:space="preserve">Von Trothas annihilation </w:t>
      </w:r>
      <w:r w:rsidR="00920320">
        <w:t xml:space="preserve">order </w:t>
      </w:r>
      <w:r w:rsidR="000D1CEF">
        <w:t>had caused its fair share of controversy in Germany</w:t>
      </w:r>
      <w:r w:rsidR="0051263B">
        <w:t>; i</w:t>
      </w:r>
      <w:r w:rsidR="000D1CEF">
        <w:t xml:space="preserve">t was due to this pressure, that the order was </w:t>
      </w:r>
      <w:r w:rsidR="00920320" w:rsidRPr="00DF5AF2">
        <w:t xml:space="preserve">eventually </w:t>
      </w:r>
      <w:r w:rsidR="000D1CEF" w:rsidRPr="00DF5AF2">
        <w:t>rescinded</w:t>
      </w:r>
      <w:r w:rsidR="00920320">
        <w:t>.</w:t>
      </w:r>
      <w:r w:rsidR="000D1CEF">
        <w:t xml:space="preserve"> </w:t>
      </w:r>
      <w:r w:rsidR="00920320">
        <w:t xml:space="preserve">However, </w:t>
      </w:r>
      <w:r w:rsidR="0068012F">
        <w:t>it</w:t>
      </w:r>
      <w:r w:rsidR="00920320">
        <w:t xml:space="preserve"> would swiftly become </w:t>
      </w:r>
      <w:r w:rsidR="000D1CEF">
        <w:t>replaced by what the</w:t>
      </w:r>
      <w:r w:rsidR="00920320">
        <w:t xml:space="preserve"> then</w:t>
      </w:r>
      <w:r w:rsidR="000D1CEF">
        <w:t xml:space="preserve"> chancellor called </w:t>
      </w:r>
      <w:r w:rsidR="00115599">
        <w:t>“</w:t>
      </w:r>
      <w:r w:rsidR="000D1CEF">
        <w:rPr>
          <w:i/>
          <w:iCs/>
        </w:rPr>
        <w:t>Konzentrationslager</w:t>
      </w:r>
      <w:r w:rsidR="00A9400B">
        <w:rPr>
          <w:i/>
          <w:iCs/>
        </w:rPr>
        <w:t xml:space="preserve"> </w:t>
      </w:r>
      <w:r w:rsidR="00A9400B">
        <w:t>for the temporary accommodation and maintenance of the Herero people.”</w:t>
      </w:r>
      <w:r w:rsidR="000D1CEF">
        <w:rPr>
          <w:rStyle w:val="FootnoteReference"/>
        </w:rPr>
        <w:footnoteReference w:id="35"/>
      </w:r>
      <w:r w:rsidR="00115599">
        <w:t xml:space="preserve"> The first German concentration camps would be built on the 1</w:t>
      </w:r>
      <w:r w:rsidR="00E214C5">
        <w:t>1</w:t>
      </w:r>
      <w:r w:rsidR="00115599" w:rsidRPr="00115599">
        <w:rPr>
          <w:vertAlign w:val="superscript"/>
        </w:rPr>
        <w:t>th</w:t>
      </w:r>
      <w:r w:rsidR="00115599">
        <w:t xml:space="preserve"> of December 1904.</w:t>
      </w:r>
      <w:r w:rsidR="00115599">
        <w:rPr>
          <w:rStyle w:val="FootnoteReference"/>
        </w:rPr>
        <w:footnoteReference w:id="36"/>
      </w:r>
      <w:r w:rsidR="00E214C5">
        <w:t xml:space="preserve"> The Germans were not the original pioneers of concentration camps, however the concept of the camps used in German South-west Africa was a different one to th</w:t>
      </w:r>
      <w:r w:rsidR="00936001">
        <w:t>at</w:t>
      </w:r>
      <w:r w:rsidR="00E214C5">
        <w:t xml:space="preserve"> employed by the Spanish in Cuba</w:t>
      </w:r>
      <w:r w:rsidR="00794DC5">
        <w:t xml:space="preserve">, America in the </w:t>
      </w:r>
      <w:r w:rsidR="00AF376C">
        <w:t>Philippines</w:t>
      </w:r>
      <w:r w:rsidR="00E214C5">
        <w:t xml:space="preserve"> or the </w:t>
      </w:r>
      <w:r w:rsidR="00794DC5">
        <w:t xml:space="preserve">British in South Africa. Previously concentration camps </w:t>
      </w:r>
      <w:r w:rsidR="00920320">
        <w:t>had been utilised as</w:t>
      </w:r>
      <w:r w:rsidR="00794DC5">
        <w:t xml:space="preserve"> a method of fighting guerilla warfare, separating </w:t>
      </w:r>
      <w:r w:rsidR="00920320">
        <w:t xml:space="preserve">out </w:t>
      </w:r>
      <w:r w:rsidR="00794DC5">
        <w:t xml:space="preserve">the rebels </w:t>
      </w:r>
      <w:r w:rsidR="00920320">
        <w:t>and</w:t>
      </w:r>
      <w:r w:rsidR="00794DC5">
        <w:t xml:space="preserve"> their sympathetic base.</w:t>
      </w:r>
      <w:r w:rsidR="00794DC5">
        <w:rPr>
          <w:rStyle w:val="FootnoteReference"/>
        </w:rPr>
        <w:footnoteReference w:id="37"/>
      </w:r>
      <w:r w:rsidR="00794DC5">
        <w:t xml:space="preserve"> In German South-west Africa however, the guerrilla war </w:t>
      </w:r>
      <w:r w:rsidR="00514033">
        <w:t xml:space="preserve">with the Herero </w:t>
      </w:r>
      <w:r w:rsidR="00794DC5">
        <w:t xml:space="preserve">was </w:t>
      </w:r>
      <w:proofErr w:type="gramStart"/>
      <w:r w:rsidR="00794DC5">
        <w:t>more or less over</w:t>
      </w:r>
      <w:proofErr w:type="gramEnd"/>
      <w:r w:rsidR="00514033">
        <w:t>, the Herero were perceived as having lost the will to resist after the battle of the Waterberg</w:t>
      </w:r>
      <w:r w:rsidR="00180F21">
        <w:t>.</w:t>
      </w:r>
      <w:r w:rsidR="00920320">
        <w:t xml:space="preserve"> </w:t>
      </w:r>
      <w:r w:rsidR="00180F21">
        <w:t>A</w:t>
      </w:r>
      <w:r w:rsidR="00920320">
        <w:t xml:space="preserve">ll that remained was feint trepidation </w:t>
      </w:r>
      <w:r w:rsidR="005624D2">
        <w:t>around</w:t>
      </w:r>
      <w:r w:rsidR="00920320">
        <w:t xml:space="preserve"> the possibility of a new rebellion</w:t>
      </w:r>
      <w:r w:rsidR="00514033">
        <w:t>.</w:t>
      </w:r>
      <w:r w:rsidR="00514033">
        <w:rPr>
          <w:rStyle w:val="FootnoteReference"/>
        </w:rPr>
        <w:footnoteReference w:id="38"/>
      </w:r>
      <w:r w:rsidR="00514033">
        <w:t xml:space="preserve"> In the South </w:t>
      </w:r>
      <w:r w:rsidR="007C4D3C">
        <w:t>a group of Nama tribes</w:t>
      </w:r>
      <w:r w:rsidR="00514033">
        <w:t xml:space="preserve">, who had risen in October 1904, were </w:t>
      </w:r>
      <w:r w:rsidR="00920320">
        <w:t xml:space="preserve">still </w:t>
      </w:r>
      <w:r w:rsidR="00514033">
        <w:t xml:space="preserve">fighting a vastly outnumbered </w:t>
      </w:r>
      <w:r w:rsidR="007C4D3C">
        <w:t xml:space="preserve">guerilla-style war with some limited success. However, the Nama were geographically </w:t>
      </w:r>
      <w:r w:rsidR="00AF376C">
        <w:t xml:space="preserve">placed to disadvantage attempts to use tactics based on Cuba or South Africa. </w:t>
      </w:r>
      <w:r w:rsidR="00920320">
        <w:t>Efforts</w:t>
      </w:r>
      <w:r w:rsidR="00AF376C">
        <w:t xml:space="preserve"> to deny insurgents supplies by concentrating and controlling the civilian population</w:t>
      </w:r>
      <w:r w:rsidR="00920320">
        <w:t>,</w:t>
      </w:r>
      <w:r w:rsidR="00AF376C">
        <w:t xml:space="preserve"> or </w:t>
      </w:r>
      <w:r w:rsidR="00545728">
        <w:t xml:space="preserve">by </w:t>
      </w:r>
      <w:r w:rsidR="00AF376C">
        <w:t xml:space="preserve">scouring the countryside of shelter or food, </w:t>
      </w:r>
      <w:r w:rsidR="00920320">
        <w:t>w</w:t>
      </w:r>
      <w:r w:rsidR="00545728">
        <w:t>ere</w:t>
      </w:r>
      <w:r w:rsidR="00920320">
        <w:t xml:space="preserve"> of little avai</w:t>
      </w:r>
      <w:r w:rsidR="00545728">
        <w:t>l.</w:t>
      </w:r>
      <w:r w:rsidR="00920320">
        <w:t xml:space="preserve"> </w:t>
      </w:r>
      <w:r w:rsidR="00545728">
        <w:t>They</w:t>
      </w:r>
      <w:r w:rsidR="00920320">
        <w:t xml:space="preserve"> </w:t>
      </w:r>
      <w:r w:rsidR="00AF376C">
        <w:t xml:space="preserve">could easily be countered by the Nama </w:t>
      </w:r>
      <w:r w:rsidR="00920320">
        <w:t>who were able to</w:t>
      </w:r>
      <w:r w:rsidR="00AF376C">
        <w:t xml:space="preserve"> simply mov</w:t>
      </w:r>
      <w:r w:rsidR="00920320">
        <w:t xml:space="preserve">e </w:t>
      </w:r>
      <w:r w:rsidR="00AF376C">
        <w:t>over the border into British territory.</w:t>
      </w:r>
      <w:r w:rsidR="00AF376C">
        <w:rPr>
          <w:rStyle w:val="FootnoteReference"/>
        </w:rPr>
        <w:footnoteReference w:id="39"/>
      </w:r>
      <w:r w:rsidR="00AF376C">
        <w:t xml:space="preserve"> Furthermore,</w:t>
      </w:r>
      <w:r w:rsidR="0069787F">
        <w:t xml:space="preserve"> </w:t>
      </w:r>
      <w:r w:rsidR="0069787F">
        <w:t>in late 1905</w:t>
      </w:r>
      <w:r w:rsidR="0069787F">
        <w:t xml:space="preserve">, </w:t>
      </w:r>
      <w:r w:rsidR="00AF376C">
        <w:t xml:space="preserve">after the Nama uprising </w:t>
      </w:r>
      <w:r w:rsidR="00C074C7">
        <w:t>began to surrender on agreed terms</w:t>
      </w:r>
      <w:r w:rsidR="00EF0E97">
        <w:t xml:space="preserve"> of reduced</w:t>
      </w:r>
      <w:r w:rsidR="0069787F">
        <w:t xml:space="preserve"> territory</w:t>
      </w:r>
      <w:r w:rsidR="00C074C7">
        <w:t>, the new governor, Friedrich von Lindequist violated the treaty and deported Nama to the Northern camps as prisoners of war.</w:t>
      </w:r>
      <w:r w:rsidR="00C074C7">
        <w:rPr>
          <w:rStyle w:val="FootnoteReference"/>
        </w:rPr>
        <w:footnoteReference w:id="40"/>
      </w:r>
      <w:r w:rsidR="00C074C7">
        <w:t xml:space="preserve"> </w:t>
      </w:r>
    </w:p>
    <w:p w14:paraId="5421B6BD" w14:textId="77777777" w:rsidR="008D0D32" w:rsidRDefault="008D0D32"/>
    <w:p w14:paraId="41C75573" w14:textId="3346B0B0" w:rsidR="00795286" w:rsidRDefault="00CB50D9" w:rsidP="008D0D32">
      <w:pPr>
        <w:ind w:firstLine="720"/>
      </w:pPr>
      <w:r>
        <w:t>The German camps were unofficially divided into two categories of death camp and work camp.</w:t>
      </w:r>
      <w:r w:rsidR="00920320">
        <w:rPr>
          <w:rStyle w:val="FootnoteReference"/>
        </w:rPr>
        <w:footnoteReference w:id="41"/>
      </w:r>
      <w:r>
        <w:t xml:space="preserve"> </w:t>
      </w:r>
      <w:r w:rsidR="00C074C7">
        <w:t>What the Germans</w:t>
      </w:r>
      <w:r>
        <w:t xml:space="preserve"> truly</w:t>
      </w:r>
      <w:r w:rsidR="00C074C7">
        <w:t xml:space="preserve"> pioneered in German South-west Africa was the use of </w:t>
      </w:r>
      <w:r w:rsidR="002E4FC5">
        <w:t xml:space="preserve">work </w:t>
      </w:r>
      <w:r w:rsidR="00C074C7">
        <w:t xml:space="preserve">camps </w:t>
      </w:r>
      <w:r w:rsidR="002E4FC5">
        <w:t>as a means of extracting economic value from prisoners</w:t>
      </w:r>
      <w:r>
        <w:t xml:space="preserve"> under conditions anticipated to cause mass fatalities</w:t>
      </w:r>
      <w:r w:rsidR="002E4FC5">
        <w:t>.</w:t>
      </w:r>
      <w:r w:rsidR="002E4FC5">
        <w:rPr>
          <w:rStyle w:val="FootnoteReference"/>
        </w:rPr>
        <w:footnoteReference w:id="42"/>
      </w:r>
      <w:r w:rsidR="002E4FC5">
        <w:t xml:space="preserve"> </w:t>
      </w:r>
      <w:r>
        <w:t xml:space="preserve">These camps could be described as a template for the later </w:t>
      </w:r>
      <w:r w:rsidR="00985065">
        <w:t>T</w:t>
      </w:r>
      <w:r>
        <w:t>hird Reich work camps such as Buchenwald and Dachau.</w:t>
      </w:r>
      <w:r>
        <w:rPr>
          <w:rStyle w:val="FootnoteReference"/>
        </w:rPr>
        <w:footnoteReference w:id="43"/>
      </w:r>
      <w:r>
        <w:t xml:space="preserve"> </w:t>
      </w:r>
      <w:r w:rsidR="00920320">
        <w:t>The Germans used c</w:t>
      </w:r>
      <w:r w:rsidR="00BD73B1">
        <w:t>oncentration</w:t>
      </w:r>
      <w:r>
        <w:t xml:space="preserve"> camps</w:t>
      </w:r>
      <w:r w:rsidR="00920320">
        <w:t xml:space="preserve"> </w:t>
      </w:r>
      <w:r w:rsidR="00BD73B1">
        <w:t>to</w:t>
      </w:r>
      <w:r>
        <w:t xml:space="preserve"> solve one of the most pressing issues th</w:t>
      </w:r>
      <w:r w:rsidR="00920320">
        <w:t>ey faced</w:t>
      </w:r>
      <w:r>
        <w:t xml:space="preserve"> at the time</w:t>
      </w:r>
      <w:r w:rsidR="00BD73B1">
        <w:t>.</w:t>
      </w:r>
      <w:r>
        <w:t xml:space="preserve"> </w:t>
      </w:r>
      <w:r w:rsidR="00BD73B1">
        <w:t>T</w:t>
      </w:r>
      <w:r w:rsidR="007A0C2F">
        <w:t xml:space="preserve">he colony which had already been suffering from a labour shortage, </w:t>
      </w:r>
      <w:r w:rsidR="007A0C2F">
        <w:lastRenderedPageBreak/>
        <w:t xml:space="preserve">saw a further reduction of its </w:t>
      </w:r>
      <w:r w:rsidR="00920320">
        <w:t xml:space="preserve">traditional base of </w:t>
      </w:r>
      <w:r w:rsidR="007A0C2F">
        <w:t xml:space="preserve">‘native labour’ </w:t>
      </w:r>
      <w:r w:rsidR="00BD73B1">
        <w:t>after</w:t>
      </w:r>
      <w:r w:rsidR="007A0C2F">
        <w:t xml:space="preserve"> the beginning of the war.</w:t>
      </w:r>
      <w:r w:rsidR="007A0C2F">
        <w:rPr>
          <w:rStyle w:val="FootnoteReference"/>
        </w:rPr>
        <w:footnoteReference w:id="44"/>
      </w:r>
      <w:r w:rsidR="00BD73B1">
        <w:t xml:space="preserve"> From early 1905, </w:t>
      </w:r>
      <w:r w:rsidR="00920320">
        <w:t xml:space="preserve">the </w:t>
      </w:r>
      <w:r w:rsidR="00BD73B1">
        <w:t>many hundreds of prisoners who surrendered in Hereroland were sent to camps</w:t>
      </w:r>
      <w:r w:rsidR="00D2316B">
        <w:t>.</w:t>
      </w:r>
      <w:r w:rsidR="00BD73B1">
        <w:t xml:space="preserve"> </w:t>
      </w:r>
      <w:r w:rsidR="00D2316B">
        <w:t>M</w:t>
      </w:r>
      <w:r w:rsidR="00BD73B1">
        <w:t>ost often</w:t>
      </w:r>
      <w:r w:rsidR="00617F19">
        <w:t xml:space="preserve"> they were sent</w:t>
      </w:r>
      <w:r w:rsidR="00BD73B1">
        <w:t xml:space="preserve"> to Swakopmund where the prisoners would work in the harbour or Otavi railway.</w:t>
      </w:r>
      <w:r w:rsidR="00BD73B1">
        <w:rPr>
          <w:rStyle w:val="FootnoteReference"/>
        </w:rPr>
        <w:footnoteReference w:id="45"/>
      </w:r>
      <w:r w:rsidR="008D0D32">
        <w:t xml:space="preserve"> As the scheme progressed under new governor Friedrich von Lindequist in November of 1905, thousands of Herero w</w:t>
      </w:r>
      <w:r w:rsidR="00BE0ABB">
        <w:t>ould be</w:t>
      </w:r>
      <w:r w:rsidR="008D0D32">
        <w:t xml:space="preserve"> put to work</w:t>
      </w:r>
      <w:r w:rsidR="00BE0ABB">
        <w:t>,</w:t>
      </w:r>
      <w:r w:rsidR="008D0D32">
        <w:t xml:space="preserve"> with no distinctions made between men, women and children</w:t>
      </w:r>
      <w:r w:rsidR="00617F19">
        <w:t>.</w:t>
      </w:r>
      <w:r w:rsidR="008D0D32">
        <w:t xml:space="preserve"> </w:t>
      </w:r>
      <w:r w:rsidR="00BE0ABB">
        <w:t xml:space="preserve">If it had not been before, then under von Lindequist, </w:t>
      </w:r>
      <w:r w:rsidR="008D0D32">
        <w:t>cheap labour arguably became the main reason for the camps.</w:t>
      </w:r>
      <w:r w:rsidR="008D0D32">
        <w:rPr>
          <w:rStyle w:val="FootnoteReference"/>
        </w:rPr>
        <w:footnoteReference w:id="46"/>
      </w:r>
      <w:r w:rsidR="00BE0ABB">
        <w:t xml:space="preserve"> Not </w:t>
      </w:r>
      <w:proofErr w:type="gramStart"/>
      <w:r w:rsidR="00BE0ABB">
        <w:t>all of</w:t>
      </w:r>
      <w:proofErr w:type="gramEnd"/>
      <w:r w:rsidR="00BE0ABB">
        <w:t xml:space="preserve"> the camps however were there</w:t>
      </w:r>
      <w:r w:rsidR="00D951ED">
        <w:t xml:space="preserve"> simply </w:t>
      </w:r>
      <w:r w:rsidR="00BE0ABB">
        <w:t xml:space="preserve">to exploit </w:t>
      </w:r>
      <w:r w:rsidR="00D951ED">
        <w:t xml:space="preserve">cheap </w:t>
      </w:r>
      <w:r w:rsidR="00BE0ABB">
        <w:t>labour. For the Nama</w:t>
      </w:r>
      <w:r w:rsidR="00D951ED">
        <w:t>,</w:t>
      </w:r>
      <w:r w:rsidR="00BE0ABB">
        <w:t xml:space="preserve"> of whom some groups remained in open rebellion up until the beginning of 1906, security remained the top priority.</w:t>
      </w:r>
      <w:r w:rsidR="00BE0ABB">
        <w:rPr>
          <w:rStyle w:val="FootnoteReference"/>
        </w:rPr>
        <w:footnoteReference w:id="47"/>
      </w:r>
      <w:r w:rsidR="00BE0ABB">
        <w:t xml:space="preserve"> It </w:t>
      </w:r>
      <w:r w:rsidR="00D951ED">
        <w:t>wa</w:t>
      </w:r>
      <w:r w:rsidR="00BE0ABB">
        <w:t xml:space="preserve">s these camps, namely </w:t>
      </w:r>
      <w:r w:rsidR="00BE0ABB">
        <w:rPr>
          <w:i/>
          <w:iCs/>
        </w:rPr>
        <w:t>Haifischinsel</w:t>
      </w:r>
      <w:r w:rsidR="008867A0">
        <w:t xml:space="preserve"> (</w:t>
      </w:r>
      <w:r w:rsidR="00BE0ABB">
        <w:t>Shark Island</w:t>
      </w:r>
      <w:r w:rsidR="008867A0">
        <w:t>)</w:t>
      </w:r>
      <w:r w:rsidR="00BE0ABB">
        <w:t xml:space="preserve"> operational from 1905-1907 that ma</w:t>
      </w:r>
      <w:r w:rsidR="00D951ED">
        <w:t>p</w:t>
      </w:r>
      <w:r w:rsidR="00BE0ABB">
        <w:t xml:space="preserve"> to the infamous Nazi </w:t>
      </w:r>
      <w:r w:rsidR="00D951ED">
        <w:rPr>
          <w:i/>
          <w:iCs/>
        </w:rPr>
        <w:t>v</w:t>
      </w:r>
      <w:r w:rsidR="00BE0ABB">
        <w:rPr>
          <w:i/>
          <w:iCs/>
        </w:rPr>
        <w:t xml:space="preserve">ernichtungslager, </w:t>
      </w:r>
      <w:r w:rsidR="00BE0ABB">
        <w:t>or annihilation camps of Treblinka and Auschwitz.</w:t>
      </w:r>
      <w:r w:rsidR="00BE0ABB">
        <w:rPr>
          <w:rStyle w:val="FootnoteReference"/>
        </w:rPr>
        <w:footnoteReference w:id="48"/>
      </w:r>
      <w:r w:rsidR="00BE0ABB">
        <w:t xml:space="preserve"> </w:t>
      </w:r>
      <w:r w:rsidR="004E3F36">
        <w:t>T</w:t>
      </w:r>
      <w:r w:rsidR="00BE0ABB">
        <w:t xml:space="preserve">he inmates of Shark Island </w:t>
      </w:r>
      <w:r w:rsidR="00E852EE">
        <w:t xml:space="preserve">were </w:t>
      </w:r>
      <w:r w:rsidR="009C04CA">
        <w:t>also at first</w:t>
      </w:r>
      <w:r w:rsidR="00E852EE">
        <w:t xml:space="preserve"> subjected to forced labour, </w:t>
      </w:r>
      <w:r w:rsidR="009C04CA">
        <w:t xml:space="preserve">and </w:t>
      </w:r>
      <w:r w:rsidR="00E852EE">
        <w:t>much like in the Nazi camps of Europe, prisoners would reach the Island by railway cattle cars known to the Germans as ‘Transport</w:t>
      </w:r>
      <w:r w:rsidR="009C04CA">
        <w:t>.</w:t>
      </w:r>
      <w:r w:rsidR="00E852EE">
        <w:t xml:space="preserve">’ </w:t>
      </w:r>
      <w:r w:rsidR="008D5C0B">
        <w:t>O</w:t>
      </w:r>
      <w:r w:rsidR="00E852EE">
        <w:t>nce there</w:t>
      </w:r>
      <w:r w:rsidR="008D5C0B">
        <w:t xml:space="preserve"> however,</w:t>
      </w:r>
      <w:r w:rsidR="00E852EE">
        <w:t xml:space="preserve"> they were not likely to leave.</w:t>
      </w:r>
      <w:r w:rsidR="00E852EE">
        <w:rPr>
          <w:rStyle w:val="FootnoteReference"/>
        </w:rPr>
        <w:footnoteReference w:id="49"/>
      </w:r>
      <w:r w:rsidR="00E852EE">
        <w:t xml:space="preserve"> </w:t>
      </w:r>
      <w:r w:rsidR="00D951ED">
        <w:t xml:space="preserve">Mortality at Shark Island was exceptionally high, between January 1906 and June 1907, 1,359 prisoners of war out of </w:t>
      </w:r>
      <w:r w:rsidR="00217A75">
        <w:t xml:space="preserve">an original </w:t>
      </w:r>
      <w:r w:rsidR="00D951ED">
        <w:t>2,014 had died during the construction of railways.</w:t>
      </w:r>
      <w:r w:rsidR="00D951ED">
        <w:rPr>
          <w:rStyle w:val="FootnoteReference"/>
        </w:rPr>
        <w:footnoteReference w:id="50"/>
      </w:r>
      <w:r w:rsidR="00D951ED">
        <w:t xml:space="preserve"> </w:t>
      </w:r>
      <w:r w:rsidR="00E852EE">
        <w:t xml:space="preserve">Rape, malnutrition, </w:t>
      </w:r>
      <w:r w:rsidR="005A65DC">
        <w:t>i</w:t>
      </w:r>
      <w:r w:rsidR="00E852EE">
        <w:t>nadequate housing</w:t>
      </w:r>
      <w:r w:rsidR="00D951ED">
        <w:t>, and an exceptionally poor medical provision in the face of numerous epidemics, led to the destruction of</w:t>
      </w:r>
      <w:r w:rsidR="00E10981">
        <w:t xml:space="preserve"> both the </w:t>
      </w:r>
      <w:r w:rsidR="00D951ED">
        <w:t>mind</w:t>
      </w:r>
      <w:r w:rsidR="00E10981">
        <w:t>s</w:t>
      </w:r>
      <w:r w:rsidR="00D951ED">
        <w:t xml:space="preserve"> and bod</w:t>
      </w:r>
      <w:r w:rsidR="00E10981">
        <w:t>ies of the Nama</w:t>
      </w:r>
      <w:r w:rsidR="00D951ED">
        <w:t>.</w:t>
      </w:r>
      <w:r w:rsidR="00D951ED">
        <w:rPr>
          <w:rStyle w:val="FootnoteReference"/>
        </w:rPr>
        <w:footnoteReference w:id="51"/>
      </w:r>
      <w:r w:rsidR="00D951ED">
        <w:t xml:space="preserve"> </w:t>
      </w:r>
      <w:r w:rsidR="00217A75">
        <w:t>By March 1907, 1,203 out of a total of more than 2,000 Nama prisoners had died, according to official German statistics.</w:t>
      </w:r>
      <w:r w:rsidR="00217A75">
        <w:rPr>
          <w:rStyle w:val="FootnoteReference"/>
        </w:rPr>
        <w:footnoteReference w:id="52"/>
      </w:r>
      <w:r w:rsidR="00217A75">
        <w:t xml:space="preserve"> </w:t>
      </w:r>
      <w:r w:rsidR="006B6AFF">
        <w:t xml:space="preserve">While Shark Island had no gas chambers, the goal of indirect extermination is still apparent, Berthold von Deimling, the commander responsible for Shark Island, shot back at proposals to improve the camp by relocating it to the mainland, </w:t>
      </w:r>
      <w:r w:rsidR="00757A54">
        <w:t>statin</w:t>
      </w:r>
      <w:r w:rsidR="007311C8">
        <w:t xml:space="preserve">g that: </w:t>
      </w:r>
      <w:r w:rsidR="006B6AFF">
        <w:t>as long as he was commander, no African would be allowed to leave the island alive.</w:t>
      </w:r>
      <w:r w:rsidR="006B6AFF">
        <w:rPr>
          <w:rStyle w:val="FootnoteReference"/>
        </w:rPr>
        <w:footnoteReference w:id="53"/>
      </w:r>
      <w:r w:rsidR="006B6AFF">
        <w:t xml:space="preserve"> His steadfastness in this position and the exceptional mortality of </w:t>
      </w:r>
      <w:r w:rsidR="007311C8">
        <w:t>the</w:t>
      </w:r>
      <w:r w:rsidR="006B6AFF">
        <w:t xml:space="preserve"> workforce, meant that</w:t>
      </w:r>
      <w:r w:rsidR="007E4217">
        <w:t xml:space="preserve"> building projects already begun in </w:t>
      </w:r>
      <w:r w:rsidR="007E4217" w:rsidRPr="007E4217">
        <w:t>Lüderit</w:t>
      </w:r>
      <w:r w:rsidR="007E4217">
        <w:t>z were stopped.</w:t>
      </w:r>
      <w:r w:rsidR="007E4217">
        <w:rPr>
          <w:rStyle w:val="FootnoteReference"/>
        </w:rPr>
        <w:footnoteReference w:id="54"/>
      </w:r>
      <w:r w:rsidR="007E4217">
        <w:t xml:space="preserve"> From this point up until the eventual closure of the camp, Nama were essentially left to succumb to an indirect death at the hands of neglectful or incompetent overseers.</w:t>
      </w:r>
    </w:p>
    <w:p w14:paraId="38747C83" w14:textId="77777777" w:rsidR="007E4217" w:rsidRDefault="007E4217" w:rsidP="008D0D32">
      <w:pPr>
        <w:ind w:firstLine="720"/>
      </w:pPr>
    </w:p>
    <w:p w14:paraId="7CDFE7E7" w14:textId="77777777" w:rsidR="007A13F4" w:rsidRDefault="007E4217" w:rsidP="008D0D32">
      <w:pPr>
        <w:ind w:firstLine="720"/>
      </w:pPr>
      <w:r>
        <w:t>The genocide of the Herero and Nama people in German South-west Africa can reasonably be argued</w:t>
      </w:r>
      <w:r w:rsidR="00E97696">
        <w:t xml:space="preserve"> to be</w:t>
      </w:r>
      <w:r>
        <w:t xml:space="preserve"> a crucial precursor to the Holocau</w:t>
      </w:r>
      <w:r w:rsidRPr="004124E0">
        <w:t>st</w:t>
      </w:r>
      <w:r w:rsidR="00E97696" w:rsidRPr="004124E0">
        <w:t>.</w:t>
      </w:r>
      <w:r w:rsidRPr="004124E0">
        <w:rPr>
          <w:rStyle w:val="FootnoteReference"/>
        </w:rPr>
        <w:footnoteReference w:id="55"/>
      </w:r>
      <w:r w:rsidRPr="004124E0">
        <w:t xml:space="preserve"> </w:t>
      </w:r>
      <w:r w:rsidR="006F23BC" w:rsidRPr="004124E0">
        <w:t xml:space="preserve">As this essay has attempted to </w:t>
      </w:r>
      <w:r w:rsidR="00693B9B" w:rsidRPr="004124E0">
        <w:t>show, through both</w:t>
      </w:r>
      <w:r w:rsidRPr="004124E0">
        <w:t xml:space="preserve"> direct </w:t>
      </w:r>
      <w:r w:rsidR="004D76FF" w:rsidRPr="004124E0">
        <w:t>and indirect links</w:t>
      </w:r>
      <w:r w:rsidR="00693B9B" w:rsidRPr="004124E0">
        <w:t xml:space="preserve">, </w:t>
      </w:r>
      <w:r w:rsidR="006F23BC" w:rsidRPr="004124E0">
        <w:t xml:space="preserve">the </w:t>
      </w:r>
      <w:r w:rsidR="004D76FF" w:rsidRPr="004124E0">
        <w:t xml:space="preserve">genocide </w:t>
      </w:r>
      <w:r w:rsidR="00952244" w:rsidRPr="004124E0">
        <w:t xml:space="preserve">in German South-west Africa </w:t>
      </w:r>
      <w:r w:rsidR="004D76FF" w:rsidRPr="004124E0">
        <w:t xml:space="preserve">had a significant impact on the </w:t>
      </w:r>
      <w:r w:rsidR="00E97696" w:rsidRPr="004124E0">
        <w:t>Third Reich.</w:t>
      </w:r>
      <w:r w:rsidR="004D76FF" w:rsidRPr="004124E0">
        <w:t xml:space="preserve"> This</w:t>
      </w:r>
      <w:r w:rsidR="004D76FF">
        <w:t xml:space="preserve"> is not to say that the </w:t>
      </w:r>
      <w:r w:rsidR="004D76FF">
        <w:lastRenderedPageBreak/>
        <w:t xml:space="preserve">Nazis would have been </w:t>
      </w:r>
      <w:r w:rsidR="008C6A11">
        <w:t>un</w:t>
      </w:r>
      <w:r w:rsidR="004D76FF">
        <w:t>able to commit their mass murder without the previous work of the Second Reich</w:t>
      </w:r>
      <w:r w:rsidR="008C6A11">
        <w:t>.</w:t>
      </w:r>
      <w:r w:rsidR="004D76FF">
        <w:t xml:space="preserve"> </w:t>
      </w:r>
      <w:r w:rsidR="008C6A11">
        <w:t>H</w:t>
      </w:r>
      <w:r w:rsidR="004D76FF">
        <w:t>owever</w:t>
      </w:r>
      <w:r w:rsidR="004124E0">
        <w:t>,</w:t>
      </w:r>
      <w:r w:rsidR="004D76FF">
        <w:t xml:space="preserve"> it is this essay</w:t>
      </w:r>
      <w:r w:rsidR="00221ADA">
        <w:t>’</w:t>
      </w:r>
      <w:r w:rsidR="004D76FF">
        <w:t>s view that an overwhelming amount of evidence points to a continuity of ideas, practices, and even personal figures between the two genocides. Many of the infamous Freikorps who were instrumental in Hitlers rise to power had served in German South-west Africa and had partaken in the slaughter. Their violence in the colonies has frequently been identified as a determining factor in their well-known brutality.</w:t>
      </w:r>
      <w:r w:rsidR="004D76FF">
        <w:rPr>
          <w:rStyle w:val="FootnoteReference"/>
        </w:rPr>
        <w:footnoteReference w:id="56"/>
      </w:r>
      <w:r w:rsidR="004D76FF">
        <w:t xml:space="preserve"> Testimony from the British ‘</w:t>
      </w:r>
      <w:r w:rsidR="004D76FF" w:rsidRPr="00BA199F">
        <w:rPr>
          <w:i/>
          <w:iCs/>
        </w:rPr>
        <w:t>Blue book’</w:t>
      </w:r>
      <w:r w:rsidR="004D76FF">
        <w:t xml:space="preserve"> shines a light on the depravity and glee </w:t>
      </w:r>
      <w:r w:rsidR="0067325E">
        <w:t xml:space="preserve">with which German soldiers carried out the genocide. Manuel Timbu recounts the murder of a young Herero woman by a German soldier </w:t>
      </w:r>
      <w:r w:rsidR="00BA199F">
        <w:t>after</w:t>
      </w:r>
      <w:r w:rsidR="0067325E">
        <w:t xml:space="preserve"> he had refused to kill </w:t>
      </w:r>
      <w:r w:rsidR="00BA199F">
        <w:t xml:space="preserve">her </w:t>
      </w:r>
      <w:r w:rsidR="0067325E">
        <w:t>himself</w:t>
      </w:r>
      <w:r w:rsidR="00BA199F">
        <w:t>.</w:t>
      </w:r>
      <w:r w:rsidR="0067325E">
        <w:t xml:space="preserve"> “</w:t>
      </w:r>
      <w:r w:rsidR="0067325E" w:rsidRPr="0067325E">
        <w:t xml:space="preserve">The soldier laughed and said, </w:t>
      </w:r>
      <w:r w:rsidR="0067325E">
        <w:t>‘</w:t>
      </w:r>
      <w:r w:rsidR="0067325E" w:rsidRPr="00DB70A0">
        <w:rPr>
          <w:i/>
          <w:iCs/>
        </w:rPr>
        <w:t>If you won’t do it, I will show you what a German soldier can do</w:t>
      </w:r>
      <w:r w:rsidR="0067325E" w:rsidRPr="00DB70A0">
        <w:rPr>
          <w:i/>
          <w:iCs/>
        </w:rPr>
        <w:t>’</w:t>
      </w:r>
      <w:r w:rsidR="0067325E" w:rsidRPr="0067325E">
        <w:t xml:space="preserve">. He took the woman aside a few paces and drove the bayonet through her body. He then withdrew the bayonet and brought it all dripping with blood and poked it under my nose in a jeering way, saying, </w:t>
      </w:r>
      <w:r w:rsidR="0067325E">
        <w:t>‘</w:t>
      </w:r>
      <w:r w:rsidR="0067325E" w:rsidRPr="00C0392C">
        <w:rPr>
          <w:i/>
          <w:iCs/>
        </w:rPr>
        <w:t>You see, I have done it</w:t>
      </w:r>
      <w:r w:rsidR="0067325E" w:rsidRPr="00C0392C">
        <w:rPr>
          <w:i/>
          <w:iCs/>
        </w:rPr>
        <w:t>.</w:t>
      </w:r>
      <w:r w:rsidR="0067325E">
        <w:t>’</w:t>
      </w:r>
      <w:r w:rsidR="0067325E" w:rsidRPr="0067325E">
        <w:t>”</w:t>
      </w:r>
      <w:r w:rsidR="0067325E">
        <w:rPr>
          <w:rStyle w:val="FootnoteReference"/>
        </w:rPr>
        <w:footnoteReference w:id="57"/>
      </w:r>
      <w:r w:rsidR="0067325E">
        <w:t xml:space="preserve"> Reading this testimony and the others like it, </w:t>
      </w:r>
      <w:r w:rsidR="004C6BD6">
        <w:t>while</w:t>
      </w:r>
      <w:r w:rsidR="0067325E">
        <w:t xml:space="preserve"> incredibly disturbing</w:t>
      </w:r>
      <w:r w:rsidR="004C6BD6">
        <w:t xml:space="preserve">, also show in crude shocking detail the utter dehumanisation of </w:t>
      </w:r>
      <w:r w:rsidR="00C0392C">
        <w:t>the Herero</w:t>
      </w:r>
      <w:r w:rsidR="004C6BD6">
        <w:t xml:space="preserve"> race</w:t>
      </w:r>
      <w:r w:rsidR="0067325E">
        <w:t>.</w:t>
      </w:r>
      <w:r w:rsidR="004C6BD6">
        <w:t xml:space="preserve"> The raw emotions of the German officials who celebrated the excessive violence landed upon the Herero and Nama people certainly constitute a form colonial holocaust.</w:t>
      </w:r>
      <w:r w:rsidR="004C6BD6">
        <w:rPr>
          <w:rStyle w:val="FootnoteReference"/>
        </w:rPr>
        <w:footnoteReference w:id="58"/>
      </w:r>
      <w:r w:rsidR="004C6BD6">
        <w:t xml:space="preserve"> However the usefulness of this conceptualisation is the question that must now be answered. Some have rightly pointed out the damage the conceptualisation brings. Connecting the two genocides establishes a trajectory of extreme violence emanating from the German state over the first half of the 20</w:t>
      </w:r>
      <w:r w:rsidR="004C6BD6" w:rsidRPr="004C6BD6">
        <w:rPr>
          <w:vertAlign w:val="superscript"/>
        </w:rPr>
        <w:t>th</w:t>
      </w:r>
      <w:r w:rsidR="004C6BD6">
        <w:t xml:space="preserve"> century.</w:t>
      </w:r>
      <w:r w:rsidR="004C6BD6">
        <w:rPr>
          <w:rStyle w:val="FootnoteReference"/>
        </w:rPr>
        <w:footnoteReference w:id="59"/>
      </w:r>
      <w:r w:rsidR="004C6BD6">
        <w:t xml:space="preserve"> While this is certainly true, it contributes to a concept of German exceptionalism in its colonial rule which runs the real risk of indirectly absolving other empires from the same level of scrutiny.</w:t>
      </w:r>
      <w:r w:rsidR="004C6BD6">
        <w:rPr>
          <w:rStyle w:val="FootnoteReference"/>
        </w:rPr>
        <w:footnoteReference w:id="60"/>
      </w:r>
      <w:r w:rsidR="004C6BD6">
        <w:t xml:space="preserve"> However there are also ways, as shown in this essay, that the genocide in Namibia was exceptional</w:t>
      </w:r>
      <w:r w:rsidR="00FE34EF">
        <w:t>.</w:t>
      </w:r>
      <w:r w:rsidR="004C6BD6">
        <w:t xml:space="preserve"> </w:t>
      </w:r>
      <w:r w:rsidR="00FE34EF">
        <w:t>F</w:t>
      </w:r>
      <w:r w:rsidR="004C6BD6">
        <w:t xml:space="preserve">urthermore, drawing the lines </w:t>
      </w:r>
      <w:r w:rsidR="00221ADA">
        <w:t>between the two genocides can shine a new conceptual light on Europe’s colonial conflicts. Rather than diminishing the suffering of Africans, conceptualising the holocausts of the African continent can allow us to move away from the dismissal of African genocide as simple colonial conflict</w:t>
      </w:r>
      <w:r w:rsidR="000810FA">
        <w:t>s</w:t>
      </w:r>
      <w:r w:rsidR="00221ADA">
        <w:t xml:space="preserve">, and to begin to truly appreciate these actions </w:t>
      </w:r>
      <w:r w:rsidR="000810FA">
        <w:t>for</w:t>
      </w:r>
      <w:r w:rsidR="00221ADA">
        <w:t xml:space="preserve"> the crimes they were. </w:t>
      </w:r>
    </w:p>
    <w:p w14:paraId="104C638C" w14:textId="77777777" w:rsidR="007A13F4" w:rsidRDefault="007A13F4" w:rsidP="008D0D32">
      <w:pPr>
        <w:ind w:firstLine="720"/>
      </w:pPr>
    </w:p>
    <w:p w14:paraId="035A7001" w14:textId="77777777" w:rsidR="007A13F4" w:rsidRDefault="007A13F4" w:rsidP="008D0D32">
      <w:pPr>
        <w:ind w:firstLine="720"/>
      </w:pPr>
    </w:p>
    <w:p w14:paraId="4FDC3677" w14:textId="77777777" w:rsidR="007A13F4" w:rsidRDefault="007A13F4" w:rsidP="008D0D32">
      <w:pPr>
        <w:ind w:firstLine="720"/>
      </w:pPr>
    </w:p>
    <w:p w14:paraId="13C2CAEC" w14:textId="77777777" w:rsidR="007A13F4" w:rsidRDefault="007A13F4" w:rsidP="008D0D32">
      <w:pPr>
        <w:ind w:firstLine="720"/>
      </w:pPr>
    </w:p>
    <w:p w14:paraId="294B9776" w14:textId="77777777" w:rsidR="007A13F4" w:rsidRDefault="007A13F4" w:rsidP="008D0D32">
      <w:pPr>
        <w:ind w:firstLine="720"/>
      </w:pPr>
    </w:p>
    <w:p w14:paraId="5D9AD296" w14:textId="77777777" w:rsidR="007A13F4" w:rsidRPr="00BE0ABB" w:rsidRDefault="007A13F4" w:rsidP="008D0D32">
      <w:pPr>
        <w:ind w:firstLine="720"/>
      </w:pPr>
    </w:p>
    <w:sdt>
      <w:sdtPr>
        <w:id w:val="-1987538855"/>
        <w:docPartObj>
          <w:docPartGallery w:val="Bibliographies"/>
          <w:docPartUnique/>
        </w:docPartObj>
      </w:sdtPr>
      <w:sdtEndPr>
        <w:rPr>
          <w:rFonts w:asciiTheme="minorHAnsi" w:eastAsiaTheme="minorHAnsi" w:hAnsiTheme="minorHAnsi" w:cstheme="minorBidi"/>
          <w:color w:val="auto"/>
          <w:sz w:val="24"/>
          <w:szCs w:val="24"/>
        </w:rPr>
      </w:sdtEndPr>
      <w:sdtContent>
        <w:p w14:paraId="34D07CE8" w14:textId="6015F0D3" w:rsidR="007A13F4" w:rsidRDefault="007A13F4">
          <w:pPr>
            <w:pStyle w:val="Heading1"/>
          </w:pPr>
          <w:r>
            <w:t>Bibliography</w:t>
          </w:r>
        </w:p>
        <w:sdt>
          <w:sdtPr>
            <w:id w:val="111145805"/>
            <w:bibliography/>
          </w:sdtPr>
          <w:sdtContent>
            <w:p w14:paraId="12297919" w14:textId="6CE9A75C" w:rsidR="007A13F4" w:rsidRDefault="002B0C7C" w:rsidP="007A13F4">
              <w:pPr>
                <w:pStyle w:val="ListParagraph"/>
                <w:numPr>
                  <w:ilvl w:val="0"/>
                  <w:numId w:val="2"/>
                </w:numPr>
              </w:pPr>
              <w:r w:rsidRPr="002B0C7C">
                <w:t>Vilho Amukwaya Shigwedha, ‘The return of Herero and Nama bones from Germany: the victims’ struggle for recognition and recurring genocide memories in Namibia’</w:t>
              </w:r>
              <w:r w:rsidRPr="002B0C7C">
                <w:rPr>
                  <w:i/>
                  <w:iCs/>
                </w:rPr>
                <w:t>, Human Remains in Society</w:t>
              </w:r>
              <w:r w:rsidRPr="002B0C7C">
                <w:t>. Curation and Exhibition in the Aftermath of Genocide and Mass-violence (2016) 197-219</w:t>
              </w:r>
              <w:r>
                <w:t>.</w:t>
              </w:r>
            </w:p>
            <w:p w14:paraId="085CF117" w14:textId="77777777" w:rsidR="007A13F4" w:rsidRDefault="007A13F4" w:rsidP="0032352E">
              <w:pPr>
                <w:ind w:left="360"/>
              </w:pPr>
            </w:p>
            <w:p w14:paraId="557F4F41" w14:textId="36F8699F" w:rsidR="007A13F4" w:rsidRDefault="0032352E" w:rsidP="007A13F4">
              <w:pPr>
                <w:pStyle w:val="ListParagraph"/>
                <w:numPr>
                  <w:ilvl w:val="0"/>
                  <w:numId w:val="2"/>
                </w:numPr>
              </w:pPr>
              <w:r w:rsidRPr="0032352E">
                <w:t>Jon Bridgman and Leslie J. Worley, ‘Genocide of the Hereros’ in Samuel Totten and William S. Parsons (eds.), Century of Genocide: Critical Essays and Eyewitness Accounts, (New York: Routledge, 2009), pp. 14-42</w:t>
              </w:r>
            </w:p>
            <w:p w14:paraId="4DCB5A18" w14:textId="77777777" w:rsidR="0032352E" w:rsidRDefault="0032352E" w:rsidP="0032352E">
              <w:pPr>
                <w:pStyle w:val="ListParagraph"/>
              </w:pPr>
            </w:p>
            <w:p w14:paraId="5D5286CF" w14:textId="4E61A954" w:rsidR="007A13F4" w:rsidRDefault="0032352E" w:rsidP="007A13F4">
              <w:pPr>
                <w:pStyle w:val="ListParagraph"/>
                <w:numPr>
                  <w:ilvl w:val="0"/>
                  <w:numId w:val="2"/>
                </w:numPr>
              </w:pPr>
              <w:r w:rsidRPr="0032352E">
                <w:t>Casper Erichsen &amp; David Olusoga, The Kaiser’s Holocaust: Germany’s Forgotten Genocide and the Colonial Roots of Nazism (London: Faber &amp; Faber, 2010)</w:t>
              </w:r>
              <w:r>
                <w:t>.</w:t>
              </w:r>
            </w:p>
            <w:p w14:paraId="128E216F" w14:textId="77777777" w:rsidR="00A66F93" w:rsidRDefault="00A66F93" w:rsidP="00A66F93">
              <w:pPr>
                <w:pStyle w:val="ListParagraph"/>
              </w:pPr>
            </w:p>
            <w:p w14:paraId="15164628" w14:textId="4C906EA7" w:rsidR="00A66F93" w:rsidRDefault="00A66F93" w:rsidP="007A13F4">
              <w:pPr>
                <w:pStyle w:val="ListParagraph"/>
                <w:numPr>
                  <w:ilvl w:val="0"/>
                  <w:numId w:val="2"/>
                </w:numPr>
              </w:pPr>
              <w:r w:rsidRPr="00A66F93">
                <w:t>Daniel Grimshaw, Britains Response to the Herero and Nama Genocide, 1904-07 (University Thesis, Uppsala Universitet, 2014)</w:t>
              </w:r>
              <w:r>
                <w:t>.</w:t>
              </w:r>
            </w:p>
            <w:p w14:paraId="60526398" w14:textId="77777777" w:rsidR="00571CA4" w:rsidRDefault="00571CA4" w:rsidP="00571CA4">
              <w:pPr>
                <w:pStyle w:val="ListParagraph"/>
              </w:pPr>
            </w:p>
            <w:p w14:paraId="60F634BF" w14:textId="766809FC" w:rsidR="00571CA4" w:rsidRDefault="00571CA4" w:rsidP="007A13F4">
              <w:pPr>
                <w:pStyle w:val="ListParagraph"/>
                <w:numPr>
                  <w:ilvl w:val="0"/>
                  <w:numId w:val="2"/>
                </w:numPr>
              </w:pPr>
              <w:r w:rsidRPr="00571CA4">
                <w:t xml:space="preserve">François Haas, ‘German science and black racism—roots of the Nazi Holocaust’, </w:t>
              </w:r>
              <w:r w:rsidRPr="00571CA4">
                <w:rPr>
                  <w:i/>
                  <w:iCs/>
                </w:rPr>
                <w:t>The FASEB Journal</w:t>
              </w:r>
              <w:r w:rsidRPr="00571CA4">
                <w:t>, 22:2 (2008) 323-337 https://doi.org/10.1096/fj.08-0202ufm</w:t>
              </w:r>
            </w:p>
            <w:p w14:paraId="2A1589A2" w14:textId="77777777" w:rsidR="00A866D0" w:rsidRDefault="00A866D0" w:rsidP="00A866D0">
              <w:pPr>
                <w:pStyle w:val="ListParagraph"/>
              </w:pPr>
            </w:p>
            <w:p w14:paraId="4D5AA916" w14:textId="77A028E3" w:rsidR="00A866D0" w:rsidRDefault="00A866D0" w:rsidP="007A13F4">
              <w:pPr>
                <w:pStyle w:val="ListParagraph"/>
                <w:numPr>
                  <w:ilvl w:val="0"/>
                  <w:numId w:val="2"/>
                </w:numPr>
              </w:pPr>
              <w:r w:rsidRPr="00A866D0">
                <w:t xml:space="preserve">Matthias Häußler, ‘From destruction to extermination: Genocidal escalation in Germany’s war against the Herero, 1904.’ </w:t>
              </w:r>
              <w:r w:rsidRPr="00571CA4">
                <w:rPr>
                  <w:i/>
                  <w:iCs/>
                </w:rPr>
                <w:t>Journal of Namibian Studies: History Politics Culture</w:t>
              </w:r>
              <w:r w:rsidRPr="00A866D0">
                <w:t>, 10 (2011) 55-81</w:t>
              </w:r>
              <w:r>
                <w:t>.</w:t>
              </w:r>
            </w:p>
            <w:p w14:paraId="61FD2A5B" w14:textId="77777777" w:rsidR="0032352E" w:rsidRDefault="0032352E" w:rsidP="0032352E"/>
            <w:p w14:paraId="2CD9A763" w14:textId="0014BFC7" w:rsidR="007A13F4" w:rsidRDefault="00177345" w:rsidP="007A13F4">
              <w:pPr>
                <w:pStyle w:val="ListParagraph"/>
                <w:numPr>
                  <w:ilvl w:val="0"/>
                  <w:numId w:val="2"/>
                </w:numPr>
              </w:pPr>
              <w:r w:rsidRPr="00177345">
                <w:t>Douglas Irvin-Erickson, Raphael Lemkin and the Concept of Genocide,</w:t>
              </w:r>
              <w:r w:rsidR="00571CA4">
                <w:t xml:space="preserve"> </w:t>
              </w:r>
              <w:r w:rsidRPr="00177345">
                <w:t>(University of Pennsylvania Press, 2017). JSTOR, http://www.jstor.org/stable/j.ctv2t4ds5 [Accessed 7 Feb. 2025]</w:t>
              </w:r>
              <w:r>
                <w:t>.</w:t>
              </w:r>
            </w:p>
            <w:p w14:paraId="60ED5EA0" w14:textId="77777777" w:rsidR="00E0424F" w:rsidRDefault="00E0424F" w:rsidP="00E0424F">
              <w:pPr>
                <w:pStyle w:val="ListParagraph"/>
              </w:pPr>
            </w:p>
            <w:p w14:paraId="3A797795" w14:textId="5C82851B" w:rsidR="00E0424F" w:rsidRDefault="00E0424F" w:rsidP="007A13F4">
              <w:pPr>
                <w:pStyle w:val="ListParagraph"/>
                <w:numPr>
                  <w:ilvl w:val="0"/>
                  <w:numId w:val="2"/>
                </w:numPr>
              </w:pPr>
              <w:r w:rsidRPr="00E0424F">
                <w:t>Khatija Bibi Khan, ‘The Kaiser’s Holocaust: The Coloniality of German’s Forgotten Genocide of the Nama and the Herero of Namibia’</w:t>
              </w:r>
              <w:r w:rsidRPr="00E0424F">
                <w:rPr>
                  <w:i/>
                  <w:iCs/>
                </w:rPr>
                <w:t>, African Identities,</w:t>
              </w:r>
              <w:r w:rsidRPr="00E0424F">
                <w:t xml:space="preserve"> 10.3 (2012), 211–20 </w:t>
              </w:r>
              <w:hyperlink r:id="rId8" w:history="1">
                <w:r w:rsidRPr="000B0F16">
                  <w:rPr>
                    <w:rStyle w:val="Hyperlink"/>
                  </w:rPr>
                  <w:t>https://doi.org/10.1080/14725843.2012.715451</w:t>
                </w:r>
              </w:hyperlink>
              <w:r>
                <w:t xml:space="preserve">. </w:t>
              </w:r>
            </w:p>
            <w:p w14:paraId="39FCB72F" w14:textId="77777777" w:rsidR="00832F33" w:rsidRDefault="00832F33" w:rsidP="00832F33">
              <w:pPr>
                <w:pStyle w:val="ListParagraph"/>
              </w:pPr>
            </w:p>
            <w:p w14:paraId="5AD50A65" w14:textId="2A6C6CEB" w:rsidR="00832F33" w:rsidRDefault="00832F33" w:rsidP="007A13F4">
              <w:pPr>
                <w:pStyle w:val="ListParagraph"/>
                <w:numPr>
                  <w:ilvl w:val="0"/>
                  <w:numId w:val="2"/>
                </w:numPr>
              </w:pPr>
              <w:r w:rsidRPr="00832F33">
                <w:t xml:space="preserve">Reinhart Kossler, ‘Genocide in Namibia, the Holocaust and the Issue of Colonialism’, </w:t>
              </w:r>
              <w:r w:rsidRPr="00832F33">
                <w:rPr>
                  <w:i/>
                  <w:iCs/>
                </w:rPr>
                <w:t>Journal of Southern African Studies</w:t>
              </w:r>
              <w:r w:rsidRPr="00832F33">
                <w:t xml:space="preserve">, 38.1 (2012), 233–38 </w:t>
              </w:r>
              <w:hyperlink r:id="rId9" w:history="1">
                <w:r w:rsidRPr="000B0F16">
                  <w:rPr>
                    <w:rStyle w:val="Hyperlink"/>
                  </w:rPr>
                  <w:t>https://doi.org/10.1080/03057070.2012.664929</w:t>
                </w:r>
              </w:hyperlink>
              <w:r>
                <w:t xml:space="preserve">. </w:t>
              </w:r>
            </w:p>
            <w:p w14:paraId="5858D0BD" w14:textId="77777777" w:rsidR="00CD159B" w:rsidRDefault="00CD159B" w:rsidP="00CD159B">
              <w:pPr>
                <w:pStyle w:val="ListParagraph"/>
              </w:pPr>
            </w:p>
            <w:p w14:paraId="639B4FFF" w14:textId="278831E1" w:rsidR="00CD159B" w:rsidRDefault="00CD159B" w:rsidP="007A13F4">
              <w:pPr>
                <w:pStyle w:val="ListParagraph"/>
                <w:numPr>
                  <w:ilvl w:val="0"/>
                  <w:numId w:val="2"/>
                </w:numPr>
              </w:pPr>
              <w:r w:rsidRPr="00CD159B">
                <w:t>Jonas Kreienbaum, ‘Guerrilla wars and colonial concentration camps. The exceptional case of German South West Africa (1904-1908)’</w:t>
              </w:r>
              <w:r w:rsidRPr="00CD159B">
                <w:rPr>
                  <w:i/>
                  <w:iCs/>
                </w:rPr>
                <w:t>, Journal of Namibian Studies</w:t>
              </w:r>
              <w:r w:rsidRPr="00CD159B">
                <w:t>, 11 (2012) 83-101</w:t>
              </w:r>
              <w:r>
                <w:t>.</w:t>
              </w:r>
            </w:p>
            <w:p w14:paraId="1D18DC27" w14:textId="77777777" w:rsidR="00F53360" w:rsidRDefault="00F53360" w:rsidP="00F53360">
              <w:pPr>
                <w:pStyle w:val="ListParagraph"/>
              </w:pPr>
            </w:p>
            <w:p w14:paraId="3DB3282B" w14:textId="65A237F6" w:rsidR="00F53360" w:rsidRDefault="00F53360" w:rsidP="007A13F4">
              <w:pPr>
                <w:pStyle w:val="ListParagraph"/>
                <w:numPr>
                  <w:ilvl w:val="0"/>
                  <w:numId w:val="2"/>
                </w:numPr>
              </w:pPr>
              <w:r w:rsidRPr="00F53360">
                <w:t xml:space="preserve">Birthe Kundrus, ‘From the Herero to the Holocaust? Some Remarks on the Current Debate’, </w:t>
              </w:r>
              <w:r w:rsidRPr="00F53360">
                <w:rPr>
                  <w:i/>
                  <w:iCs/>
                </w:rPr>
                <w:t>Afrika Spectrum</w:t>
              </w:r>
              <w:r w:rsidRPr="00F53360">
                <w:t xml:space="preserve"> 40:2 (2005)</w:t>
              </w:r>
              <w:r>
                <w:t xml:space="preserve"> </w:t>
              </w:r>
              <w:r w:rsidRPr="00F53360">
                <w:t>299-308.</w:t>
              </w:r>
            </w:p>
            <w:p w14:paraId="20A01BCD" w14:textId="77777777" w:rsidR="006123F8" w:rsidRDefault="006123F8" w:rsidP="006123F8">
              <w:pPr>
                <w:pStyle w:val="ListParagraph"/>
              </w:pPr>
            </w:p>
            <w:p w14:paraId="736FBC84" w14:textId="362487E6" w:rsidR="006123F8" w:rsidRDefault="006123F8" w:rsidP="007A13F4">
              <w:pPr>
                <w:pStyle w:val="ListParagraph"/>
                <w:numPr>
                  <w:ilvl w:val="0"/>
                  <w:numId w:val="2"/>
                </w:numPr>
              </w:pPr>
              <w:r w:rsidRPr="006123F8">
                <w:t>Katja Lembke, ‘The Concentration camp on Shark Island near Lüderitz: Chances and perspectives of archaeological surveys in colonial structures’, in Andreas Eckl, Matthias Häussler &amp; Martha Akawa (eds.), An Unresolved Issue: Genocide in Colonial Namibia (Windhoek: Friedrich-Ebert-Stiftung, 2024) 137-171</w:t>
              </w:r>
              <w:r>
                <w:t>.</w:t>
              </w:r>
            </w:p>
            <w:p w14:paraId="25D4317F" w14:textId="77777777" w:rsidR="00390317" w:rsidRDefault="00390317" w:rsidP="00390317">
              <w:pPr>
                <w:pStyle w:val="ListParagraph"/>
              </w:pPr>
            </w:p>
            <w:p w14:paraId="0933DDE4" w14:textId="68005673" w:rsidR="00390317" w:rsidRDefault="00390317" w:rsidP="007A13F4">
              <w:pPr>
                <w:pStyle w:val="ListParagraph"/>
                <w:numPr>
                  <w:ilvl w:val="0"/>
                  <w:numId w:val="2"/>
                </w:numPr>
              </w:pPr>
              <w:r w:rsidRPr="00390317">
                <w:t>Benjamin Madley, ‘From Africa to Auschwitz: How German South West Africa Incubated Ideas and Methods Adopted and Developed by the Nazis in Eastern Europe’</w:t>
              </w:r>
              <w:r w:rsidRPr="00571CA4">
                <w:rPr>
                  <w:i/>
                  <w:iCs/>
                </w:rPr>
                <w:t>, European History Quarterly</w:t>
              </w:r>
              <w:r w:rsidRPr="00390317">
                <w:t xml:space="preserve">, 35.3 (2005), 429–64 </w:t>
              </w:r>
              <w:hyperlink r:id="rId10" w:history="1">
                <w:r w:rsidR="00432361" w:rsidRPr="000B0F16">
                  <w:rPr>
                    <w:rStyle w:val="Hyperlink"/>
                  </w:rPr>
                  <w:t>https://doi.org/10.1177/0265691405054218</w:t>
                </w:r>
              </w:hyperlink>
              <w:r w:rsidR="00432361">
                <w:t xml:space="preserve">.  </w:t>
              </w:r>
            </w:p>
            <w:p w14:paraId="4E0AF6C0" w14:textId="77777777" w:rsidR="003351E2" w:rsidRDefault="003351E2" w:rsidP="003351E2">
              <w:pPr>
                <w:pStyle w:val="ListParagraph"/>
              </w:pPr>
            </w:p>
            <w:p w14:paraId="50D6731D" w14:textId="0F08C335" w:rsidR="003351E2" w:rsidRDefault="003351E2" w:rsidP="007A13F4">
              <w:pPr>
                <w:pStyle w:val="ListParagraph"/>
                <w:numPr>
                  <w:ilvl w:val="0"/>
                  <w:numId w:val="2"/>
                </w:numPr>
              </w:pPr>
              <w:r w:rsidRPr="003351E2">
                <w:t xml:space="preserve">Woodruff D. Smith, ‘Friedrich Ratzel and the Origins of Lebensraum.’ </w:t>
              </w:r>
              <w:r w:rsidRPr="00571CA4">
                <w:rPr>
                  <w:i/>
                  <w:iCs/>
                </w:rPr>
                <w:t>German Studies Review</w:t>
              </w:r>
              <w:r w:rsidRPr="003351E2">
                <w:t xml:space="preserve">, 3:1 (1980) 51–68 </w:t>
              </w:r>
              <w:hyperlink r:id="rId11" w:history="1">
                <w:r w:rsidR="00571CA4" w:rsidRPr="000B0F16">
                  <w:rPr>
                    <w:rStyle w:val="Hyperlink"/>
                  </w:rPr>
                  <w:t>https://doi.org/10.2307/1429483</w:t>
                </w:r>
              </w:hyperlink>
              <w:r w:rsidRPr="003351E2">
                <w:t>.</w:t>
              </w:r>
              <w:r w:rsidR="00571CA4">
                <w:t xml:space="preserve"> </w:t>
              </w:r>
            </w:p>
            <w:p w14:paraId="6414A054" w14:textId="77777777" w:rsidR="003C196F" w:rsidRDefault="003C196F" w:rsidP="003C196F">
              <w:pPr>
                <w:pStyle w:val="ListParagraph"/>
              </w:pPr>
            </w:p>
            <w:p w14:paraId="21F2362A" w14:textId="7DDFDB07" w:rsidR="003C196F" w:rsidRDefault="003C196F" w:rsidP="007A13F4">
              <w:pPr>
                <w:pStyle w:val="ListParagraph"/>
                <w:numPr>
                  <w:ilvl w:val="0"/>
                  <w:numId w:val="2"/>
                </w:numPr>
              </w:pPr>
              <w:r w:rsidRPr="003C196F">
                <w:t>South-West Africa. Administrative Office., Report on the natives of South-west Africa and their treatment by Germany (London: His Majesty’s Stationary Office, 1918)</w:t>
              </w:r>
              <w:r>
                <w:t>.</w:t>
              </w:r>
            </w:p>
            <w:p w14:paraId="4CB74070" w14:textId="77777777" w:rsidR="0032352E" w:rsidRDefault="0032352E" w:rsidP="0032352E">
              <w:pPr>
                <w:pStyle w:val="ListParagraph"/>
              </w:pPr>
            </w:p>
            <w:p w14:paraId="389524F3" w14:textId="1417CDE4" w:rsidR="0032352E" w:rsidRDefault="0032352E" w:rsidP="007A13F4">
              <w:pPr>
                <w:pStyle w:val="ListParagraph"/>
                <w:numPr>
                  <w:ilvl w:val="0"/>
                  <w:numId w:val="2"/>
                </w:numPr>
              </w:pPr>
              <w:r w:rsidRPr="0032352E">
                <w:t xml:space="preserve">Nick Sprenger, Robert Rodriguez &amp; Ngondi Kamatuka. ‘The Ovaherero/Nama Genocide: A Case for Apology and Reparations’, </w:t>
              </w:r>
              <w:r w:rsidRPr="00571CA4">
                <w:rPr>
                  <w:i/>
                  <w:iCs/>
                </w:rPr>
                <w:t>European Scientific Journal</w:t>
              </w:r>
              <w:r w:rsidRPr="0032352E">
                <w:t xml:space="preserve"> (2017) 120-146</w:t>
              </w:r>
              <w:r>
                <w:t>.</w:t>
              </w:r>
            </w:p>
            <w:p w14:paraId="3B5D280E" w14:textId="77777777" w:rsidR="0032352E" w:rsidRDefault="0032352E" w:rsidP="0032352E">
              <w:pPr>
                <w:ind w:left="360"/>
              </w:pPr>
            </w:p>
            <w:p w14:paraId="3D54B104" w14:textId="00364BF3" w:rsidR="007A13F4" w:rsidRDefault="007A13F4" w:rsidP="007A13F4">
              <w:pPr>
                <w:pStyle w:val="ListParagraph"/>
                <w:numPr>
                  <w:ilvl w:val="0"/>
                  <w:numId w:val="2"/>
                </w:numPr>
              </w:pPr>
              <w:r w:rsidRPr="007A13F4">
                <w:t xml:space="preserve">Jürgen Zimmerer, From Windhoek to </w:t>
              </w:r>
              <w:proofErr w:type="gramStart"/>
              <w:r w:rsidRPr="007A13F4">
                <w:t>Auschwitz?:</w:t>
              </w:r>
              <w:proofErr w:type="gramEnd"/>
              <w:r w:rsidRPr="007A13F4">
                <w:t xml:space="preserve"> Reflections on the Relationship between Colonialism and National Socialism (Basel/Berlin/Boston: De Gruyter, 2024), </w:t>
              </w:r>
              <w:hyperlink r:id="rId12" w:history="1">
                <w:r w:rsidRPr="000B0F16">
                  <w:rPr>
                    <w:rStyle w:val="Hyperlink"/>
                  </w:rPr>
                  <w:t>https://doi.org/10.1515/9783110754513</w:t>
                </w:r>
              </w:hyperlink>
              <w:r w:rsidR="00432361">
                <w:t>.</w:t>
              </w:r>
              <w:r>
                <w:t xml:space="preserve"> </w:t>
              </w:r>
            </w:p>
          </w:sdtContent>
        </w:sdt>
      </w:sdtContent>
    </w:sdt>
    <w:p w14:paraId="1E41A33D" w14:textId="473950DC" w:rsidR="007E4217" w:rsidRPr="00BE0ABB" w:rsidRDefault="007E4217" w:rsidP="008D0D32">
      <w:pPr>
        <w:ind w:firstLine="720"/>
      </w:pPr>
    </w:p>
    <w:sectPr w:rsidR="007E4217" w:rsidRPr="00BE0A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C650F2" w14:textId="77777777" w:rsidR="00531FA8" w:rsidRDefault="00531FA8" w:rsidP="00064705">
      <w:r>
        <w:separator/>
      </w:r>
    </w:p>
  </w:endnote>
  <w:endnote w:type="continuationSeparator" w:id="0">
    <w:p w14:paraId="3C3E86CE" w14:textId="77777777" w:rsidR="00531FA8" w:rsidRDefault="00531FA8" w:rsidP="000647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5EF73A" w14:textId="77777777" w:rsidR="00531FA8" w:rsidRDefault="00531FA8" w:rsidP="00064705">
      <w:r>
        <w:separator/>
      </w:r>
    </w:p>
  </w:footnote>
  <w:footnote w:type="continuationSeparator" w:id="0">
    <w:p w14:paraId="5E66ED72" w14:textId="77777777" w:rsidR="00531FA8" w:rsidRDefault="00531FA8" w:rsidP="00064705">
      <w:r>
        <w:continuationSeparator/>
      </w:r>
    </w:p>
  </w:footnote>
  <w:footnote w:id="1">
    <w:p w14:paraId="2BBD4F3E" w14:textId="61D24EE7" w:rsidR="00064705" w:rsidRDefault="00064705">
      <w:pPr>
        <w:pStyle w:val="FootnoteText"/>
      </w:pPr>
      <w:r>
        <w:rPr>
          <w:rStyle w:val="FootnoteReference"/>
        </w:rPr>
        <w:footnoteRef/>
      </w:r>
      <w:r>
        <w:t xml:space="preserve"> </w:t>
      </w:r>
      <w:r w:rsidRPr="00064705">
        <w:t>Jürgen</w:t>
      </w:r>
      <w:r w:rsidRPr="00064705">
        <w:t xml:space="preserve"> </w:t>
      </w:r>
      <w:r w:rsidRPr="00064705">
        <w:t xml:space="preserve">Zimmerer, From Windhoek to </w:t>
      </w:r>
      <w:proofErr w:type="gramStart"/>
      <w:r w:rsidRPr="00064705">
        <w:t>Auschwitz?:</w:t>
      </w:r>
      <w:proofErr w:type="gramEnd"/>
      <w:r w:rsidRPr="00064705">
        <w:t xml:space="preserve"> Reflections on the Relationship between Colonialism and National Socialism (Basel/Berlin/Boston: De Gruyter, 2024),</w:t>
      </w:r>
      <w:r>
        <w:t xml:space="preserve"> </w:t>
      </w:r>
      <w:hyperlink r:id="rId1" w:history="1">
        <w:r w:rsidRPr="000B0F16">
          <w:rPr>
            <w:rStyle w:val="Hyperlink"/>
          </w:rPr>
          <w:t>https://doi.org/10.1515/9783110754513</w:t>
        </w:r>
      </w:hyperlink>
      <w:r>
        <w:t xml:space="preserve"> p. 7.</w:t>
      </w:r>
    </w:p>
  </w:footnote>
  <w:footnote w:id="2">
    <w:p w14:paraId="491FF9FC" w14:textId="5F502B01" w:rsidR="00064705" w:rsidRDefault="00064705">
      <w:pPr>
        <w:pStyle w:val="FootnoteText"/>
      </w:pPr>
      <w:r>
        <w:rPr>
          <w:rStyle w:val="FootnoteReference"/>
        </w:rPr>
        <w:footnoteRef/>
      </w:r>
      <w:r>
        <w:t xml:space="preserve"> Douglas </w:t>
      </w:r>
      <w:r w:rsidRPr="00064705">
        <w:t>Irvin-Erickson, Raphael Lemkin and the Concept of Genocide</w:t>
      </w:r>
      <w:r>
        <w:t>,</w:t>
      </w:r>
      <w:r w:rsidR="0032352E">
        <w:t xml:space="preserve"> </w:t>
      </w:r>
      <w:r>
        <w:t>(</w:t>
      </w:r>
      <w:r w:rsidRPr="00064705">
        <w:t>University of Pennsylvania Press, 2017</w:t>
      </w:r>
      <w:r>
        <w:t>)</w:t>
      </w:r>
      <w:r w:rsidRPr="00064705">
        <w:t xml:space="preserve">. JSTOR, </w:t>
      </w:r>
      <w:hyperlink r:id="rId2" w:history="1">
        <w:r w:rsidRPr="000B0F16">
          <w:rPr>
            <w:rStyle w:val="Hyperlink"/>
          </w:rPr>
          <w:t>http://www.jstor.org/stable/j.ctv2t4ds5</w:t>
        </w:r>
      </w:hyperlink>
      <w:r w:rsidRPr="00064705">
        <w:t xml:space="preserve"> </w:t>
      </w:r>
      <w:r>
        <w:t>[</w:t>
      </w:r>
      <w:r w:rsidRPr="00064705">
        <w:t>Accessed 7 Feb. 2025</w:t>
      </w:r>
      <w:r>
        <w:t>]</w:t>
      </w:r>
      <w:r w:rsidR="007A13F4">
        <w:t>.</w:t>
      </w:r>
    </w:p>
  </w:footnote>
  <w:footnote w:id="3">
    <w:p w14:paraId="4B0AFB23" w14:textId="036BB81B" w:rsidR="00064705" w:rsidRDefault="00064705">
      <w:pPr>
        <w:pStyle w:val="FootnoteText"/>
      </w:pPr>
      <w:r>
        <w:rPr>
          <w:rStyle w:val="FootnoteReference"/>
        </w:rPr>
        <w:footnoteRef/>
      </w:r>
      <w:r>
        <w:t xml:space="preserve"> Casper Erichsen &amp; David Olusoga, The Kaiser’s Holocaust: Germany’s Forgotten Genocide and the Colonial Roots of Nazism (London: Faber &amp; Faber, 2010)</w:t>
      </w:r>
      <w:r w:rsidR="006424CD">
        <w:t>.</w:t>
      </w:r>
    </w:p>
  </w:footnote>
  <w:footnote w:id="4">
    <w:p w14:paraId="39E7C38D" w14:textId="2533335B" w:rsidR="00064705" w:rsidRDefault="00064705">
      <w:pPr>
        <w:pStyle w:val="FootnoteText"/>
      </w:pPr>
      <w:r>
        <w:rPr>
          <w:rStyle w:val="FootnoteReference"/>
        </w:rPr>
        <w:footnoteRef/>
      </w:r>
      <w:r>
        <w:t xml:space="preserve"> </w:t>
      </w:r>
      <w:r w:rsidRPr="00064705">
        <w:t>Jon Bridgman and Leslie J. Worley, ‘Genocide of the Hereros’ in Samuel Totten and William S. Parsons (eds.), Century of Genocide: Critical Essays and Eyewitness Accounts, (New York: Routledge, 2009), pp. 14-42</w:t>
      </w:r>
      <w:r w:rsidR="0032352E">
        <w:t xml:space="preserve"> (</w:t>
      </w:r>
      <w:r w:rsidRPr="00064705">
        <w:t xml:space="preserve">p. </w:t>
      </w:r>
      <w:r>
        <w:t>14</w:t>
      </w:r>
      <w:r w:rsidR="0032352E">
        <w:t>)</w:t>
      </w:r>
      <w:r>
        <w:t>.</w:t>
      </w:r>
    </w:p>
  </w:footnote>
  <w:footnote w:id="5">
    <w:p w14:paraId="595FA7A7" w14:textId="591F8F61" w:rsidR="00064705" w:rsidRDefault="00064705">
      <w:pPr>
        <w:pStyle w:val="FootnoteText"/>
      </w:pPr>
      <w:r>
        <w:rPr>
          <w:rStyle w:val="FootnoteReference"/>
        </w:rPr>
        <w:footnoteRef/>
      </w:r>
      <w:r>
        <w:t xml:space="preserve"> Nick </w:t>
      </w:r>
      <w:r w:rsidRPr="00064705">
        <w:t>Sprenger</w:t>
      </w:r>
      <w:r>
        <w:t>,</w:t>
      </w:r>
      <w:r w:rsidRPr="00064705">
        <w:t xml:space="preserve"> Robert Rodriguez</w:t>
      </w:r>
      <w:r>
        <w:t xml:space="preserve"> &amp; </w:t>
      </w:r>
      <w:r w:rsidRPr="00064705">
        <w:t xml:space="preserve">Ngondi Kamatuka. </w:t>
      </w:r>
      <w:r>
        <w:t>‘</w:t>
      </w:r>
      <w:r w:rsidRPr="00064705">
        <w:t>The Ovaherero/Nama Genocide: A Case for Apology and Reparations</w:t>
      </w:r>
      <w:r>
        <w:t>’,</w:t>
      </w:r>
      <w:r w:rsidRPr="00064705">
        <w:t xml:space="preserve"> </w:t>
      </w:r>
      <w:r w:rsidRPr="00064705">
        <w:rPr>
          <w:i/>
          <w:iCs/>
        </w:rPr>
        <w:t>European Scientific Journal</w:t>
      </w:r>
      <w:r w:rsidRPr="00064705">
        <w:t xml:space="preserve"> (2017)</w:t>
      </w:r>
      <w:r>
        <w:t xml:space="preserve"> </w:t>
      </w:r>
      <w:r w:rsidRPr="00064705">
        <w:t>120-146</w:t>
      </w:r>
      <w:r>
        <w:t xml:space="preserve"> (p. 120).</w:t>
      </w:r>
    </w:p>
  </w:footnote>
  <w:footnote w:id="6">
    <w:p w14:paraId="1718CD5D" w14:textId="49745E4B" w:rsidR="00064705" w:rsidRDefault="00064705">
      <w:pPr>
        <w:pStyle w:val="FootnoteText"/>
      </w:pPr>
      <w:r>
        <w:rPr>
          <w:rStyle w:val="FootnoteReference"/>
        </w:rPr>
        <w:footnoteRef/>
      </w:r>
      <w:r>
        <w:t xml:space="preserve"> </w:t>
      </w:r>
      <w:r w:rsidRPr="00064705">
        <w:t>Birthe Kundrus, ‘From the Herero to the Holocaust? Some Remarks on the Current Debate’, Afrika Spectrum 40:2 (2005), pp.</w:t>
      </w:r>
      <w:r w:rsidR="005D633D">
        <w:t xml:space="preserve"> </w:t>
      </w:r>
      <w:r w:rsidRPr="00064705">
        <w:t>299-308</w:t>
      </w:r>
      <w:r>
        <w:t xml:space="preserve">. </w:t>
      </w:r>
    </w:p>
  </w:footnote>
  <w:footnote w:id="7">
    <w:p w14:paraId="537E20D6" w14:textId="517B9978" w:rsidR="00064705" w:rsidRDefault="00064705">
      <w:pPr>
        <w:pStyle w:val="FootnoteText"/>
      </w:pPr>
      <w:r>
        <w:rPr>
          <w:rStyle w:val="FootnoteReference"/>
        </w:rPr>
        <w:footnoteRef/>
      </w:r>
      <w:r>
        <w:t xml:space="preserve"> Benjamin </w:t>
      </w:r>
      <w:r w:rsidRPr="00064705">
        <w:t>Madley,</w:t>
      </w:r>
      <w:r>
        <w:t xml:space="preserve"> </w:t>
      </w:r>
      <w:r w:rsidRPr="00064705">
        <w:t xml:space="preserve">‘From Africa to Auschwitz: How German South West Africa Incubated Ideas and Methods Adopted and Developed by the Nazis in Eastern Europe’, </w:t>
      </w:r>
      <w:r w:rsidRPr="00064705">
        <w:rPr>
          <w:i/>
          <w:iCs/>
        </w:rPr>
        <w:t>European History Quarterly</w:t>
      </w:r>
      <w:r w:rsidRPr="00064705">
        <w:t xml:space="preserve">, 35.3 (2005), 429–64 </w:t>
      </w:r>
      <w:hyperlink r:id="rId3" w:history="1">
        <w:r w:rsidRPr="000B0F16">
          <w:rPr>
            <w:rStyle w:val="Hyperlink"/>
          </w:rPr>
          <w:t>https://doi.org/10.1177/0265691405054218</w:t>
        </w:r>
      </w:hyperlink>
      <w:r>
        <w:t xml:space="preserve"> (p.  431).</w:t>
      </w:r>
    </w:p>
  </w:footnote>
  <w:footnote w:id="8">
    <w:p w14:paraId="62A83075" w14:textId="01016B69" w:rsidR="00064705" w:rsidRDefault="00064705">
      <w:pPr>
        <w:pStyle w:val="FootnoteText"/>
      </w:pPr>
      <w:r>
        <w:rPr>
          <w:rStyle w:val="FootnoteReference"/>
        </w:rPr>
        <w:footnoteRef/>
      </w:r>
      <w:r>
        <w:t xml:space="preserve"> Ibid.</w:t>
      </w:r>
    </w:p>
  </w:footnote>
  <w:footnote w:id="9">
    <w:p w14:paraId="56A9C432" w14:textId="427BC6D2" w:rsidR="00064705" w:rsidRDefault="00064705">
      <w:pPr>
        <w:pStyle w:val="FootnoteText"/>
      </w:pPr>
      <w:r>
        <w:rPr>
          <w:rStyle w:val="FootnoteReference"/>
        </w:rPr>
        <w:footnoteRef/>
      </w:r>
      <w:r>
        <w:t xml:space="preserve"> Ibid. p. 430.</w:t>
      </w:r>
    </w:p>
  </w:footnote>
  <w:footnote w:id="10">
    <w:p w14:paraId="3B56937D" w14:textId="3C8CCA8E" w:rsidR="00064705" w:rsidRDefault="00064705">
      <w:pPr>
        <w:pStyle w:val="FootnoteText"/>
      </w:pPr>
      <w:r>
        <w:rPr>
          <w:rStyle w:val="FootnoteReference"/>
        </w:rPr>
        <w:footnoteRef/>
      </w:r>
      <w:r>
        <w:t xml:space="preserve"> Bridgeman &amp; Worely, ‘Genocide of the Hereros’, p. 23.</w:t>
      </w:r>
    </w:p>
  </w:footnote>
  <w:footnote w:id="11">
    <w:p w14:paraId="076BA70D" w14:textId="35863FED" w:rsidR="00064705" w:rsidRDefault="00064705">
      <w:pPr>
        <w:pStyle w:val="FootnoteText"/>
      </w:pPr>
      <w:r>
        <w:rPr>
          <w:rStyle w:val="FootnoteReference"/>
        </w:rPr>
        <w:footnoteRef/>
      </w:r>
      <w:r>
        <w:t xml:space="preserve"> Ibid.</w:t>
      </w:r>
    </w:p>
  </w:footnote>
  <w:footnote w:id="12">
    <w:p w14:paraId="41EB90C5" w14:textId="5BC7E55D" w:rsidR="00064705" w:rsidRDefault="00064705">
      <w:pPr>
        <w:pStyle w:val="FootnoteText"/>
      </w:pPr>
      <w:r>
        <w:rPr>
          <w:rStyle w:val="FootnoteReference"/>
        </w:rPr>
        <w:footnoteRef/>
      </w:r>
      <w:r>
        <w:t xml:space="preserve"> Daniel Grimshaw, </w:t>
      </w:r>
      <w:r w:rsidRPr="00064705">
        <w:rPr>
          <w:i/>
          <w:iCs/>
        </w:rPr>
        <w:t>Britains Response to the Herero and Nama Genocide, 1904-07</w:t>
      </w:r>
      <w:r>
        <w:t xml:space="preserve"> (University Thesis, Uppsala Universitet, 2014) p. 31.</w:t>
      </w:r>
    </w:p>
  </w:footnote>
  <w:footnote w:id="13">
    <w:p w14:paraId="0DFE4E5F" w14:textId="2B694350" w:rsidR="00064705" w:rsidRDefault="00064705">
      <w:pPr>
        <w:pStyle w:val="FootnoteText"/>
      </w:pPr>
      <w:r>
        <w:rPr>
          <w:rStyle w:val="FootnoteReference"/>
        </w:rPr>
        <w:footnoteRef/>
      </w:r>
      <w:r>
        <w:t xml:space="preserve"> </w:t>
      </w:r>
      <w:r w:rsidRPr="00064705">
        <w:t>South-West Africa. Administrative Office., Report on the natives of South-west Africa and their treatment by Germany (London: His Majesty’s Stationary Office, 1918) p. 63</w:t>
      </w:r>
      <w:r>
        <w:t>.</w:t>
      </w:r>
    </w:p>
  </w:footnote>
  <w:footnote w:id="14">
    <w:p w14:paraId="323A67C8" w14:textId="1B4A3A05" w:rsidR="00064705" w:rsidRDefault="00064705">
      <w:pPr>
        <w:pStyle w:val="FootnoteText"/>
      </w:pPr>
      <w:r>
        <w:rPr>
          <w:rStyle w:val="FootnoteReference"/>
        </w:rPr>
        <w:footnoteRef/>
      </w:r>
      <w:r>
        <w:t xml:space="preserve"> Ibid.</w:t>
      </w:r>
    </w:p>
  </w:footnote>
  <w:footnote w:id="15">
    <w:p w14:paraId="073B0850" w14:textId="6FB120CE" w:rsidR="00064705" w:rsidRDefault="00064705">
      <w:pPr>
        <w:pStyle w:val="FootnoteText"/>
      </w:pPr>
      <w:r>
        <w:rPr>
          <w:rStyle w:val="FootnoteReference"/>
        </w:rPr>
        <w:footnoteRef/>
      </w:r>
      <w:r>
        <w:t xml:space="preserve"> Zimmerer, ‘From Windhoek to Auschwitz’, p. 10.</w:t>
      </w:r>
    </w:p>
  </w:footnote>
  <w:footnote w:id="16">
    <w:p w14:paraId="4A2386D7" w14:textId="137AD31D" w:rsidR="00064705" w:rsidRPr="00064705" w:rsidRDefault="00064705" w:rsidP="00064705">
      <w:pPr>
        <w:rPr>
          <w:sz w:val="20"/>
          <w:szCs w:val="20"/>
        </w:rPr>
      </w:pPr>
      <w:r>
        <w:rPr>
          <w:rStyle w:val="FootnoteReference"/>
        </w:rPr>
        <w:footnoteRef/>
      </w:r>
      <w:r>
        <w:t xml:space="preserve"> </w:t>
      </w:r>
      <w:r w:rsidRPr="00064705">
        <w:rPr>
          <w:sz w:val="20"/>
          <w:szCs w:val="20"/>
        </w:rPr>
        <w:t>Matthias Häußler, ‘From destruction to extermination: Genocidal escalation in Germany’s war against the Herero, 1904.’ Journal of Namibian Studies: History Politics Culture, 10 (2011) 55-81</w:t>
      </w:r>
      <w:r>
        <w:rPr>
          <w:sz w:val="20"/>
          <w:szCs w:val="20"/>
        </w:rPr>
        <w:t xml:space="preserve"> (p. 64).</w:t>
      </w:r>
    </w:p>
  </w:footnote>
  <w:footnote w:id="17">
    <w:p w14:paraId="020E0530" w14:textId="4C9D8483" w:rsidR="00064705" w:rsidRDefault="00064705">
      <w:pPr>
        <w:pStyle w:val="FootnoteText"/>
      </w:pPr>
      <w:r>
        <w:rPr>
          <w:rStyle w:val="FootnoteReference"/>
        </w:rPr>
        <w:footnoteRef/>
      </w:r>
      <w:r>
        <w:t xml:space="preserve"> Madley, ‘From Africa to Auschwitz’, p. 432.</w:t>
      </w:r>
    </w:p>
  </w:footnote>
  <w:footnote w:id="18">
    <w:p w14:paraId="196C1830" w14:textId="7FDABF74" w:rsidR="00064705" w:rsidRDefault="00064705">
      <w:pPr>
        <w:pStyle w:val="FootnoteText"/>
      </w:pPr>
      <w:r>
        <w:rPr>
          <w:rStyle w:val="FootnoteReference"/>
        </w:rPr>
        <w:footnoteRef/>
      </w:r>
      <w:r>
        <w:t xml:space="preserve"> Ibid.</w:t>
      </w:r>
    </w:p>
  </w:footnote>
  <w:footnote w:id="19">
    <w:p w14:paraId="3123E93B" w14:textId="1F2DFD45" w:rsidR="00064705" w:rsidRDefault="00064705">
      <w:pPr>
        <w:pStyle w:val="FootnoteText"/>
      </w:pPr>
      <w:r>
        <w:rPr>
          <w:rStyle w:val="FootnoteReference"/>
        </w:rPr>
        <w:footnoteRef/>
      </w:r>
      <w:r>
        <w:t xml:space="preserve"> Ibid. </w:t>
      </w:r>
    </w:p>
  </w:footnote>
  <w:footnote w:id="20">
    <w:p w14:paraId="6DDBF158" w14:textId="0209E1C8" w:rsidR="00064705" w:rsidRDefault="00064705">
      <w:pPr>
        <w:pStyle w:val="FootnoteText"/>
      </w:pPr>
      <w:r>
        <w:rPr>
          <w:rStyle w:val="FootnoteReference"/>
        </w:rPr>
        <w:footnoteRef/>
      </w:r>
      <w:r>
        <w:t xml:space="preserve"> Ibid.</w:t>
      </w:r>
    </w:p>
  </w:footnote>
  <w:footnote w:id="21">
    <w:p w14:paraId="5C06F9A6" w14:textId="3B3FB917" w:rsidR="00BA354A" w:rsidRDefault="00BA354A">
      <w:pPr>
        <w:pStyle w:val="FootnoteText"/>
      </w:pPr>
      <w:r>
        <w:rPr>
          <w:rStyle w:val="FootnoteReference"/>
        </w:rPr>
        <w:footnoteRef/>
      </w:r>
      <w:r>
        <w:t xml:space="preserve"> Ibid. p. 433.</w:t>
      </w:r>
    </w:p>
  </w:footnote>
  <w:footnote w:id="22">
    <w:p w14:paraId="5F29916C" w14:textId="7B9003C0" w:rsidR="00255C34" w:rsidRDefault="00255C34">
      <w:pPr>
        <w:pStyle w:val="FootnoteText"/>
      </w:pPr>
      <w:r>
        <w:rPr>
          <w:rStyle w:val="FootnoteReference"/>
        </w:rPr>
        <w:footnoteRef/>
      </w:r>
      <w:r>
        <w:t xml:space="preserve"> Ibid.</w:t>
      </w:r>
    </w:p>
  </w:footnote>
  <w:footnote w:id="23">
    <w:p w14:paraId="09BAFFFE" w14:textId="630A5A30" w:rsidR="006002E1" w:rsidRDefault="006002E1">
      <w:pPr>
        <w:pStyle w:val="FootnoteText"/>
      </w:pPr>
      <w:r>
        <w:rPr>
          <w:rStyle w:val="FootnoteReference"/>
        </w:rPr>
        <w:footnoteRef/>
      </w:r>
      <w:r>
        <w:t xml:space="preserve"> </w:t>
      </w:r>
      <w:r w:rsidR="00436836" w:rsidRPr="00436836">
        <w:t>Woodruff D.</w:t>
      </w:r>
      <w:r w:rsidR="00436836">
        <w:t xml:space="preserve"> Smith,</w:t>
      </w:r>
      <w:r w:rsidR="00436836" w:rsidRPr="00436836">
        <w:t xml:space="preserve"> </w:t>
      </w:r>
      <w:r w:rsidR="00436836">
        <w:t>‘</w:t>
      </w:r>
      <w:r w:rsidR="00436836" w:rsidRPr="00436836">
        <w:t>Friedrich Ratzel and the Origins of Lebensraum.</w:t>
      </w:r>
      <w:r w:rsidR="00436836">
        <w:t>’</w:t>
      </w:r>
      <w:r w:rsidR="00436836" w:rsidRPr="00436836">
        <w:rPr>
          <w:i/>
          <w:iCs/>
        </w:rPr>
        <w:t xml:space="preserve"> German Studies Review,</w:t>
      </w:r>
      <w:r w:rsidR="00436836" w:rsidRPr="00436836">
        <w:t xml:space="preserve"> 3</w:t>
      </w:r>
      <w:r w:rsidR="00436836">
        <w:t>:</w:t>
      </w:r>
      <w:r w:rsidR="00436836" w:rsidRPr="00436836">
        <w:t xml:space="preserve">1 </w:t>
      </w:r>
      <w:r w:rsidR="00436836">
        <w:t>(</w:t>
      </w:r>
      <w:r w:rsidR="00436836" w:rsidRPr="00436836">
        <w:t>1980</w:t>
      </w:r>
      <w:r w:rsidR="00436836">
        <w:t xml:space="preserve">) </w:t>
      </w:r>
      <w:r w:rsidR="00436836" w:rsidRPr="00436836">
        <w:t>51–68</w:t>
      </w:r>
      <w:r w:rsidR="00436836">
        <w:t xml:space="preserve"> </w:t>
      </w:r>
      <w:hyperlink r:id="rId4" w:history="1">
        <w:r w:rsidR="003351E2" w:rsidRPr="000B0F16">
          <w:rPr>
            <w:rStyle w:val="Hyperlink"/>
          </w:rPr>
          <w:t>https://doi.org/10.2307/1429483</w:t>
        </w:r>
      </w:hyperlink>
      <w:r w:rsidR="003351E2" w:rsidRPr="003351E2">
        <w:t>.</w:t>
      </w:r>
      <w:r w:rsidR="003351E2">
        <w:t xml:space="preserve"> (</w:t>
      </w:r>
      <w:r>
        <w:t>p. 54</w:t>
      </w:r>
      <w:r w:rsidR="003351E2">
        <w:t>)</w:t>
      </w:r>
      <w:r>
        <w:t xml:space="preserve">. </w:t>
      </w:r>
    </w:p>
  </w:footnote>
  <w:footnote w:id="24">
    <w:p w14:paraId="5D3A9AD6" w14:textId="664C3E5E" w:rsidR="006002E1" w:rsidRDefault="006002E1">
      <w:pPr>
        <w:pStyle w:val="FootnoteText"/>
      </w:pPr>
      <w:r>
        <w:rPr>
          <w:rStyle w:val="FootnoteReference"/>
        </w:rPr>
        <w:footnoteRef/>
      </w:r>
      <w:r>
        <w:t xml:space="preserve"> Ibid.</w:t>
      </w:r>
    </w:p>
  </w:footnote>
  <w:footnote w:id="25">
    <w:p w14:paraId="697DF1AB" w14:textId="5F138139" w:rsidR="00947D37" w:rsidRPr="00947D37" w:rsidRDefault="00947D37">
      <w:pPr>
        <w:pStyle w:val="FootnoteText"/>
      </w:pPr>
      <w:r>
        <w:rPr>
          <w:rStyle w:val="FootnoteReference"/>
        </w:rPr>
        <w:footnoteRef/>
      </w:r>
      <w:r>
        <w:t xml:space="preserve"> </w:t>
      </w:r>
      <w:r w:rsidRPr="00947D37">
        <w:t>François Haas</w:t>
      </w:r>
      <w:r>
        <w:t>, ‘</w:t>
      </w:r>
      <w:r w:rsidRPr="00947D37">
        <w:t>German science and black racism—roots of the Nazi Holocaust</w:t>
      </w:r>
      <w:r>
        <w:t xml:space="preserve">’, </w:t>
      </w:r>
      <w:r>
        <w:rPr>
          <w:i/>
          <w:iCs/>
        </w:rPr>
        <w:t>The FASEB Journal,</w:t>
      </w:r>
      <w:r>
        <w:t xml:space="preserve"> 22:2 (2008) 323-337 </w:t>
      </w:r>
      <w:hyperlink r:id="rId5" w:history="1">
        <w:r w:rsidRPr="000B0F16">
          <w:rPr>
            <w:rStyle w:val="Hyperlink"/>
          </w:rPr>
          <w:t>https://doi.org/10.1096/fj.08-0202ufm</w:t>
        </w:r>
      </w:hyperlink>
      <w:r>
        <w:t xml:space="preserve"> p. 333. </w:t>
      </w:r>
    </w:p>
  </w:footnote>
  <w:footnote w:id="26">
    <w:p w14:paraId="6015B7E6" w14:textId="286C4436" w:rsidR="00C420C7" w:rsidRDefault="00C420C7">
      <w:pPr>
        <w:pStyle w:val="FootnoteText"/>
      </w:pPr>
      <w:r>
        <w:rPr>
          <w:rStyle w:val="FootnoteReference"/>
        </w:rPr>
        <w:footnoteRef/>
      </w:r>
      <w:r>
        <w:t xml:space="preserve"> Ibid.</w:t>
      </w:r>
    </w:p>
  </w:footnote>
  <w:footnote w:id="27">
    <w:p w14:paraId="4C4661C9" w14:textId="3D82A488" w:rsidR="00C420C7" w:rsidRDefault="00C420C7">
      <w:pPr>
        <w:pStyle w:val="FootnoteText"/>
      </w:pPr>
      <w:r>
        <w:rPr>
          <w:rStyle w:val="FootnoteReference"/>
        </w:rPr>
        <w:footnoteRef/>
      </w:r>
      <w:r>
        <w:t xml:space="preserve"> Ibid.</w:t>
      </w:r>
    </w:p>
  </w:footnote>
  <w:footnote w:id="28">
    <w:p w14:paraId="03BD1B87" w14:textId="5EC41FD1" w:rsidR="00BB5933" w:rsidRDefault="00BB5933">
      <w:pPr>
        <w:pStyle w:val="FootnoteText"/>
      </w:pPr>
      <w:r>
        <w:rPr>
          <w:rStyle w:val="FootnoteReference"/>
        </w:rPr>
        <w:footnoteRef/>
      </w:r>
      <w:r>
        <w:t xml:space="preserve"> </w:t>
      </w:r>
      <w:r w:rsidRPr="00BB5933">
        <w:t>Vilho Amukwaya</w:t>
      </w:r>
      <w:r w:rsidR="002B0C7C">
        <w:t xml:space="preserve"> </w:t>
      </w:r>
      <w:r w:rsidRPr="00BB5933">
        <w:t xml:space="preserve">Shigwedha, ‘The return of Herero and Nama bones from Germany: the victims’ struggle for recognition and recurring genocide memories in Namibia’, </w:t>
      </w:r>
      <w:r w:rsidRPr="002B0C7C">
        <w:rPr>
          <w:i/>
          <w:iCs/>
        </w:rPr>
        <w:t>Human Remains in Society</w:t>
      </w:r>
      <w:r w:rsidRPr="00BB5933">
        <w:t>. Curation and Exhibition in the Aftermath of Genocide and Mass-violence (2016) 197-219 (p. 199).</w:t>
      </w:r>
    </w:p>
  </w:footnote>
  <w:footnote w:id="29">
    <w:p w14:paraId="4118C5AD" w14:textId="6E2D65F6" w:rsidR="00371F17" w:rsidRDefault="00371F17">
      <w:pPr>
        <w:pStyle w:val="FootnoteText"/>
      </w:pPr>
      <w:r>
        <w:rPr>
          <w:rStyle w:val="FootnoteReference"/>
        </w:rPr>
        <w:footnoteRef/>
      </w:r>
      <w:r>
        <w:t xml:space="preserve"> </w:t>
      </w:r>
      <w:r w:rsidR="00BB5933">
        <w:t>Ibid.</w:t>
      </w:r>
    </w:p>
  </w:footnote>
  <w:footnote w:id="30">
    <w:p w14:paraId="5959D0B4" w14:textId="4E4CE984" w:rsidR="00734BBF" w:rsidRDefault="00734BBF">
      <w:pPr>
        <w:pStyle w:val="FootnoteText"/>
      </w:pPr>
      <w:r>
        <w:rPr>
          <w:rStyle w:val="FootnoteReference"/>
        </w:rPr>
        <w:footnoteRef/>
      </w:r>
      <w:r>
        <w:t xml:space="preserve"> Haas, ‘German science and black racism’, p. 333.</w:t>
      </w:r>
    </w:p>
  </w:footnote>
  <w:footnote w:id="31">
    <w:p w14:paraId="22707B70" w14:textId="5A771A0F" w:rsidR="00734BBF" w:rsidRDefault="00734BBF">
      <w:pPr>
        <w:pStyle w:val="FootnoteText"/>
      </w:pPr>
      <w:r>
        <w:rPr>
          <w:rStyle w:val="FootnoteReference"/>
        </w:rPr>
        <w:footnoteRef/>
      </w:r>
      <w:r>
        <w:t xml:space="preserve"> Shigwedha, ‘</w:t>
      </w:r>
      <w:r w:rsidRPr="00371F17">
        <w:t>The return of Herero and Nama bones from Germany: the victims</w:t>
      </w:r>
      <w:r>
        <w:t xml:space="preserve">’, p. 199. </w:t>
      </w:r>
    </w:p>
  </w:footnote>
  <w:footnote w:id="32">
    <w:p w14:paraId="54D86E72" w14:textId="5BBA9091" w:rsidR="009776FD" w:rsidRDefault="009776FD">
      <w:pPr>
        <w:pStyle w:val="FootnoteText"/>
      </w:pPr>
      <w:r>
        <w:rPr>
          <w:rStyle w:val="FootnoteReference"/>
        </w:rPr>
        <w:footnoteRef/>
      </w:r>
      <w:r>
        <w:t xml:space="preserve"> Haas, ‘German science and black racism’, p. 333.</w:t>
      </w:r>
    </w:p>
  </w:footnote>
  <w:footnote w:id="33">
    <w:p w14:paraId="6CE67633" w14:textId="39B9F89B" w:rsidR="00D64414" w:rsidRDefault="00D64414">
      <w:pPr>
        <w:pStyle w:val="FootnoteText"/>
      </w:pPr>
      <w:r>
        <w:rPr>
          <w:rStyle w:val="FootnoteReference"/>
        </w:rPr>
        <w:footnoteRef/>
      </w:r>
      <w:r>
        <w:t xml:space="preserve"> Madley, ‘From Africa to Auschwitz’, p. 445.</w:t>
      </w:r>
    </w:p>
  </w:footnote>
  <w:footnote w:id="34">
    <w:p w14:paraId="69447061" w14:textId="6EBC890D" w:rsidR="00D64414" w:rsidRDefault="00D64414">
      <w:pPr>
        <w:pStyle w:val="FootnoteText"/>
      </w:pPr>
      <w:r>
        <w:rPr>
          <w:rStyle w:val="FootnoteReference"/>
        </w:rPr>
        <w:footnoteRef/>
      </w:r>
      <w:r>
        <w:t xml:space="preserve"> Ibid.</w:t>
      </w:r>
      <w:r w:rsidR="007A0C2F">
        <w:t xml:space="preserve"> </w:t>
      </w:r>
    </w:p>
  </w:footnote>
  <w:footnote w:id="35">
    <w:p w14:paraId="55A67686" w14:textId="09D42A8D" w:rsidR="000D1CEF" w:rsidRDefault="000D1CEF">
      <w:pPr>
        <w:pStyle w:val="FootnoteText"/>
      </w:pPr>
      <w:r>
        <w:rPr>
          <w:rStyle w:val="FootnoteReference"/>
        </w:rPr>
        <w:footnoteRef/>
      </w:r>
      <w:r>
        <w:t xml:space="preserve"> </w:t>
      </w:r>
      <w:r w:rsidR="00A9400B">
        <w:t xml:space="preserve">Jonas Kreienbaum, ‘Guerrilla wars and colonial concentration camps. The exceptional case of German South West Africa (1904-1908)’, </w:t>
      </w:r>
      <w:r w:rsidR="00A9400B">
        <w:rPr>
          <w:i/>
          <w:iCs/>
        </w:rPr>
        <w:t>Journal of Namibian Studies</w:t>
      </w:r>
      <w:r w:rsidR="00A9400B">
        <w:t>, 11 (2012) 83-101, p. 86.</w:t>
      </w:r>
    </w:p>
  </w:footnote>
  <w:footnote w:id="36">
    <w:p w14:paraId="53B16CB6" w14:textId="26B82B9F" w:rsidR="00115599" w:rsidRDefault="00115599">
      <w:pPr>
        <w:pStyle w:val="FootnoteText"/>
      </w:pPr>
      <w:r>
        <w:rPr>
          <w:rStyle w:val="FootnoteReference"/>
        </w:rPr>
        <w:footnoteRef/>
      </w:r>
      <w:r w:rsidR="00A9400B">
        <w:t xml:space="preserve"> Madley, ‘From Africa to Auschwitz’, p. 446.</w:t>
      </w:r>
    </w:p>
  </w:footnote>
  <w:footnote w:id="37">
    <w:p w14:paraId="7E42197D" w14:textId="5520D2DC" w:rsidR="00794DC5" w:rsidRDefault="00794DC5">
      <w:pPr>
        <w:pStyle w:val="FootnoteText"/>
      </w:pPr>
      <w:r>
        <w:rPr>
          <w:rStyle w:val="FootnoteReference"/>
        </w:rPr>
        <w:footnoteRef/>
      </w:r>
      <w:r>
        <w:t xml:space="preserve"> Ibid.</w:t>
      </w:r>
    </w:p>
  </w:footnote>
  <w:footnote w:id="38">
    <w:p w14:paraId="00B71BC4" w14:textId="7061E273" w:rsidR="00514033" w:rsidRDefault="00514033">
      <w:pPr>
        <w:pStyle w:val="FootnoteText"/>
      </w:pPr>
      <w:r>
        <w:rPr>
          <w:rStyle w:val="FootnoteReference"/>
        </w:rPr>
        <w:footnoteRef/>
      </w:r>
      <w:r>
        <w:t xml:space="preserve"> Kreienbaum, ‘Guerilla wars and </w:t>
      </w:r>
      <w:proofErr w:type="gramStart"/>
      <w:r>
        <w:t>Colonial</w:t>
      </w:r>
      <w:proofErr w:type="gramEnd"/>
      <w:r>
        <w:t xml:space="preserve"> concentration camps’, p. 86.</w:t>
      </w:r>
    </w:p>
  </w:footnote>
  <w:footnote w:id="39">
    <w:p w14:paraId="7F78521E" w14:textId="0A5F06C0" w:rsidR="00AF376C" w:rsidRDefault="00AF376C">
      <w:pPr>
        <w:pStyle w:val="FootnoteText"/>
      </w:pPr>
      <w:r>
        <w:rPr>
          <w:rStyle w:val="FootnoteReference"/>
        </w:rPr>
        <w:footnoteRef/>
      </w:r>
      <w:r>
        <w:t xml:space="preserve"> Ibid. p. 87.</w:t>
      </w:r>
    </w:p>
  </w:footnote>
  <w:footnote w:id="40">
    <w:p w14:paraId="17A86399" w14:textId="6C76FA3C" w:rsidR="00C074C7" w:rsidRDefault="00C074C7">
      <w:pPr>
        <w:pStyle w:val="FootnoteText"/>
      </w:pPr>
      <w:r>
        <w:rPr>
          <w:rStyle w:val="FootnoteReference"/>
        </w:rPr>
        <w:footnoteRef/>
      </w:r>
      <w:r>
        <w:t xml:space="preserve"> Ibid. p. 88-89.</w:t>
      </w:r>
    </w:p>
  </w:footnote>
  <w:footnote w:id="41">
    <w:p w14:paraId="73E91046" w14:textId="67CAE699" w:rsidR="00920320" w:rsidRDefault="00920320">
      <w:pPr>
        <w:pStyle w:val="FootnoteText"/>
      </w:pPr>
      <w:r>
        <w:rPr>
          <w:rStyle w:val="FootnoteReference"/>
        </w:rPr>
        <w:footnoteRef/>
      </w:r>
      <w:r>
        <w:t xml:space="preserve"> </w:t>
      </w:r>
      <w:r w:rsidRPr="00920320">
        <w:t>Madley, ‘From Africa to Auschwitz’, p. 446.</w:t>
      </w:r>
    </w:p>
  </w:footnote>
  <w:footnote w:id="42">
    <w:p w14:paraId="1672B894" w14:textId="636CE53D" w:rsidR="002E4FC5" w:rsidRDefault="002E4FC5">
      <w:pPr>
        <w:pStyle w:val="FootnoteText"/>
      </w:pPr>
      <w:r>
        <w:rPr>
          <w:rStyle w:val="FootnoteReference"/>
        </w:rPr>
        <w:footnoteRef/>
      </w:r>
      <w:r>
        <w:t xml:space="preserve"> </w:t>
      </w:r>
      <w:r w:rsidR="00920320">
        <w:t>Ibid.</w:t>
      </w:r>
    </w:p>
  </w:footnote>
  <w:footnote w:id="43">
    <w:p w14:paraId="0AF8DBD4" w14:textId="5490C452" w:rsidR="00CB50D9" w:rsidRDefault="00CB50D9">
      <w:pPr>
        <w:pStyle w:val="FootnoteText"/>
      </w:pPr>
      <w:r>
        <w:rPr>
          <w:rStyle w:val="FootnoteReference"/>
        </w:rPr>
        <w:footnoteRef/>
      </w:r>
      <w:r>
        <w:t xml:space="preserve"> Ibid.</w:t>
      </w:r>
    </w:p>
  </w:footnote>
  <w:footnote w:id="44">
    <w:p w14:paraId="2E48077E" w14:textId="1E35485D" w:rsidR="007A0C2F" w:rsidRDefault="007A0C2F">
      <w:pPr>
        <w:pStyle w:val="FootnoteText"/>
      </w:pPr>
      <w:r>
        <w:rPr>
          <w:rStyle w:val="FootnoteReference"/>
        </w:rPr>
        <w:footnoteRef/>
      </w:r>
      <w:r>
        <w:t xml:space="preserve"> </w:t>
      </w:r>
      <w:r w:rsidRPr="007A0C2F">
        <w:t xml:space="preserve">Kreienbaum, ‘Guerilla wars and </w:t>
      </w:r>
      <w:r w:rsidR="006B6AFF" w:rsidRPr="007A0C2F">
        <w:t>colonial</w:t>
      </w:r>
      <w:r w:rsidRPr="007A0C2F">
        <w:t xml:space="preserve"> concentration camps’, p. </w:t>
      </w:r>
      <w:r>
        <w:t xml:space="preserve">92. </w:t>
      </w:r>
    </w:p>
  </w:footnote>
  <w:footnote w:id="45">
    <w:p w14:paraId="43217C45" w14:textId="6E8B1180" w:rsidR="00BD73B1" w:rsidRDefault="00BD73B1">
      <w:pPr>
        <w:pStyle w:val="FootnoteText"/>
      </w:pPr>
      <w:r>
        <w:rPr>
          <w:rStyle w:val="FootnoteReference"/>
        </w:rPr>
        <w:footnoteRef/>
      </w:r>
      <w:r>
        <w:t xml:space="preserve"> Ibid. p. 93.</w:t>
      </w:r>
    </w:p>
  </w:footnote>
  <w:footnote w:id="46">
    <w:p w14:paraId="6CCF4565" w14:textId="1EAECDF7" w:rsidR="008D0D32" w:rsidRDefault="008D0D32">
      <w:pPr>
        <w:pStyle w:val="FootnoteText"/>
      </w:pPr>
      <w:r>
        <w:rPr>
          <w:rStyle w:val="FootnoteReference"/>
        </w:rPr>
        <w:footnoteRef/>
      </w:r>
      <w:r>
        <w:t xml:space="preserve"> Ibid.</w:t>
      </w:r>
    </w:p>
  </w:footnote>
  <w:footnote w:id="47">
    <w:p w14:paraId="1A3F38DF" w14:textId="0344DAFD" w:rsidR="00BE0ABB" w:rsidRDefault="00BE0ABB">
      <w:pPr>
        <w:pStyle w:val="FootnoteText"/>
      </w:pPr>
      <w:r>
        <w:rPr>
          <w:rStyle w:val="FootnoteReference"/>
        </w:rPr>
        <w:footnoteRef/>
      </w:r>
      <w:r>
        <w:t xml:space="preserve"> Ibid.</w:t>
      </w:r>
    </w:p>
  </w:footnote>
  <w:footnote w:id="48">
    <w:p w14:paraId="3076D027" w14:textId="0F10CB7D" w:rsidR="00BE0ABB" w:rsidRDefault="00BE0ABB">
      <w:pPr>
        <w:pStyle w:val="FootnoteText"/>
      </w:pPr>
      <w:r>
        <w:rPr>
          <w:rStyle w:val="FootnoteReference"/>
        </w:rPr>
        <w:footnoteRef/>
      </w:r>
      <w:r>
        <w:t xml:space="preserve"> </w:t>
      </w:r>
      <w:r w:rsidRPr="00920320">
        <w:t>Madley, ‘From Africa to Auschwitz’, p. 446.</w:t>
      </w:r>
    </w:p>
  </w:footnote>
  <w:footnote w:id="49">
    <w:p w14:paraId="403C441D" w14:textId="7036729D" w:rsidR="00E852EE" w:rsidRDefault="00E852EE">
      <w:pPr>
        <w:pStyle w:val="FootnoteText"/>
      </w:pPr>
      <w:r>
        <w:rPr>
          <w:rStyle w:val="FootnoteReference"/>
        </w:rPr>
        <w:footnoteRef/>
      </w:r>
      <w:r>
        <w:t xml:space="preserve"> Ibid.</w:t>
      </w:r>
    </w:p>
  </w:footnote>
  <w:footnote w:id="50">
    <w:p w14:paraId="0752D346" w14:textId="1BD4AF18" w:rsidR="00D951ED" w:rsidRDefault="00D951ED" w:rsidP="00B17704">
      <w:pPr>
        <w:pStyle w:val="FootnoteText"/>
      </w:pPr>
      <w:r>
        <w:rPr>
          <w:rStyle w:val="FootnoteReference"/>
        </w:rPr>
        <w:footnoteRef/>
      </w:r>
      <w:r>
        <w:t xml:space="preserve"> Katja Lembke</w:t>
      </w:r>
      <w:r w:rsidR="00B17704">
        <w:t>, ‘The Concentration c</w:t>
      </w:r>
      <w:r w:rsidR="00B17704" w:rsidRPr="00B17704">
        <w:t>amp on Shark Island near Lüderitz</w:t>
      </w:r>
      <w:r w:rsidR="00B17704">
        <w:t xml:space="preserve">: </w:t>
      </w:r>
      <w:r w:rsidR="00B17704">
        <w:t>Chances and perspectives of</w:t>
      </w:r>
      <w:r w:rsidR="00B17704">
        <w:t xml:space="preserve"> </w:t>
      </w:r>
      <w:r w:rsidR="00B17704">
        <w:t>archaeological surveys in</w:t>
      </w:r>
      <w:r w:rsidR="00B17704">
        <w:t xml:space="preserve"> </w:t>
      </w:r>
      <w:r w:rsidR="00B17704">
        <w:t>colonial structures</w:t>
      </w:r>
      <w:r w:rsidR="00B17704">
        <w:t xml:space="preserve">’, in Andreas Eckl, Matthias </w:t>
      </w:r>
      <w:r w:rsidR="00B17704" w:rsidRPr="00B17704">
        <w:t>Häussler</w:t>
      </w:r>
      <w:r w:rsidR="00B17704">
        <w:t xml:space="preserve"> &amp; Martha Akawa (eds.), </w:t>
      </w:r>
      <w:r w:rsidR="00B17704">
        <w:t>An Unresolved Issue:</w:t>
      </w:r>
      <w:r w:rsidR="00B17704">
        <w:t xml:space="preserve"> </w:t>
      </w:r>
      <w:r w:rsidR="00B17704">
        <w:t>Genocide in Colonial Namibia</w:t>
      </w:r>
      <w:r w:rsidR="00B17704">
        <w:t xml:space="preserve"> (Windhoek: </w:t>
      </w:r>
      <w:r w:rsidR="00B17704" w:rsidRPr="00B17704">
        <w:t>Friedrich-Ebert-Stiftung</w:t>
      </w:r>
      <w:r w:rsidR="00B17704">
        <w:t xml:space="preserve">, 2024) </w:t>
      </w:r>
      <w:r>
        <w:t>137</w:t>
      </w:r>
      <w:r w:rsidR="00B17704">
        <w:t>-</w:t>
      </w:r>
      <w:r>
        <w:t>171</w:t>
      </w:r>
      <w:r w:rsidR="00217A75">
        <w:t xml:space="preserve"> (</w:t>
      </w:r>
      <w:r w:rsidR="00B17704">
        <w:t>p. 164</w:t>
      </w:r>
      <w:r w:rsidR="00217A75">
        <w:t>).</w:t>
      </w:r>
    </w:p>
  </w:footnote>
  <w:footnote w:id="51">
    <w:p w14:paraId="5100286C" w14:textId="7DC6C7E5" w:rsidR="00D951ED" w:rsidRDefault="00D951ED">
      <w:pPr>
        <w:pStyle w:val="FootnoteText"/>
      </w:pPr>
      <w:r>
        <w:rPr>
          <w:rStyle w:val="FootnoteReference"/>
        </w:rPr>
        <w:footnoteRef/>
      </w:r>
      <w:r>
        <w:t xml:space="preserve"> </w:t>
      </w:r>
      <w:r w:rsidRPr="00920320">
        <w:t>Madley, ‘From Africa to Auschwitz’, p. 446.</w:t>
      </w:r>
    </w:p>
  </w:footnote>
  <w:footnote w:id="52">
    <w:p w14:paraId="401AA80C" w14:textId="3D8BB54D" w:rsidR="00217A75" w:rsidRDefault="00217A75">
      <w:pPr>
        <w:pStyle w:val="FootnoteText"/>
      </w:pPr>
      <w:r>
        <w:rPr>
          <w:rStyle w:val="FootnoteReference"/>
        </w:rPr>
        <w:footnoteRef/>
      </w:r>
      <w:r>
        <w:t xml:space="preserve"> </w:t>
      </w:r>
      <w:r w:rsidRPr="00217A75">
        <w:t>Lembke, ‘The Concentration camp on Shark Island near Lüderitz</w:t>
      </w:r>
      <w:r>
        <w:t>’, p. 164-165.</w:t>
      </w:r>
    </w:p>
  </w:footnote>
  <w:footnote w:id="53">
    <w:p w14:paraId="18202AF3" w14:textId="0BC28F44" w:rsidR="006B6AFF" w:rsidRDefault="006B6AFF">
      <w:pPr>
        <w:pStyle w:val="FootnoteText"/>
      </w:pPr>
      <w:r>
        <w:rPr>
          <w:rStyle w:val="FootnoteReference"/>
        </w:rPr>
        <w:footnoteRef/>
      </w:r>
      <w:r>
        <w:t xml:space="preserve"> </w:t>
      </w:r>
      <w:r w:rsidRPr="00064705">
        <w:t xml:space="preserve">Zimmerer, From Windhoek to </w:t>
      </w:r>
      <w:proofErr w:type="gramStart"/>
      <w:r w:rsidRPr="00064705">
        <w:t>Auschwitz?</w:t>
      </w:r>
      <w:r>
        <w:t>,</w:t>
      </w:r>
      <w:proofErr w:type="gramEnd"/>
      <w:r>
        <w:t xml:space="preserve"> p. 151. </w:t>
      </w:r>
    </w:p>
  </w:footnote>
  <w:footnote w:id="54">
    <w:p w14:paraId="72B82689" w14:textId="2685E6EF" w:rsidR="007E4217" w:rsidRDefault="007E4217">
      <w:pPr>
        <w:pStyle w:val="FootnoteText"/>
      </w:pPr>
      <w:r>
        <w:rPr>
          <w:rStyle w:val="FootnoteReference"/>
        </w:rPr>
        <w:footnoteRef/>
      </w:r>
      <w:r>
        <w:t xml:space="preserve"> Ibid.</w:t>
      </w:r>
    </w:p>
  </w:footnote>
  <w:footnote w:id="55">
    <w:p w14:paraId="5F852EA5" w14:textId="3AE0CC51" w:rsidR="007E4217" w:rsidRDefault="007E4217">
      <w:pPr>
        <w:pStyle w:val="FootnoteText"/>
      </w:pPr>
      <w:r>
        <w:rPr>
          <w:rStyle w:val="FootnoteReference"/>
        </w:rPr>
        <w:footnoteRef/>
      </w:r>
      <w:r>
        <w:t xml:space="preserve"> </w:t>
      </w:r>
      <w:r w:rsidRPr="007E4217">
        <w:t>Madley, ‘From Africa to Auschwitz’, p. 44</w:t>
      </w:r>
      <w:r>
        <w:t>2.</w:t>
      </w:r>
    </w:p>
  </w:footnote>
  <w:footnote w:id="56">
    <w:p w14:paraId="6FC05B89" w14:textId="69D56ADE" w:rsidR="004D76FF" w:rsidRDefault="004D76FF">
      <w:pPr>
        <w:pStyle w:val="FootnoteText"/>
      </w:pPr>
      <w:r>
        <w:rPr>
          <w:rStyle w:val="FootnoteReference"/>
        </w:rPr>
        <w:footnoteRef/>
      </w:r>
      <w:r>
        <w:t xml:space="preserve"> </w:t>
      </w:r>
      <w:r w:rsidRPr="00064705">
        <w:t xml:space="preserve">Zimmerer, From Windhoek to </w:t>
      </w:r>
      <w:proofErr w:type="gramStart"/>
      <w:r w:rsidRPr="00064705">
        <w:t>Auschwitz</w:t>
      </w:r>
      <w:r>
        <w:t>?,</w:t>
      </w:r>
      <w:proofErr w:type="gramEnd"/>
      <w:r>
        <w:t xml:space="preserve"> p. 253.</w:t>
      </w:r>
    </w:p>
  </w:footnote>
  <w:footnote w:id="57">
    <w:p w14:paraId="14FF797B" w14:textId="5E20896D" w:rsidR="0067325E" w:rsidRDefault="0067325E">
      <w:pPr>
        <w:pStyle w:val="FootnoteText"/>
      </w:pPr>
      <w:r>
        <w:rPr>
          <w:rStyle w:val="FootnoteReference"/>
        </w:rPr>
        <w:footnoteRef/>
      </w:r>
      <w:r>
        <w:t xml:space="preserve"> </w:t>
      </w:r>
      <w:r w:rsidRPr="0067325E">
        <w:t>South-West Africa. Administrative Office., Report on the natives of South-west Africa</w:t>
      </w:r>
      <w:r w:rsidR="004124AE">
        <w:t xml:space="preserve">, </w:t>
      </w:r>
      <w:r w:rsidRPr="0067325E">
        <w:t>p. 63</w:t>
      </w:r>
      <w:r>
        <w:t>.</w:t>
      </w:r>
    </w:p>
  </w:footnote>
  <w:footnote w:id="58">
    <w:p w14:paraId="790D304B" w14:textId="0CD90C4A" w:rsidR="004C6BD6" w:rsidRDefault="004C6BD6">
      <w:pPr>
        <w:pStyle w:val="FootnoteText"/>
      </w:pPr>
      <w:r>
        <w:rPr>
          <w:rStyle w:val="FootnoteReference"/>
        </w:rPr>
        <w:footnoteRef/>
      </w:r>
      <w:r>
        <w:t xml:space="preserve"> </w:t>
      </w:r>
      <w:r w:rsidRPr="004C6BD6">
        <w:t>Khatija Bibi</w:t>
      </w:r>
      <w:r>
        <w:t xml:space="preserve"> Khan</w:t>
      </w:r>
      <w:r w:rsidRPr="004C6BD6">
        <w:t xml:space="preserve">, ‘The Kaiser’s Holocaust: The Coloniality of German’s Forgotten Genocide of the Nama and the Herero of Namibia’, </w:t>
      </w:r>
      <w:r w:rsidRPr="00E0424F">
        <w:rPr>
          <w:i/>
          <w:iCs/>
        </w:rPr>
        <w:t>African Identities</w:t>
      </w:r>
      <w:r w:rsidRPr="004C6BD6">
        <w:t xml:space="preserve">, 10.3 (2012), 211–20 </w:t>
      </w:r>
      <w:hyperlink r:id="rId6" w:history="1">
        <w:r w:rsidRPr="000B0F16">
          <w:rPr>
            <w:rStyle w:val="Hyperlink"/>
          </w:rPr>
          <w:t>https://doi.org/10.1080/14725843.2012.715451</w:t>
        </w:r>
      </w:hyperlink>
      <w:r>
        <w:t xml:space="preserve"> (p. 215)</w:t>
      </w:r>
    </w:p>
  </w:footnote>
  <w:footnote w:id="59">
    <w:p w14:paraId="0172F387" w14:textId="0A50EAAC" w:rsidR="004C6BD6" w:rsidRDefault="004C6BD6" w:rsidP="004C6BD6">
      <w:pPr>
        <w:pStyle w:val="FootnoteText"/>
      </w:pPr>
      <w:r>
        <w:rPr>
          <w:rStyle w:val="FootnoteReference"/>
        </w:rPr>
        <w:footnoteRef/>
      </w:r>
      <w:r>
        <w:t xml:space="preserve"> </w:t>
      </w:r>
      <w:r>
        <w:t>Reinhart</w:t>
      </w:r>
      <w:r>
        <w:t xml:space="preserve"> </w:t>
      </w:r>
      <w:r>
        <w:t xml:space="preserve">Kossler, ‘Genocide in Namibia, the Holocaust and the Issue of Colonialism’, </w:t>
      </w:r>
      <w:r w:rsidRPr="00E0424F">
        <w:rPr>
          <w:i/>
          <w:iCs/>
        </w:rPr>
        <w:t>Journal of Southern African Studies</w:t>
      </w:r>
      <w:r>
        <w:t xml:space="preserve">, 38.1 (2012), 233–38 </w:t>
      </w:r>
      <w:hyperlink r:id="rId7" w:history="1">
        <w:r w:rsidRPr="000B0F16">
          <w:rPr>
            <w:rStyle w:val="Hyperlink"/>
          </w:rPr>
          <w:t>https://doi.org/10.1080/03057070.2012.664929</w:t>
        </w:r>
      </w:hyperlink>
      <w:r>
        <w:t xml:space="preserve"> p. 223.</w:t>
      </w:r>
    </w:p>
  </w:footnote>
  <w:footnote w:id="60">
    <w:p w14:paraId="205A75D0" w14:textId="547B6371" w:rsidR="004C6BD6" w:rsidRDefault="004C6BD6">
      <w:pPr>
        <w:pStyle w:val="FootnoteText"/>
      </w:pPr>
      <w:r>
        <w:rPr>
          <w:rStyle w:val="FootnoteReference"/>
        </w:rPr>
        <w:footnoteRef/>
      </w:r>
      <w:r>
        <w:t xml:space="preserve"> 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7905E6"/>
    <w:multiLevelType w:val="hybridMultilevel"/>
    <w:tmpl w:val="FA7853EC"/>
    <w:lvl w:ilvl="0" w:tplc="79C86EE0">
      <w:start w:val="1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6E0DA0"/>
    <w:multiLevelType w:val="hybridMultilevel"/>
    <w:tmpl w:val="D2D6E180"/>
    <w:lvl w:ilvl="0" w:tplc="1B34014A">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4041676">
    <w:abstractNumId w:val="1"/>
  </w:num>
  <w:num w:numId="2" w16cid:durableId="821196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5"/>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705"/>
    <w:rsid w:val="000168C5"/>
    <w:rsid w:val="0006162F"/>
    <w:rsid w:val="00064705"/>
    <w:rsid w:val="000810FA"/>
    <w:rsid w:val="000D1CEF"/>
    <w:rsid w:val="00115599"/>
    <w:rsid w:val="001603CA"/>
    <w:rsid w:val="00173F69"/>
    <w:rsid w:val="00177345"/>
    <w:rsid w:val="00180F21"/>
    <w:rsid w:val="001D4A0D"/>
    <w:rsid w:val="001D7055"/>
    <w:rsid w:val="00217A75"/>
    <w:rsid w:val="00221ADA"/>
    <w:rsid w:val="0022670F"/>
    <w:rsid w:val="00255C34"/>
    <w:rsid w:val="00271E71"/>
    <w:rsid w:val="002B0C7C"/>
    <w:rsid w:val="002B7D1F"/>
    <w:rsid w:val="002D565C"/>
    <w:rsid w:val="002E258B"/>
    <w:rsid w:val="002E4FC5"/>
    <w:rsid w:val="00307C57"/>
    <w:rsid w:val="0032352E"/>
    <w:rsid w:val="00331800"/>
    <w:rsid w:val="003351E2"/>
    <w:rsid w:val="00352209"/>
    <w:rsid w:val="0036137E"/>
    <w:rsid w:val="00371F17"/>
    <w:rsid w:val="00390317"/>
    <w:rsid w:val="00393833"/>
    <w:rsid w:val="003C196F"/>
    <w:rsid w:val="003E6840"/>
    <w:rsid w:val="003E7FA8"/>
    <w:rsid w:val="003F7C6E"/>
    <w:rsid w:val="004124AE"/>
    <w:rsid w:val="004124E0"/>
    <w:rsid w:val="00432361"/>
    <w:rsid w:val="00436836"/>
    <w:rsid w:val="004C6BD6"/>
    <w:rsid w:val="004D76FF"/>
    <w:rsid w:val="004E3F36"/>
    <w:rsid w:val="0051263B"/>
    <w:rsid w:val="00514033"/>
    <w:rsid w:val="00531FA8"/>
    <w:rsid w:val="00534AA7"/>
    <w:rsid w:val="00545728"/>
    <w:rsid w:val="005624D2"/>
    <w:rsid w:val="00571CA4"/>
    <w:rsid w:val="005A65DC"/>
    <w:rsid w:val="005D633D"/>
    <w:rsid w:val="005E3C05"/>
    <w:rsid w:val="006002E1"/>
    <w:rsid w:val="006123F8"/>
    <w:rsid w:val="00617F19"/>
    <w:rsid w:val="00636717"/>
    <w:rsid w:val="006424CD"/>
    <w:rsid w:val="0067325E"/>
    <w:rsid w:val="0068012F"/>
    <w:rsid w:val="00691165"/>
    <w:rsid w:val="00693B9B"/>
    <w:rsid w:val="0069546B"/>
    <w:rsid w:val="0069787F"/>
    <w:rsid w:val="006A0856"/>
    <w:rsid w:val="006B6AFF"/>
    <w:rsid w:val="006F23BC"/>
    <w:rsid w:val="007311C8"/>
    <w:rsid w:val="00734BBF"/>
    <w:rsid w:val="00757A54"/>
    <w:rsid w:val="007624D6"/>
    <w:rsid w:val="00794DC5"/>
    <w:rsid w:val="00795286"/>
    <w:rsid w:val="007A0C2F"/>
    <w:rsid w:val="007A13F4"/>
    <w:rsid w:val="007C4D3C"/>
    <w:rsid w:val="007E4217"/>
    <w:rsid w:val="00832F33"/>
    <w:rsid w:val="00857574"/>
    <w:rsid w:val="008867A0"/>
    <w:rsid w:val="008C6A11"/>
    <w:rsid w:val="008D0D32"/>
    <w:rsid w:val="008D5C0B"/>
    <w:rsid w:val="008F1CDC"/>
    <w:rsid w:val="0090332B"/>
    <w:rsid w:val="00920320"/>
    <w:rsid w:val="00936001"/>
    <w:rsid w:val="00947D37"/>
    <w:rsid w:val="00952244"/>
    <w:rsid w:val="00961CC7"/>
    <w:rsid w:val="009776FD"/>
    <w:rsid w:val="00985065"/>
    <w:rsid w:val="009B2AD1"/>
    <w:rsid w:val="009C04CA"/>
    <w:rsid w:val="00A13105"/>
    <w:rsid w:val="00A66F93"/>
    <w:rsid w:val="00A866D0"/>
    <w:rsid w:val="00A9400B"/>
    <w:rsid w:val="00AB752C"/>
    <w:rsid w:val="00AE518E"/>
    <w:rsid w:val="00AF376C"/>
    <w:rsid w:val="00B13F6E"/>
    <w:rsid w:val="00B17704"/>
    <w:rsid w:val="00B83301"/>
    <w:rsid w:val="00B90E12"/>
    <w:rsid w:val="00BA199F"/>
    <w:rsid w:val="00BA354A"/>
    <w:rsid w:val="00BB5933"/>
    <w:rsid w:val="00BD73B1"/>
    <w:rsid w:val="00BE0ABB"/>
    <w:rsid w:val="00C0392C"/>
    <w:rsid w:val="00C074C7"/>
    <w:rsid w:val="00C07C3F"/>
    <w:rsid w:val="00C10BDC"/>
    <w:rsid w:val="00C14817"/>
    <w:rsid w:val="00C40145"/>
    <w:rsid w:val="00C41E8F"/>
    <w:rsid w:val="00C420C7"/>
    <w:rsid w:val="00C63DB4"/>
    <w:rsid w:val="00C95160"/>
    <w:rsid w:val="00CB50D9"/>
    <w:rsid w:val="00CD159B"/>
    <w:rsid w:val="00D2316B"/>
    <w:rsid w:val="00D35160"/>
    <w:rsid w:val="00D36C64"/>
    <w:rsid w:val="00D64414"/>
    <w:rsid w:val="00D951ED"/>
    <w:rsid w:val="00DB70A0"/>
    <w:rsid w:val="00DF5AF2"/>
    <w:rsid w:val="00E0424F"/>
    <w:rsid w:val="00E10981"/>
    <w:rsid w:val="00E214C5"/>
    <w:rsid w:val="00E23577"/>
    <w:rsid w:val="00E42774"/>
    <w:rsid w:val="00E44F4A"/>
    <w:rsid w:val="00E852EE"/>
    <w:rsid w:val="00E97696"/>
    <w:rsid w:val="00EA1519"/>
    <w:rsid w:val="00EE3961"/>
    <w:rsid w:val="00EF0E97"/>
    <w:rsid w:val="00EF2B34"/>
    <w:rsid w:val="00F37195"/>
    <w:rsid w:val="00F53360"/>
    <w:rsid w:val="00F70183"/>
    <w:rsid w:val="00FD336A"/>
    <w:rsid w:val="00FE3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E20EA2"/>
  <w15:chartTrackingRefBased/>
  <w15:docId w15:val="{FD8011D0-B0CC-6B4E-BCF2-87CB6EB47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705"/>
  </w:style>
  <w:style w:type="paragraph" w:styleId="Heading1">
    <w:name w:val="heading 1"/>
    <w:basedOn w:val="Normal"/>
    <w:next w:val="Normal"/>
    <w:link w:val="Heading1Char"/>
    <w:uiPriority w:val="9"/>
    <w:qFormat/>
    <w:rsid w:val="000647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47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47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47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47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47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47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47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470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47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47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47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47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47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47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47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47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4705"/>
    <w:rPr>
      <w:rFonts w:eastAsiaTheme="majorEastAsia" w:cstheme="majorBidi"/>
      <w:color w:val="272727" w:themeColor="text1" w:themeTint="D8"/>
    </w:rPr>
  </w:style>
  <w:style w:type="paragraph" w:styleId="Title">
    <w:name w:val="Title"/>
    <w:basedOn w:val="Normal"/>
    <w:next w:val="Normal"/>
    <w:link w:val="TitleChar"/>
    <w:uiPriority w:val="10"/>
    <w:qFormat/>
    <w:rsid w:val="0006470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47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470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47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470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64705"/>
    <w:rPr>
      <w:i/>
      <w:iCs/>
      <w:color w:val="404040" w:themeColor="text1" w:themeTint="BF"/>
    </w:rPr>
  </w:style>
  <w:style w:type="paragraph" w:styleId="ListParagraph">
    <w:name w:val="List Paragraph"/>
    <w:basedOn w:val="Normal"/>
    <w:uiPriority w:val="34"/>
    <w:qFormat/>
    <w:rsid w:val="00064705"/>
    <w:pPr>
      <w:ind w:left="720"/>
      <w:contextualSpacing/>
    </w:pPr>
  </w:style>
  <w:style w:type="character" w:styleId="IntenseEmphasis">
    <w:name w:val="Intense Emphasis"/>
    <w:basedOn w:val="DefaultParagraphFont"/>
    <w:uiPriority w:val="21"/>
    <w:qFormat/>
    <w:rsid w:val="00064705"/>
    <w:rPr>
      <w:i/>
      <w:iCs/>
      <w:color w:val="0F4761" w:themeColor="accent1" w:themeShade="BF"/>
    </w:rPr>
  </w:style>
  <w:style w:type="paragraph" w:styleId="IntenseQuote">
    <w:name w:val="Intense Quote"/>
    <w:basedOn w:val="Normal"/>
    <w:next w:val="Normal"/>
    <w:link w:val="IntenseQuoteChar"/>
    <w:uiPriority w:val="30"/>
    <w:qFormat/>
    <w:rsid w:val="000647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4705"/>
    <w:rPr>
      <w:i/>
      <w:iCs/>
      <w:color w:val="0F4761" w:themeColor="accent1" w:themeShade="BF"/>
    </w:rPr>
  </w:style>
  <w:style w:type="character" w:styleId="IntenseReference">
    <w:name w:val="Intense Reference"/>
    <w:basedOn w:val="DefaultParagraphFont"/>
    <w:uiPriority w:val="32"/>
    <w:qFormat/>
    <w:rsid w:val="00064705"/>
    <w:rPr>
      <w:b/>
      <w:bCs/>
      <w:smallCaps/>
      <w:color w:val="0F4761" w:themeColor="accent1" w:themeShade="BF"/>
      <w:spacing w:val="5"/>
    </w:rPr>
  </w:style>
  <w:style w:type="paragraph" w:styleId="FootnoteText">
    <w:name w:val="footnote text"/>
    <w:basedOn w:val="Normal"/>
    <w:link w:val="FootnoteTextChar"/>
    <w:uiPriority w:val="99"/>
    <w:semiHidden/>
    <w:unhideWhenUsed/>
    <w:rsid w:val="00064705"/>
    <w:rPr>
      <w:sz w:val="20"/>
      <w:szCs w:val="20"/>
    </w:rPr>
  </w:style>
  <w:style w:type="character" w:customStyle="1" w:styleId="FootnoteTextChar">
    <w:name w:val="Footnote Text Char"/>
    <w:basedOn w:val="DefaultParagraphFont"/>
    <w:link w:val="FootnoteText"/>
    <w:uiPriority w:val="99"/>
    <w:semiHidden/>
    <w:rsid w:val="00064705"/>
    <w:rPr>
      <w:sz w:val="20"/>
      <w:szCs w:val="20"/>
    </w:rPr>
  </w:style>
  <w:style w:type="character" w:styleId="FootnoteReference">
    <w:name w:val="footnote reference"/>
    <w:basedOn w:val="DefaultParagraphFont"/>
    <w:uiPriority w:val="99"/>
    <w:semiHidden/>
    <w:unhideWhenUsed/>
    <w:rsid w:val="00064705"/>
    <w:rPr>
      <w:vertAlign w:val="superscript"/>
    </w:rPr>
  </w:style>
  <w:style w:type="character" w:styleId="Hyperlink">
    <w:name w:val="Hyperlink"/>
    <w:basedOn w:val="DefaultParagraphFont"/>
    <w:uiPriority w:val="99"/>
    <w:unhideWhenUsed/>
    <w:rsid w:val="00064705"/>
    <w:rPr>
      <w:color w:val="467886" w:themeColor="hyperlink"/>
      <w:u w:val="single"/>
    </w:rPr>
  </w:style>
  <w:style w:type="character" w:styleId="UnresolvedMention">
    <w:name w:val="Unresolved Mention"/>
    <w:basedOn w:val="DefaultParagraphFont"/>
    <w:uiPriority w:val="99"/>
    <w:semiHidden/>
    <w:unhideWhenUsed/>
    <w:rsid w:val="00064705"/>
    <w:rPr>
      <w:color w:val="605E5C"/>
      <w:shd w:val="clear" w:color="auto" w:fill="E1DFDD"/>
    </w:rPr>
  </w:style>
  <w:style w:type="character" w:styleId="FollowedHyperlink">
    <w:name w:val="FollowedHyperlink"/>
    <w:basedOn w:val="DefaultParagraphFont"/>
    <w:uiPriority w:val="99"/>
    <w:semiHidden/>
    <w:unhideWhenUsed/>
    <w:rsid w:val="0090332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725843.2012.71545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515/978311075451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07/1429483" TargetMode="External"/><Relationship Id="rId5" Type="http://schemas.openxmlformats.org/officeDocument/2006/relationships/webSettings" Target="webSettings.xml"/><Relationship Id="rId10" Type="http://schemas.openxmlformats.org/officeDocument/2006/relationships/hyperlink" Target="https://doi.org/10.1177/0265691405054218" TargetMode="External"/><Relationship Id="rId4" Type="http://schemas.openxmlformats.org/officeDocument/2006/relationships/settings" Target="settings.xml"/><Relationship Id="rId9" Type="http://schemas.openxmlformats.org/officeDocument/2006/relationships/hyperlink" Target="https://doi.org/10.1080/03057070.2012.664929"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1177/0265691405054218" TargetMode="External"/><Relationship Id="rId7" Type="http://schemas.openxmlformats.org/officeDocument/2006/relationships/hyperlink" Target="https://doi.org/10.1080/03057070.2012.664929" TargetMode="External"/><Relationship Id="rId2" Type="http://schemas.openxmlformats.org/officeDocument/2006/relationships/hyperlink" Target="http://www.jstor.org/stable/j.ctv2t4ds5" TargetMode="External"/><Relationship Id="rId1" Type="http://schemas.openxmlformats.org/officeDocument/2006/relationships/hyperlink" Target="https://doi.org/10.1515/9783110754513" TargetMode="External"/><Relationship Id="rId6" Type="http://schemas.openxmlformats.org/officeDocument/2006/relationships/hyperlink" Target="https://doi.org/10.1080/14725843.2012.715451" TargetMode="External"/><Relationship Id="rId5" Type="http://schemas.openxmlformats.org/officeDocument/2006/relationships/hyperlink" Target="https://doi.org/10.1096/fj.08-0202ufm" TargetMode="External"/><Relationship Id="rId4" Type="http://schemas.openxmlformats.org/officeDocument/2006/relationships/hyperlink" Target="https://doi.org/10.2307/14294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9E3A17-9706-FB4E-A6B6-54FA91757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724</TotalTime>
  <Pages>8</Pages>
  <Words>2857</Words>
  <Characters>16289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95</cp:revision>
  <dcterms:created xsi:type="dcterms:W3CDTF">2025-02-07T18:12:00Z</dcterms:created>
  <dcterms:modified xsi:type="dcterms:W3CDTF">2025-02-09T15:01:00Z</dcterms:modified>
</cp:coreProperties>
</file>