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8A921" w14:textId="7A74007F" w:rsidR="00EC1058" w:rsidRPr="00EC1058" w:rsidRDefault="002D136A" w:rsidP="00EC1058">
      <w:pPr>
        <w:pStyle w:val="Title"/>
        <w:jc w:val="center"/>
        <w:rPr>
          <w:b/>
          <w:sz w:val="44"/>
          <w:u w:val="single"/>
        </w:rPr>
      </w:pPr>
      <w:r w:rsidRPr="00FB5E6F">
        <w:rPr>
          <w:b/>
          <w:sz w:val="44"/>
          <w:u w:val="single"/>
        </w:rPr>
        <w:t xml:space="preserve">Identity and Myth: Normans – Portfolio Piece </w:t>
      </w:r>
      <w:r>
        <w:rPr>
          <w:b/>
          <w:sz w:val="44"/>
          <w:u w:val="single"/>
        </w:rPr>
        <w:t>2 By Matthew Cowley</w:t>
      </w:r>
    </w:p>
    <w:p w14:paraId="051A13E7" w14:textId="3973FB03" w:rsidR="00EC1058" w:rsidRDefault="00F068FF" w:rsidP="002D136A">
      <w:pPr>
        <w:rPr>
          <w:sz w:val="24"/>
          <w:szCs w:val="24"/>
        </w:rPr>
      </w:pPr>
      <w:r>
        <w:rPr>
          <w:noProof/>
        </w:rPr>
        <w:drawing>
          <wp:anchor distT="0" distB="0" distL="114300" distR="114300" simplePos="0" relativeHeight="251657216" behindDoc="0" locked="0" layoutInCell="1" allowOverlap="1" wp14:anchorId="7BEA87B0" wp14:editId="07AAAB22">
            <wp:simplePos x="0" y="0"/>
            <wp:positionH relativeFrom="margin">
              <wp:align>center</wp:align>
            </wp:positionH>
            <wp:positionV relativeFrom="paragraph">
              <wp:posOffset>266152</wp:posOffset>
            </wp:positionV>
            <wp:extent cx="5293360" cy="7219950"/>
            <wp:effectExtent l="0" t="0" r="2540" b="0"/>
            <wp:wrapThrough wrapText="bothSides">
              <wp:wrapPolygon edited="0">
                <wp:start x="0" y="0"/>
                <wp:lineTo x="0" y="21543"/>
                <wp:lineTo x="21533" y="21543"/>
                <wp:lineTo x="21533" y="0"/>
                <wp:lineTo x="0" y="0"/>
              </wp:wrapPolygon>
            </wp:wrapThrough>
            <wp:docPr id="1" name="Picture 1"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upload.wikimedia.org/wikipedia/commons/0/04/Martorana_RogerII2008.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93360" cy="7219950"/>
                    </a:xfrm>
                    <a:prstGeom prst="rect">
                      <a:avLst/>
                    </a:prstGeom>
                    <a:noFill/>
                  </pic:spPr>
                </pic:pic>
              </a:graphicData>
            </a:graphic>
            <wp14:sizeRelH relativeFrom="page">
              <wp14:pctWidth>0</wp14:pctWidth>
            </wp14:sizeRelH>
            <wp14:sizeRelV relativeFrom="page">
              <wp14:pctHeight>0</wp14:pctHeight>
            </wp14:sizeRelV>
          </wp:anchor>
        </w:drawing>
      </w:r>
      <w:r w:rsidR="00286AA7">
        <w:rPr>
          <w:noProof/>
          <w:sz w:val="24"/>
          <w:szCs w:val="24"/>
        </w:rPr>
        <w:t xml:space="preserve"> </w:t>
      </w:r>
    </w:p>
    <w:p w14:paraId="2573721C" w14:textId="389DC559" w:rsidR="00B56A3E" w:rsidRPr="00F068FF" w:rsidRDefault="00F068FF" w:rsidP="003F6003">
      <w:pPr>
        <w:spacing w:line="360" w:lineRule="auto"/>
        <w:rPr>
          <w:b/>
          <w:noProof/>
          <w:sz w:val="24"/>
          <w:szCs w:val="24"/>
        </w:rPr>
      </w:pPr>
      <w:r w:rsidRPr="00F068FF">
        <w:rPr>
          <w:b/>
          <w:sz w:val="24"/>
          <w:szCs w:val="24"/>
        </w:rPr>
        <w:t xml:space="preserve">Detail from the mosaic with Roger II receiving the crown from Christ, </w:t>
      </w:r>
      <w:proofErr w:type="spellStart"/>
      <w:r w:rsidRPr="00F068FF">
        <w:rPr>
          <w:b/>
          <w:sz w:val="24"/>
          <w:szCs w:val="24"/>
        </w:rPr>
        <w:t>Martorana</w:t>
      </w:r>
      <w:proofErr w:type="spellEnd"/>
      <w:r w:rsidRPr="00F068FF">
        <w:rPr>
          <w:b/>
          <w:sz w:val="24"/>
          <w:szCs w:val="24"/>
        </w:rPr>
        <w:t>, Palermo</w:t>
      </w:r>
    </w:p>
    <w:p w14:paraId="69CBC9B5" w14:textId="77777777" w:rsidR="00F068FF" w:rsidRDefault="00F068FF" w:rsidP="003F6003">
      <w:pPr>
        <w:spacing w:line="360" w:lineRule="auto"/>
        <w:rPr>
          <w:b/>
          <w:noProof/>
          <w:sz w:val="28"/>
          <w:szCs w:val="24"/>
          <w:u w:val="single"/>
        </w:rPr>
      </w:pPr>
    </w:p>
    <w:p w14:paraId="595FBCDF" w14:textId="31717CC1" w:rsidR="00EC1058" w:rsidRPr="00EC1058" w:rsidRDefault="00EC1058" w:rsidP="003F6003">
      <w:pPr>
        <w:spacing w:line="360" w:lineRule="auto"/>
        <w:rPr>
          <w:b/>
          <w:noProof/>
          <w:sz w:val="28"/>
          <w:szCs w:val="24"/>
          <w:u w:val="single"/>
        </w:rPr>
      </w:pPr>
      <w:r w:rsidRPr="00EC1058">
        <w:rPr>
          <w:b/>
          <w:noProof/>
          <w:sz w:val="28"/>
          <w:szCs w:val="24"/>
          <w:u w:val="single"/>
        </w:rPr>
        <w:lastRenderedPageBreak/>
        <w:t>The Commentary</w:t>
      </w:r>
    </w:p>
    <w:p w14:paraId="0F8DA895" w14:textId="2E0F778E" w:rsidR="00EC1058" w:rsidRDefault="00EC1058" w:rsidP="003F6003">
      <w:pPr>
        <w:spacing w:line="360" w:lineRule="auto"/>
        <w:rPr>
          <w:noProof/>
          <w:sz w:val="24"/>
          <w:szCs w:val="24"/>
        </w:rPr>
      </w:pPr>
      <w:r>
        <w:rPr>
          <w:noProof/>
          <w:sz w:val="24"/>
          <w:szCs w:val="24"/>
        </w:rPr>
        <w:t>This image, which is a mosaic</w:t>
      </w:r>
      <w:r w:rsidR="00534486">
        <w:rPr>
          <w:noProof/>
          <w:sz w:val="24"/>
          <w:szCs w:val="24"/>
        </w:rPr>
        <w:t xml:space="preserve"> from the Church of Martorana in Palermo</w:t>
      </w:r>
      <w:r>
        <w:rPr>
          <w:noProof/>
          <w:sz w:val="24"/>
          <w:szCs w:val="24"/>
        </w:rPr>
        <w:t>, depicts King Roger II of S</w:t>
      </w:r>
      <w:r w:rsidR="000C2CA1">
        <w:rPr>
          <w:noProof/>
          <w:sz w:val="24"/>
          <w:szCs w:val="24"/>
        </w:rPr>
        <w:t>i</w:t>
      </w:r>
      <w:r>
        <w:rPr>
          <w:noProof/>
          <w:sz w:val="24"/>
          <w:szCs w:val="24"/>
        </w:rPr>
        <w:t>cily being crowned by Jesus Christ</w:t>
      </w:r>
      <w:r w:rsidR="00DD1778">
        <w:rPr>
          <w:noProof/>
          <w:sz w:val="24"/>
          <w:szCs w:val="24"/>
        </w:rPr>
        <w:t>, and dates from between 1143 and 1151</w:t>
      </w:r>
      <w:r w:rsidR="00534486">
        <w:rPr>
          <w:noProof/>
          <w:sz w:val="24"/>
          <w:szCs w:val="24"/>
        </w:rPr>
        <w:t>.</w:t>
      </w:r>
      <w:r w:rsidR="00534486">
        <w:rPr>
          <w:rStyle w:val="FootnoteReference"/>
          <w:noProof/>
          <w:sz w:val="24"/>
          <w:szCs w:val="24"/>
        </w:rPr>
        <w:footnoteReference w:id="1"/>
      </w:r>
      <w:r w:rsidR="00C20538">
        <w:rPr>
          <w:noProof/>
          <w:sz w:val="24"/>
          <w:szCs w:val="24"/>
        </w:rPr>
        <w:t xml:space="preserve"> </w:t>
      </w:r>
      <w:r w:rsidR="008321F7">
        <w:rPr>
          <w:noProof/>
          <w:sz w:val="24"/>
          <w:szCs w:val="24"/>
        </w:rPr>
        <w:t xml:space="preserve">The artstyle and iconography of the image </w:t>
      </w:r>
      <w:r w:rsidR="003F6003">
        <w:rPr>
          <w:noProof/>
          <w:sz w:val="24"/>
          <w:szCs w:val="24"/>
        </w:rPr>
        <w:t>is, like many other Norman-Sicilian artwork, is a hybrid of the thre</w:t>
      </w:r>
      <w:r w:rsidR="00B01F54">
        <w:rPr>
          <w:noProof/>
          <w:sz w:val="24"/>
          <w:szCs w:val="24"/>
        </w:rPr>
        <w:t>e</w:t>
      </w:r>
      <w:r w:rsidR="003F6003">
        <w:rPr>
          <w:noProof/>
          <w:sz w:val="24"/>
          <w:szCs w:val="24"/>
        </w:rPr>
        <w:t xml:space="preserve"> major cultures in the area </w:t>
      </w:r>
      <w:r w:rsidR="000C2CA1">
        <w:rPr>
          <w:noProof/>
          <w:sz w:val="24"/>
          <w:szCs w:val="24"/>
        </w:rPr>
        <w:t>at</w:t>
      </w:r>
      <w:r w:rsidR="003F6003">
        <w:rPr>
          <w:noProof/>
          <w:sz w:val="24"/>
          <w:szCs w:val="24"/>
        </w:rPr>
        <w:t xml:space="preserve"> the time, they being, Norman, Arab, and Byzantine</w:t>
      </w:r>
      <w:r w:rsidR="00B01F54">
        <w:rPr>
          <w:noProof/>
          <w:sz w:val="24"/>
          <w:szCs w:val="24"/>
        </w:rPr>
        <w:t xml:space="preserve">, which </w:t>
      </w:r>
      <w:r w:rsidR="00CF7149">
        <w:rPr>
          <w:noProof/>
          <w:sz w:val="24"/>
          <w:szCs w:val="24"/>
        </w:rPr>
        <w:t>demonstrates the multi-culturalness and diver</w:t>
      </w:r>
      <w:r w:rsidR="00012E94">
        <w:rPr>
          <w:noProof/>
          <w:sz w:val="24"/>
          <w:szCs w:val="24"/>
        </w:rPr>
        <w:t>s</w:t>
      </w:r>
      <w:r w:rsidR="00CF7149">
        <w:rPr>
          <w:noProof/>
          <w:sz w:val="24"/>
          <w:szCs w:val="24"/>
        </w:rPr>
        <w:t>ity of Norman Sicily</w:t>
      </w:r>
      <w:r w:rsidR="003F6003">
        <w:rPr>
          <w:noProof/>
          <w:sz w:val="24"/>
          <w:szCs w:val="24"/>
        </w:rPr>
        <w:t>.</w:t>
      </w:r>
      <w:r w:rsidR="003F6003">
        <w:rPr>
          <w:rStyle w:val="FootnoteReference"/>
          <w:noProof/>
          <w:sz w:val="24"/>
          <w:szCs w:val="24"/>
        </w:rPr>
        <w:footnoteReference w:id="2"/>
      </w:r>
      <w:r w:rsidR="00B01F54">
        <w:rPr>
          <w:noProof/>
          <w:sz w:val="24"/>
          <w:szCs w:val="24"/>
        </w:rPr>
        <w:t xml:space="preserve"> </w:t>
      </w:r>
      <w:r w:rsidR="00012E94">
        <w:rPr>
          <w:noProof/>
          <w:sz w:val="24"/>
          <w:szCs w:val="24"/>
        </w:rPr>
        <w:t xml:space="preserve"> </w:t>
      </w:r>
    </w:p>
    <w:p w14:paraId="26CDD185" w14:textId="174EFD53" w:rsidR="00012E94" w:rsidRDefault="00012E94" w:rsidP="003F6003">
      <w:pPr>
        <w:spacing w:line="360" w:lineRule="auto"/>
        <w:rPr>
          <w:noProof/>
          <w:sz w:val="24"/>
          <w:szCs w:val="24"/>
        </w:rPr>
      </w:pPr>
    </w:p>
    <w:p w14:paraId="2B52AB12" w14:textId="20CD0F79" w:rsidR="00012E94" w:rsidRDefault="00C22B9E" w:rsidP="00894DAC">
      <w:pPr>
        <w:spacing w:line="360" w:lineRule="auto"/>
        <w:rPr>
          <w:noProof/>
          <w:sz w:val="24"/>
          <w:szCs w:val="24"/>
        </w:rPr>
      </w:pPr>
      <w:r>
        <w:rPr>
          <w:noProof/>
          <w:sz w:val="24"/>
          <w:szCs w:val="24"/>
        </w:rPr>
        <w:t>As mentioned, this mos</w:t>
      </w:r>
      <w:r w:rsidR="00276DB2">
        <w:rPr>
          <w:noProof/>
          <w:sz w:val="24"/>
          <w:szCs w:val="24"/>
        </w:rPr>
        <w:t>aic from Palermo is located in the Martorana Church, which was commissioned by George of Antioch, one of Roger II’s most famous admirals</w:t>
      </w:r>
      <w:r w:rsidR="0026782F">
        <w:rPr>
          <w:noProof/>
          <w:sz w:val="24"/>
          <w:szCs w:val="24"/>
        </w:rPr>
        <w:t>, and was buil</w:t>
      </w:r>
      <w:r w:rsidR="00F74C03">
        <w:rPr>
          <w:noProof/>
          <w:sz w:val="24"/>
          <w:szCs w:val="24"/>
        </w:rPr>
        <w:t xml:space="preserve">t </w:t>
      </w:r>
      <w:r w:rsidR="0015022D">
        <w:rPr>
          <w:noProof/>
          <w:sz w:val="24"/>
          <w:szCs w:val="24"/>
        </w:rPr>
        <w:t>sometime during the twelth cent</w:t>
      </w:r>
      <w:r w:rsidR="0022222B">
        <w:rPr>
          <w:noProof/>
          <w:sz w:val="24"/>
          <w:szCs w:val="24"/>
        </w:rPr>
        <w:t>u</w:t>
      </w:r>
      <w:r w:rsidR="0015022D">
        <w:rPr>
          <w:noProof/>
          <w:sz w:val="24"/>
          <w:szCs w:val="24"/>
        </w:rPr>
        <w:t>ry</w:t>
      </w:r>
      <w:r w:rsidR="00360389">
        <w:rPr>
          <w:noProof/>
          <w:sz w:val="24"/>
          <w:szCs w:val="24"/>
        </w:rPr>
        <w:t>.</w:t>
      </w:r>
      <w:r w:rsidR="0026782F">
        <w:rPr>
          <w:rStyle w:val="FootnoteReference"/>
          <w:noProof/>
          <w:sz w:val="24"/>
          <w:szCs w:val="24"/>
        </w:rPr>
        <w:footnoteReference w:id="3"/>
      </w:r>
      <w:r w:rsidR="004B7457">
        <w:rPr>
          <w:noProof/>
          <w:sz w:val="24"/>
          <w:szCs w:val="24"/>
        </w:rPr>
        <w:t xml:space="preserve"> The mosaic itself </w:t>
      </w:r>
      <w:r w:rsidR="00514AEC">
        <w:rPr>
          <w:noProof/>
          <w:sz w:val="24"/>
          <w:szCs w:val="24"/>
        </w:rPr>
        <w:t>is</w:t>
      </w:r>
      <w:r w:rsidR="004B7457">
        <w:rPr>
          <w:noProof/>
          <w:sz w:val="24"/>
          <w:szCs w:val="24"/>
        </w:rPr>
        <w:t xml:space="preserve"> constructed from</w:t>
      </w:r>
      <w:r w:rsidR="00E47B46">
        <w:rPr>
          <w:noProof/>
          <w:sz w:val="24"/>
          <w:szCs w:val="24"/>
        </w:rPr>
        <w:t xml:space="preserve"> thousands of small blocks </w:t>
      </w:r>
      <w:r w:rsidR="005B2053">
        <w:rPr>
          <w:noProof/>
          <w:sz w:val="24"/>
          <w:szCs w:val="24"/>
        </w:rPr>
        <w:t>known as</w:t>
      </w:r>
      <w:r w:rsidR="00E47B46">
        <w:rPr>
          <w:noProof/>
          <w:sz w:val="24"/>
          <w:szCs w:val="24"/>
        </w:rPr>
        <w:t xml:space="preserve"> tessera</w:t>
      </w:r>
      <w:r w:rsidR="004C7F81">
        <w:rPr>
          <w:noProof/>
          <w:sz w:val="24"/>
          <w:szCs w:val="24"/>
        </w:rPr>
        <w:t>e</w:t>
      </w:r>
      <w:r w:rsidR="00E47B46">
        <w:rPr>
          <w:noProof/>
          <w:sz w:val="24"/>
          <w:szCs w:val="24"/>
        </w:rPr>
        <w:t xml:space="preserve">, </w:t>
      </w:r>
      <w:r w:rsidR="005B2053">
        <w:rPr>
          <w:noProof/>
          <w:sz w:val="24"/>
          <w:szCs w:val="24"/>
        </w:rPr>
        <w:t>which could be made from glass, stone or other such materials.</w:t>
      </w:r>
      <w:r w:rsidR="005B2053">
        <w:rPr>
          <w:rStyle w:val="FootnoteReference"/>
          <w:noProof/>
          <w:sz w:val="24"/>
          <w:szCs w:val="24"/>
        </w:rPr>
        <w:footnoteReference w:id="4"/>
      </w:r>
      <w:r w:rsidR="0089528A">
        <w:rPr>
          <w:noProof/>
          <w:sz w:val="24"/>
          <w:szCs w:val="24"/>
        </w:rPr>
        <w:t xml:space="preserve"> Usually, the material of these tesserae was determined by its availability to the artist, with</w:t>
      </w:r>
      <w:r w:rsidR="00A63244">
        <w:rPr>
          <w:noProof/>
          <w:sz w:val="24"/>
          <w:szCs w:val="24"/>
        </w:rPr>
        <w:t xml:space="preserve"> glass</w:t>
      </w:r>
      <w:r w:rsidR="0089528A">
        <w:rPr>
          <w:noProof/>
          <w:sz w:val="24"/>
          <w:szCs w:val="24"/>
        </w:rPr>
        <w:t xml:space="preserve"> being the most common due to its range of colours, stone being used for darker colours such as black, while pottery </w:t>
      </w:r>
      <w:r w:rsidR="00C940D3">
        <w:rPr>
          <w:noProof/>
          <w:sz w:val="24"/>
          <w:szCs w:val="24"/>
        </w:rPr>
        <w:t xml:space="preserve">or stone dipped in paint </w:t>
      </w:r>
      <w:r w:rsidR="0089528A">
        <w:rPr>
          <w:noProof/>
          <w:sz w:val="24"/>
          <w:szCs w:val="24"/>
        </w:rPr>
        <w:t>was likely used for the colour</w:t>
      </w:r>
      <w:r w:rsidR="00360389">
        <w:rPr>
          <w:noProof/>
          <w:sz w:val="24"/>
          <w:szCs w:val="24"/>
        </w:rPr>
        <w:t xml:space="preserve"> </w:t>
      </w:r>
      <w:r w:rsidR="0089528A">
        <w:rPr>
          <w:noProof/>
          <w:sz w:val="24"/>
          <w:szCs w:val="24"/>
        </w:rPr>
        <w:t>red.</w:t>
      </w:r>
      <w:r w:rsidR="005F5050">
        <w:rPr>
          <w:rStyle w:val="FootnoteReference"/>
          <w:noProof/>
          <w:sz w:val="24"/>
          <w:szCs w:val="24"/>
        </w:rPr>
        <w:footnoteReference w:id="5"/>
      </w:r>
      <w:r w:rsidR="0089528A">
        <w:rPr>
          <w:noProof/>
          <w:sz w:val="24"/>
          <w:szCs w:val="24"/>
        </w:rPr>
        <w:t xml:space="preserve"> </w:t>
      </w:r>
      <w:r w:rsidR="005F5050">
        <w:rPr>
          <w:noProof/>
          <w:sz w:val="24"/>
          <w:szCs w:val="24"/>
        </w:rPr>
        <w:t>As such, it is likely that Jesus’s robes in th</w:t>
      </w:r>
      <w:r w:rsidR="00FD2FAC">
        <w:rPr>
          <w:noProof/>
          <w:sz w:val="24"/>
          <w:szCs w:val="24"/>
        </w:rPr>
        <w:t>e mosaic above are constructed out of stone tessera, while the red rimmi</w:t>
      </w:r>
      <w:r w:rsidR="000C2CA1">
        <w:rPr>
          <w:noProof/>
          <w:sz w:val="24"/>
          <w:szCs w:val="24"/>
        </w:rPr>
        <w:t>n</w:t>
      </w:r>
      <w:r w:rsidR="00FD2FAC">
        <w:rPr>
          <w:noProof/>
          <w:sz w:val="24"/>
          <w:szCs w:val="24"/>
        </w:rPr>
        <w:t xml:space="preserve">g of Roger’s robes are potentially made from </w:t>
      </w:r>
      <w:r w:rsidR="00460B2E">
        <w:rPr>
          <w:noProof/>
          <w:sz w:val="24"/>
          <w:szCs w:val="24"/>
        </w:rPr>
        <w:t>painted stone</w:t>
      </w:r>
      <w:r w:rsidR="00FD2FAC">
        <w:rPr>
          <w:noProof/>
          <w:sz w:val="24"/>
          <w:szCs w:val="24"/>
        </w:rPr>
        <w:t>. Continuing from this,</w:t>
      </w:r>
      <w:r w:rsidR="005D0D5C">
        <w:rPr>
          <w:noProof/>
          <w:sz w:val="24"/>
          <w:szCs w:val="24"/>
        </w:rPr>
        <w:t xml:space="preserve"> the historian, Liz James, claims that </w:t>
      </w:r>
      <w:r w:rsidR="00C940D3">
        <w:rPr>
          <w:noProof/>
          <w:sz w:val="24"/>
          <w:szCs w:val="24"/>
        </w:rPr>
        <w:t xml:space="preserve">the glass for this mosaic came from Constantinople, as </w:t>
      </w:r>
      <w:r w:rsidR="00460B2E">
        <w:rPr>
          <w:noProof/>
          <w:sz w:val="24"/>
          <w:szCs w:val="24"/>
        </w:rPr>
        <w:t>this was the home of glass production at the time</w:t>
      </w:r>
      <w:r w:rsidR="005D0D5C">
        <w:rPr>
          <w:noProof/>
          <w:sz w:val="24"/>
          <w:szCs w:val="24"/>
        </w:rPr>
        <w:t>. However,</w:t>
      </w:r>
      <w:r w:rsidR="00460B2E">
        <w:rPr>
          <w:noProof/>
          <w:sz w:val="24"/>
          <w:szCs w:val="24"/>
        </w:rPr>
        <w:t xml:space="preserve"> there is little physical evidence of this and the relativ</w:t>
      </w:r>
      <w:r w:rsidR="005D0D5C">
        <w:rPr>
          <w:noProof/>
          <w:sz w:val="24"/>
          <w:szCs w:val="24"/>
        </w:rPr>
        <w:t>ely</w:t>
      </w:r>
      <w:r w:rsidR="00460B2E">
        <w:rPr>
          <w:noProof/>
          <w:sz w:val="24"/>
          <w:szCs w:val="24"/>
        </w:rPr>
        <w:t xml:space="preserve"> eas</w:t>
      </w:r>
      <w:r w:rsidR="005D0D5C">
        <w:rPr>
          <w:noProof/>
          <w:sz w:val="24"/>
          <w:szCs w:val="24"/>
        </w:rPr>
        <w:t>y</w:t>
      </w:r>
      <w:r w:rsidR="00460B2E">
        <w:rPr>
          <w:noProof/>
          <w:sz w:val="24"/>
          <w:szCs w:val="24"/>
        </w:rPr>
        <w:t xml:space="preserve"> </w:t>
      </w:r>
      <w:r w:rsidR="005D0D5C">
        <w:rPr>
          <w:noProof/>
          <w:sz w:val="24"/>
          <w:szCs w:val="24"/>
        </w:rPr>
        <w:t xml:space="preserve">process of making </w:t>
      </w:r>
      <w:r w:rsidR="00460B2E">
        <w:rPr>
          <w:noProof/>
          <w:sz w:val="24"/>
          <w:szCs w:val="24"/>
        </w:rPr>
        <w:t xml:space="preserve">glass </w:t>
      </w:r>
      <w:r w:rsidR="005D0D5C">
        <w:rPr>
          <w:noProof/>
          <w:sz w:val="24"/>
          <w:szCs w:val="24"/>
        </w:rPr>
        <w:t>through</w:t>
      </w:r>
      <w:r w:rsidR="00460B2E">
        <w:rPr>
          <w:noProof/>
          <w:sz w:val="24"/>
          <w:szCs w:val="24"/>
        </w:rPr>
        <w:t xml:space="preserve"> a combination of sand, </w:t>
      </w:r>
      <w:r w:rsidR="00894DAC">
        <w:rPr>
          <w:noProof/>
          <w:sz w:val="24"/>
          <w:szCs w:val="24"/>
        </w:rPr>
        <w:t xml:space="preserve">sodium carbonate, and heat, means that </w:t>
      </w:r>
      <w:r w:rsidR="00360389">
        <w:rPr>
          <w:noProof/>
          <w:sz w:val="24"/>
          <w:szCs w:val="24"/>
        </w:rPr>
        <w:t>Constantinople</w:t>
      </w:r>
      <w:r w:rsidR="00894DAC">
        <w:rPr>
          <w:noProof/>
          <w:sz w:val="24"/>
          <w:szCs w:val="24"/>
        </w:rPr>
        <w:t xml:space="preserve"> may not have been the origin of th</w:t>
      </w:r>
      <w:r w:rsidR="0077521D">
        <w:rPr>
          <w:noProof/>
          <w:sz w:val="24"/>
          <w:szCs w:val="24"/>
        </w:rPr>
        <w:t>is glass</w:t>
      </w:r>
      <w:r w:rsidR="00894DAC">
        <w:rPr>
          <w:noProof/>
          <w:sz w:val="24"/>
          <w:szCs w:val="24"/>
        </w:rPr>
        <w:t>.</w:t>
      </w:r>
      <w:r w:rsidR="00894DAC">
        <w:rPr>
          <w:rStyle w:val="FootnoteReference"/>
          <w:noProof/>
          <w:sz w:val="24"/>
          <w:szCs w:val="24"/>
        </w:rPr>
        <w:footnoteReference w:id="6"/>
      </w:r>
      <w:r w:rsidR="00460B2E">
        <w:rPr>
          <w:noProof/>
          <w:sz w:val="24"/>
          <w:szCs w:val="24"/>
        </w:rPr>
        <w:t xml:space="preserve"> </w:t>
      </w:r>
      <w:r w:rsidR="00A50044">
        <w:rPr>
          <w:noProof/>
          <w:sz w:val="24"/>
          <w:szCs w:val="24"/>
        </w:rPr>
        <w:t>Even if this is the case, the artstyle and design of this mosaic clearly indicates the diver</w:t>
      </w:r>
      <w:r w:rsidR="00360389">
        <w:rPr>
          <w:noProof/>
          <w:sz w:val="24"/>
          <w:szCs w:val="24"/>
        </w:rPr>
        <w:t>s</w:t>
      </w:r>
      <w:r w:rsidR="00A50044">
        <w:rPr>
          <w:noProof/>
          <w:sz w:val="24"/>
          <w:szCs w:val="24"/>
        </w:rPr>
        <w:t xml:space="preserve">ity of cultural </w:t>
      </w:r>
      <w:r w:rsidR="000C2CA1">
        <w:rPr>
          <w:noProof/>
          <w:sz w:val="24"/>
          <w:szCs w:val="24"/>
        </w:rPr>
        <w:t>connections</w:t>
      </w:r>
      <w:r w:rsidR="00A50044">
        <w:rPr>
          <w:noProof/>
          <w:sz w:val="24"/>
          <w:szCs w:val="24"/>
        </w:rPr>
        <w:t xml:space="preserve"> that Norman-Sicily experienced.</w:t>
      </w:r>
    </w:p>
    <w:p w14:paraId="3B9CC95F" w14:textId="7A2A7C5C" w:rsidR="00A50044" w:rsidRDefault="00A50044" w:rsidP="00894DAC">
      <w:pPr>
        <w:spacing w:line="360" w:lineRule="auto"/>
        <w:rPr>
          <w:noProof/>
          <w:sz w:val="24"/>
          <w:szCs w:val="24"/>
        </w:rPr>
      </w:pPr>
    </w:p>
    <w:p w14:paraId="453FC1EA" w14:textId="7F0548CF" w:rsidR="009803AF" w:rsidRDefault="00A50044" w:rsidP="00F37D25">
      <w:pPr>
        <w:spacing w:line="360" w:lineRule="auto"/>
        <w:rPr>
          <w:noProof/>
          <w:sz w:val="24"/>
          <w:szCs w:val="24"/>
        </w:rPr>
      </w:pPr>
      <w:r>
        <w:rPr>
          <w:noProof/>
          <w:sz w:val="24"/>
          <w:szCs w:val="24"/>
        </w:rPr>
        <w:lastRenderedPageBreak/>
        <w:t>In terms of the mosaic itself,</w:t>
      </w:r>
      <w:r w:rsidR="00B52250">
        <w:rPr>
          <w:noProof/>
          <w:sz w:val="24"/>
          <w:szCs w:val="24"/>
        </w:rPr>
        <w:t xml:space="preserve"> Roger II</w:t>
      </w:r>
      <w:r w:rsidR="00812DAA">
        <w:rPr>
          <w:noProof/>
          <w:sz w:val="24"/>
          <w:szCs w:val="24"/>
        </w:rPr>
        <w:t xml:space="preserve">, </w:t>
      </w:r>
      <w:r w:rsidR="00B52250">
        <w:rPr>
          <w:noProof/>
          <w:sz w:val="24"/>
          <w:szCs w:val="24"/>
        </w:rPr>
        <w:t>the figure on the left side of the image, is depicted</w:t>
      </w:r>
      <w:r w:rsidR="00812DAA">
        <w:rPr>
          <w:noProof/>
          <w:sz w:val="24"/>
          <w:szCs w:val="24"/>
        </w:rPr>
        <w:t xml:space="preserve"> in a Byzantine style of dress, as is evident with his crown, robes, beard, and hair. Similar to Byzantine Emperors, Roger’s hair </w:t>
      </w:r>
      <w:r w:rsidR="005C4E8F">
        <w:rPr>
          <w:noProof/>
          <w:sz w:val="24"/>
          <w:szCs w:val="24"/>
        </w:rPr>
        <w:t xml:space="preserve">and </w:t>
      </w:r>
      <w:r w:rsidR="00812DAA">
        <w:rPr>
          <w:noProof/>
          <w:sz w:val="24"/>
          <w:szCs w:val="24"/>
        </w:rPr>
        <w:t xml:space="preserve">beard </w:t>
      </w:r>
      <w:r w:rsidR="005C4E8F">
        <w:rPr>
          <w:noProof/>
          <w:sz w:val="24"/>
          <w:szCs w:val="24"/>
        </w:rPr>
        <w:t xml:space="preserve">are both of longer lengths than was common for </w:t>
      </w:r>
      <w:r w:rsidR="009B3071">
        <w:rPr>
          <w:noProof/>
          <w:sz w:val="24"/>
          <w:szCs w:val="24"/>
        </w:rPr>
        <w:t xml:space="preserve">the </w:t>
      </w:r>
      <w:r w:rsidR="005C4E8F">
        <w:rPr>
          <w:noProof/>
          <w:sz w:val="24"/>
          <w:szCs w:val="24"/>
        </w:rPr>
        <w:t>Normans, and his robes consis</w:t>
      </w:r>
      <w:r w:rsidR="009B3071">
        <w:rPr>
          <w:noProof/>
          <w:sz w:val="24"/>
          <w:szCs w:val="24"/>
        </w:rPr>
        <w:t xml:space="preserve">t of the Byzantine </w:t>
      </w:r>
      <w:r w:rsidR="009B3071" w:rsidRPr="009B3071">
        <w:rPr>
          <w:i/>
          <w:noProof/>
          <w:sz w:val="24"/>
          <w:szCs w:val="24"/>
        </w:rPr>
        <w:t>paludamentum</w:t>
      </w:r>
      <w:r w:rsidR="006A19F9">
        <w:rPr>
          <w:noProof/>
          <w:sz w:val="24"/>
          <w:szCs w:val="24"/>
        </w:rPr>
        <w:t>, which</w:t>
      </w:r>
      <w:r w:rsidR="00360389">
        <w:rPr>
          <w:noProof/>
          <w:sz w:val="24"/>
          <w:szCs w:val="24"/>
        </w:rPr>
        <w:t>,</w:t>
      </w:r>
      <w:r w:rsidR="006A19F9">
        <w:rPr>
          <w:noProof/>
          <w:sz w:val="24"/>
          <w:szCs w:val="24"/>
        </w:rPr>
        <w:t xml:space="preserve"> by the Middle Ages</w:t>
      </w:r>
      <w:r w:rsidR="00360389">
        <w:rPr>
          <w:noProof/>
          <w:sz w:val="24"/>
          <w:szCs w:val="24"/>
        </w:rPr>
        <w:t>,</w:t>
      </w:r>
      <w:r w:rsidR="006A19F9">
        <w:rPr>
          <w:noProof/>
          <w:sz w:val="24"/>
          <w:szCs w:val="24"/>
        </w:rPr>
        <w:t xml:space="preserve"> was a symbol of the Emperor,</w:t>
      </w:r>
      <w:r w:rsidR="009B3071">
        <w:rPr>
          <w:noProof/>
          <w:sz w:val="24"/>
          <w:szCs w:val="24"/>
        </w:rPr>
        <w:t xml:space="preserve"> as well as a </w:t>
      </w:r>
      <w:r w:rsidR="009B3071" w:rsidRPr="009B3071">
        <w:rPr>
          <w:i/>
          <w:noProof/>
          <w:sz w:val="24"/>
          <w:szCs w:val="24"/>
        </w:rPr>
        <w:t>loros</w:t>
      </w:r>
      <w:r w:rsidR="009B3071">
        <w:rPr>
          <w:noProof/>
          <w:sz w:val="24"/>
          <w:szCs w:val="24"/>
        </w:rPr>
        <w:t>.</w:t>
      </w:r>
      <w:r w:rsidR="009B3071">
        <w:rPr>
          <w:rStyle w:val="FootnoteReference"/>
          <w:noProof/>
          <w:sz w:val="24"/>
          <w:szCs w:val="24"/>
        </w:rPr>
        <w:footnoteReference w:id="7"/>
      </w:r>
      <w:r w:rsidR="009B3071">
        <w:rPr>
          <w:noProof/>
          <w:sz w:val="24"/>
          <w:szCs w:val="24"/>
        </w:rPr>
        <w:t xml:space="preserve"> The </w:t>
      </w:r>
      <w:r w:rsidR="009B3071" w:rsidRPr="009B3071">
        <w:rPr>
          <w:i/>
          <w:noProof/>
          <w:sz w:val="24"/>
          <w:szCs w:val="24"/>
        </w:rPr>
        <w:t>paludamentum</w:t>
      </w:r>
      <w:r w:rsidR="009B3071">
        <w:rPr>
          <w:i/>
          <w:noProof/>
          <w:sz w:val="24"/>
          <w:szCs w:val="24"/>
        </w:rPr>
        <w:t xml:space="preserve"> </w:t>
      </w:r>
      <w:r w:rsidR="009B3071">
        <w:rPr>
          <w:noProof/>
          <w:sz w:val="24"/>
          <w:szCs w:val="24"/>
        </w:rPr>
        <w:t xml:space="preserve">is </w:t>
      </w:r>
      <w:r w:rsidR="006A19F9">
        <w:rPr>
          <w:noProof/>
          <w:sz w:val="24"/>
          <w:szCs w:val="24"/>
        </w:rPr>
        <w:t>a cloak that was initially w</w:t>
      </w:r>
      <w:r w:rsidR="0077521D">
        <w:rPr>
          <w:noProof/>
          <w:sz w:val="24"/>
          <w:szCs w:val="24"/>
        </w:rPr>
        <w:t>o</w:t>
      </w:r>
      <w:r w:rsidR="006A19F9">
        <w:rPr>
          <w:noProof/>
          <w:sz w:val="24"/>
          <w:szCs w:val="24"/>
        </w:rPr>
        <w:t xml:space="preserve">rn </w:t>
      </w:r>
      <w:r w:rsidR="00360389">
        <w:rPr>
          <w:noProof/>
          <w:sz w:val="24"/>
          <w:szCs w:val="24"/>
        </w:rPr>
        <w:t>b</w:t>
      </w:r>
      <w:r w:rsidR="006A19F9">
        <w:rPr>
          <w:noProof/>
          <w:sz w:val="24"/>
          <w:szCs w:val="24"/>
        </w:rPr>
        <w:t xml:space="preserve">y Roman soldiers, while the </w:t>
      </w:r>
      <w:r w:rsidR="006A19F9" w:rsidRPr="006A19F9">
        <w:rPr>
          <w:i/>
          <w:noProof/>
          <w:sz w:val="24"/>
          <w:szCs w:val="24"/>
        </w:rPr>
        <w:t>loros</w:t>
      </w:r>
      <w:r w:rsidR="006A19F9">
        <w:rPr>
          <w:noProof/>
          <w:sz w:val="24"/>
          <w:szCs w:val="24"/>
        </w:rPr>
        <w:t xml:space="preserve"> is a scarf like object</w:t>
      </w:r>
      <w:r w:rsidR="0077521D">
        <w:rPr>
          <w:noProof/>
          <w:sz w:val="24"/>
          <w:szCs w:val="24"/>
        </w:rPr>
        <w:t xml:space="preserve"> </w:t>
      </w:r>
      <w:r w:rsidR="0083773F">
        <w:rPr>
          <w:noProof/>
          <w:sz w:val="24"/>
          <w:szCs w:val="24"/>
        </w:rPr>
        <w:t>that was encrusted with various jewels, and later</w:t>
      </w:r>
      <w:r w:rsidR="00C742DD">
        <w:rPr>
          <w:noProof/>
          <w:sz w:val="24"/>
          <w:szCs w:val="24"/>
        </w:rPr>
        <w:t xml:space="preserve"> became an item of military apparel</w:t>
      </w:r>
      <w:r w:rsidR="00AB673A">
        <w:rPr>
          <w:noProof/>
          <w:sz w:val="24"/>
          <w:szCs w:val="24"/>
        </w:rPr>
        <w:t>.</w:t>
      </w:r>
      <w:r w:rsidR="00AB673A" w:rsidRPr="00AB673A">
        <w:rPr>
          <w:noProof/>
          <w:sz w:val="24"/>
          <w:szCs w:val="24"/>
        </w:rPr>
        <w:t xml:space="preserve"> </w:t>
      </w:r>
      <w:r w:rsidR="00AB673A">
        <w:rPr>
          <w:noProof/>
          <w:sz w:val="24"/>
          <w:szCs w:val="24"/>
        </w:rPr>
        <w:t xml:space="preserve">Furthermore, Roger is also depicted as wearing a closed crown, a style that developed in the 1100’s, whereby the crown resembles more of a hat than a head band, although it still </w:t>
      </w:r>
      <w:r w:rsidR="00C83563">
        <w:rPr>
          <w:noProof/>
          <w:sz w:val="24"/>
          <w:szCs w:val="24"/>
        </w:rPr>
        <w:t>keeps</w:t>
      </w:r>
      <w:r w:rsidR="00AB673A">
        <w:rPr>
          <w:noProof/>
          <w:sz w:val="24"/>
          <w:szCs w:val="24"/>
        </w:rPr>
        <w:t xml:space="preserve"> much of its ornate design and linings.</w:t>
      </w:r>
      <w:r w:rsidR="00C742DD">
        <w:rPr>
          <w:rStyle w:val="FootnoteReference"/>
          <w:noProof/>
          <w:sz w:val="24"/>
          <w:szCs w:val="24"/>
        </w:rPr>
        <w:footnoteReference w:id="8"/>
      </w:r>
      <w:r w:rsidR="00C742DD">
        <w:rPr>
          <w:noProof/>
          <w:sz w:val="24"/>
          <w:szCs w:val="24"/>
        </w:rPr>
        <w:t xml:space="preserve"> </w:t>
      </w:r>
      <w:r w:rsidR="00AB673A">
        <w:rPr>
          <w:noProof/>
          <w:sz w:val="24"/>
          <w:szCs w:val="24"/>
        </w:rPr>
        <w:t>As is evident here, this mosaic presents King Roger II not only as a Greek, as one may expect due to Greek influences during production, but also as a Byzantine Emperor, a position that was greater than kingship.</w:t>
      </w:r>
      <w:r w:rsidR="00F37D25">
        <w:rPr>
          <w:noProof/>
          <w:sz w:val="24"/>
          <w:szCs w:val="24"/>
        </w:rPr>
        <w:t xml:space="preserve"> This is interesting as it could potentially be the Norman’s way of adopting the local customs and attempting to assimilate into the local communities more fluently, but it could also be claiming that the Normans in Sicily think themselves as the new dominant ‘empire’ of the Mediterranean. </w:t>
      </w:r>
    </w:p>
    <w:p w14:paraId="6E59B739" w14:textId="3D6FA7EB" w:rsidR="00692FAB" w:rsidRDefault="00F37D25" w:rsidP="00692FAB">
      <w:pPr>
        <w:spacing w:line="360" w:lineRule="auto"/>
        <w:rPr>
          <w:noProof/>
          <w:sz w:val="24"/>
          <w:szCs w:val="24"/>
        </w:rPr>
      </w:pPr>
      <w:r>
        <w:rPr>
          <w:noProof/>
          <w:sz w:val="24"/>
          <w:szCs w:val="24"/>
        </w:rPr>
        <w:t xml:space="preserve">Furthermore, another sign of royalty </w:t>
      </w:r>
      <w:r w:rsidR="005F0E89">
        <w:rPr>
          <w:noProof/>
          <w:sz w:val="24"/>
          <w:szCs w:val="24"/>
        </w:rPr>
        <w:t xml:space="preserve">and power </w:t>
      </w:r>
      <w:r>
        <w:rPr>
          <w:noProof/>
          <w:sz w:val="24"/>
          <w:szCs w:val="24"/>
        </w:rPr>
        <w:t xml:space="preserve">that is evident in this mosaic is the colours of tessera which have been used to create the image. For example, Roger’s robe mostly consists of tesserae that are a shade of blue known as ‘royal blue’, </w:t>
      </w:r>
      <w:r w:rsidR="00147F08">
        <w:rPr>
          <w:noProof/>
          <w:sz w:val="24"/>
          <w:szCs w:val="24"/>
        </w:rPr>
        <w:t xml:space="preserve">while it is likely that the crown and </w:t>
      </w:r>
      <w:r w:rsidR="00147F08" w:rsidRPr="00147F08">
        <w:rPr>
          <w:i/>
          <w:noProof/>
          <w:sz w:val="24"/>
          <w:szCs w:val="24"/>
        </w:rPr>
        <w:t>loros</w:t>
      </w:r>
      <w:r w:rsidR="00147F08">
        <w:rPr>
          <w:noProof/>
          <w:sz w:val="24"/>
          <w:szCs w:val="24"/>
        </w:rPr>
        <w:t xml:space="preserve"> both consist of terrerae of glass, gold, silver, and marble. The </w:t>
      </w:r>
      <w:r w:rsidR="001623A4">
        <w:rPr>
          <w:noProof/>
          <w:sz w:val="24"/>
          <w:szCs w:val="24"/>
        </w:rPr>
        <w:t>use of this ‘royal colour’ and</w:t>
      </w:r>
      <w:r w:rsidR="00147F08">
        <w:rPr>
          <w:noProof/>
          <w:sz w:val="24"/>
          <w:szCs w:val="24"/>
        </w:rPr>
        <w:t xml:space="preserve"> the fact that these materials were not cheap to produce </w:t>
      </w:r>
      <w:r w:rsidR="005F0E89">
        <w:rPr>
          <w:noProof/>
          <w:sz w:val="24"/>
          <w:szCs w:val="24"/>
        </w:rPr>
        <w:t xml:space="preserve">all suggest that the person who commissioned this mosaic </w:t>
      </w:r>
      <w:r w:rsidR="009803AF">
        <w:rPr>
          <w:noProof/>
          <w:sz w:val="24"/>
          <w:szCs w:val="24"/>
        </w:rPr>
        <w:t>is</w:t>
      </w:r>
      <w:r w:rsidR="005F0E89">
        <w:rPr>
          <w:noProof/>
          <w:sz w:val="24"/>
          <w:szCs w:val="24"/>
        </w:rPr>
        <w:t xml:space="preserve"> </w:t>
      </w:r>
      <w:r w:rsidR="009803AF">
        <w:rPr>
          <w:noProof/>
          <w:sz w:val="24"/>
          <w:szCs w:val="24"/>
        </w:rPr>
        <w:t xml:space="preserve">a </w:t>
      </w:r>
      <w:r w:rsidR="005F0E89">
        <w:rPr>
          <w:noProof/>
          <w:sz w:val="24"/>
          <w:szCs w:val="24"/>
        </w:rPr>
        <w:t>wealthy and powerful</w:t>
      </w:r>
      <w:r w:rsidR="009803AF">
        <w:rPr>
          <w:noProof/>
          <w:sz w:val="24"/>
          <w:szCs w:val="24"/>
        </w:rPr>
        <w:t xml:space="preserve"> individual</w:t>
      </w:r>
      <w:r w:rsidR="005F0E89">
        <w:rPr>
          <w:noProof/>
          <w:sz w:val="24"/>
          <w:szCs w:val="24"/>
        </w:rPr>
        <w:t>.</w:t>
      </w:r>
      <w:r w:rsidR="005F0E89">
        <w:rPr>
          <w:rStyle w:val="FootnoteReference"/>
          <w:noProof/>
          <w:sz w:val="24"/>
          <w:szCs w:val="24"/>
        </w:rPr>
        <w:footnoteReference w:id="9"/>
      </w:r>
      <w:r w:rsidR="005F0E89">
        <w:rPr>
          <w:noProof/>
          <w:sz w:val="24"/>
          <w:szCs w:val="24"/>
        </w:rPr>
        <w:t xml:space="preserve"> Continuing from this, there are small cross-like objects on Roger’s robe which could </w:t>
      </w:r>
      <w:r w:rsidR="009803AF">
        <w:rPr>
          <w:noProof/>
          <w:sz w:val="24"/>
          <w:szCs w:val="24"/>
        </w:rPr>
        <w:t>possibly</w:t>
      </w:r>
      <w:r w:rsidR="005F0E89">
        <w:rPr>
          <w:noProof/>
          <w:sz w:val="24"/>
          <w:szCs w:val="24"/>
        </w:rPr>
        <w:t xml:space="preserve"> be ‘</w:t>
      </w:r>
      <w:r w:rsidR="005F0E89" w:rsidRPr="005F0E89">
        <w:rPr>
          <w:i/>
          <w:noProof/>
          <w:sz w:val="24"/>
          <w:szCs w:val="24"/>
        </w:rPr>
        <w:t>fleur-de-lis</w:t>
      </w:r>
      <w:r w:rsidR="005F0E89">
        <w:rPr>
          <w:noProof/>
          <w:sz w:val="24"/>
          <w:szCs w:val="24"/>
        </w:rPr>
        <w:t xml:space="preserve">’, stylized lilies that </w:t>
      </w:r>
      <w:r w:rsidR="00F0632A">
        <w:rPr>
          <w:noProof/>
          <w:sz w:val="24"/>
          <w:szCs w:val="24"/>
        </w:rPr>
        <w:t xml:space="preserve">have links with France, </w:t>
      </w:r>
      <w:r w:rsidR="009803AF">
        <w:rPr>
          <w:noProof/>
          <w:sz w:val="24"/>
          <w:szCs w:val="24"/>
        </w:rPr>
        <w:t>potentially the</w:t>
      </w:r>
      <w:r w:rsidR="00F0632A">
        <w:rPr>
          <w:noProof/>
          <w:sz w:val="24"/>
          <w:szCs w:val="24"/>
        </w:rPr>
        <w:t xml:space="preserve"> artist’s way of highligh</w:t>
      </w:r>
      <w:r w:rsidR="009803AF">
        <w:rPr>
          <w:noProof/>
          <w:sz w:val="24"/>
          <w:szCs w:val="24"/>
        </w:rPr>
        <w:t>t</w:t>
      </w:r>
      <w:r w:rsidR="00F0632A">
        <w:rPr>
          <w:noProof/>
          <w:sz w:val="24"/>
          <w:szCs w:val="24"/>
        </w:rPr>
        <w:t>ing Roger’s ancestery.</w:t>
      </w:r>
      <w:r w:rsidR="00F0632A">
        <w:rPr>
          <w:rStyle w:val="FootnoteReference"/>
          <w:noProof/>
          <w:sz w:val="24"/>
          <w:szCs w:val="24"/>
        </w:rPr>
        <w:footnoteReference w:id="10"/>
      </w:r>
      <w:r w:rsidR="005F0E89">
        <w:rPr>
          <w:noProof/>
          <w:sz w:val="24"/>
          <w:szCs w:val="24"/>
        </w:rPr>
        <w:t xml:space="preserve"> </w:t>
      </w:r>
      <w:r w:rsidR="009803AF">
        <w:rPr>
          <w:noProof/>
          <w:sz w:val="24"/>
          <w:szCs w:val="24"/>
        </w:rPr>
        <w:t>However, they are more likely to be Catholic crosses as</w:t>
      </w:r>
      <w:r w:rsidR="00F0632A">
        <w:rPr>
          <w:noProof/>
          <w:sz w:val="24"/>
          <w:szCs w:val="24"/>
        </w:rPr>
        <w:t xml:space="preserve"> th</w:t>
      </w:r>
      <w:r w:rsidR="009803AF">
        <w:rPr>
          <w:noProof/>
          <w:sz w:val="24"/>
          <w:szCs w:val="24"/>
        </w:rPr>
        <w:t>at would link to the</w:t>
      </w:r>
      <w:r w:rsidR="00F0632A">
        <w:rPr>
          <w:noProof/>
          <w:sz w:val="24"/>
          <w:szCs w:val="24"/>
        </w:rPr>
        <w:t xml:space="preserve"> posture of Roger</w:t>
      </w:r>
      <w:r w:rsidR="009803AF">
        <w:rPr>
          <w:noProof/>
          <w:sz w:val="24"/>
          <w:szCs w:val="24"/>
        </w:rPr>
        <w:t>,</w:t>
      </w:r>
      <w:r w:rsidR="00F0632A">
        <w:rPr>
          <w:noProof/>
          <w:sz w:val="24"/>
          <w:szCs w:val="24"/>
        </w:rPr>
        <w:t xml:space="preserve"> in that he is bowing his head to the power and athority that is Jesus Christ,</w:t>
      </w:r>
      <w:r w:rsidR="009803AF">
        <w:rPr>
          <w:noProof/>
          <w:sz w:val="24"/>
          <w:szCs w:val="24"/>
        </w:rPr>
        <w:t xml:space="preserve"> which strongly</w:t>
      </w:r>
      <w:r w:rsidR="00F0632A">
        <w:rPr>
          <w:noProof/>
          <w:sz w:val="24"/>
          <w:szCs w:val="24"/>
        </w:rPr>
        <w:t xml:space="preserve"> </w:t>
      </w:r>
      <w:r w:rsidR="00692FAB">
        <w:rPr>
          <w:noProof/>
          <w:sz w:val="24"/>
          <w:szCs w:val="24"/>
        </w:rPr>
        <w:t>impl</w:t>
      </w:r>
      <w:r w:rsidR="009803AF">
        <w:rPr>
          <w:noProof/>
          <w:sz w:val="24"/>
          <w:szCs w:val="24"/>
        </w:rPr>
        <w:t xml:space="preserve">ies </w:t>
      </w:r>
      <w:r w:rsidR="00692FAB">
        <w:rPr>
          <w:noProof/>
          <w:sz w:val="24"/>
          <w:szCs w:val="24"/>
        </w:rPr>
        <w:t>that Roger is a humble and pious man.</w:t>
      </w:r>
    </w:p>
    <w:p w14:paraId="2E07E64D" w14:textId="001AE753" w:rsidR="00692FAB" w:rsidRDefault="00692FAB" w:rsidP="00692FAB">
      <w:pPr>
        <w:spacing w:line="360" w:lineRule="auto"/>
        <w:rPr>
          <w:noProof/>
          <w:sz w:val="24"/>
          <w:szCs w:val="24"/>
        </w:rPr>
      </w:pPr>
    </w:p>
    <w:p w14:paraId="5C8556ED" w14:textId="5CD73425" w:rsidR="00C35A8E" w:rsidRDefault="00692FAB" w:rsidP="00692FAB">
      <w:pPr>
        <w:spacing w:line="360" w:lineRule="auto"/>
        <w:rPr>
          <w:noProof/>
          <w:sz w:val="24"/>
          <w:szCs w:val="24"/>
        </w:rPr>
      </w:pPr>
      <w:r>
        <w:rPr>
          <w:noProof/>
          <w:sz w:val="24"/>
          <w:szCs w:val="24"/>
        </w:rPr>
        <w:t xml:space="preserve">Christ, on the other hand, is almost depicted the complete opposite of how Roger is in terms of clothing, as his robes are quite simple and dull. However, it is highly likely that this was intentional on the artist’s behalf. Firstly, </w:t>
      </w:r>
      <w:r w:rsidR="00A536AF">
        <w:rPr>
          <w:noProof/>
          <w:sz w:val="24"/>
          <w:szCs w:val="24"/>
        </w:rPr>
        <w:t xml:space="preserve">Roger, and not Jesus, is the main </w:t>
      </w:r>
      <w:r w:rsidR="00082DC6">
        <w:rPr>
          <w:noProof/>
          <w:sz w:val="24"/>
          <w:szCs w:val="24"/>
        </w:rPr>
        <w:t>figure in the mosaic, so by depicting Roger with brightly coloured tessera and Jesus with contrasting darker ones, the artist is</w:t>
      </w:r>
      <w:r w:rsidR="00C90EB7">
        <w:rPr>
          <w:noProof/>
          <w:sz w:val="24"/>
          <w:szCs w:val="24"/>
        </w:rPr>
        <w:t xml:space="preserve"> creating a lighting effect that</w:t>
      </w:r>
      <w:r w:rsidR="00082DC6">
        <w:rPr>
          <w:noProof/>
          <w:sz w:val="24"/>
          <w:szCs w:val="24"/>
        </w:rPr>
        <w:t xml:space="preserve"> draw</w:t>
      </w:r>
      <w:r w:rsidR="00C90EB7">
        <w:rPr>
          <w:noProof/>
          <w:sz w:val="24"/>
          <w:szCs w:val="24"/>
        </w:rPr>
        <w:t>s</w:t>
      </w:r>
      <w:r w:rsidR="00082DC6">
        <w:rPr>
          <w:noProof/>
          <w:sz w:val="24"/>
          <w:szCs w:val="24"/>
        </w:rPr>
        <w:t xml:space="preserve"> the audiences attention to Roger</w:t>
      </w:r>
      <w:r w:rsidR="00C90EB7">
        <w:rPr>
          <w:noProof/>
          <w:sz w:val="24"/>
          <w:szCs w:val="24"/>
        </w:rPr>
        <w:t>.</w:t>
      </w:r>
      <w:r w:rsidR="00C90EB7">
        <w:rPr>
          <w:rStyle w:val="FootnoteReference"/>
          <w:noProof/>
          <w:sz w:val="24"/>
          <w:szCs w:val="24"/>
        </w:rPr>
        <w:footnoteReference w:id="11"/>
      </w:r>
      <w:r w:rsidR="00C90EB7">
        <w:rPr>
          <w:noProof/>
          <w:sz w:val="24"/>
          <w:szCs w:val="24"/>
        </w:rPr>
        <w:t xml:space="preserve"> </w:t>
      </w:r>
      <w:r w:rsidR="00C83563">
        <w:rPr>
          <w:noProof/>
          <w:sz w:val="24"/>
          <w:szCs w:val="24"/>
        </w:rPr>
        <w:t>The</w:t>
      </w:r>
      <w:r w:rsidR="00C90EB7">
        <w:rPr>
          <w:noProof/>
          <w:sz w:val="24"/>
          <w:szCs w:val="24"/>
        </w:rPr>
        <w:t xml:space="preserve"> simple style and colour of Christ’s robes could also </w:t>
      </w:r>
      <w:r w:rsidR="009A3567">
        <w:rPr>
          <w:noProof/>
          <w:sz w:val="24"/>
          <w:szCs w:val="24"/>
        </w:rPr>
        <w:t>be in reference to</w:t>
      </w:r>
      <w:r w:rsidR="00C90EB7">
        <w:rPr>
          <w:noProof/>
          <w:sz w:val="24"/>
          <w:szCs w:val="24"/>
        </w:rPr>
        <w:t xml:space="preserve"> his</w:t>
      </w:r>
      <w:r w:rsidR="0069581A">
        <w:rPr>
          <w:noProof/>
          <w:sz w:val="24"/>
          <w:szCs w:val="24"/>
        </w:rPr>
        <w:t xml:space="preserve"> humbleness and his</w:t>
      </w:r>
      <w:r w:rsidR="009033B6">
        <w:rPr>
          <w:noProof/>
          <w:sz w:val="24"/>
          <w:szCs w:val="24"/>
        </w:rPr>
        <w:t xml:space="preserve"> </w:t>
      </w:r>
      <w:r w:rsidR="0069581A">
        <w:rPr>
          <w:noProof/>
          <w:sz w:val="24"/>
          <w:szCs w:val="24"/>
        </w:rPr>
        <w:t>‘vow of poverty’, in that he does not hold any property or possessions, such as elaborate clothes to decorate himself with.</w:t>
      </w:r>
      <w:r w:rsidR="0069581A">
        <w:rPr>
          <w:rStyle w:val="FootnoteReference"/>
          <w:noProof/>
          <w:sz w:val="24"/>
          <w:szCs w:val="24"/>
        </w:rPr>
        <w:footnoteReference w:id="12"/>
      </w:r>
      <w:r w:rsidR="0069581A">
        <w:rPr>
          <w:noProof/>
          <w:sz w:val="24"/>
          <w:szCs w:val="24"/>
        </w:rPr>
        <w:t xml:space="preserve"> </w:t>
      </w:r>
      <w:r w:rsidR="006F3B1D">
        <w:rPr>
          <w:noProof/>
          <w:sz w:val="24"/>
          <w:szCs w:val="24"/>
        </w:rPr>
        <w:t>As is evident here, the bleakness of Jesus’ depiction in this mosaic is potentially a completely intentional choice by the artist</w:t>
      </w:r>
      <w:r w:rsidR="001623A4">
        <w:rPr>
          <w:noProof/>
          <w:sz w:val="24"/>
          <w:szCs w:val="24"/>
        </w:rPr>
        <w:t>, which could reinforce the piety of the Normans as they know how Jesus should be depicted</w:t>
      </w:r>
      <w:r w:rsidR="006F3B1D">
        <w:rPr>
          <w:noProof/>
          <w:sz w:val="24"/>
          <w:szCs w:val="24"/>
        </w:rPr>
        <w:t>.</w:t>
      </w:r>
      <w:r w:rsidR="00C35A8E">
        <w:rPr>
          <w:noProof/>
          <w:sz w:val="24"/>
          <w:szCs w:val="24"/>
        </w:rPr>
        <w:t xml:space="preserve"> </w:t>
      </w:r>
    </w:p>
    <w:p w14:paraId="6B1EADA9" w14:textId="1F89ABD1" w:rsidR="00F0632A" w:rsidRDefault="00C35A8E">
      <w:pPr>
        <w:spacing w:line="360" w:lineRule="auto"/>
        <w:rPr>
          <w:noProof/>
          <w:sz w:val="24"/>
          <w:szCs w:val="24"/>
        </w:rPr>
      </w:pPr>
      <w:r>
        <w:rPr>
          <w:noProof/>
          <w:sz w:val="24"/>
          <w:szCs w:val="24"/>
        </w:rPr>
        <w:t>Continuing from this, it is important to note Christ’s actions in the mosaic</w:t>
      </w:r>
      <w:r w:rsidR="00540ADA">
        <w:rPr>
          <w:noProof/>
          <w:sz w:val="24"/>
          <w:szCs w:val="24"/>
        </w:rPr>
        <w:t>, as</w:t>
      </w:r>
      <w:r>
        <w:rPr>
          <w:noProof/>
          <w:sz w:val="24"/>
          <w:szCs w:val="24"/>
        </w:rPr>
        <w:t xml:space="preserve"> Jesus is clearly </w:t>
      </w:r>
      <w:r w:rsidR="00B93DE7">
        <w:rPr>
          <w:noProof/>
          <w:sz w:val="24"/>
          <w:szCs w:val="24"/>
        </w:rPr>
        <w:t xml:space="preserve">depicted as </w:t>
      </w:r>
      <w:r>
        <w:rPr>
          <w:noProof/>
          <w:sz w:val="24"/>
          <w:szCs w:val="24"/>
        </w:rPr>
        <w:t>crowning Roger as King</w:t>
      </w:r>
      <w:r w:rsidR="00B93DE7">
        <w:rPr>
          <w:noProof/>
          <w:sz w:val="24"/>
          <w:szCs w:val="24"/>
        </w:rPr>
        <w:t>, which</w:t>
      </w:r>
      <w:r w:rsidR="00F52AF3">
        <w:rPr>
          <w:noProof/>
          <w:sz w:val="24"/>
          <w:szCs w:val="24"/>
        </w:rPr>
        <w:t xml:space="preserve"> </w:t>
      </w:r>
      <w:r w:rsidR="00B93DE7">
        <w:rPr>
          <w:noProof/>
          <w:sz w:val="24"/>
          <w:szCs w:val="24"/>
        </w:rPr>
        <w:t>legitimizes Roger’s claim on the throne of Sicily.</w:t>
      </w:r>
      <w:r w:rsidR="00E6181A">
        <w:rPr>
          <w:rStyle w:val="FootnoteReference"/>
          <w:noProof/>
          <w:sz w:val="24"/>
          <w:szCs w:val="24"/>
        </w:rPr>
        <w:footnoteReference w:id="13"/>
      </w:r>
      <w:r w:rsidR="00E6181A">
        <w:rPr>
          <w:noProof/>
          <w:sz w:val="24"/>
          <w:szCs w:val="24"/>
        </w:rPr>
        <w:t xml:space="preserve"> This is due to the fact that God, through Jesus, </w:t>
      </w:r>
      <w:r w:rsidR="00753113">
        <w:rPr>
          <w:noProof/>
          <w:sz w:val="24"/>
          <w:szCs w:val="24"/>
        </w:rPr>
        <w:t xml:space="preserve">is clearly stating </w:t>
      </w:r>
      <w:r w:rsidR="007F11AB">
        <w:rPr>
          <w:noProof/>
          <w:sz w:val="24"/>
          <w:szCs w:val="24"/>
        </w:rPr>
        <w:t xml:space="preserve">that </w:t>
      </w:r>
      <w:r w:rsidR="00753113">
        <w:rPr>
          <w:noProof/>
          <w:sz w:val="24"/>
          <w:szCs w:val="24"/>
        </w:rPr>
        <w:t xml:space="preserve">Roger </w:t>
      </w:r>
      <w:r w:rsidR="007F11AB">
        <w:rPr>
          <w:noProof/>
          <w:sz w:val="24"/>
          <w:szCs w:val="24"/>
        </w:rPr>
        <w:t xml:space="preserve">is </w:t>
      </w:r>
      <w:r w:rsidR="00753113">
        <w:rPr>
          <w:noProof/>
          <w:sz w:val="24"/>
          <w:szCs w:val="24"/>
        </w:rPr>
        <w:t xml:space="preserve">to </w:t>
      </w:r>
      <w:r w:rsidR="00540ADA">
        <w:rPr>
          <w:noProof/>
          <w:sz w:val="24"/>
          <w:szCs w:val="24"/>
        </w:rPr>
        <w:t>rule</w:t>
      </w:r>
      <w:r w:rsidR="00753113">
        <w:rPr>
          <w:noProof/>
          <w:sz w:val="24"/>
          <w:szCs w:val="24"/>
        </w:rPr>
        <w:t xml:space="preserve">, meaning no Christian would attempt to revoke Roger’s title as it was </w:t>
      </w:r>
      <w:r w:rsidR="00475BC8">
        <w:rPr>
          <w:noProof/>
          <w:sz w:val="24"/>
          <w:szCs w:val="24"/>
        </w:rPr>
        <w:t>God</w:t>
      </w:r>
      <w:r w:rsidR="00753113">
        <w:rPr>
          <w:noProof/>
          <w:sz w:val="24"/>
          <w:szCs w:val="24"/>
        </w:rPr>
        <w:t xml:space="preserve"> given.</w:t>
      </w:r>
      <w:r w:rsidR="00A02336">
        <w:rPr>
          <w:noProof/>
          <w:sz w:val="24"/>
          <w:szCs w:val="24"/>
        </w:rPr>
        <w:t xml:space="preserve"> </w:t>
      </w:r>
      <w:r w:rsidR="00573877">
        <w:rPr>
          <w:noProof/>
          <w:sz w:val="24"/>
          <w:szCs w:val="24"/>
        </w:rPr>
        <w:t>This is further reinforced by Roger’s response to the crowning in that he is looking towards the audience and directing them</w:t>
      </w:r>
      <w:r w:rsidR="007F11AB">
        <w:rPr>
          <w:noProof/>
          <w:sz w:val="24"/>
          <w:szCs w:val="24"/>
        </w:rPr>
        <w:t xml:space="preserve"> </w:t>
      </w:r>
      <w:r w:rsidR="00573877">
        <w:rPr>
          <w:noProof/>
          <w:sz w:val="24"/>
          <w:szCs w:val="24"/>
        </w:rPr>
        <w:t xml:space="preserve">to his crowning, again dismissing any opposition as his position was given to him by God. Furthermore, </w:t>
      </w:r>
      <w:r w:rsidR="000B1F01">
        <w:rPr>
          <w:noProof/>
          <w:sz w:val="24"/>
          <w:szCs w:val="24"/>
        </w:rPr>
        <w:t xml:space="preserve">Christ’s feet also need to be focused on as they are not planted on the </w:t>
      </w:r>
      <w:r w:rsidR="00475BC8">
        <w:rPr>
          <w:noProof/>
          <w:sz w:val="24"/>
          <w:szCs w:val="24"/>
        </w:rPr>
        <w:t>ground</w:t>
      </w:r>
      <w:r w:rsidR="000B1F01">
        <w:rPr>
          <w:noProof/>
          <w:sz w:val="24"/>
          <w:szCs w:val="24"/>
        </w:rPr>
        <w:t xml:space="preserve">, </w:t>
      </w:r>
      <w:r w:rsidR="00BB2E0C">
        <w:rPr>
          <w:noProof/>
          <w:sz w:val="24"/>
          <w:szCs w:val="24"/>
        </w:rPr>
        <w:t xml:space="preserve">likely done intentionally </w:t>
      </w:r>
      <w:r w:rsidR="007F11AB">
        <w:rPr>
          <w:noProof/>
          <w:sz w:val="24"/>
          <w:szCs w:val="24"/>
        </w:rPr>
        <w:t>to</w:t>
      </w:r>
      <w:r w:rsidR="00BB2E0C">
        <w:rPr>
          <w:noProof/>
          <w:sz w:val="24"/>
          <w:szCs w:val="24"/>
        </w:rPr>
        <w:t xml:space="preserve"> demonstrate Jesus’ </w:t>
      </w:r>
      <w:r w:rsidR="00DD317C">
        <w:rPr>
          <w:noProof/>
          <w:sz w:val="24"/>
          <w:szCs w:val="24"/>
        </w:rPr>
        <w:t>omnipotence</w:t>
      </w:r>
      <w:r w:rsidR="00BB2E0C">
        <w:rPr>
          <w:noProof/>
          <w:sz w:val="24"/>
          <w:szCs w:val="24"/>
        </w:rPr>
        <w:t xml:space="preserve"> over the natural world</w:t>
      </w:r>
      <w:r w:rsidR="00DD317C">
        <w:rPr>
          <w:noProof/>
          <w:sz w:val="24"/>
          <w:szCs w:val="24"/>
        </w:rPr>
        <w:t>, in that He has the power to levitate above the Earth.</w:t>
      </w:r>
      <w:r w:rsidR="00DD317C">
        <w:rPr>
          <w:rStyle w:val="FootnoteReference"/>
          <w:noProof/>
          <w:sz w:val="24"/>
          <w:szCs w:val="24"/>
        </w:rPr>
        <w:footnoteReference w:id="14"/>
      </w:r>
      <w:r w:rsidR="00DD317C">
        <w:rPr>
          <w:noProof/>
          <w:sz w:val="24"/>
          <w:szCs w:val="24"/>
        </w:rPr>
        <w:t xml:space="preserve"> </w:t>
      </w:r>
    </w:p>
    <w:p w14:paraId="045D569F" w14:textId="79BEEA81" w:rsidR="00E81218" w:rsidRDefault="00E81218">
      <w:pPr>
        <w:spacing w:line="360" w:lineRule="auto"/>
        <w:rPr>
          <w:noProof/>
          <w:sz w:val="24"/>
          <w:szCs w:val="24"/>
        </w:rPr>
      </w:pPr>
    </w:p>
    <w:p w14:paraId="2C375D36" w14:textId="2928FD6D" w:rsidR="00E81218" w:rsidRDefault="007F11AB">
      <w:pPr>
        <w:spacing w:line="360" w:lineRule="auto"/>
        <w:rPr>
          <w:noProof/>
          <w:sz w:val="24"/>
          <w:szCs w:val="24"/>
        </w:rPr>
      </w:pPr>
      <w:r>
        <w:rPr>
          <w:noProof/>
          <w:sz w:val="24"/>
          <w:szCs w:val="24"/>
        </w:rPr>
        <w:t>It is</w:t>
      </w:r>
      <w:r w:rsidR="00722017">
        <w:rPr>
          <w:noProof/>
          <w:sz w:val="24"/>
          <w:szCs w:val="24"/>
        </w:rPr>
        <w:t xml:space="preserve"> important to</w:t>
      </w:r>
      <w:r>
        <w:rPr>
          <w:noProof/>
          <w:sz w:val="24"/>
          <w:szCs w:val="24"/>
        </w:rPr>
        <w:t xml:space="preserve"> also</w:t>
      </w:r>
      <w:r w:rsidR="00722017">
        <w:rPr>
          <w:noProof/>
          <w:sz w:val="24"/>
          <w:szCs w:val="24"/>
        </w:rPr>
        <w:t xml:space="preserve"> mention the </w:t>
      </w:r>
      <w:r>
        <w:rPr>
          <w:noProof/>
          <w:sz w:val="24"/>
          <w:szCs w:val="24"/>
        </w:rPr>
        <w:t>letters</w:t>
      </w:r>
      <w:r w:rsidR="00722017">
        <w:rPr>
          <w:noProof/>
          <w:sz w:val="24"/>
          <w:szCs w:val="24"/>
        </w:rPr>
        <w:t>, ‘</w:t>
      </w:r>
      <w:r w:rsidR="00722017" w:rsidRPr="00722017">
        <w:rPr>
          <w:i/>
          <w:noProof/>
          <w:sz w:val="24"/>
          <w:szCs w:val="24"/>
        </w:rPr>
        <w:t>PO</w:t>
      </w:r>
      <w:r w:rsidR="00722017" w:rsidRPr="00722017">
        <w:rPr>
          <w:rFonts w:cstheme="minorHAnsi"/>
          <w:i/>
          <w:noProof/>
          <w:sz w:val="24"/>
          <w:szCs w:val="24"/>
        </w:rPr>
        <w:t>Γ</w:t>
      </w:r>
      <w:r w:rsidR="00722017" w:rsidRPr="00722017">
        <w:rPr>
          <w:i/>
          <w:noProof/>
          <w:sz w:val="24"/>
          <w:szCs w:val="24"/>
        </w:rPr>
        <w:t>EPIOC PH</w:t>
      </w:r>
      <w:r w:rsidR="00722017" w:rsidRPr="00722017">
        <w:rPr>
          <w:rFonts w:cstheme="minorHAnsi"/>
          <w:i/>
          <w:noProof/>
          <w:sz w:val="24"/>
          <w:szCs w:val="24"/>
        </w:rPr>
        <w:t>Ξ</w:t>
      </w:r>
      <w:r w:rsidR="00722017">
        <w:rPr>
          <w:rFonts w:cstheme="minorHAnsi"/>
          <w:noProof/>
          <w:sz w:val="24"/>
          <w:szCs w:val="24"/>
        </w:rPr>
        <w:t>’,</w:t>
      </w:r>
      <w:r w:rsidR="00722017">
        <w:rPr>
          <w:noProof/>
          <w:sz w:val="24"/>
          <w:szCs w:val="24"/>
        </w:rPr>
        <w:t xml:space="preserve"> that line the top of the mosaic. This translates to ‘</w:t>
      </w:r>
      <w:r w:rsidR="00722017" w:rsidRPr="00722017">
        <w:rPr>
          <w:i/>
          <w:noProof/>
          <w:sz w:val="24"/>
          <w:szCs w:val="24"/>
        </w:rPr>
        <w:t>Rogerios Rex</w:t>
      </w:r>
      <w:r w:rsidR="00722017">
        <w:rPr>
          <w:noProof/>
          <w:sz w:val="24"/>
          <w:szCs w:val="24"/>
        </w:rPr>
        <w:t>’, meaning ‘King Roger’</w:t>
      </w:r>
      <w:r w:rsidR="00475BC8">
        <w:rPr>
          <w:noProof/>
          <w:sz w:val="24"/>
          <w:szCs w:val="24"/>
        </w:rPr>
        <w:t>, and</w:t>
      </w:r>
      <w:r w:rsidR="00722017">
        <w:rPr>
          <w:noProof/>
          <w:sz w:val="24"/>
          <w:szCs w:val="24"/>
        </w:rPr>
        <w:t xml:space="preserve"> is a combination of Greek and Latin</w:t>
      </w:r>
      <w:r w:rsidR="00E9092B">
        <w:rPr>
          <w:noProof/>
          <w:sz w:val="24"/>
          <w:szCs w:val="24"/>
        </w:rPr>
        <w:t>, as the letters used are of Greek origin while the actual meaning behind them is Roger’s name in Latin.</w:t>
      </w:r>
      <w:r w:rsidR="007E3EF8">
        <w:rPr>
          <w:noProof/>
          <w:sz w:val="24"/>
          <w:szCs w:val="24"/>
        </w:rPr>
        <w:t xml:space="preserve"> The reasoning behind this is not completely clear, but John Julius Norwich suggests that by Roger’s time, the Greek word for king, ‘</w:t>
      </w:r>
      <w:r w:rsidR="007E3EF8" w:rsidRPr="007E3EF8">
        <w:rPr>
          <w:i/>
          <w:noProof/>
          <w:sz w:val="24"/>
          <w:szCs w:val="24"/>
        </w:rPr>
        <w:t>basileus</w:t>
      </w:r>
      <w:r w:rsidR="007E3EF8">
        <w:rPr>
          <w:noProof/>
          <w:sz w:val="24"/>
          <w:szCs w:val="24"/>
        </w:rPr>
        <w:t xml:space="preserve">’, was </w:t>
      </w:r>
      <w:r w:rsidR="00235699">
        <w:rPr>
          <w:noProof/>
          <w:sz w:val="24"/>
          <w:szCs w:val="24"/>
        </w:rPr>
        <w:t xml:space="preserve">undisputedly </w:t>
      </w:r>
      <w:r w:rsidR="00235699">
        <w:rPr>
          <w:noProof/>
          <w:sz w:val="24"/>
          <w:szCs w:val="24"/>
        </w:rPr>
        <w:lastRenderedPageBreak/>
        <w:t>linked with the Emperor of the Greeks, so it would not have been right for Roger to take this title.</w:t>
      </w:r>
      <w:r w:rsidR="00235699" w:rsidRPr="00235699">
        <w:rPr>
          <w:rStyle w:val="FootnoteReference"/>
          <w:noProof/>
          <w:sz w:val="24"/>
          <w:szCs w:val="24"/>
        </w:rPr>
        <w:t xml:space="preserve"> </w:t>
      </w:r>
      <w:r w:rsidR="00235699">
        <w:rPr>
          <w:rStyle w:val="FootnoteReference"/>
          <w:noProof/>
          <w:sz w:val="24"/>
          <w:szCs w:val="24"/>
        </w:rPr>
        <w:footnoteReference w:id="15"/>
      </w:r>
      <w:r w:rsidR="00235699">
        <w:rPr>
          <w:noProof/>
          <w:sz w:val="24"/>
          <w:szCs w:val="24"/>
        </w:rPr>
        <w:t xml:space="preserve"> However, I personally wonder whether this is actually the case as, based on Roger’s robes and depiction in this mosaic, he is attempting to mimic the Byzantine leaders in every way, so why not take their title as well. As such, I would claim that the range of languages used in the mosaic are to reflect </w:t>
      </w:r>
      <w:r w:rsidR="00EF1D66">
        <w:rPr>
          <w:noProof/>
          <w:sz w:val="24"/>
          <w:szCs w:val="24"/>
        </w:rPr>
        <w:t>t</w:t>
      </w:r>
      <w:r w:rsidR="00235699">
        <w:rPr>
          <w:noProof/>
          <w:sz w:val="24"/>
          <w:szCs w:val="24"/>
        </w:rPr>
        <w:t>he different cultures that Sicily had</w:t>
      </w:r>
      <w:r w:rsidR="00EF1D66">
        <w:rPr>
          <w:noProof/>
          <w:sz w:val="24"/>
          <w:szCs w:val="24"/>
        </w:rPr>
        <w:t xml:space="preserve">, whether they be </w:t>
      </w:r>
      <w:r w:rsidR="009F332F">
        <w:rPr>
          <w:noProof/>
          <w:sz w:val="24"/>
          <w:szCs w:val="24"/>
        </w:rPr>
        <w:t>Latin</w:t>
      </w:r>
      <w:r w:rsidR="00EF1D66">
        <w:rPr>
          <w:noProof/>
          <w:sz w:val="24"/>
          <w:szCs w:val="24"/>
        </w:rPr>
        <w:t>, Arab, or Greek.</w:t>
      </w:r>
      <w:r w:rsidR="00EF1D66">
        <w:rPr>
          <w:rStyle w:val="FootnoteReference"/>
          <w:noProof/>
          <w:sz w:val="24"/>
          <w:szCs w:val="24"/>
        </w:rPr>
        <w:footnoteReference w:id="16"/>
      </w:r>
    </w:p>
    <w:p w14:paraId="7287C0BF" w14:textId="5CFA4177" w:rsidR="00AF2138" w:rsidRDefault="00AF2138">
      <w:pPr>
        <w:spacing w:line="360" w:lineRule="auto"/>
        <w:rPr>
          <w:noProof/>
          <w:sz w:val="24"/>
          <w:szCs w:val="24"/>
        </w:rPr>
      </w:pPr>
    </w:p>
    <w:p w14:paraId="3EA56406" w14:textId="6292F36E" w:rsidR="00A12C68" w:rsidRDefault="007F11AB">
      <w:pPr>
        <w:spacing w:line="360" w:lineRule="auto"/>
        <w:rPr>
          <w:noProof/>
          <w:sz w:val="24"/>
          <w:szCs w:val="24"/>
        </w:rPr>
      </w:pPr>
      <w:r>
        <w:rPr>
          <w:noProof/>
          <w:sz w:val="24"/>
          <w:szCs w:val="24"/>
        </w:rPr>
        <w:t>Finally, a</w:t>
      </w:r>
      <w:r w:rsidR="006B20C1">
        <w:rPr>
          <w:noProof/>
          <w:sz w:val="24"/>
          <w:szCs w:val="24"/>
        </w:rPr>
        <w:t xml:space="preserve"> similar</w:t>
      </w:r>
      <w:r w:rsidR="00AF2138">
        <w:rPr>
          <w:noProof/>
          <w:sz w:val="24"/>
          <w:szCs w:val="24"/>
        </w:rPr>
        <w:t xml:space="preserve"> </w:t>
      </w:r>
      <w:r w:rsidR="006B20C1">
        <w:rPr>
          <w:noProof/>
          <w:sz w:val="24"/>
          <w:szCs w:val="24"/>
        </w:rPr>
        <w:t>image that is a good comparison to this mosaic is that</w:t>
      </w:r>
      <w:r w:rsidR="00DC37CF">
        <w:rPr>
          <w:noProof/>
          <w:sz w:val="24"/>
          <w:szCs w:val="24"/>
        </w:rPr>
        <w:t xml:space="preserve"> of Roger II</w:t>
      </w:r>
      <w:r w:rsidR="006B20C1">
        <w:rPr>
          <w:noProof/>
          <w:sz w:val="24"/>
          <w:szCs w:val="24"/>
        </w:rPr>
        <w:t xml:space="preserve"> </w:t>
      </w:r>
      <w:r w:rsidR="00DC37CF">
        <w:rPr>
          <w:noProof/>
          <w:sz w:val="24"/>
          <w:szCs w:val="24"/>
        </w:rPr>
        <w:t>being crowned by St Nicholas, and is located in</w:t>
      </w:r>
      <w:r w:rsidR="006B20C1">
        <w:rPr>
          <w:noProof/>
          <w:sz w:val="24"/>
          <w:szCs w:val="24"/>
        </w:rPr>
        <w:t xml:space="preserve"> </w:t>
      </w:r>
      <w:r w:rsidR="00DC37CF">
        <w:rPr>
          <w:noProof/>
          <w:sz w:val="24"/>
          <w:szCs w:val="24"/>
        </w:rPr>
        <w:t xml:space="preserve">the Church of </w:t>
      </w:r>
      <w:r w:rsidR="006B20C1">
        <w:rPr>
          <w:noProof/>
          <w:sz w:val="24"/>
          <w:szCs w:val="24"/>
        </w:rPr>
        <w:t>San Nicola</w:t>
      </w:r>
      <w:r w:rsidR="00DC37CF">
        <w:rPr>
          <w:noProof/>
          <w:sz w:val="24"/>
          <w:szCs w:val="24"/>
        </w:rPr>
        <w:t>, at Bari.</w:t>
      </w:r>
      <w:r w:rsidR="00446B36">
        <w:rPr>
          <w:noProof/>
          <w:sz w:val="24"/>
          <w:szCs w:val="24"/>
        </w:rPr>
        <w:t xml:space="preserve"> This image is almost an exact </w:t>
      </w:r>
      <w:r w:rsidR="00475BC8">
        <w:rPr>
          <w:noProof/>
          <w:sz w:val="24"/>
          <w:szCs w:val="24"/>
        </w:rPr>
        <w:t>replica</w:t>
      </w:r>
      <w:r w:rsidR="00446B36">
        <w:rPr>
          <w:noProof/>
          <w:sz w:val="24"/>
          <w:szCs w:val="24"/>
        </w:rPr>
        <w:t xml:space="preserve"> of the mosaic from Martorana, at least in terms of the actions and positioning of the characters it features, but as mentioned, Jesus is replaced by the patron saint of the area, St Nicholas. However, Hubert Houben claims that this image from Bari is not that of a coronation scene, but is simply St Nicholas holding the crown above Roger to demonstrate </w:t>
      </w:r>
      <w:r w:rsidR="00185FA7">
        <w:rPr>
          <w:noProof/>
          <w:sz w:val="24"/>
          <w:szCs w:val="24"/>
        </w:rPr>
        <w:t>that the King is under the protection of Heaven.</w:t>
      </w:r>
      <w:r w:rsidR="00185FA7">
        <w:rPr>
          <w:rStyle w:val="FootnoteReference"/>
          <w:noProof/>
          <w:sz w:val="24"/>
          <w:szCs w:val="24"/>
        </w:rPr>
        <w:footnoteReference w:id="17"/>
      </w:r>
      <w:r w:rsidR="00D965CF">
        <w:rPr>
          <w:noProof/>
          <w:sz w:val="24"/>
          <w:szCs w:val="24"/>
        </w:rPr>
        <w:t xml:space="preserve"> </w:t>
      </w:r>
      <w:r>
        <w:rPr>
          <w:noProof/>
          <w:sz w:val="24"/>
          <w:szCs w:val="24"/>
        </w:rPr>
        <w:t>Despite this</w:t>
      </w:r>
      <w:r w:rsidR="00540ADA" w:rsidRPr="00540ADA">
        <w:rPr>
          <w:noProof/>
          <w:sz w:val="24"/>
          <w:szCs w:val="24"/>
        </w:rPr>
        <w:t>, it is too similar to the mosaic, which clearly demonstrates Jesus placing the crown on Roger’s head, to claim that it does not depict the cor</w:t>
      </w:r>
      <w:r w:rsidR="00540ADA">
        <w:rPr>
          <w:noProof/>
          <w:sz w:val="24"/>
          <w:szCs w:val="24"/>
        </w:rPr>
        <w:t>o</w:t>
      </w:r>
      <w:r w:rsidR="00540ADA" w:rsidRPr="00540ADA">
        <w:rPr>
          <w:noProof/>
          <w:sz w:val="24"/>
          <w:szCs w:val="24"/>
        </w:rPr>
        <w:t>nation of Roger II by God.</w:t>
      </w:r>
      <w:r w:rsidR="00540ADA" w:rsidRPr="00540ADA">
        <w:rPr>
          <w:rStyle w:val="FootnoteReference"/>
          <w:noProof/>
          <w:sz w:val="24"/>
          <w:szCs w:val="24"/>
        </w:rPr>
        <w:footnoteReference w:id="18"/>
      </w:r>
    </w:p>
    <w:p w14:paraId="1E83A20F" w14:textId="77777777" w:rsidR="00540ADA" w:rsidRDefault="00540ADA">
      <w:pPr>
        <w:spacing w:line="360" w:lineRule="auto"/>
        <w:rPr>
          <w:noProof/>
          <w:sz w:val="24"/>
          <w:szCs w:val="24"/>
        </w:rPr>
      </w:pPr>
    </w:p>
    <w:p w14:paraId="31FBD99F" w14:textId="1C4797F0" w:rsidR="00613704" w:rsidRDefault="00A12C68">
      <w:pPr>
        <w:spacing w:line="360" w:lineRule="auto"/>
        <w:rPr>
          <w:noProof/>
          <w:sz w:val="24"/>
          <w:szCs w:val="24"/>
        </w:rPr>
      </w:pPr>
      <w:bookmarkStart w:id="0" w:name="_Hlk529462150"/>
      <w:r>
        <w:rPr>
          <w:noProof/>
          <w:sz w:val="24"/>
          <w:szCs w:val="24"/>
        </w:rPr>
        <w:t>In conclusion,</w:t>
      </w:r>
      <w:r w:rsidR="005159D1">
        <w:rPr>
          <w:noProof/>
          <w:sz w:val="24"/>
          <w:szCs w:val="24"/>
        </w:rPr>
        <w:t xml:space="preserve"> </w:t>
      </w:r>
      <w:r w:rsidR="00613704">
        <w:rPr>
          <w:noProof/>
          <w:sz w:val="24"/>
          <w:szCs w:val="24"/>
        </w:rPr>
        <w:t xml:space="preserve">this mosaic of Roger II’s crowning by Jesus grants a precious look into Norman-Sicily. Whether it be the range of cultures that inhabited the </w:t>
      </w:r>
      <w:r w:rsidR="000979E4">
        <w:rPr>
          <w:noProof/>
          <w:sz w:val="24"/>
          <w:szCs w:val="24"/>
        </w:rPr>
        <w:t>island</w:t>
      </w:r>
      <w:r w:rsidR="00613704">
        <w:rPr>
          <w:noProof/>
          <w:sz w:val="24"/>
          <w:szCs w:val="24"/>
        </w:rPr>
        <w:t>, or the way it which the Norman leaders wanted to be perceived, mosaics such as this are paramount in the understanding of Norman-Sicily.</w:t>
      </w:r>
      <w:bookmarkEnd w:id="0"/>
    </w:p>
    <w:p w14:paraId="1A2E9683" w14:textId="62D5DD33" w:rsidR="002A384F" w:rsidRPr="002A384F" w:rsidRDefault="002A384F">
      <w:pPr>
        <w:spacing w:line="360" w:lineRule="auto"/>
        <w:rPr>
          <w:b/>
          <w:noProof/>
          <w:sz w:val="24"/>
          <w:szCs w:val="24"/>
        </w:rPr>
      </w:pPr>
      <w:r w:rsidRPr="002A384F">
        <w:rPr>
          <w:b/>
          <w:noProof/>
          <w:sz w:val="24"/>
          <w:szCs w:val="24"/>
        </w:rPr>
        <w:t xml:space="preserve">Words: </w:t>
      </w:r>
      <w:r w:rsidR="007C7203">
        <w:rPr>
          <w:b/>
          <w:noProof/>
          <w:sz w:val="24"/>
          <w:szCs w:val="24"/>
        </w:rPr>
        <w:t>13</w:t>
      </w:r>
      <w:r w:rsidR="00203AF7">
        <w:rPr>
          <w:b/>
          <w:noProof/>
          <w:sz w:val="24"/>
          <w:szCs w:val="24"/>
        </w:rPr>
        <w:t>63</w:t>
      </w:r>
    </w:p>
    <w:p w14:paraId="2D90B5E2" w14:textId="239E6C34" w:rsidR="004D381B" w:rsidRDefault="004D381B">
      <w:pPr>
        <w:spacing w:line="360" w:lineRule="auto"/>
        <w:rPr>
          <w:noProof/>
          <w:sz w:val="24"/>
          <w:szCs w:val="24"/>
        </w:rPr>
      </w:pPr>
    </w:p>
    <w:p w14:paraId="2597E802" w14:textId="77777777" w:rsidR="004D381B" w:rsidRDefault="004D381B">
      <w:pPr>
        <w:spacing w:line="360" w:lineRule="auto"/>
        <w:rPr>
          <w:b/>
          <w:noProof/>
          <w:sz w:val="32"/>
          <w:szCs w:val="24"/>
          <w:u w:val="single"/>
        </w:rPr>
      </w:pPr>
      <w:bookmarkStart w:id="1" w:name="_GoBack"/>
      <w:bookmarkEnd w:id="1"/>
    </w:p>
    <w:p w14:paraId="08C89108" w14:textId="4ACFEBDA" w:rsidR="004D381B" w:rsidRDefault="004D381B">
      <w:pPr>
        <w:spacing w:line="360" w:lineRule="auto"/>
        <w:rPr>
          <w:b/>
          <w:noProof/>
          <w:sz w:val="32"/>
          <w:szCs w:val="24"/>
          <w:u w:val="single"/>
        </w:rPr>
      </w:pPr>
      <w:r w:rsidRPr="004D381B">
        <w:rPr>
          <w:b/>
          <w:noProof/>
          <w:sz w:val="32"/>
          <w:szCs w:val="24"/>
          <w:u w:val="single"/>
        </w:rPr>
        <w:lastRenderedPageBreak/>
        <w:t>Bibliography</w:t>
      </w:r>
    </w:p>
    <w:p w14:paraId="3DC179C3" w14:textId="77777777" w:rsidR="002A384F" w:rsidRPr="00185FA7" w:rsidRDefault="002A384F" w:rsidP="00185FA7">
      <w:pPr>
        <w:pStyle w:val="ListParagraph"/>
        <w:numPr>
          <w:ilvl w:val="0"/>
          <w:numId w:val="2"/>
        </w:numPr>
        <w:spacing w:line="360" w:lineRule="auto"/>
        <w:rPr>
          <w:noProof/>
          <w:sz w:val="24"/>
          <w:szCs w:val="24"/>
        </w:rPr>
      </w:pPr>
      <w:r w:rsidRPr="00185FA7">
        <w:rPr>
          <w:sz w:val="24"/>
          <w:szCs w:val="24"/>
        </w:rPr>
        <w:t xml:space="preserve">Ed. by. </w:t>
      </w:r>
      <w:r w:rsidRPr="00185FA7">
        <w:rPr>
          <w:b/>
          <w:sz w:val="24"/>
          <w:szCs w:val="24"/>
        </w:rPr>
        <w:t>Barnes</w:t>
      </w:r>
      <w:r w:rsidRPr="00185FA7">
        <w:rPr>
          <w:sz w:val="24"/>
          <w:szCs w:val="24"/>
        </w:rPr>
        <w:t xml:space="preserve">, A. &amp; </w:t>
      </w:r>
      <w:r w:rsidRPr="00185FA7">
        <w:rPr>
          <w:b/>
          <w:sz w:val="24"/>
          <w:szCs w:val="24"/>
        </w:rPr>
        <w:t>Salerno</w:t>
      </w:r>
      <w:r w:rsidRPr="00185FA7">
        <w:rPr>
          <w:sz w:val="24"/>
          <w:szCs w:val="24"/>
        </w:rPr>
        <w:t xml:space="preserve">, M., </w:t>
      </w:r>
      <w:r w:rsidRPr="00185FA7">
        <w:rPr>
          <w:i/>
          <w:sz w:val="24"/>
          <w:szCs w:val="24"/>
        </w:rPr>
        <w:t>Symbols and Models in the Mediterranean: Perceiving through Cultures</w:t>
      </w:r>
      <w:r w:rsidRPr="00185FA7">
        <w:rPr>
          <w:sz w:val="24"/>
          <w:szCs w:val="24"/>
        </w:rPr>
        <w:t xml:space="preserve"> (Cambridge, Cambridge Scholarly Publishing, 2017), pp. 46 – 47.  </w:t>
      </w:r>
    </w:p>
    <w:p w14:paraId="3480CB37" w14:textId="0D0D0324" w:rsidR="002A384F" w:rsidRPr="00185FA7" w:rsidRDefault="002A384F" w:rsidP="00185FA7">
      <w:pPr>
        <w:pStyle w:val="ListParagraph"/>
        <w:numPr>
          <w:ilvl w:val="0"/>
          <w:numId w:val="2"/>
        </w:numPr>
        <w:spacing w:line="360" w:lineRule="auto"/>
        <w:rPr>
          <w:noProof/>
          <w:sz w:val="24"/>
          <w:szCs w:val="24"/>
        </w:rPr>
      </w:pPr>
      <w:r w:rsidRPr="00185FA7">
        <w:rPr>
          <w:sz w:val="24"/>
          <w:szCs w:val="24"/>
        </w:rPr>
        <w:t xml:space="preserve">Ed. by. </w:t>
      </w:r>
      <w:r w:rsidRPr="00185FA7">
        <w:rPr>
          <w:b/>
          <w:sz w:val="24"/>
          <w:szCs w:val="24"/>
        </w:rPr>
        <w:t>Condra</w:t>
      </w:r>
      <w:r w:rsidRPr="00185FA7">
        <w:rPr>
          <w:sz w:val="24"/>
          <w:szCs w:val="24"/>
        </w:rPr>
        <w:t xml:space="preserve">, J., </w:t>
      </w:r>
      <w:r w:rsidRPr="00185FA7">
        <w:rPr>
          <w:i/>
          <w:sz w:val="24"/>
          <w:szCs w:val="24"/>
        </w:rPr>
        <w:t>The Greenwood Encyclopaedia of Clothing Through World History: Prehistory to 1500 CE</w:t>
      </w:r>
      <w:r w:rsidRPr="00185FA7">
        <w:rPr>
          <w:sz w:val="24"/>
          <w:szCs w:val="24"/>
        </w:rPr>
        <w:t>, Vol. 1 (London, Greenwood Press, 2008), pp. 130 – 140.</w:t>
      </w:r>
    </w:p>
    <w:p w14:paraId="40900231" w14:textId="589C6958" w:rsidR="002A384F" w:rsidRPr="00185FA7" w:rsidRDefault="004D381B" w:rsidP="00185FA7">
      <w:pPr>
        <w:pStyle w:val="FootnoteText"/>
        <w:numPr>
          <w:ilvl w:val="0"/>
          <w:numId w:val="2"/>
        </w:numPr>
        <w:spacing w:line="360" w:lineRule="auto"/>
        <w:rPr>
          <w:sz w:val="24"/>
          <w:szCs w:val="24"/>
        </w:rPr>
      </w:pPr>
      <w:r w:rsidRPr="00185FA7">
        <w:rPr>
          <w:b/>
          <w:sz w:val="24"/>
          <w:szCs w:val="24"/>
        </w:rPr>
        <w:t>Davis</w:t>
      </w:r>
      <w:r w:rsidRPr="00185FA7">
        <w:rPr>
          <w:sz w:val="24"/>
          <w:szCs w:val="24"/>
        </w:rPr>
        <w:t xml:space="preserve">, </w:t>
      </w:r>
      <w:r w:rsidR="00E65D50" w:rsidRPr="00185FA7">
        <w:rPr>
          <w:sz w:val="24"/>
          <w:szCs w:val="24"/>
        </w:rPr>
        <w:t xml:space="preserve">R.H.C., </w:t>
      </w:r>
      <w:r w:rsidRPr="00185FA7">
        <w:rPr>
          <w:i/>
          <w:sz w:val="24"/>
          <w:szCs w:val="24"/>
        </w:rPr>
        <w:t>The Normans and their Myth</w:t>
      </w:r>
      <w:r w:rsidRPr="00185FA7">
        <w:rPr>
          <w:sz w:val="24"/>
          <w:szCs w:val="24"/>
        </w:rPr>
        <w:t xml:space="preserve"> (London, Thames and Hudson Ltd,1980), pp. 7</w:t>
      </w:r>
      <w:r w:rsidR="00E65D50" w:rsidRPr="00185FA7">
        <w:rPr>
          <w:sz w:val="24"/>
          <w:szCs w:val="24"/>
        </w:rPr>
        <w:t>1</w:t>
      </w:r>
      <w:r w:rsidRPr="00185FA7">
        <w:rPr>
          <w:sz w:val="24"/>
          <w:szCs w:val="24"/>
        </w:rPr>
        <w:t xml:space="preserve"> – </w:t>
      </w:r>
      <w:r w:rsidR="00E65D50" w:rsidRPr="00185FA7">
        <w:rPr>
          <w:sz w:val="24"/>
          <w:szCs w:val="24"/>
        </w:rPr>
        <w:t>86</w:t>
      </w:r>
      <w:r w:rsidRPr="00185FA7">
        <w:rPr>
          <w:sz w:val="24"/>
          <w:szCs w:val="24"/>
        </w:rPr>
        <w:t xml:space="preserve"> &amp; 140.</w:t>
      </w:r>
    </w:p>
    <w:p w14:paraId="5F41F259" w14:textId="3E4FFC3E" w:rsidR="002A384F" w:rsidRPr="00185FA7" w:rsidRDefault="004D381B" w:rsidP="00185FA7">
      <w:pPr>
        <w:pStyle w:val="ListParagraph"/>
        <w:numPr>
          <w:ilvl w:val="0"/>
          <w:numId w:val="2"/>
        </w:numPr>
        <w:spacing w:line="360" w:lineRule="auto"/>
        <w:rPr>
          <w:noProof/>
          <w:sz w:val="24"/>
          <w:szCs w:val="24"/>
        </w:rPr>
      </w:pPr>
      <w:r w:rsidRPr="00185FA7">
        <w:rPr>
          <w:b/>
          <w:sz w:val="24"/>
          <w:szCs w:val="24"/>
        </w:rPr>
        <w:t>Giuliano Leone</w:t>
      </w:r>
      <w:r w:rsidR="00E65D50" w:rsidRPr="00185FA7">
        <w:rPr>
          <w:sz w:val="24"/>
          <w:szCs w:val="24"/>
        </w:rPr>
        <w:t>,</w:t>
      </w:r>
      <w:r w:rsidRPr="00185FA7">
        <w:rPr>
          <w:sz w:val="24"/>
          <w:szCs w:val="24"/>
        </w:rPr>
        <w:t xml:space="preserve"> </w:t>
      </w:r>
      <w:r w:rsidR="00E65D50" w:rsidRPr="00185FA7">
        <w:rPr>
          <w:sz w:val="24"/>
          <w:szCs w:val="24"/>
        </w:rPr>
        <w:t xml:space="preserve">N. </w:t>
      </w:r>
      <w:r w:rsidRPr="00185FA7">
        <w:rPr>
          <w:sz w:val="24"/>
          <w:szCs w:val="24"/>
        </w:rPr>
        <w:t xml:space="preserve">/ </w:t>
      </w:r>
      <w:r w:rsidRPr="00185FA7">
        <w:rPr>
          <w:b/>
          <w:sz w:val="24"/>
          <w:szCs w:val="24"/>
        </w:rPr>
        <w:t>Mauro</w:t>
      </w:r>
      <w:r w:rsidR="00E65D50" w:rsidRPr="00185FA7">
        <w:rPr>
          <w:sz w:val="24"/>
          <w:szCs w:val="24"/>
        </w:rPr>
        <w:t>, E.</w:t>
      </w:r>
      <w:r w:rsidRPr="00185FA7">
        <w:rPr>
          <w:sz w:val="24"/>
          <w:szCs w:val="24"/>
        </w:rPr>
        <w:t xml:space="preserve"> / </w:t>
      </w:r>
      <w:r w:rsidRPr="00185FA7">
        <w:rPr>
          <w:b/>
          <w:sz w:val="24"/>
          <w:szCs w:val="24"/>
        </w:rPr>
        <w:t>Quartarone</w:t>
      </w:r>
      <w:r w:rsidR="00E65D50" w:rsidRPr="00185FA7">
        <w:rPr>
          <w:sz w:val="24"/>
          <w:szCs w:val="24"/>
        </w:rPr>
        <w:t>, C.</w:t>
      </w:r>
      <w:r w:rsidRPr="00185FA7">
        <w:rPr>
          <w:sz w:val="24"/>
          <w:szCs w:val="24"/>
        </w:rPr>
        <w:t xml:space="preserve"> / </w:t>
      </w:r>
      <w:r w:rsidRPr="00185FA7">
        <w:rPr>
          <w:b/>
          <w:sz w:val="24"/>
          <w:szCs w:val="24"/>
        </w:rPr>
        <w:t>Sessa</w:t>
      </w:r>
      <w:r w:rsidRPr="00185FA7">
        <w:rPr>
          <w:sz w:val="24"/>
          <w:szCs w:val="24"/>
        </w:rPr>
        <w:t xml:space="preserve">, </w:t>
      </w:r>
      <w:r w:rsidR="00E65D50" w:rsidRPr="00185FA7">
        <w:rPr>
          <w:sz w:val="24"/>
          <w:szCs w:val="24"/>
        </w:rPr>
        <w:t xml:space="preserve">E., </w:t>
      </w:r>
      <w:r w:rsidRPr="00185FA7">
        <w:rPr>
          <w:i/>
          <w:sz w:val="24"/>
          <w:szCs w:val="24"/>
        </w:rPr>
        <w:t xml:space="preserve">Siculo-Norman Art: Islamic Culture in Medieval Sicily </w:t>
      </w:r>
      <w:r w:rsidRPr="00185FA7">
        <w:rPr>
          <w:sz w:val="24"/>
          <w:szCs w:val="24"/>
        </w:rPr>
        <w:t xml:space="preserve">(Palermo, Museum </w:t>
      </w:r>
      <w:proofErr w:type="gramStart"/>
      <w:r w:rsidRPr="00185FA7">
        <w:rPr>
          <w:sz w:val="24"/>
          <w:szCs w:val="24"/>
        </w:rPr>
        <w:t>With</w:t>
      </w:r>
      <w:proofErr w:type="gramEnd"/>
      <w:r w:rsidRPr="00185FA7">
        <w:rPr>
          <w:sz w:val="24"/>
          <w:szCs w:val="24"/>
        </w:rPr>
        <w:t xml:space="preserve"> No Frontiers, 2010 [2003]), pp. 1 – 10.</w:t>
      </w:r>
      <w:r w:rsidR="002A384F" w:rsidRPr="00185FA7">
        <w:rPr>
          <w:sz w:val="24"/>
          <w:szCs w:val="24"/>
        </w:rPr>
        <w:t xml:space="preserve"> </w:t>
      </w:r>
    </w:p>
    <w:p w14:paraId="1D8CB4DC" w14:textId="55AC787D" w:rsidR="00185FA7" w:rsidRPr="00185FA7" w:rsidRDefault="00185FA7" w:rsidP="00185FA7">
      <w:pPr>
        <w:pStyle w:val="ListParagraph"/>
        <w:numPr>
          <w:ilvl w:val="0"/>
          <w:numId w:val="2"/>
        </w:numPr>
        <w:spacing w:line="360" w:lineRule="auto"/>
        <w:rPr>
          <w:noProof/>
          <w:sz w:val="24"/>
          <w:szCs w:val="24"/>
        </w:rPr>
      </w:pPr>
      <w:proofErr w:type="spellStart"/>
      <w:r w:rsidRPr="00185FA7">
        <w:rPr>
          <w:b/>
          <w:sz w:val="24"/>
          <w:szCs w:val="24"/>
        </w:rPr>
        <w:t>Houben</w:t>
      </w:r>
      <w:proofErr w:type="spellEnd"/>
      <w:r w:rsidRPr="00185FA7">
        <w:rPr>
          <w:sz w:val="24"/>
          <w:szCs w:val="24"/>
        </w:rPr>
        <w:t>,</w:t>
      </w:r>
      <w:r>
        <w:rPr>
          <w:sz w:val="24"/>
          <w:szCs w:val="24"/>
        </w:rPr>
        <w:t xml:space="preserve"> H.,</w:t>
      </w:r>
      <w:r w:rsidRPr="00185FA7">
        <w:rPr>
          <w:sz w:val="24"/>
          <w:szCs w:val="24"/>
        </w:rPr>
        <w:t xml:space="preserve"> </w:t>
      </w:r>
      <w:r w:rsidRPr="00185FA7">
        <w:rPr>
          <w:i/>
          <w:sz w:val="24"/>
          <w:szCs w:val="24"/>
        </w:rPr>
        <w:t>Roger II of Sicily: A Ruler Between East and West</w:t>
      </w:r>
      <w:r w:rsidRPr="00185FA7">
        <w:rPr>
          <w:sz w:val="24"/>
          <w:szCs w:val="24"/>
        </w:rPr>
        <w:t xml:space="preserve"> (Cambridge, Cambridge University Press, 2002), pp. 114 – 118.</w:t>
      </w:r>
    </w:p>
    <w:p w14:paraId="6FE2B543" w14:textId="1427AE94" w:rsidR="00E65D50" w:rsidRPr="00185FA7" w:rsidRDefault="004D381B" w:rsidP="00185FA7">
      <w:pPr>
        <w:pStyle w:val="ListParagraph"/>
        <w:numPr>
          <w:ilvl w:val="0"/>
          <w:numId w:val="2"/>
        </w:numPr>
        <w:spacing w:line="360" w:lineRule="auto"/>
        <w:rPr>
          <w:sz w:val="24"/>
          <w:szCs w:val="24"/>
        </w:rPr>
      </w:pPr>
      <w:r w:rsidRPr="00185FA7">
        <w:rPr>
          <w:b/>
          <w:sz w:val="24"/>
          <w:szCs w:val="24"/>
        </w:rPr>
        <w:t>James</w:t>
      </w:r>
      <w:r w:rsidRPr="00185FA7">
        <w:rPr>
          <w:sz w:val="24"/>
          <w:szCs w:val="24"/>
        </w:rPr>
        <w:t>,</w:t>
      </w:r>
      <w:r w:rsidR="00E65D50" w:rsidRPr="00185FA7">
        <w:rPr>
          <w:sz w:val="24"/>
          <w:szCs w:val="24"/>
        </w:rPr>
        <w:t xml:space="preserve"> L., </w:t>
      </w:r>
      <w:r w:rsidRPr="00185FA7">
        <w:rPr>
          <w:i/>
          <w:sz w:val="24"/>
          <w:szCs w:val="24"/>
        </w:rPr>
        <w:t>Mosaics in the Medieval World: From Late Antiquity to the Fifteenth Century</w:t>
      </w:r>
      <w:r w:rsidRPr="00185FA7">
        <w:rPr>
          <w:sz w:val="24"/>
          <w:szCs w:val="24"/>
        </w:rPr>
        <w:t xml:space="preserve"> (Cambridge, Cambridge University Press, 2017), pp. </w:t>
      </w:r>
      <w:r w:rsidR="00E65D50" w:rsidRPr="00185FA7">
        <w:rPr>
          <w:sz w:val="24"/>
          <w:szCs w:val="24"/>
        </w:rPr>
        <w:t xml:space="preserve">10 – 120 &amp; </w:t>
      </w:r>
      <w:r w:rsidRPr="00185FA7">
        <w:rPr>
          <w:sz w:val="24"/>
          <w:szCs w:val="24"/>
        </w:rPr>
        <w:t>380 – 400.</w:t>
      </w:r>
    </w:p>
    <w:p w14:paraId="5161227B" w14:textId="5A9E5124" w:rsidR="002A384F" w:rsidRPr="00C83563" w:rsidRDefault="002A384F" w:rsidP="00185FA7">
      <w:pPr>
        <w:pStyle w:val="ListParagraph"/>
        <w:numPr>
          <w:ilvl w:val="0"/>
          <w:numId w:val="2"/>
        </w:numPr>
        <w:spacing w:line="360" w:lineRule="auto"/>
        <w:rPr>
          <w:noProof/>
          <w:sz w:val="24"/>
          <w:szCs w:val="24"/>
        </w:rPr>
      </w:pPr>
      <w:r w:rsidRPr="00C83563">
        <w:rPr>
          <w:b/>
          <w:sz w:val="24"/>
          <w:szCs w:val="24"/>
        </w:rPr>
        <w:t>Norwich</w:t>
      </w:r>
      <w:r w:rsidRPr="00C83563">
        <w:rPr>
          <w:sz w:val="24"/>
          <w:szCs w:val="24"/>
        </w:rPr>
        <w:t xml:space="preserve">, J.J., </w:t>
      </w:r>
      <w:r w:rsidRPr="00C83563">
        <w:rPr>
          <w:i/>
          <w:sz w:val="24"/>
          <w:szCs w:val="24"/>
        </w:rPr>
        <w:t>The Kingdom in the Sun 1130 – 1194: The Normans in Sicily Vol. II</w:t>
      </w:r>
      <w:r w:rsidRPr="00C83563">
        <w:rPr>
          <w:sz w:val="24"/>
          <w:szCs w:val="24"/>
        </w:rPr>
        <w:t xml:space="preserve"> (London, Faber &amp; Faber Limited, 2018), pp. 93 – 99</w:t>
      </w:r>
      <w:r w:rsidR="00E340B8" w:rsidRPr="00C83563">
        <w:rPr>
          <w:sz w:val="24"/>
          <w:szCs w:val="24"/>
        </w:rPr>
        <w:t xml:space="preserve"> &amp; 144 – 145</w:t>
      </w:r>
      <w:r w:rsidRPr="00C83563">
        <w:rPr>
          <w:sz w:val="24"/>
          <w:szCs w:val="24"/>
        </w:rPr>
        <w:t>.</w:t>
      </w:r>
    </w:p>
    <w:p w14:paraId="4058C950" w14:textId="77777777" w:rsidR="00E65D50" w:rsidRPr="00185FA7" w:rsidRDefault="004D381B" w:rsidP="00185FA7">
      <w:pPr>
        <w:pStyle w:val="ListParagraph"/>
        <w:numPr>
          <w:ilvl w:val="0"/>
          <w:numId w:val="2"/>
        </w:numPr>
        <w:spacing w:line="360" w:lineRule="auto"/>
        <w:rPr>
          <w:sz w:val="24"/>
          <w:szCs w:val="24"/>
        </w:rPr>
      </w:pPr>
      <w:r w:rsidRPr="00185FA7">
        <w:rPr>
          <w:b/>
          <w:sz w:val="24"/>
          <w:szCs w:val="24"/>
        </w:rPr>
        <w:t>Oxford</w:t>
      </w:r>
      <w:r w:rsidRPr="00185FA7">
        <w:rPr>
          <w:sz w:val="24"/>
          <w:szCs w:val="24"/>
        </w:rPr>
        <w:t xml:space="preserve"> University, Tessera, </w:t>
      </w:r>
      <w:r w:rsidRPr="00185FA7">
        <w:rPr>
          <w:i/>
          <w:sz w:val="24"/>
          <w:szCs w:val="24"/>
        </w:rPr>
        <w:t>Oxford English Dictionary 3</w:t>
      </w:r>
      <w:r w:rsidRPr="00185FA7">
        <w:rPr>
          <w:i/>
          <w:sz w:val="24"/>
          <w:szCs w:val="24"/>
          <w:vertAlign w:val="superscript"/>
        </w:rPr>
        <w:t>rd</w:t>
      </w:r>
      <w:r w:rsidRPr="00185FA7">
        <w:rPr>
          <w:i/>
          <w:sz w:val="24"/>
          <w:szCs w:val="24"/>
        </w:rPr>
        <w:t xml:space="preserve"> Edition</w:t>
      </w:r>
      <w:r w:rsidRPr="00185FA7">
        <w:rPr>
          <w:sz w:val="24"/>
          <w:szCs w:val="24"/>
        </w:rPr>
        <w:t xml:space="preserve"> (Oxford, Oxford University Press, 2015 [2010]). Accessed from </w:t>
      </w:r>
      <w:r w:rsidRPr="00185FA7">
        <w:rPr>
          <w:i/>
          <w:sz w:val="24"/>
          <w:szCs w:val="24"/>
        </w:rPr>
        <w:t xml:space="preserve">Oxford Referencing </w:t>
      </w:r>
      <w:r w:rsidRPr="00185FA7">
        <w:rPr>
          <w:sz w:val="24"/>
          <w:szCs w:val="24"/>
        </w:rPr>
        <w:t>on 06/11/2018.</w:t>
      </w:r>
    </w:p>
    <w:p w14:paraId="642F6FE8" w14:textId="6BCD4DFB" w:rsidR="00E65D50" w:rsidRPr="00185FA7" w:rsidRDefault="00E65D50" w:rsidP="00185FA7">
      <w:pPr>
        <w:pStyle w:val="ListParagraph"/>
        <w:numPr>
          <w:ilvl w:val="0"/>
          <w:numId w:val="2"/>
        </w:numPr>
        <w:spacing w:line="360" w:lineRule="auto"/>
        <w:rPr>
          <w:noProof/>
          <w:sz w:val="24"/>
          <w:szCs w:val="24"/>
        </w:rPr>
      </w:pPr>
      <w:r w:rsidRPr="00185FA7">
        <w:rPr>
          <w:b/>
          <w:sz w:val="24"/>
          <w:szCs w:val="24"/>
        </w:rPr>
        <w:t>Oxford</w:t>
      </w:r>
      <w:r w:rsidRPr="00185FA7">
        <w:rPr>
          <w:sz w:val="24"/>
          <w:szCs w:val="24"/>
        </w:rPr>
        <w:t xml:space="preserve"> University, Fleur-de-lis, </w:t>
      </w:r>
      <w:r w:rsidRPr="00185FA7">
        <w:rPr>
          <w:i/>
          <w:sz w:val="24"/>
          <w:szCs w:val="24"/>
        </w:rPr>
        <w:t>Oxford English Dictionary 3</w:t>
      </w:r>
      <w:r w:rsidRPr="00185FA7">
        <w:rPr>
          <w:i/>
          <w:sz w:val="24"/>
          <w:szCs w:val="24"/>
          <w:vertAlign w:val="superscript"/>
        </w:rPr>
        <w:t>rd</w:t>
      </w:r>
      <w:r w:rsidRPr="00185FA7">
        <w:rPr>
          <w:i/>
          <w:sz w:val="24"/>
          <w:szCs w:val="24"/>
        </w:rPr>
        <w:t xml:space="preserve"> Edition</w:t>
      </w:r>
      <w:r w:rsidRPr="00185FA7">
        <w:rPr>
          <w:sz w:val="24"/>
          <w:szCs w:val="24"/>
        </w:rPr>
        <w:t xml:space="preserve"> (Oxford, Oxford University Press, 2015 [2010]). Accessed from </w:t>
      </w:r>
      <w:r w:rsidRPr="00185FA7">
        <w:rPr>
          <w:i/>
          <w:sz w:val="24"/>
          <w:szCs w:val="24"/>
        </w:rPr>
        <w:t>Oxford Referencing</w:t>
      </w:r>
      <w:r w:rsidRPr="00185FA7">
        <w:rPr>
          <w:sz w:val="24"/>
          <w:szCs w:val="24"/>
        </w:rPr>
        <w:t>.</w:t>
      </w:r>
    </w:p>
    <w:p w14:paraId="45FBF4BB" w14:textId="590BBA08" w:rsidR="00E65D50" w:rsidRPr="00185FA7" w:rsidRDefault="00E65D50" w:rsidP="00185FA7">
      <w:pPr>
        <w:pStyle w:val="ListParagraph"/>
        <w:numPr>
          <w:ilvl w:val="0"/>
          <w:numId w:val="2"/>
        </w:numPr>
        <w:spacing w:line="360" w:lineRule="auto"/>
        <w:rPr>
          <w:noProof/>
          <w:sz w:val="24"/>
          <w:szCs w:val="24"/>
        </w:rPr>
      </w:pPr>
      <w:r w:rsidRPr="00185FA7">
        <w:rPr>
          <w:b/>
          <w:sz w:val="24"/>
          <w:szCs w:val="24"/>
        </w:rPr>
        <w:t>Oxford</w:t>
      </w:r>
      <w:r w:rsidRPr="00185FA7">
        <w:rPr>
          <w:sz w:val="24"/>
          <w:szCs w:val="24"/>
        </w:rPr>
        <w:t xml:space="preserve"> University, Poverty, </w:t>
      </w:r>
      <w:r w:rsidRPr="00185FA7">
        <w:rPr>
          <w:i/>
          <w:sz w:val="24"/>
          <w:szCs w:val="24"/>
        </w:rPr>
        <w:t>Oxford English Dictionary 3</w:t>
      </w:r>
      <w:r w:rsidRPr="00185FA7">
        <w:rPr>
          <w:i/>
          <w:sz w:val="24"/>
          <w:szCs w:val="24"/>
          <w:vertAlign w:val="superscript"/>
        </w:rPr>
        <w:t>rd</w:t>
      </w:r>
      <w:r w:rsidRPr="00185FA7">
        <w:rPr>
          <w:i/>
          <w:sz w:val="24"/>
          <w:szCs w:val="24"/>
        </w:rPr>
        <w:t xml:space="preserve"> Edition</w:t>
      </w:r>
      <w:r w:rsidRPr="00185FA7">
        <w:rPr>
          <w:sz w:val="24"/>
          <w:szCs w:val="24"/>
        </w:rPr>
        <w:t xml:space="preserve"> (Oxford, Oxford University Press, 2015 [2010]). Accessed from </w:t>
      </w:r>
      <w:r w:rsidRPr="00185FA7">
        <w:rPr>
          <w:i/>
          <w:sz w:val="24"/>
          <w:szCs w:val="24"/>
        </w:rPr>
        <w:t>Oxford Referencing</w:t>
      </w:r>
      <w:r w:rsidRPr="00185FA7">
        <w:rPr>
          <w:sz w:val="24"/>
          <w:szCs w:val="24"/>
        </w:rPr>
        <w:t>.</w:t>
      </w:r>
    </w:p>
    <w:p w14:paraId="473E2E0E" w14:textId="14480B93" w:rsidR="002A384F" w:rsidRPr="00185FA7" w:rsidRDefault="00E65D50" w:rsidP="00185FA7">
      <w:pPr>
        <w:pStyle w:val="ListParagraph"/>
        <w:numPr>
          <w:ilvl w:val="0"/>
          <w:numId w:val="2"/>
        </w:numPr>
        <w:spacing w:line="360" w:lineRule="auto"/>
        <w:rPr>
          <w:noProof/>
          <w:sz w:val="24"/>
          <w:szCs w:val="24"/>
        </w:rPr>
      </w:pPr>
      <w:r w:rsidRPr="00185FA7">
        <w:rPr>
          <w:b/>
          <w:sz w:val="24"/>
          <w:szCs w:val="24"/>
        </w:rPr>
        <w:t>Oxford</w:t>
      </w:r>
      <w:r w:rsidRPr="00185FA7">
        <w:rPr>
          <w:sz w:val="24"/>
          <w:szCs w:val="24"/>
        </w:rPr>
        <w:t xml:space="preserve"> University, Omnipotent, </w:t>
      </w:r>
      <w:r w:rsidRPr="00185FA7">
        <w:rPr>
          <w:i/>
          <w:sz w:val="24"/>
          <w:szCs w:val="24"/>
        </w:rPr>
        <w:t>Oxford English Dictionary 3</w:t>
      </w:r>
      <w:r w:rsidRPr="00185FA7">
        <w:rPr>
          <w:i/>
          <w:sz w:val="24"/>
          <w:szCs w:val="24"/>
          <w:vertAlign w:val="superscript"/>
        </w:rPr>
        <w:t>rd</w:t>
      </w:r>
      <w:r w:rsidRPr="00185FA7">
        <w:rPr>
          <w:i/>
          <w:sz w:val="24"/>
          <w:szCs w:val="24"/>
        </w:rPr>
        <w:t xml:space="preserve"> Edition</w:t>
      </w:r>
      <w:r w:rsidRPr="00185FA7">
        <w:rPr>
          <w:sz w:val="24"/>
          <w:szCs w:val="24"/>
        </w:rPr>
        <w:t xml:space="preserve"> (Oxford, Oxford University Press, 2015 [2010]). Accessed from </w:t>
      </w:r>
      <w:r w:rsidRPr="00185FA7">
        <w:rPr>
          <w:i/>
          <w:sz w:val="24"/>
          <w:szCs w:val="24"/>
        </w:rPr>
        <w:t>Oxford Referencing</w:t>
      </w:r>
      <w:r w:rsidRPr="00185FA7">
        <w:rPr>
          <w:sz w:val="24"/>
          <w:szCs w:val="24"/>
        </w:rPr>
        <w:t>.</w:t>
      </w:r>
    </w:p>
    <w:sectPr w:rsidR="002A384F" w:rsidRPr="00185FA7" w:rsidSect="002D136A">
      <w:headerReference w:type="default" r:id="rId9"/>
      <w:footerReference w:type="default" r:id="rId10"/>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1A9A6" w14:textId="77777777" w:rsidR="008E6902" w:rsidRDefault="008E6902" w:rsidP="00704D52">
      <w:pPr>
        <w:spacing w:after="0" w:line="240" w:lineRule="auto"/>
      </w:pPr>
      <w:r>
        <w:separator/>
      </w:r>
    </w:p>
  </w:endnote>
  <w:endnote w:type="continuationSeparator" w:id="0">
    <w:p w14:paraId="4C8E1A5E" w14:textId="77777777" w:rsidR="008E6902" w:rsidRDefault="008E6902" w:rsidP="00704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3485081"/>
      <w:docPartObj>
        <w:docPartGallery w:val="Page Numbers (Bottom of Page)"/>
        <w:docPartUnique/>
      </w:docPartObj>
    </w:sdtPr>
    <w:sdtEndPr>
      <w:rPr>
        <w:noProof/>
      </w:rPr>
    </w:sdtEndPr>
    <w:sdtContent>
      <w:p w14:paraId="1382CE9B" w14:textId="650FA695" w:rsidR="00704D52" w:rsidRDefault="00704D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9E2AB" w14:textId="77777777" w:rsidR="00704D52" w:rsidRDefault="00704D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252DA8" w14:textId="77777777" w:rsidR="008E6902" w:rsidRDefault="008E6902" w:rsidP="00704D52">
      <w:pPr>
        <w:spacing w:after="0" w:line="240" w:lineRule="auto"/>
      </w:pPr>
      <w:r>
        <w:separator/>
      </w:r>
    </w:p>
  </w:footnote>
  <w:footnote w:type="continuationSeparator" w:id="0">
    <w:p w14:paraId="36AA9B6B" w14:textId="77777777" w:rsidR="008E6902" w:rsidRDefault="008E6902" w:rsidP="00704D52">
      <w:pPr>
        <w:spacing w:after="0" w:line="240" w:lineRule="auto"/>
      </w:pPr>
      <w:r>
        <w:continuationSeparator/>
      </w:r>
    </w:p>
  </w:footnote>
  <w:footnote w:id="1">
    <w:p w14:paraId="74DF5039" w14:textId="13C070F3" w:rsidR="00534486" w:rsidRDefault="00534486">
      <w:pPr>
        <w:pStyle w:val="FootnoteText"/>
      </w:pPr>
      <w:r>
        <w:rPr>
          <w:rStyle w:val="FootnoteReference"/>
        </w:rPr>
        <w:footnoteRef/>
      </w:r>
      <w:r>
        <w:t xml:space="preserve"> R.H.C. Davis</w:t>
      </w:r>
      <w:r w:rsidR="003F6003">
        <w:t>,</w:t>
      </w:r>
      <w:r>
        <w:t xml:space="preserve"> </w:t>
      </w:r>
      <w:r w:rsidRPr="003B7526">
        <w:rPr>
          <w:i/>
        </w:rPr>
        <w:t>The Normans and their Myth</w:t>
      </w:r>
      <w:r>
        <w:t xml:space="preserve"> (London, </w:t>
      </w:r>
      <w:r w:rsidR="00E9092B">
        <w:t>Thames and Hudson Ltd,</w:t>
      </w:r>
      <w:r>
        <w:t>1980), pp. 72 – 73</w:t>
      </w:r>
      <w:r w:rsidR="00DD1778">
        <w:t xml:space="preserve"> &amp; 140</w:t>
      </w:r>
      <w:r>
        <w:t>.</w:t>
      </w:r>
    </w:p>
  </w:footnote>
  <w:footnote w:id="2">
    <w:p w14:paraId="4ACCF096" w14:textId="3753A8CB" w:rsidR="003F6003" w:rsidRDefault="003F6003">
      <w:pPr>
        <w:pStyle w:val="FootnoteText"/>
      </w:pPr>
      <w:r>
        <w:rPr>
          <w:rStyle w:val="FootnoteReference"/>
        </w:rPr>
        <w:footnoteRef/>
      </w:r>
      <w:r>
        <w:t xml:space="preserve"> Nicola Giuliano Leone / Eliana Mauro / Carla Quartarone / Ettore Sessa, </w:t>
      </w:r>
      <w:r w:rsidRPr="003F6003">
        <w:rPr>
          <w:i/>
        </w:rPr>
        <w:t xml:space="preserve">Siculo-Norman Art: Islamic Culture in Medieval Sicily </w:t>
      </w:r>
      <w:r>
        <w:t xml:space="preserve">(Palermo, </w:t>
      </w:r>
      <w:r w:rsidR="00E9092B">
        <w:t xml:space="preserve">Museum With No Frontiers, </w:t>
      </w:r>
      <w:r>
        <w:t xml:space="preserve">2010 [2003]), pp. </w:t>
      </w:r>
      <w:r w:rsidR="00B01F54">
        <w:t>1 – 10.</w:t>
      </w:r>
    </w:p>
  </w:footnote>
  <w:footnote w:id="3">
    <w:p w14:paraId="15121121" w14:textId="03A7836E" w:rsidR="0026782F" w:rsidRDefault="0026782F">
      <w:pPr>
        <w:pStyle w:val="FootnoteText"/>
      </w:pPr>
      <w:r>
        <w:rPr>
          <w:rStyle w:val="FootnoteReference"/>
        </w:rPr>
        <w:footnoteRef/>
      </w:r>
      <w:r>
        <w:t xml:space="preserve"> Liz James, </w:t>
      </w:r>
      <w:r w:rsidRPr="0026782F">
        <w:rPr>
          <w:i/>
        </w:rPr>
        <w:t>Mosaics in the Medieval World: From Late Antiquity to the Fifteenth Century</w:t>
      </w:r>
      <w:r>
        <w:t xml:space="preserve"> (</w:t>
      </w:r>
      <w:r w:rsidR="00E9092B">
        <w:t xml:space="preserve">Cambridge, </w:t>
      </w:r>
      <w:r w:rsidR="00E9092B" w:rsidRPr="00E9092B">
        <w:t>Cambridge</w:t>
      </w:r>
      <w:r w:rsidR="00E9092B">
        <w:t xml:space="preserve"> University Press</w:t>
      </w:r>
      <w:r>
        <w:t xml:space="preserve">, 2017), pp. 380 – </w:t>
      </w:r>
      <w:r w:rsidR="004B7457">
        <w:t>400</w:t>
      </w:r>
      <w:r>
        <w:t>.</w:t>
      </w:r>
    </w:p>
  </w:footnote>
  <w:footnote w:id="4">
    <w:p w14:paraId="6DBEA888" w14:textId="73693E9A" w:rsidR="005B2053" w:rsidRDefault="005B2053">
      <w:pPr>
        <w:pStyle w:val="FootnoteText"/>
      </w:pPr>
      <w:r>
        <w:rPr>
          <w:rStyle w:val="FootnoteReference"/>
        </w:rPr>
        <w:footnoteRef/>
      </w:r>
      <w:r>
        <w:t xml:space="preserve"> Oxford University, Tessera, </w:t>
      </w:r>
      <w:r w:rsidRPr="00E4688F">
        <w:rPr>
          <w:i/>
        </w:rPr>
        <w:t>Oxford English Dictionary 3</w:t>
      </w:r>
      <w:r w:rsidRPr="00E4688F">
        <w:rPr>
          <w:i/>
          <w:vertAlign w:val="superscript"/>
        </w:rPr>
        <w:t>rd</w:t>
      </w:r>
      <w:r w:rsidRPr="00E4688F">
        <w:rPr>
          <w:i/>
        </w:rPr>
        <w:t xml:space="preserve"> Edition</w:t>
      </w:r>
      <w:r>
        <w:t xml:space="preserve"> (Oxford, </w:t>
      </w:r>
      <w:r w:rsidR="00E9092B">
        <w:t xml:space="preserve">Oxford University Press, </w:t>
      </w:r>
      <w:r>
        <w:t xml:space="preserve">2015 [2010]). Accessed from </w:t>
      </w:r>
      <w:r w:rsidRPr="00E4688F">
        <w:rPr>
          <w:i/>
        </w:rPr>
        <w:t>Oxford Referencing</w:t>
      </w:r>
      <w:r>
        <w:rPr>
          <w:i/>
        </w:rPr>
        <w:t xml:space="preserve"> </w:t>
      </w:r>
      <w:r>
        <w:t>on 06/11/2018.</w:t>
      </w:r>
    </w:p>
  </w:footnote>
  <w:footnote w:id="5">
    <w:p w14:paraId="4F0D9BF8" w14:textId="076930A6" w:rsidR="005F5050" w:rsidRDefault="005F5050">
      <w:pPr>
        <w:pStyle w:val="FootnoteText"/>
      </w:pPr>
      <w:r>
        <w:rPr>
          <w:rStyle w:val="FootnoteReference"/>
        </w:rPr>
        <w:footnoteRef/>
      </w:r>
      <w:r>
        <w:t xml:space="preserve"> James, </w:t>
      </w:r>
      <w:r w:rsidRPr="0026782F">
        <w:rPr>
          <w:i/>
        </w:rPr>
        <w:t>Mosaics in the Medieval World</w:t>
      </w:r>
      <w:r>
        <w:t>, pp. 20 – 70.</w:t>
      </w:r>
    </w:p>
  </w:footnote>
  <w:footnote w:id="6">
    <w:p w14:paraId="5A87E7E9" w14:textId="7C5EF140" w:rsidR="00894DAC" w:rsidRDefault="00894DAC">
      <w:pPr>
        <w:pStyle w:val="FootnoteText"/>
      </w:pPr>
      <w:r>
        <w:rPr>
          <w:rStyle w:val="FootnoteReference"/>
        </w:rPr>
        <w:footnoteRef/>
      </w:r>
      <w:r>
        <w:t xml:space="preserve"> Ibid. pp. 10 – 80.</w:t>
      </w:r>
    </w:p>
  </w:footnote>
  <w:footnote w:id="7">
    <w:p w14:paraId="55E22545" w14:textId="0514F6FD" w:rsidR="009B3071" w:rsidRDefault="009B3071">
      <w:pPr>
        <w:pStyle w:val="FootnoteText"/>
      </w:pPr>
      <w:r>
        <w:rPr>
          <w:rStyle w:val="FootnoteReference"/>
        </w:rPr>
        <w:footnoteRef/>
      </w:r>
      <w:r>
        <w:t xml:space="preserve"> Ed. by. Aneilya Barnes &amp; Mariarosaria Salerno, </w:t>
      </w:r>
      <w:r w:rsidRPr="009B3071">
        <w:rPr>
          <w:i/>
        </w:rPr>
        <w:t>Symbols and Models in the Mediterranean: Perceiving through Cultures</w:t>
      </w:r>
      <w:r>
        <w:t xml:space="preserve"> (Cambridge,</w:t>
      </w:r>
      <w:r w:rsidR="00E9092B">
        <w:t xml:space="preserve"> Cambridge Scholarly Publishing, </w:t>
      </w:r>
      <w:r>
        <w:t xml:space="preserve">2017), pp. 46 – 47.  </w:t>
      </w:r>
    </w:p>
  </w:footnote>
  <w:footnote w:id="8">
    <w:p w14:paraId="080D236C" w14:textId="17A98D06" w:rsidR="00C742DD" w:rsidRDefault="00C742DD">
      <w:pPr>
        <w:pStyle w:val="FootnoteText"/>
      </w:pPr>
      <w:r>
        <w:rPr>
          <w:rStyle w:val="FootnoteReference"/>
        </w:rPr>
        <w:footnoteRef/>
      </w:r>
      <w:r>
        <w:t xml:space="preserve"> Ed. by. Jill Condra, </w:t>
      </w:r>
      <w:r w:rsidRPr="00C742DD">
        <w:rPr>
          <w:i/>
        </w:rPr>
        <w:t>The Greenwood Encyclopaedia of Clothing Through World History: Prehistory to 1500 CE</w:t>
      </w:r>
      <w:r>
        <w:t xml:space="preserve">, Vol. 1 (London, </w:t>
      </w:r>
      <w:r w:rsidR="00E9092B">
        <w:t xml:space="preserve">Greenwood Press, </w:t>
      </w:r>
      <w:r>
        <w:t>2008), pp. 130 – 140.</w:t>
      </w:r>
    </w:p>
  </w:footnote>
  <w:footnote w:id="9">
    <w:p w14:paraId="370277C7" w14:textId="1A23C10C" w:rsidR="005F0E89" w:rsidRDefault="005F0E89" w:rsidP="005F0E89">
      <w:pPr>
        <w:pStyle w:val="FootnoteText"/>
      </w:pPr>
      <w:r>
        <w:rPr>
          <w:rStyle w:val="FootnoteReference"/>
        </w:rPr>
        <w:footnoteRef/>
      </w:r>
      <w:r>
        <w:t xml:space="preserve"> James, </w:t>
      </w:r>
      <w:r w:rsidRPr="0026782F">
        <w:rPr>
          <w:i/>
        </w:rPr>
        <w:t>Mosaics in the Medieval World</w:t>
      </w:r>
      <w:r>
        <w:t>, pp. 20 – 120.</w:t>
      </w:r>
    </w:p>
  </w:footnote>
  <w:footnote w:id="10">
    <w:p w14:paraId="2DCDC4E6" w14:textId="05F92B48" w:rsidR="00F0632A" w:rsidRDefault="00F0632A">
      <w:pPr>
        <w:pStyle w:val="FootnoteText"/>
      </w:pPr>
      <w:r>
        <w:rPr>
          <w:rStyle w:val="FootnoteReference"/>
        </w:rPr>
        <w:footnoteRef/>
      </w:r>
      <w:r>
        <w:t xml:space="preserve"> Oxford University, </w:t>
      </w:r>
      <w:r w:rsidRPr="00F0632A">
        <w:t>Fleur-de-lis</w:t>
      </w:r>
      <w:r>
        <w:t xml:space="preserve">, </w:t>
      </w:r>
      <w:r w:rsidRPr="00E4688F">
        <w:rPr>
          <w:i/>
        </w:rPr>
        <w:t>Oxford English Dictionary 3</w:t>
      </w:r>
      <w:r w:rsidRPr="00E4688F">
        <w:rPr>
          <w:i/>
          <w:vertAlign w:val="superscript"/>
        </w:rPr>
        <w:t>rd</w:t>
      </w:r>
      <w:r w:rsidRPr="00E4688F">
        <w:rPr>
          <w:i/>
        </w:rPr>
        <w:t xml:space="preserve"> Edition</w:t>
      </w:r>
      <w:r>
        <w:t xml:space="preserve"> (Oxford, </w:t>
      </w:r>
      <w:r w:rsidR="00E9092B">
        <w:t xml:space="preserve">Oxford University Press, </w:t>
      </w:r>
      <w:r>
        <w:t xml:space="preserve">2015 [2010]). Accessed from </w:t>
      </w:r>
      <w:r w:rsidRPr="00E4688F">
        <w:rPr>
          <w:i/>
        </w:rPr>
        <w:t>Oxford Referencing</w:t>
      </w:r>
      <w:r>
        <w:rPr>
          <w:i/>
        </w:rPr>
        <w:t xml:space="preserve"> </w:t>
      </w:r>
      <w:r>
        <w:t>on 07/11/2018.</w:t>
      </w:r>
    </w:p>
  </w:footnote>
  <w:footnote w:id="11">
    <w:p w14:paraId="05D973FB" w14:textId="63AB7F0C" w:rsidR="00C90EB7" w:rsidRDefault="00C90EB7">
      <w:pPr>
        <w:pStyle w:val="FootnoteText"/>
      </w:pPr>
      <w:r>
        <w:rPr>
          <w:rStyle w:val="FootnoteReference"/>
        </w:rPr>
        <w:footnoteRef/>
      </w:r>
      <w:r>
        <w:t xml:space="preserve"> James, </w:t>
      </w:r>
      <w:r w:rsidRPr="0026782F">
        <w:rPr>
          <w:i/>
        </w:rPr>
        <w:t>Mosaics in the Medieval World</w:t>
      </w:r>
      <w:r>
        <w:t>, pp. 20 – 40.</w:t>
      </w:r>
    </w:p>
  </w:footnote>
  <w:footnote w:id="12">
    <w:p w14:paraId="2C5E7DD4" w14:textId="505DDCC9" w:rsidR="0069581A" w:rsidRDefault="0069581A">
      <w:pPr>
        <w:pStyle w:val="FootnoteText"/>
      </w:pPr>
      <w:r>
        <w:rPr>
          <w:rStyle w:val="FootnoteReference"/>
        </w:rPr>
        <w:footnoteRef/>
      </w:r>
      <w:r>
        <w:t xml:space="preserve"> Oxford University, Poverty, </w:t>
      </w:r>
      <w:r w:rsidRPr="00E4688F">
        <w:rPr>
          <w:i/>
        </w:rPr>
        <w:t>Oxford English Dictionary 3</w:t>
      </w:r>
      <w:r w:rsidRPr="00E4688F">
        <w:rPr>
          <w:i/>
          <w:vertAlign w:val="superscript"/>
        </w:rPr>
        <w:t>rd</w:t>
      </w:r>
      <w:r w:rsidRPr="00E4688F">
        <w:rPr>
          <w:i/>
        </w:rPr>
        <w:t xml:space="preserve"> Edition</w:t>
      </w:r>
      <w:r>
        <w:t xml:space="preserve"> (Oxford, </w:t>
      </w:r>
      <w:r w:rsidR="00E9092B">
        <w:t xml:space="preserve">Oxford University Press, </w:t>
      </w:r>
      <w:r>
        <w:t xml:space="preserve">2015 [2010]). Accessed from </w:t>
      </w:r>
      <w:r w:rsidRPr="00E4688F">
        <w:rPr>
          <w:i/>
        </w:rPr>
        <w:t>Oxford Referencing</w:t>
      </w:r>
      <w:r>
        <w:rPr>
          <w:i/>
        </w:rPr>
        <w:t xml:space="preserve"> </w:t>
      </w:r>
      <w:r>
        <w:t>on 07/11/2018.</w:t>
      </w:r>
    </w:p>
  </w:footnote>
  <w:footnote w:id="13">
    <w:p w14:paraId="7E3CB8FB" w14:textId="0FE12113" w:rsidR="00E6181A" w:rsidRDefault="00E6181A">
      <w:pPr>
        <w:pStyle w:val="FootnoteText"/>
      </w:pPr>
      <w:r>
        <w:rPr>
          <w:rStyle w:val="FootnoteReference"/>
        </w:rPr>
        <w:footnoteRef/>
      </w:r>
      <w:r>
        <w:t xml:space="preserve"> Davis, </w:t>
      </w:r>
      <w:r w:rsidRPr="003B7526">
        <w:rPr>
          <w:i/>
        </w:rPr>
        <w:t>The Normans and their Myth</w:t>
      </w:r>
      <w:r>
        <w:t>, p. 72.</w:t>
      </w:r>
    </w:p>
  </w:footnote>
  <w:footnote w:id="14">
    <w:p w14:paraId="6CC251B6" w14:textId="287AC245" w:rsidR="00DD317C" w:rsidRDefault="00DD317C">
      <w:pPr>
        <w:pStyle w:val="FootnoteText"/>
      </w:pPr>
      <w:r>
        <w:rPr>
          <w:rStyle w:val="FootnoteReference"/>
        </w:rPr>
        <w:footnoteRef/>
      </w:r>
      <w:r>
        <w:t xml:space="preserve"> Oxford University, Omnipotent, </w:t>
      </w:r>
      <w:r w:rsidRPr="00E4688F">
        <w:rPr>
          <w:i/>
        </w:rPr>
        <w:t>Oxford English Dictionary 3</w:t>
      </w:r>
      <w:r w:rsidRPr="00E4688F">
        <w:rPr>
          <w:i/>
          <w:vertAlign w:val="superscript"/>
        </w:rPr>
        <w:t>rd</w:t>
      </w:r>
      <w:r w:rsidRPr="00E4688F">
        <w:rPr>
          <w:i/>
        </w:rPr>
        <w:t xml:space="preserve"> Edition</w:t>
      </w:r>
      <w:r>
        <w:t xml:space="preserve"> (Oxford, </w:t>
      </w:r>
      <w:r w:rsidR="00E9092B">
        <w:t xml:space="preserve">Oxford University Press, </w:t>
      </w:r>
      <w:r>
        <w:t xml:space="preserve">2015 [2010]). Accessed from </w:t>
      </w:r>
      <w:r w:rsidRPr="00E4688F">
        <w:rPr>
          <w:i/>
        </w:rPr>
        <w:t>Oxford Referencing</w:t>
      </w:r>
      <w:r>
        <w:rPr>
          <w:i/>
        </w:rPr>
        <w:t xml:space="preserve"> </w:t>
      </w:r>
      <w:r>
        <w:t>on 07/11/2018.</w:t>
      </w:r>
    </w:p>
  </w:footnote>
  <w:footnote w:id="15">
    <w:p w14:paraId="6B598080" w14:textId="77777777" w:rsidR="00235699" w:rsidRDefault="00235699" w:rsidP="00235699">
      <w:pPr>
        <w:pStyle w:val="FootnoteText"/>
      </w:pPr>
      <w:r>
        <w:rPr>
          <w:rStyle w:val="FootnoteReference"/>
        </w:rPr>
        <w:footnoteRef/>
      </w:r>
      <w:r>
        <w:t xml:space="preserve"> John Julius Norwich, </w:t>
      </w:r>
      <w:r w:rsidRPr="00E9092B">
        <w:rPr>
          <w:i/>
        </w:rPr>
        <w:t>The Kingdom in the Sun 1130 – 1194: The Normans in Sicily Vol. II</w:t>
      </w:r>
      <w:r>
        <w:t xml:space="preserve"> (London, Faber &amp; Faber Limited, 2018), pp. 93 – 99.</w:t>
      </w:r>
    </w:p>
  </w:footnote>
  <w:footnote w:id="16">
    <w:p w14:paraId="1238B128" w14:textId="47EC6A91" w:rsidR="00EF1D66" w:rsidRDefault="00EF1D66">
      <w:pPr>
        <w:pStyle w:val="FootnoteText"/>
      </w:pPr>
      <w:r>
        <w:rPr>
          <w:rStyle w:val="FootnoteReference"/>
        </w:rPr>
        <w:footnoteRef/>
      </w:r>
      <w:r>
        <w:t xml:space="preserve"> </w:t>
      </w:r>
      <w:r w:rsidR="00E22BB9">
        <w:t xml:space="preserve">Davis, </w:t>
      </w:r>
      <w:r w:rsidR="00E22BB9" w:rsidRPr="003B7526">
        <w:rPr>
          <w:i/>
        </w:rPr>
        <w:t>The Normans and their Myth</w:t>
      </w:r>
      <w:r w:rsidR="00E22BB9">
        <w:t>, pp. 71</w:t>
      </w:r>
      <w:r w:rsidR="009F332F">
        <w:t xml:space="preserve"> - 75</w:t>
      </w:r>
      <w:r w:rsidR="00E22BB9">
        <w:t xml:space="preserve"> &amp; </w:t>
      </w:r>
      <w:r w:rsidR="009F332F">
        <w:t>86.</w:t>
      </w:r>
    </w:p>
  </w:footnote>
  <w:footnote w:id="17">
    <w:p w14:paraId="67064A3C" w14:textId="0A2A19BC" w:rsidR="00185FA7" w:rsidRDefault="00185FA7">
      <w:pPr>
        <w:pStyle w:val="FootnoteText"/>
      </w:pPr>
      <w:r>
        <w:rPr>
          <w:rStyle w:val="FootnoteReference"/>
        </w:rPr>
        <w:footnoteRef/>
      </w:r>
      <w:r>
        <w:t xml:space="preserve"> Hubert </w:t>
      </w:r>
      <w:proofErr w:type="spellStart"/>
      <w:r>
        <w:t>Houben</w:t>
      </w:r>
      <w:proofErr w:type="spellEnd"/>
      <w:r>
        <w:t xml:space="preserve">, </w:t>
      </w:r>
      <w:r w:rsidRPr="00185FA7">
        <w:rPr>
          <w:i/>
        </w:rPr>
        <w:t>Roger II of Sicily: A Ruler Between East and West</w:t>
      </w:r>
      <w:r>
        <w:t xml:space="preserve"> (Cambridge, Cambridge University Press, 2002), pp. 114 – 118.</w:t>
      </w:r>
    </w:p>
  </w:footnote>
  <w:footnote w:id="18">
    <w:p w14:paraId="03BD3DC3" w14:textId="77777777" w:rsidR="00540ADA" w:rsidRDefault="00540ADA" w:rsidP="00540ADA">
      <w:pPr>
        <w:pStyle w:val="FootnoteText"/>
      </w:pPr>
      <w:r>
        <w:rPr>
          <w:rStyle w:val="FootnoteReference"/>
        </w:rPr>
        <w:footnoteRef/>
      </w:r>
      <w:r>
        <w:t xml:space="preserve"> Norwich, </w:t>
      </w:r>
      <w:r w:rsidRPr="00E9092B">
        <w:rPr>
          <w:i/>
        </w:rPr>
        <w:t>The Kingdom in the Sun 1130 – 1194</w:t>
      </w:r>
      <w:r>
        <w:t>, pp. 144 – 145.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E5775" w14:textId="03F55519" w:rsidR="00704D52" w:rsidRDefault="00704D52">
    <w:pPr>
      <w:pStyle w:val="Header"/>
    </w:pPr>
    <w:r>
      <w:t>Matthew Cowley (1700561)</w:t>
    </w:r>
    <w:r>
      <w:ptab w:relativeTo="margin" w:alignment="center" w:leader="none"/>
    </w:r>
    <w:r>
      <w:t>Portfolio Piece 2</w:t>
    </w:r>
    <w:r>
      <w:ptab w:relativeTo="margin" w:alignment="right" w:leader="none"/>
    </w:r>
    <w:r>
      <w:t>Identity and Myth: Normans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680E36"/>
    <w:multiLevelType w:val="hybridMultilevel"/>
    <w:tmpl w:val="A8A42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176144"/>
    <w:multiLevelType w:val="hybridMultilevel"/>
    <w:tmpl w:val="E41A6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53F"/>
    <w:rsid w:val="00012E94"/>
    <w:rsid w:val="00082DC6"/>
    <w:rsid w:val="000979E4"/>
    <w:rsid w:val="000B1F01"/>
    <w:rsid w:val="000C2CA1"/>
    <w:rsid w:val="000E5339"/>
    <w:rsid w:val="000E7632"/>
    <w:rsid w:val="00117EA8"/>
    <w:rsid w:val="001357A4"/>
    <w:rsid w:val="00147F08"/>
    <w:rsid w:val="0015022D"/>
    <w:rsid w:val="001623A4"/>
    <w:rsid w:val="00185FA7"/>
    <w:rsid w:val="001D1355"/>
    <w:rsid w:val="001D4F44"/>
    <w:rsid w:val="00203AF7"/>
    <w:rsid w:val="00213BDA"/>
    <w:rsid w:val="0022222B"/>
    <w:rsid w:val="00235699"/>
    <w:rsid w:val="0026782F"/>
    <w:rsid w:val="00276DB2"/>
    <w:rsid w:val="00284C40"/>
    <w:rsid w:val="00286AA7"/>
    <w:rsid w:val="002A384F"/>
    <w:rsid w:val="002A553F"/>
    <w:rsid w:val="002D136A"/>
    <w:rsid w:val="00304402"/>
    <w:rsid w:val="00343C11"/>
    <w:rsid w:val="00360389"/>
    <w:rsid w:val="00361E8B"/>
    <w:rsid w:val="003F4F39"/>
    <w:rsid w:val="003F6003"/>
    <w:rsid w:val="00410711"/>
    <w:rsid w:val="00446B36"/>
    <w:rsid w:val="00460B2E"/>
    <w:rsid w:val="00475BC8"/>
    <w:rsid w:val="004B6949"/>
    <w:rsid w:val="004B7457"/>
    <w:rsid w:val="004C3336"/>
    <w:rsid w:val="004C7F81"/>
    <w:rsid w:val="004D381B"/>
    <w:rsid w:val="00514AEC"/>
    <w:rsid w:val="005159D1"/>
    <w:rsid w:val="00534486"/>
    <w:rsid w:val="00540ADA"/>
    <w:rsid w:val="00573877"/>
    <w:rsid w:val="005B2053"/>
    <w:rsid w:val="005C4E8F"/>
    <w:rsid w:val="005D0D5C"/>
    <w:rsid w:val="005E4C59"/>
    <w:rsid w:val="005F0E89"/>
    <w:rsid w:val="005F5050"/>
    <w:rsid w:val="006039D6"/>
    <w:rsid w:val="00613704"/>
    <w:rsid w:val="00674B04"/>
    <w:rsid w:val="00692FAB"/>
    <w:rsid w:val="006941A7"/>
    <w:rsid w:val="0069581A"/>
    <w:rsid w:val="006A19F9"/>
    <w:rsid w:val="006A6848"/>
    <w:rsid w:val="006B20C1"/>
    <w:rsid w:val="006B21EE"/>
    <w:rsid w:val="006F3B1D"/>
    <w:rsid w:val="00704D52"/>
    <w:rsid w:val="00722017"/>
    <w:rsid w:val="00734E4A"/>
    <w:rsid w:val="00736EE4"/>
    <w:rsid w:val="00737919"/>
    <w:rsid w:val="00747513"/>
    <w:rsid w:val="007500D7"/>
    <w:rsid w:val="00753113"/>
    <w:rsid w:val="0077521D"/>
    <w:rsid w:val="007A7F76"/>
    <w:rsid w:val="007C7203"/>
    <w:rsid w:val="007D0F84"/>
    <w:rsid w:val="007D2840"/>
    <w:rsid w:val="007D41FA"/>
    <w:rsid w:val="007E0B28"/>
    <w:rsid w:val="007E3EF8"/>
    <w:rsid w:val="007F11AB"/>
    <w:rsid w:val="00812DAA"/>
    <w:rsid w:val="008321F7"/>
    <w:rsid w:val="0083773F"/>
    <w:rsid w:val="00894DAC"/>
    <w:rsid w:val="0089528A"/>
    <w:rsid w:val="00897E93"/>
    <w:rsid w:val="008B09AB"/>
    <w:rsid w:val="008B3049"/>
    <w:rsid w:val="008E6902"/>
    <w:rsid w:val="009033B6"/>
    <w:rsid w:val="009803AF"/>
    <w:rsid w:val="009A1F40"/>
    <w:rsid w:val="009A3567"/>
    <w:rsid w:val="009B3071"/>
    <w:rsid w:val="009E718E"/>
    <w:rsid w:val="009F332F"/>
    <w:rsid w:val="00A02336"/>
    <w:rsid w:val="00A12C68"/>
    <w:rsid w:val="00A41919"/>
    <w:rsid w:val="00A50044"/>
    <w:rsid w:val="00A536AF"/>
    <w:rsid w:val="00A63244"/>
    <w:rsid w:val="00A63935"/>
    <w:rsid w:val="00AB6163"/>
    <w:rsid w:val="00AB673A"/>
    <w:rsid w:val="00AF2138"/>
    <w:rsid w:val="00B01F54"/>
    <w:rsid w:val="00B52250"/>
    <w:rsid w:val="00B56A3E"/>
    <w:rsid w:val="00B80B31"/>
    <w:rsid w:val="00B93DE7"/>
    <w:rsid w:val="00BB2E0C"/>
    <w:rsid w:val="00C03500"/>
    <w:rsid w:val="00C20538"/>
    <w:rsid w:val="00C22B9E"/>
    <w:rsid w:val="00C35A8E"/>
    <w:rsid w:val="00C4072F"/>
    <w:rsid w:val="00C742DD"/>
    <w:rsid w:val="00C83563"/>
    <w:rsid w:val="00C90EB7"/>
    <w:rsid w:val="00C940D3"/>
    <w:rsid w:val="00CF0CA5"/>
    <w:rsid w:val="00CF7149"/>
    <w:rsid w:val="00D5562E"/>
    <w:rsid w:val="00D65506"/>
    <w:rsid w:val="00D77E47"/>
    <w:rsid w:val="00D83E37"/>
    <w:rsid w:val="00D91846"/>
    <w:rsid w:val="00D965CF"/>
    <w:rsid w:val="00DB3F5D"/>
    <w:rsid w:val="00DC37CF"/>
    <w:rsid w:val="00DD0B73"/>
    <w:rsid w:val="00DD1778"/>
    <w:rsid w:val="00DD317C"/>
    <w:rsid w:val="00E00729"/>
    <w:rsid w:val="00E22BB9"/>
    <w:rsid w:val="00E340B8"/>
    <w:rsid w:val="00E47B46"/>
    <w:rsid w:val="00E6181A"/>
    <w:rsid w:val="00E65D50"/>
    <w:rsid w:val="00E81218"/>
    <w:rsid w:val="00E9092B"/>
    <w:rsid w:val="00EC1058"/>
    <w:rsid w:val="00EF1D66"/>
    <w:rsid w:val="00F00838"/>
    <w:rsid w:val="00F0632A"/>
    <w:rsid w:val="00F068FF"/>
    <w:rsid w:val="00F37D25"/>
    <w:rsid w:val="00F52AF3"/>
    <w:rsid w:val="00F74C03"/>
    <w:rsid w:val="00F81DC4"/>
    <w:rsid w:val="00FD2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67DBF6"/>
  <w15:chartTrackingRefBased/>
  <w15:docId w15:val="{7BD79AB0-AB71-4E0B-8047-06675566E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5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53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A55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53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04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D52"/>
  </w:style>
  <w:style w:type="paragraph" w:styleId="Footer">
    <w:name w:val="footer"/>
    <w:basedOn w:val="Normal"/>
    <w:link w:val="FooterChar"/>
    <w:uiPriority w:val="99"/>
    <w:unhideWhenUsed/>
    <w:rsid w:val="00704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D52"/>
  </w:style>
  <w:style w:type="character" w:styleId="Strong">
    <w:name w:val="Strong"/>
    <w:basedOn w:val="DefaultParagraphFont"/>
    <w:uiPriority w:val="22"/>
    <w:qFormat/>
    <w:rsid w:val="002D136A"/>
    <w:rPr>
      <w:b/>
      <w:bCs/>
    </w:rPr>
  </w:style>
  <w:style w:type="paragraph" w:styleId="FootnoteText">
    <w:name w:val="footnote text"/>
    <w:basedOn w:val="Normal"/>
    <w:link w:val="FootnoteTextChar"/>
    <w:uiPriority w:val="99"/>
    <w:unhideWhenUsed/>
    <w:rsid w:val="00534486"/>
    <w:pPr>
      <w:spacing w:after="0" w:line="240" w:lineRule="auto"/>
    </w:pPr>
    <w:rPr>
      <w:sz w:val="20"/>
      <w:szCs w:val="20"/>
    </w:rPr>
  </w:style>
  <w:style w:type="character" w:customStyle="1" w:styleId="FootnoteTextChar">
    <w:name w:val="Footnote Text Char"/>
    <w:basedOn w:val="DefaultParagraphFont"/>
    <w:link w:val="FootnoteText"/>
    <w:uiPriority w:val="99"/>
    <w:rsid w:val="00534486"/>
    <w:rPr>
      <w:sz w:val="20"/>
      <w:szCs w:val="20"/>
    </w:rPr>
  </w:style>
  <w:style w:type="character" w:styleId="FootnoteReference">
    <w:name w:val="footnote reference"/>
    <w:basedOn w:val="DefaultParagraphFont"/>
    <w:uiPriority w:val="99"/>
    <w:semiHidden/>
    <w:unhideWhenUsed/>
    <w:rsid w:val="00534486"/>
    <w:rPr>
      <w:vertAlign w:val="superscript"/>
    </w:rPr>
  </w:style>
  <w:style w:type="paragraph" w:styleId="ListParagraph">
    <w:name w:val="List Paragraph"/>
    <w:basedOn w:val="Normal"/>
    <w:uiPriority w:val="34"/>
    <w:qFormat/>
    <w:rsid w:val="004D38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995906">
      <w:bodyDiv w:val="1"/>
      <w:marLeft w:val="0"/>
      <w:marRight w:val="0"/>
      <w:marTop w:val="0"/>
      <w:marBottom w:val="0"/>
      <w:divBdr>
        <w:top w:val="none" w:sz="0" w:space="0" w:color="auto"/>
        <w:left w:val="none" w:sz="0" w:space="0" w:color="auto"/>
        <w:bottom w:val="none" w:sz="0" w:space="0" w:color="auto"/>
        <w:right w:val="none" w:sz="0" w:space="0" w:color="auto"/>
      </w:divBdr>
    </w:div>
    <w:div w:id="903955152">
      <w:bodyDiv w:val="1"/>
      <w:marLeft w:val="0"/>
      <w:marRight w:val="0"/>
      <w:marTop w:val="0"/>
      <w:marBottom w:val="0"/>
      <w:divBdr>
        <w:top w:val="none" w:sz="0" w:space="0" w:color="auto"/>
        <w:left w:val="none" w:sz="0" w:space="0" w:color="auto"/>
        <w:bottom w:val="none" w:sz="0" w:space="0" w:color="auto"/>
        <w:right w:val="none" w:sz="0" w:space="0" w:color="auto"/>
      </w:divBdr>
    </w:div>
    <w:div w:id="120248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889D9-51FE-4DA8-95DA-F4A2076AF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6</Pages>
  <Words>1459</Words>
  <Characters>8318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130</cp:revision>
  <dcterms:created xsi:type="dcterms:W3CDTF">2018-10-26T12:35:00Z</dcterms:created>
  <dcterms:modified xsi:type="dcterms:W3CDTF">2018-11-09T15:24:00Z</dcterms:modified>
</cp:coreProperties>
</file>