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65D48"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04D54EBA"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0639F88F"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79014842"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413E02AA"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02F902D0"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25ED8AE1"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24F59EC0"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7DD80164"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62BA4AC5"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1FD341B5" w14:textId="77777777" w:rsidR="00BF636F" w:rsidRPr="008645DF" w:rsidRDefault="00BF636F">
      <w:pPr>
        <w:jc w:val="center"/>
        <w:rPr>
          <w:rFonts w:ascii="Times New Roman" w:eastAsia="Times New Roman" w:hAnsi="Times New Roman" w:cs="Times New Roman"/>
          <w:b/>
          <w:color w:val="000000" w:themeColor="text1"/>
          <w:sz w:val="32"/>
          <w:szCs w:val="32"/>
        </w:rPr>
      </w:pPr>
    </w:p>
    <w:p w14:paraId="068C83F1" w14:textId="77777777" w:rsidR="005B1773" w:rsidRPr="008645DF" w:rsidRDefault="005B1773">
      <w:pPr>
        <w:jc w:val="center"/>
        <w:rPr>
          <w:rFonts w:ascii="Times New Roman" w:eastAsia="Times New Roman" w:hAnsi="Times New Roman" w:cs="Times New Roman"/>
          <w:b/>
          <w:color w:val="000000" w:themeColor="text1"/>
          <w:sz w:val="32"/>
          <w:szCs w:val="32"/>
        </w:rPr>
      </w:pPr>
      <w:r w:rsidRPr="008645DF">
        <w:rPr>
          <w:rFonts w:ascii="Times New Roman" w:eastAsia="Times New Roman" w:hAnsi="Times New Roman" w:cs="Times New Roman"/>
          <w:b/>
          <w:color w:val="000000" w:themeColor="text1"/>
          <w:sz w:val="32"/>
          <w:szCs w:val="32"/>
        </w:rPr>
        <w:t>Business Management Report- Comparison of Corinthia Hotels and Ibis Hotels</w:t>
      </w:r>
    </w:p>
    <w:p w14:paraId="57AE5717" w14:textId="77777777" w:rsidR="005B1773" w:rsidRPr="008645DF" w:rsidRDefault="005B1773">
      <w:pPr>
        <w:rPr>
          <w:rFonts w:ascii="Times New Roman" w:eastAsia="Times New Roman" w:hAnsi="Times New Roman" w:cs="Times New Roman"/>
          <w:b/>
          <w:color w:val="000000" w:themeColor="text1"/>
          <w:sz w:val="32"/>
          <w:szCs w:val="32"/>
        </w:rPr>
      </w:pPr>
      <w:r w:rsidRPr="008645DF">
        <w:rPr>
          <w:rFonts w:ascii="Times New Roman" w:eastAsia="Times New Roman" w:hAnsi="Times New Roman" w:cs="Times New Roman"/>
          <w:b/>
          <w:color w:val="000000" w:themeColor="text1"/>
          <w:sz w:val="32"/>
          <w:szCs w:val="32"/>
        </w:rPr>
        <w:br w:type="page"/>
      </w:r>
    </w:p>
    <w:sdt>
      <w:sdtPr>
        <w:rPr>
          <w:rFonts w:ascii="Arial" w:eastAsia="Arial" w:hAnsi="Arial" w:cs="Arial"/>
          <w:color w:val="000000" w:themeColor="text1"/>
          <w:sz w:val="22"/>
          <w:szCs w:val="22"/>
          <w:lang w:val="en"/>
        </w:rPr>
        <w:id w:val="-1087920082"/>
        <w:docPartObj>
          <w:docPartGallery w:val="Table of Contents"/>
          <w:docPartUnique/>
        </w:docPartObj>
      </w:sdtPr>
      <w:sdtEndPr>
        <w:rPr>
          <w:b/>
          <w:bCs/>
          <w:noProof/>
        </w:rPr>
      </w:sdtEndPr>
      <w:sdtContent>
        <w:p w14:paraId="56500371" w14:textId="77777777" w:rsidR="005B1773" w:rsidRPr="008645DF" w:rsidRDefault="005B1773" w:rsidP="005B1773">
          <w:pPr>
            <w:pStyle w:val="TOCHeading"/>
            <w:jc w:val="center"/>
            <w:rPr>
              <w:rFonts w:ascii="Times New Roman" w:hAnsi="Times New Roman" w:cs="Times New Roman"/>
              <w:b/>
              <w:color w:val="000000" w:themeColor="text1"/>
              <w:sz w:val="28"/>
            </w:rPr>
          </w:pPr>
          <w:r w:rsidRPr="008645DF">
            <w:rPr>
              <w:rFonts w:ascii="Times New Roman" w:hAnsi="Times New Roman" w:cs="Times New Roman"/>
              <w:b/>
              <w:color w:val="000000" w:themeColor="text1"/>
              <w:sz w:val="28"/>
            </w:rPr>
            <w:t>TABLE OF CONTENTS</w:t>
          </w:r>
        </w:p>
        <w:p w14:paraId="56A0EA14" w14:textId="77777777" w:rsidR="005B1773" w:rsidRPr="008645DF" w:rsidRDefault="005B1773" w:rsidP="005B1773">
          <w:pPr>
            <w:pStyle w:val="TOC1"/>
            <w:tabs>
              <w:tab w:val="right" w:leader="dot" w:pos="9350"/>
            </w:tabs>
            <w:spacing w:line="360" w:lineRule="auto"/>
            <w:jc w:val="both"/>
            <w:rPr>
              <w:rFonts w:ascii="Times New Roman" w:hAnsi="Times New Roman" w:cs="Times New Roman"/>
              <w:noProof/>
              <w:color w:val="000000" w:themeColor="text1"/>
              <w:sz w:val="24"/>
            </w:rPr>
          </w:pPr>
          <w:r w:rsidRPr="008645DF">
            <w:rPr>
              <w:color w:val="000000" w:themeColor="text1"/>
            </w:rPr>
            <w:fldChar w:fldCharType="begin"/>
          </w:r>
          <w:r w:rsidRPr="008645DF">
            <w:rPr>
              <w:color w:val="000000" w:themeColor="text1"/>
            </w:rPr>
            <w:instrText xml:space="preserve"> TOC \o "1-3" \h \z \u </w:instrText>
          </w:r>
          <w:r w:rsidRPr="008645DF">
            <w:rPr>
              <w:color w:val="000000" w:themeColor="text1"/>
            </w:rPr>
            <w:fldChar w:fldCharType="separate"/>
          </w:r>
          <w:hyperlink w:anchor="_Toc157427092" w:history="1">
            <w:r w:rsidRPr="008645DF">
              <w:rPr>
                <w:rStyle w:val="Hyperlink"/>
                <w:rFonts w:ascii="Times New Roman" w:hAnsi="Times New Roman" w:cs="Times New Roman"/>
                <w:noProof/>
                <w:color w:val="000000" w:themeColor="text1"/>
                <w:sz w:val="24"/>
              </w:rPr>
              <w:t>Introduction</w:t>
            </w:r>
            <w:r w:rsidRPr="008645DF">
              <w:rPr>
                <w:rFonts w:ascii="Times New Roman" w:hAnsi="Times New Roman" w:cs="Times New Roman"/>
                <w:noProof/>
                <w:webHidden/>
                <w:color w:val="000000" w:themeColor="text1"/>
                <w:sz w:val="24"/>
              </w:rPr>
              <w:tab/>
            </w:r>
            <w:r w:rsidRPr="008645DF">
              <w:rPr>
                <w:rFonts w:ascii="Times New Roman" w:hAnsi="Times New Roman" w:cs="Times New Roman"/>
                <w:noProof/>
                <w:webHidden/>
                <w:color w:val="000000" w:themeColor="text1"/>
                <w:sz w:val="24"/>
              </w:rPr>
              <w:fldChar w:fldCharType="begin"/>
            </w:r>
            <w:r w:rsidRPr="008645DF">
              <w:rPr>
                <w:rFonts w:ascii="Times New Roman" w:hAnsi="Times New Roman" w:cs="Times New Roman"/>
                <w:noProof/>
                <w:webHidden/>
                <w:color w:val="000000" w:themeColor="text1"/>
                <w:sz w:val="24"/>
              </w:rPr>
              <w:instrText xml:space="preserve"> PAGEREF _Toc157427092 \h </w:instrText>
            </w:r>
            <w:r w:rsidRPr="008645DF">
              <w:rPr>
                <w:rFonts w:ascii="Times New Roman" w:hAnsi="Times New Roman" w:cs="Times New Roman"/>
                <w:noProof/>
                <w:webHidden/>
                <w:color w:val="000000" w:themeColor="text1"/>
                <w:sz w:val="24"/>
              </w:rPr>
            </w:r>
            <w:r w:rsidRPr="008645DF">
              <w:rPr>
                <w:rFonts w:ascii="Times New Roman" w:hAnsi="Times New Roman" w:cs="Times New Roman"/>
                <w:noProof/>
                <w:webHidden/>
                <w:color w:val="000000" w:themeColor="text1"/>
                <w:sz w:val="24"/>
              </w:rPr>
              <w:fldChar w:fldCharType="separate"/>
            </w:r>
            <w:r w:rsidRPr="008645DF">
              <w:rPr>
                <w:rFonts w:ascii="Times New Roman" w:hAnsi="Times New Roman" w:cs="Times New Roman"/>
                <w:noProof/>
                <w:webHidden/>
                <w:color w:val="000000" w:themeColor="text1"/>
                <w:sz w:val="24"/>
              </w:rPr>
              <w:t>3</w:t>
            </w:r>
            <w:r w:rsidRPr="008645DF">
              <w:rPr>
                <w:rFonts w:ascii="Times New Roman" w:hAnsi="Times New Roman" w:cs="Times New Roman"/>
                <w:noProof/>
                <w:webHidden/>
                <w:color w:val="000000" w:themeColor="text1"/>
                <w:sz w:val="24"/>
              </w:rPr>
              <w:fldChar w:fldCharType="end"/>
            </w:r>
          </w:hyperlink>
        </w:p>
        <w:p w14:paraId="7640EDE9" w14:textId="77777777" w:rsidR="005B1773" w:rsidRPr="008645DF" w:rsidRDefault="00877008" w:rsidP="005B1773">
          <w:pPr>
            <w:pStyle w:val="TOC1"/>
            <w:tabs>
              <w:tab w:val="right" w:leader="dot" w:pos="9350"/>
            </w:tabs>
            <w:spacing w:line="360" w:lineRule="auto"/>
            <w:jc w:val="both"/>
            <w:rPr>
              <w:rFonts w:ascii="Times New Roman" w:hAnsi="Times New Roman" w:cs="Times New Roman"/>
              <w:noProof/>
              <w:color w:val="000000" w:themeColor="text1"/>
              <w:sz w:val="24"/>
            </w:rPr>
          </w:pPr>
          <w:hyperlink w:anchor="_Toc157427093" w:history="1">
            <w:r w:rsidR="005B1773" w:rsidRPr="008645DF">
              <w:rPr>
                <w:rStyle w:val="Hyperlink"/>
                <w:rFonts w:ascii="Times New Roman" w:hAnsi="Times New Roman" w:cs="Times New Roman"/>
                <w:noProof/>
                <w:color w:val="000000" w:themeColor="text1"/>
                <w:sz w:val="24"/>
              </w:rPr>
              <w:t>Discussion</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_Toc157427093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3</w:t>
            </w:r>
            <w:r w:rsidR="005B1773" w:rsidRPr="008645DF">
              <w:rPr>
                <w:rFonts w:ascii="Times New Roman" w:hAnsi="Times New Roman" w:cs="Times New Roman"/>
                <w:noProof/>
                <w:webHidden/>
                <w:color w:val="000000" w:themeColor="text1"/>
                <w:sz w:val="24"/>
              </w:rPr>
              <w:fldChar w:fldCharType="end"/>
            </w:r>
          </w:hyperlink>
        </w:p>
        <w:p w14:paraId="33F3EC05" w14:textId="77777777" w:rsidR="005B1773" w:rsidRPr="008645DF" w:rsidRDefault="00877008" w:rsidP="005B1773">
          <w:pPr>
            <w:pStyle w:val="TOC2"/>
            <w:tabs>
              <w:tab w:val="right" w:leader="dot" w:pos="9350"/>
            </w:tabs>
            <w:spacing w:line="360" w:lineRule="auto"/>
            <w:jc w:val="both"/>
            <w:rPr>
              <w:rFonts w:ascii="Times New Roman" w:hAnsi="Times New Roman" w:cs="Times New Roman"/>
              <w:noProof/>
              <w:color w:val="000000" w:themeColor="text1"/>
              <w:sz w:val="24"/>
            </w:rPr>
          </w:pPr>
          <w:hyperlink w:anchor="_Toc157427094" w:history="1">
            <w:r w:rsidR="005B1773" w:rsidRPr="008645DF">
              <w:rPr>
                <w:rStyle w:val="Hyperlink"/>
                <w:rFonts w:ascii="Times New Roman" w:hAnsi="Times New Roman" w:cs="Times New Roman"/>
                <w:noProof/>
                <w:color w:val="000000" w:themeColor="text1"/>
                <w:sz w:val="24"/>
              </w:rPr>
              <w:t>Analysis and comparison of revenues of two hotels</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_Toc157427094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3</w:t>
            </w:r>
            <w:r w:rsidR="005B1773" w:rsidRPr="008645DF">
              <w:rPr>
                <w:rFonts w:ascii="Times New Roman" w:hAnsi="Times New Roman" w:cs="Times New Roman"/>
                <w:noProof/>
                <w:webHidden/>
                <w:color w:val="000000" w:themeColor="text1"/>
                <w:sz w:val="24"/>
              </w:rPr>
              <w:fldChar w:fldCharType="end"/>
            </w:r>
          </w:hyperlink>
        </w:p>
        <w:p w14:paraId="2FB256B5" w14:textId="77777777" w:rsidR="005B1773" w:rsidRPr="008645DF" w:rsidRDefault="00877008" w:rsidP="005B1773">
          <w:pPr>
            <w:pStyle w:val="TOC2"/>
            <w:tabs>
              <w:tab w:val="right" w:leader="dot" w:pos="9350"/>
            </w:tabs>
            <w:spacing w:line="360" w:lineRule="auto"/>
            <w:jc w:val="both"/>
            <w:rPr>
              <w:rFonts w:ascii="Times New Roman" w:hAnsi="Times New Roman" w:cs="Times New Roman"/>
              <w:noProof/>
              <w:color w:val="000000" w:themeColor="text1"/>
              <w:sz w:val="24"/>
            </w:rPr>
          </w:pPr>
          <w:hyperlink w:anchor="_Toc157427095" w:history="1">
            <w:r w:rsidR="005B1773" w:rsidRPr="008645DF">
              <w:rPr>
                <w:rStyle w:val="Hyperlink"/>
                <w:rFonts w:ascii="Times New Roman" w:hAnsi="Times New Roman" w:cs="Times New Roman"/>
                <w:noProof/>
                <w:color w:val="000000" w:themeColor="text1"/>
                <w:sz w:val="24"/>
              </w:rPr>
              <w:t>Assessing the market positions for both hotels</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_Toc157427095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5</w:t>
            </w:r>
            <w:r w:rsidR="005B1773" w:rsidRPr="008645DF">
              <w:rPr>
                <w:rFonts w:ascii="Times New Roman" w:hAnsi="Times New Roman" w:cs="Times New Roman"/>
                <w:noProof/>
                <w:webHidden/>
                <w:color w:val="000000" w:themeColor="text1"/>
                <w:sz w:val="24"/>
              </w:rPr>
              <w:fldChar w:fldCharType="end"/>
            </w:r>
          </w:hyperlink>
        </w:p>
        <w:p w14:paraId="67B51DE4" w14:textId="77777777" w:rsidR="005B1773" w:rsidRPr="008645DF" w:rsidRDefault="00877008" w:rsidP="005B1773">
          <w:pPr>
            <w:pStyle w:val="TOC2"/>
            <w:tabs>
              <w:tab w:val="right" w:leader="dot" w:pos="9350"/>
            </w:tabs>
            <w:spacing w:line="360" w:lineRule="auto"/>
            <w:jc w:val="both"/>
            <w:rPr>
              <w:rFonts w:ascii="Times New Roman" w:hAnsi="Times New Roman" w:cs="Times New Roman"/>
              <w:noProof/>
              <w:color w:val="000000" w:themeColor="text1"/>
              <w:sz w:val="24"/>
            </w:rPr>
          </w:pPr>
          <w:hyperlink w:anchor="_Toc157427096" w:history="1">
            <w:r w:rsidR="005B1773" w:rsidRPr="008645DF">
              <w:rPr>
                <w:rStyle w:val="Hyperlink"/>
                <w:rFonts w:ascii="Times New Roman" w:hAnsi="Times New Roman" w:cs="Times New Roman"/>
                <w:noProof/>
                <w:color w:val="000000" w:themeColor="text1"/>
                <w:sz w:val="24"/>
              </w:rPr>
              <w:t>Evaluation of growth potential for both hotels</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_Toc157427096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7</w:t>
            </w:r>
            <w:r w:rsidR="005B1773" w:rsidRPr="008645DF">
              <w:rPr>
                <w:rFonts w:ascii="Times New Roman" w:hAnsi="Times New Roman" w:cs="Times New Roman"/>
                <w:noProof/>
                <w:webHidden/>
                <w:color w:val="000000" w:themeColor="text1"/>
                <w:sz w:val="24"/>
              </w:rPr>
              <w:fldChar w:fldCharType="end"/>
            </w:r>
          </w:hyperlink>
        </w:p>
        <w:p w14:paraId="2A48A040" w14:textId="77777777" w:rsidR="005B1773" w:rsidRPr="008645DF" w:rsidRDefault="00877008" w:rsidP="005B1773">
          <w:pPr>
            <w:pStyle w:val="TOC2"/>
            <w:tabs>
              <w:tab w:val="right" w:leader="dot" w:pos="9350"/>
            </w:tabs>
            <w:spacing w:line="360" w:lineRule="auto"/>
            <w:jc w:val="both"/>
            <w:rPr>
              <w:rFonts w:ascii="Times New Roman" w:hAnsi="Times New Roman" w:cs="Times New Roman"/>
              <w:noProof/>
              <w:color w:val="000000" w:themeColor="text1"/>
              <w:sz w:val="24"/>
            </w:rPr>
          </w:pPr>
          <w:hyperlink w:anchor="_Toc157427097" w:history="1">
            <w:r w:rsidR="005B1773" w:rsidRPr="008645DF">
              <w:rPr>
                <w:rStyle w:val="Hyperlink"/>
                <w:rFonts w:ascii="Times New Roman" w:hAnsi="Times New Roman" w:cs="Times New Roman"/>
                <w:noProof/>
                <w:color w:val="000000" w:themeColor="text1"/>
                <w:sz w:val="24"/>
              </w:rPr>
              <w:t>Financial commitment to CSR</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_Toc157427097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8</w:t>
            </w:r>
            <w:r w:rsidR="005B1773" w:rsidRPr="008645DF">
              <w:rPr>
                <w:rFonts w:ascii="Times New Roman" w:hAnsi="Times New Roman" w:cs="Times New Roman"/>
                <w:noProof/>
                <w:webHidden/>
                <w:color w:val="000000" w:themeColor="text1"/>
                <w:sz w:val="24"/>
              </w:rPr>
              <w:fldChar w:fldCharType="end"/>
            </w:r>
          </w:hyperlink>
        </w:p>
        <w:p w14:paraId="3F388AB8" w14:textId="77777777" w:rsidR="005B1773" w:rsidRPr="008645DF" w:rsidRDefault="00877008" w:rsidP="005B1773">
          <w:pPr>
            <w:pStyle w:val="TOC2"/>
            <w:tabs>
              <w:tab w:val="right" w:leader="dot" w:pos="9350"/>
            </w:tabs>
            <w:spacing w:line="360" w:lineRule="auto"/>
            <w:jc w:val="both"/>
            <w:rPr>
              <w:rFonts w:ascii="Times New Roman" w:hAnsi="Times New Roman" w:cs="Times New Roman"/>
              <w:noProof/>
              <w:color w:val="000000" w:themeColor="text1"/>
              <w:sz w:val="24"/>
            </w:rPr>
          </w:pPr>
          <w:hyperlink w:anchor="_Toc157427098" w:history="1">
            <w:r w:rsidR="005B1773" w:rsidRPr="008645DF">
              <w:rPr>
                <w:rStyle w:val="Hyperlink"/>
                <w:rFonts w:ascii="Times New Roman" w:hAnsi="Times New Roman" w:cs="Times New Roman"/>
                <w:noProof/>
                <w:color w:val="000000" w:themeColor="text1"/>
                <w:sz w:val="24"/>
              </w:rPr>
              <w:t>Recommendations</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_Toc157427098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9</w:t>
            </w:r>
            <w:r w:rsidR="005B1773" w:rsidRPr="008645DF">
              <w:rPr>
                <w:rFonts w:ascii="Times New Roman" w:hAnsi="Times New Roman" w:cs="Times New Roman"/>
                <w:noProof/>
                <w:webHidden/>
                <w:color w:val="000000" w:themeColor="text1"/>
                <w:sz w:val="24"/>
              </w:rPr>
              <w:fldChar w:fldCharType="end"/>
            </w:r>
          </w:hyperlink>
        </w:p>
        <w:p w14:paraId="772E9C04" w14:textId="77777777" w:rsidR="005B1773" w:rsidRPr="008645DF" w:rsidRDefault="00877008" w:rsidP="005B1773">
          <w:pPr>
            <w:pStyle w:val="TOC1"/>
            <w:tabs>
              <w:tab w:val="right" w:leader="dot" w:pos="9350"/>
            </w:tabs>
            <w:spacing w:line="360" w:lineRule="auto"/>
            <w:jc w:val="both"/>
            <w:rPr>
              <w:rFonts w:ascii="Times New Roman" w:hAnsi="Times New Roman" w:cs="Times New Roman"/>
              <w:noProof/>
              <w:color w:val="000000" w:themeColor="text1"/>
              <w:sz w:val="24"/>
            </w:rPr>
          </w:pPr>
          <w:hyperlink w:anchor="_Toc157427099" w:history="1">
            <w:r w:rsidR="005B1773" w:rsidRPr="008645DF">
              <w:rPr>
                <w:rStyle w:val="Hyperlink"/>
                <w:rFonts w:ascii="Times New Roman" w:hAnsi="Times New Roman" w:cs="Times New Roman"/>
                <w:noProof/>
                <w:color w:val="000000" w:themeColor="text1"/>
                <w:sz w:val="24"/>
              </w:rPr>
              <w:t>Conclusion</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_Toc157427099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9</w:t>
            </w:r>
            <w:r w:rsidR="005B1773" w:rsidRPr="008645DF">
              <w:rPr>
                <w:rFonts w:ascii="Times New Roman" w:hAnsi="Times New Roman" w:cs="Times New Roman"/>
                <w:noProof/>
                <w:webHidden/>
                <w:color w:val="000000" w:themeColor="text1"/>
                <w:sz w:val="24"/>
              </w:rPr>
              <w:fldChar w:fldCharType="end"/>
            </w:r>
          </w:hyperlink>
        </w:p>
        <w:p w14:paraId="52244A3A" w14:textId="77777777" w:rsidR="005B1773" w:rsidRPr="008645DF" w:rsidRDefault="00877008" w:rsidP="005B1773">
          <w:pPr>
            <w:pStyle w:val="TOC1"/>
            <w:tabs>
              <w:tab w:val="right" w:leader="dot" w:pos="9350"/>
            </w:tabs>
            <w:spacing w:line="360" w:lineRule="auto"/>
            <w:jc w:val="both"/>
            <w:rPr>
              <w:rFonts w:ascii="Times New Roman" w:hAnsi="Times New Roman" w:cs="Times New Roman"/>
              <w:noProof/>
              <w:color w:val="000000" w:themeColor="text1"/>
              <w:sz w:val="24"/>
            </w:rPr>
          </w:pPr>
          <w:hyperlink w:anchor="_Toc157427100" w:history="1">
            <w:r w:rsidR="005B1773" w:rsidRPr="008645DF">
              <w:rPr>
                <w:rStyle w:val="Hyperlink"/>
                <w:rFonts w:ascii="Times New Roman" w:hAnsi="Times New Roman" w:cs="Times New Roman"/>
                <w:noProof/>
                <w:color w:val="000000" w:themeColor="text1"/>
                <w:sz w:val="24"/>
              </w:rPr>
              <w:t>Reference List</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_Toc157427100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10</w:t>
            </w:r>
            <w:r w:rsidR="005B1773" w:rsidRPr="008645DF">
              <w:rPr>
                <w:rFonts w:ascii="Times New Roman" w:hAnsi="Times New Roman" w:cs="Times New Roman"/>
                <w:noProof/>
                <w:webHidden/>
                <w:color w:val="000000" w:themeColor="text1"/>
                <w:sz w:val="24"/>
              </w:rPr>
              <w:fldChar w:fldCharType="end"/>
            </w:r>
          </w:hyperlink>
        </w:p>
        <w:p w14:paraId="554067D0" w14:textId="77777777" w:rsidR="005B1773" w:rsidRPr="008645DF" w:rsidRDefault="00877008" w:rsidP="005B1773">
          <w:pPr>
            <w:pStyle w:val="TOC1"/>
            <w:tabs>
              <w:tab w:val="right" w:leader="dot" w:pos="9350"/>
            </w:tabs>
            <w:spacing w:line="360" w:lineRule="auto"/>
            <w:jc w:val="both"/>
            <w:rPr>
              <w:rFonts w:ascii="Times New Roman" w:hAnsi="Times New Roman" w:cs="Times New Roman"/>
              <w:noProof/>
              <w:color w:val="000000" w:themeColor="text1"/>
              <w:sz w:val="24"/>
            </w:rPr>
          </w:pPr>
          <w:hyperlink w:anchor="_Toc157427101" w:history="1">
            <w:r w:rsidR="005B1773" w:rsidRPr="008645DF">
              <w:rPr>
                <w:rStyle w:val="Hyperlink"/>
                <w:rFonts w:ascii="Times New Roman" w:hAnsi="Times New Roman" w:cs="Times New Roman"/>
                <w:noProof/>
                <w:color w:val="000000" w:themeColor="text1"/>
                <w:sz w:val="24"/>
              </w:rPr>
              <w:t>Appendices</w:t>
            </w:r>
            <w:r w:rsidR="005B1773" w:rsidRPr="008645DF">
              <w:rPr>
                <w:rFonts w:ascii="Times New Roman" w:hAnsi="Times New Roman" w:cs="Times New Roman"/>
                <w:noProof/>
                <w:webHidden/>
                <w:color w:val="000000" w:themeColor="text1"/>
                <w:sz w:val="24"/>
              </w:rPr>
              <w:tab/>
            </w:r>
            <w:r w:rsidR="005B1773" w:rsidRPr="008645DF">
              <w:rPr>
                <w:rFonts w:ascii="Times New Roman" w:hAnsi="Times New Roman" w:cs="Times New Roman"/>
                <w:noProof/>
                <w:webHidden/>
                <w:color w:val="000000" w:themeColor="text1"/>
                <w:sz w:val="24"/>
              </w:rPr>
              <w:fldChar w:fldCharType="begin"/>
            </w:r>
            <w:r w:rsidR="005B1773" w:rsidRPr="008645DF">
              <w:rPr>
                <w:rFonts w:ascii="Times New Roman" w:hAnsi="Times New Roman" w:cs="Times New Roman"/>
                <w:noProof/>
                <w:webHidden/>
                <w:color w:val="000000" w:themeColor="text1"/>
                <w:sz w:val="24"/>
              </w:rPr>
              <w:instrText xml:space="preserve"> PAGEREF _Toc157427101 \h </w:instrText>
            </w:r>
            <w:r w:rsidR="005B1773" w:rsidRPr="008645DF">
              <w:rPr>
                <w:rFonts w:ascii="Times New Roman" w:hAnsi="Times New Roman" w:cs="Times New Roman"/>
                <w:noProof/>
                <w:webHidden/>
                <w:color w:val="000000" w:themeColor="text1"/>
                <w:sz w:val="24"/>
              </w:rPr>
            </w:r>
            <w:r w:rsidR="005B1773" w:rsidRPr="008645DF">
              <w:rPr>
                <w:rFonts w:ascii="Times New Roman" w:hAnsi="Times New Roman" w:cs="Times New Roman"/>
                <w:noProof/>
                <w:webHidden/>
                <w:color w:val="000000" w:themeColor="text1"/>
                <w:sz w:val="24"/>
              </w:rPr>
              <w:fldChar w:fldCharType="separate"/>
            </w:r>
            <w:r w:rsidR="005B1773" w:rsidRPr="008645DF">
              <w:rPr>
                <w:rFonts w:ascii="Times New Roman" w:hAnsi="Times New Roman" w:cs="Times New Roman"/>
                <w:noProof/>
                <w:webHidden/>
                <w:color w:val="000000" w:themeColor="text1"/>
                <w:sz w:val="24"/>
              </w:rPr>
              <w:t>12</w:t>
            </w:r>
            <w:r w:rsidR="005B1773" w:rsidRPr="008645DF">
              <w:rPr>
                <w:rFonts w:ascii="Times New Roman" w:hAnsi="Times New Roman" w:cs="Times New Roman"/>
                <w:noProof/>
                <w:webHidden/>
                <w:color w:val="000000" w:themeColor="text1"/>
                <w:sz w:val="24"/>
              </w:rPr>
              <w:fldChar w:fldCharType="end"/>
            </w:r>
          </w:hyperlink>
        </w:p>
        <w:p w14:paraId="22DB811D" w14:textId="77777777" w:rsidR="005B1773" w:rsidRPr="008645DF" w:rsidRDefault="005B1773">
          <w:pPr>
            <w:rPr>
              <w:color w:val="000000" w:themeColor="text1"/>
            </w:rPr>
          </w:pPr>
          <w:r w:rsidRPr="008645DF">
            <w:rPr>
              <w:b/>
              <w:bCs/>
              <w:noProof/>
              <w:color w:val="000000" w:themeColor="text1"/>
            </w:rPr>
            <w:fldChar w:fldCharType="end"/>
          </w:r>
        </w:p>
      </w:sdtContent>
    </w:sdt>
    <w:p w14:paraId="59F4F440" w14:textId="77777777" w:rsidR="00BF636F" w:rsidRPr="008645DF" w:rsidRDefault="00BF636F" w:rsidP="005B1773">
      <w:pPr>
        <w:rPr>
          <w:rFonts w:ascii="Times New Roman" w:eastAsia="Times New Roman" w:hAnsi="Times New Roman" w:cs="Times New Roman"/>
          <w:b/>
          <w:color w:val="000000" w:themeColor="text1"/>
          <w:sz w:val="32"/>
          <w:szCs w:val="32"/>
        </w:rPr>
      </w:pPr>
    </w:p>
    <w:p w14:paraId="254B165D" w14:textId="77777777" w:rsidR="00BF636F" w:rsidRPr="008645DF" w:rsidRDefault="005B1773">
      <w:pPr>
        <w:rPr>
          <w:rFonts w:ascii="Times New Roman" w:eastAsia="Times New Roman" w:hAnsi="Times New Roman" w:cs="Times New Roman"/>
          <w:b/>
          <w:color w:val="000000" w:themeColor="text1"/>
          <w:sz w:val="32"/>
          <w:szCs w:val="32"/>
        </w:rPr>
      </w:pPr>
      <w:r w:rsidRPr="008645DF">
        <w:rPr>
          <w:color w:val="000000" w:themeColor="text1"/>
        </w:rPr>
        <w:br w:type="page"/>
      </w:r>
    </w:p>
    <w:p w14:paraId="4CA5C2D4" w14:textId="77777777" w:rsidR="00BF636F" w:rsidRPr="008645DF" w:rsidRDefault="005B1773" w:rsidP="005B1773">
      <w:pPr>
        <w:pStyle w:val="Heading1"/>
        <w:rPr>
          <w:color w:val="000000" w:themeColor="text1"/>
        </w:rPr>
      </w:pPr>
      <w:bookmarkStart w:id="0" w:name="_Toc157427092"/>
      <w:r w:rsidRPr="008645DF">
        <w:rPr>
          <w:color w:val="000000" w:themeColor="text1"/>
        </w:rPr>
        <w:lastRenderedPageBreak/>
        <w:t>Introduction</w:t>
      </w:r>
      <w:bookmarkEnd w:id="0"/>
    </w:p>
    <w:p w14:paraId="0E301F14"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 xml:space="preserve">Efficient financial management is crucial for maintaining development and profitability in the </w:t>
      </w:r>
      <w:r w:rsidR="004778BD" w:rsidRPr="008645DF">
        <w:rPr>
          <w:rFonts w:ascii="Times New Roman" w:eastAsia="Times New Roman" w:hAnsi="Times New Roman" w:cs="Times New Roman"/>
          <w:color w:val="000000" w:themeColor="text1"/>
          <w:sz w:val="24"/>
          <w:szCs w:val="24"/>
        </w:rPr>
        <w:t>aggressive and</w:t>
      </w:r>
      <w:r w:rsidRPr="008645DF">
        <w:rPr>
          <w:rFonts w:ascii="Times New Roman" w:eastAsia="Times New Roman" w:hAnsi="Times New Roman" w:cs="Times New Roman"/>
          <w:color w:val="000000" w:themeColor="text1"/>
          <w:sz w:val="24"/>
          <w:szCs w:val="24"/>
        </w:rPr>
        <w:t xml:space="preserve"> competitive hotel</w:t>
      </w:r>
      <w:r w:rsidR="004778BD" w:rsidRPr="008645DF">
        <w:rPr>
          <w:rFonts w:ascii="Times New Roman" w:eastAsia="Times New Roman" w:hAnsi="Times New Roman" w:cs="Times New Roman"/>
          <w:color w:val="000000" w:themeColor="text1"/>
          <w:sz w:val="24"/>
          <w:szCs w:val="24"/>
        </w:rPr>
        <w:t xml:space="preserve"> and hospitality</w:t>
      </w:r>
      <w:r w:rsidRPr="008645DF">
        <w:rPr>
          <w:rFonts w:ascii="Times New Roman" w:eastAsia="Times New Roman" w:hAnsi="Times New Roman" w:cs="Times New Roman"/>
          <w:color w:val="000000" w:themeColor="text1"/>
          <w:sz w:val="24"/>
          <w:szCs w:val="24"/>
        </w:rPr>
        <w:t xml:space="preserve"> sector. In this report, two well-known companies in the hospitality industry Corinthia Hotel Group and Ibis Hotels are compared. This report attempts to give understandings into the strengths and weaknesses of each firm by a thorough evaluation of numerous financial management factors, such as total revenue, market position, development potential, and CSR commitments. The report can identify the tactics and methods that support their sustainability and financial performance by assessing these crucial areas, and </w:t>
      </w:r>
      <w:r w:rsidR="004778BD" w:rsidRPr="008645DF">
        <w:rPr>
          <w:rFonts w:ascii="Times New Roman" w:eastAsia="Times New Roman" w:hAnsi="Times New Roman" w:cs="Times New Roman"/>
          <w:color w:val="000000" w:themeColor="text1"/>
          <w:sz w:val="24"/>
          <w:szCs w:val="24"/>
        </w:rPr>
        <w:t>the report</w:t>
      </w:r>
      <w:r w:rsidRPr="008645DF">
        <w:rPr>
          <w:rFonts w:ascii="Times New Roman" w:eastAsia="Times New Roman" w:hAnsi="Times New Roman" w:cs="Times New Roman"/>
          <w:color w:val="000000" w:themeColor="text1"/>
          <w:sz w:val="24"/>
          <w:szCs w:val="24"/>
        </w:rPr>
        <w:t xml:space="preserve"> </w:t>
      </w:r>
      <w:r w:rsidR="004778BD" w:rsidRPr="008645DF">
        <w:rPr>
          <w:rFonts w:ascii="Times New Roman" w:eastAsia="Times New Roman" w:hAnsi="Times New Roman" w:cs="Times New Roman"/>
          <w:color w:val="000000" w:themeColor="text1"/>
          <w:sz w:val="24"/>
          <w:szCs w:val="24"/>
        </w:rPr>
        <w:t xml:space="preserve">has been </w:t>
      </w:r>
      <w:r w:rsidRPr="008645DF">
        <w:rPr>
          <w:rFonts w:ascii="Times New Roman" w:eastAsia="Times New Roman" w:hAnsi="Times New Roman" w:cs="Times New Roman"/>
          <w:color w:val="000000" w:themeColor="text1"/>
          <w:sz w:val="24"/>
          <w:szCs w:val="24"/>
        </w:rPr>
        <w:t>provide</w:t>
      </w:r>
      <w:r w:rsidR="004778BD" w:rsidRPr="008645DF">
        <w:rPr>
          <w:rFonts w:ascii="Times New Roman" w:eastAsia="Times New Roman" w:hAnsi="Times New Roman" w:cs="Times New Roman"/>
          <w:color w:val="000000" w:themeColor="text1"/>
          <w:sz w:val="24"/>
          <w:szCs w:val="24"/>
        </w:rPr>
        <w:t>d</w:t>
      </w:r>
      <w:r w:rsidRPr="008645DF">
        <w:rPr>
          <w:rFonts w:ascii="Times New Roman" w:eastAsia="Times New Roman" w:hAnsi="Times New Roman" w:cs="Times New Roman"/>
          <w:color w:val="000000" w:themeColor="text1"/>
          <w:sz w:val="24"/>
          <w:szCs w:val="24"/>
        </w:rPr>
        <w:t xml:space="preserve"> informative suggestions for future improvement.</w:t>
      </w:r>
    </w:p>
    <w:p w14:paraId="6724F07F" w14:textId="77777777" w:rsidR="00BF636F" w:rsidRPr="008645DF" w:rsidRDefault="005B1773" w:rsidP="005B1773">
      <w:pPr>
        <w:pStyle w:val="Heading1"/>
        <w:rPr>
          <w:color w:val="000000" w:themeColor="text1"/>
        </w:rPr>
      </w:pPr>
      <w:bookmarkStart w:id="1" w:name="_Toc157427093"/>
      <w:r w:rsidRPr="008645DF">
        <w:rPr>
          <w:color w:val="000000" w:themeColor="text1"/>
        </w:rPr>
        <w:t>Discussion</w:t>
      </w:r>
      <w:bookmarkEnd w:id="1"/>
    </w:p>
    <w:p w14:paraId="0F2B14C0" w14:textId="77777777" w:rsidR="00BF636F" w:rsidRPr="008645DF" w:rsidRDefault="005B1773" w:rsidP="005B1773">
      <w:pPr>
        <w:pStyle w:val="Heading2"/>
        <w:rPr>
          <w:color w:val="000000" w:themeColor="text1"/>
        </w:rPr>
      </w:pPr>
      <w:bookmarkStart w:id="2" w:name="_Toc157427094"/>
      <w:r w:rsidRPr="008645DF">
        <w:rPr>
          <w:color w:val="000000" w:themeColor="text1"/>
        </w:rPr>
        <w:t>Analysis and comparison of revenues of two hotels</w:t>
      </w:r>
      <w:bookmarkEnd w:id="2"/>
    </w:p>
    <w:p w14:paraId="02C7D0B6" w14:textId="77777777" w:rsidR="00BF636F" w:rsidRPr="008645DF" w:rsidRDefault="007E4F4E">
      <w:pPr>
        <w:spacing w:before="240" w:after="240"/>
        <w:jc w:val="center"/>
        <w:rPr>
          <w:rFonts w:ascii="Times New Roman" w:eastAsia="Times New Roman" w:hAnsi="Times New Roman" w:cs="Times New Roman"/>
          <w:color w:val="000000" w:themeColor="text1"/>
          <w:sz w:val="24"/>
          <w:szCs w:val="24"/>
        </w:rPr>
      </w:pPr>
      <w:r w:rsidRPr="008645DF">
        <w:rPr>
          <w:noProof/>
          <w:color w:val="000000" w:themeColor="text1"/>
          <w:lang w:val="en-US"/>
        </w:rPr>
        <w:drawing>
          <wp:inline distT="0" distB="0" distL="0" distR="0" wp14:anchorId="6E6ADA44" wp14:editId="144449E2">
            <wp:extent cx="5943600" cy="137541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375410"/>
                    </a:xfrm>
                    <a:prstGeom prst="rect">
                      <a:avLst/>
                    </a:prstGeom>
                    <a:noFill/>
                  </pic:spPr>
                </pic:pic>
              </a:graphicData>
            </a:graphic>
          </wp:inline>
        </w:drawing>
      </w:r>
    </w:p>
    <w:p w14:paraId="469E8A1E" w14:textId="77777777" w:rsidR="00BF636F" w:rsidRPr="008645DF" w:rsidRDefault="005B1773">
      <w:pPr>
        <w:jc w:val="cente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Figure 1: Revenue and other metrics of performance for both the hotels</w:t>
      </w:r>
    </w:p>
    <w:p w14:paraId="4B257CFD" w14:textId="77777777" w:rsidR="00BF636F" w:rsidRPr="008645DF" w:rsidRDefault="005B1773">
      <w:pPr>
        <w:jc w:val="center"/>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(Source: Self-created in MS EXCEL)</w:t>
      </w:r>
    </w:p>
    <w:p w14:paraId="7838C974"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Ibis Hotels outperformed Corinthia Hotels in terms of revenue, profitability, and market share, as seen by the table, which also reveals that Ibis Hotels had greater RevPAR, OCC, GOPPAR, and MPI in 2021. This can be explained by the fact that Corinthia Hotels, a luxury hotel brand that was more severely impacted by the COVID-19 outbreak, is smaller and less resilient in the market than Ibis Hotels, a cheap hotel brand.</w:t>
      </w:r>
    </w:p>
    <w:p w14:paraId="35955549"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Since Ibis Hotels is a division of the Accor Group and Corinthia Hotels is a stand-alone business, the total income made by the two organizations cannot be directly compared (</w:t>
      </w:r>
      <w:r w:rsidRPr="008645DF">
        <w:rPr>
          <w:rFonts w:ascii="Times New Roman" w:hAnsi="Times New Roman" w:cs="Times New Roman"/>
          <w:color w:val="000000" w:themeColor="text1"/>
          <w:sz w:val="24"/>
          <w:szCs w:val="20"/>
          <w:shd w:val="clear" w:color="auto" w:fill="FFFFFF"/>
        </w:rPr>
        <w:t>Anđelković, 2020</w:t>
      </w:r>
      <w:r w:rsidRPr="008645DF">
        <w:rPr>
          <w:rFonts w:ascii="Times New Roman" w:eastAsia="Times New Roman" w:hAnsi="Times New Roman" w:cs="Times New Roman"/>
          <w:color w:val="000000" w:themeColor="text1"/>
          <w:sz w:val="24"/>
          <w:szCs w:val="24"/>
        </w:rPr>
        <w:t xml:space="preserve">). Nevertheless, the </w:t>
      </w:r>
      <w:r w:rsidR="004778BD" w:rsidRPr="008645DF">
        <w:rPr>
          <w:rFonts w:ascii="Times New Roman" w:eastAsia="Times New Roman" w:hAnsi="Times New Roman" w:cs="Times New Roman"/>
          <w:color w:val="000000" w:themeColor="text1"/>
          <w:sz w:val="24"/>
          <w:szCs w:val="24"/>
        </w:rPr>
        <w:t>report</w:t>
      </w:r>
      <w:r w:rsidRPr="008645DF">
        <w:rPr>
          <w:rFonts w:ascii="Times New Roman" w:eastAsia="Times New Roman" w:hAnsi="Times New Roman" w:cs="Times New Roman"/>
          <w:color w:val="000000" w:themeColor="text1"/>
          <w:sz w:val="24"/>
          <w:szCs w:val="24"/>
        </w:rPr>
        <w:t xml:space="preserve"> have produced a table that displays the projected revenue for Corinthia Hotels and the economy division of Accor Group, which includes Ibis Hotels and other brands, for the years 2019, 2020, and 2021 based on the data that is currently available. The primary revenue </w:t>
      </w:r>
      <w:r w:rsidRPr="008645DF">
        <w:rPr>
          <w:rFonts w:ascii="Times New Roman" w:eastAsia="Times New Roman" w:hAnsi="Times New Roman" w:cs="Times New Roman"/>
          <w:color w:val="000000" w:themeColor="text1"/>
          <w:sz w:val="24"/>
          <w:szCs w:val="24"/>
        </w:rPr>
        <w:lastRenderedPageBreak/>
        <w:t>streams for both establishments are from the selling of rooms, food and beverage items, and other services (</w:t>
      </w:r>
      <w:r w:rsidRPr="008645DF">
        <w:rPr>
          <w:rFonts w:ascii="Times New Roman" w:hAnsi="Times New Roman" w:cs="Times New Roman"/>
          <w:color w:val="000000" w:themeColor="text1"/>
          <w:sz w:val="24"/>
          <w:szCs w:val="20"/>
          <w:shd w:val="clear" w:color="auto" w:fill="FFFFFF"/>
        </w:rPr>
        <w:t xml:space="preserve">Anicic </w:t>
      </w:r>
      <w:r w:rsidRPr="008645DF">
        <w:rPr>
          <w:rFonts w:ascii="Times New Roman" w:hAnsi="Times New Roman" w:cs="Times New Roman"/>
          <w:i/>
          <w:color w:val="000000" w:themeColor="text1"/>
          <w:sz w:val="24"/>
          <w:szCs w:val="20"/>
          <w:shd w:val="clear" w:color="auto" w:fill="FFFFFF"/>
        </w:rPr>
        <w:t>et al</w:t>
      </w:r>
      <w:r w:rsidRPr="008645DF">
        <w:rPr>
          <w:rFonts w:ascii="Times New Roman" w:hAnsi="Times New Roman" w:cs="Times New Roman"/>
          <w:color w:val="000000" w:themeColor="text1"/>
          <w:sz w:val="24"/>
          <w:szCs w:val="20"/>
          <w:shd w:val="clear" w:color="auto" w:fill="FFFFFF"/>
        </w:rPr>
        <w:t>., 2023</w:t>
      </w:r>
      <w:r w:rsidRPr="008645DF">
        <w:rPr>
          <w:rFonts w:ascii="Times New Roman" w:eastAsia="Times New Roman" w:hAnsi="Times New Roman" w:cs="Times New Roman"/>
          <w:color w:val="000000" w:themeColor="text1"/>
          <w:sz w:val="24"/>
          <w:szCs w:val="24"/>
        </w:rPr>
        <w:t>). However, according on the region, time of year, and state of the market, the revenue mix may change (</w:t>
      </w:r>
      <w:r w:rsidRPr="008645DF">
        <w:rPr>
          <w:rFonts w:ascii="Times New Roman" w:hAnsi="Times New Roman" w:cs="Times New Roman"/>
          <w:color w:val="000000" w:themeColor="text1"/>
          <w:sz w:val="24"/>
          <w:szCs w:val="20"/>
          <w:shd w:val="clear" w:color="auto" w:fill="FFFFFF"/>
        </w:rPr>
        <w:t xml:space="preserve">Mueller and </w:t>
      </w:r>
      <w:proofErr w:type="spellStart"/>
      <w:r w:rsidRPr="008645DF">
        <w:rPr>
          <w:rFonts w:ascii="Times New Roman" w:hAnsi="Times New Roman" w:cs="Times New Roman"/>
          <w:color w:val="000000" w:themeColor="text1"/>
          <w:sz w:val="24"/>
          <w:szCs w:val="20"/>
          <w:shd w:val="clear" w:color="auto" w:fill="FFFFFF"/>
        </w:rPr>
        <w:t>Sensini</w:t>
      </w:r>
      <w:proofErr w:type="spellEnd"/>
      <w:r w:rsidRPr="008645DF">
        <w:rPr>
          <w:rFonts w:ascii="Times New Roman" w:hAnsi="Times New Roman" w:cs="Times New Roman"/>
          <w:color w:val="000000" w:themeColor="text1"/>
          <w:sz w:val="24"/>
          <w:szCs w:val="20"/>
          <w:shd w:val="clear" w:color="auto" w:fill="FFFFFF"/>
        </w:rPr>
        <w:t>, 2021</w:t>
      </w:r>
      <w:r w:rsidRPr="008645DF">
        <w:rPr>
          <w:rFonts w:ascii="Times New Roman" w:eastAsia="Times New Roman" w:hAnsi="Times New Roman" w:cs="Times New Roman"/>
          <w:color w:val="000000" w:themeColor="text1"/>
          <w:sz w:val="24"/>
          <w:szCs w:val="24"/>
        </w:rPr>
        <w:t xml:space="preserve">). Given that it provides fine dining and catering services in its upscale hotels, Corinthia Hotels, for instance, may generate a larger percentage of income from food and beverage sales. </w:t>
      </w:r>
      <w:r w:rsidR="004778BD" w:rsidRPr="008645DF">
        <w:rPr>
          <w:rFonts w:ascii="Times New Roman" w:eastAsia="Times New Roman" w:hAnsi="Times New Roman" w:cs="Times New Roman"/>
          <w:color w:val="000000" w:themeColor="text1"/>
          <w:sz w:val="24"/>
          <w:szCs w:val="24"/>
        </w:rPr>
        <w:t>Providing</w:t>
      </w:r>
      <w:r w:rsidRPr="008645DF">
        <w:rPr>
          <w:rFonts w:ascii="Times New Roman" w:eastAsia="Times New Roman" w:hAnsi="Times New Roman" w:cs="Times New Roman"/>
          <w:color w:val="000000" w:themeColor="text1"/>
          <w:sz w:val="24"/>
          <w:szCs w:val="24"/>
        </w:rPr>
        <w:t xml:space="preserve"> its emphasis on offering guests reasonably priced and comfortable lodging, Ibis Hotels may generate a larger percentage of its revenue from room sales </w:t>
      </w:r>
      <w:r w:rsidRPr="008645DF">
        <w:rPr>
          <w:rFonts w:ascii="Times New Roman" w:eastAsia="Times New Roman" w:hAnsi="Times New Roman" w:cs="Times New Roman"/>
          <w:b/>
          <w:i/>
          <w:color w:val="000000" w:themeColor="text1"/>
          <w:sz w:val="24"/>
          <w:szCs w:val="24"/>
        </w:rPr>
        <w:t>[Refer to appendix 1]</w:t>
      </w:r>
      <w:r w:rsidRPr="008645DF">
        <w:rPr>
          <w:rFonts w:ascii="Times New Roman" w:eastAsia="Times New Roman" w:hAnsi="Times New Roman" w:cs="Times New Roman"/>
          <w:color w:val="000000" w:themeColor="text1"/>
          <w:sz w:val="24"/>
          <w:szCs w:val="24"/>
        </w:rPr>
        <w:t>.</w:t>
      </w:r>
    </w:p>
    <w:p w14:paraId="3CF5ABF5" w14:textId="77777777" w:rsidR="00BF636F" w:rsidRPr="008645DF" w:rsidRDefault="005B1773">
      <w:pPr>
        <w:spacing w:line="360" w:lineRule="auto"/>
        <w:jc w:val="both"/>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Revenue trend and driving force for revenue growth</w:t>
      </w:r>
    </w:p>
    <w:p w14:paraId="37D2B90F"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The COVID-19 pandemic, travel limitations, customer preferences, and competitiveness are some of the global and regional variables that impact the hospitality business and have an implicit on the revenue patterns for both organizations (</w:t>
      </w:r>
      <w:r w:rsidRPr="008645DF">
        <w:rPr>
          <w:rFonts w:ascii="Times New Roman" w:hAnsi="Times New Roman" w:cs="Times New Roman"/>
          <w:color w:val="000000" w:themeColor="text1"/>
          <w:sz w:val="24"/>
          <w:szCs w:val="20"/>
          <w:shd w:val="clear" w:color="auto" w:fill="FFFFFF"/>
        </w:rPr>
        <w:t xml:space="preserve">Stefani and </w:t>
      </w:r>
      <w:proofErr w:type="spellStart"/>
      <w:r w:rsidRPr="008645DF">
        <w:rPr>
          <w:rFonts w:ascii="Times New Roman" w:hAnsi="Times New Roman" w:cs="Times New Roman"/>
          <w:color w:val="000000" w:themeColor="text1"/>
          <w:sz w:val="24"/>
          <w:szCs w:val="20"/>
          <w:shd w:val="clear" w:color="auto" w:fill="FFFFFF"/>
        </w:rPr>
        <w:t>Priatmodjo</w:t>
      </w:r>
      <w:proofErr w:type="spellEnd"/>
      <w:r w:rsidRPr="008645DF">
        <w:rPr>
          <w:rFonts w:ascii="Times New Roman" w:hAnsi="Times New Roman" w:cs="Times New Roman"/>
          <w:color w:val="000000" w:themeColor="text1"/>
          <w:sz w:val="24"/>
          <w:szCs w:val="20"/>
          <w:shd w:val="clear" w:color="auto" w:fill="FFFFFF"/>
        </w:rPr>
        <w:t>, 2021</w:t>
      </w:r>
      <w:r w:rsidRPr="008645DF">
        <w:rPr>
          <w:rFonts w:ascii="Times New Roman" w:eastAsia="Times New Roman" w:hAnsi="Times New Roman" w:cs="Times New Roman"/>
          <w:color w:val="000000" w:themeColor="text1"/>
          <w:sz w:val="24"/>
          <w:szCs w:val="24"/>
        </w:rPr>
        <w:t>). The following are some of the variables that caused each organization’s revenue growth or reduction during the last three years.</w:t>
      </w:r>
    </w:p>
    <w:p w14:paraId="2A12533C"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i/>
          <w:color w:val="000000" w:themeColor="text1"/>
          <w:sz w:val="24"/>
          <w:szCs w:val="24"/>
        </w:rPr>
        <w:t xml:space="preserve">Corinthia Hotels: </w:t>
      </w:r>
      <w:r w:rsidRPr="008645DF">
        <w:rPr>
          <w:rFonts w:ascii="Times New Roman" w:eastAsia="Times New Roman" w:hAnsi="Times New Roman" w:cs="Times New Roman"/>
          <w:color w:val="000000" w:themeColor="text1"/>
          <w:sz w:val="24"/>
          <w:szCs w:val="24"/>
        </w:rPr>
        <w:t xml:space="preserve">In 2019, Corinthia Hotels had a 10% growth in revenue, reaching a high of 62 million </w:t>
      </w:r>
      <w:r w:rsidR="003A0895" w:rsidRPr="008645DF">
        <w:rPr>
          <w:rFonts w:ascii="Times New Roman" w:eastAsia="Times New Roman" w:hAnsi="Times New Roman" w:cs="Times New Roman"/>
          <w:color w:val="000000" w:themeColor="text1"/>
          <w:sz w:val="24"/>
          <w:szCs w:val="24"/>
        </w:rPr>
        <w:t>pounds</w:t>
      </w:r>
      <w:r w:rsidRPr="008645DF">
        <w:rPr>
          <w:rFonts w:ascii="Times New Roman" w:eastAsia="Times New Roman" w:hAnsi="Times New Roman" w:cs="Times New Roman"/>
          <w:color w:val="000000" w:themeColor="text1"/>
          <w:sz w:val="24"/>
          <w:szCs w:val="24"/>
        </w:rPr>
        <w:t>. This was attributed to its hotels' successful operations in St. Petersburg, London, Budapest, Lisbon, and new hotels opened in Dubai and Brussels. However, the COVID-19 epidemic caused the closure of most of Corinthia Hotels' properties and decreased demand for upscale travel, resulting in a severe reduction in the company’s revenue in 2020 and 2021 (</w:t>
      </w:r>
      <w:r w:rsidRPr="008645DF">
        <w:rPr>
          <w:rFonts w:ascii="Times New Roman" w:hAnsi="Times New Roman" w:cs="Times New Roman"/>
          <w:color w:val="000000" w:themeColor="text1"/>
          <w:sz w:val="24"/>
          <w:szCs w:val="20"/>
          <w:shd w:val="clear" w:color="auto" w:fill="FFFFFF"/>
        </w:rPr>
        <w:t xml:space="preserve">Bello and </w:t>
      </w:r>
      <w:proofErr w:type="spellStart"/>
      <w:r w:rsidRPr="008645DF">
        <w:rPr>
          <w:rFonts w:ascii="Times New Roman" w:hAnsi="Times New Roman" w:cs="Times New Roman"/>
          <w:color w:val="000000" w:themeColor="text1"/>
          <w:sz w:val="24"/>
          <w:szCs w:val="20"/>
          <w:shd w:val="clear" w:color="auto" w:fill="FFFFFF"/>
        </w:rPr>
        <w:t>Sensini</w:t>
      </w:r>
      <w:proofErr w:type="spellEnd"/>
      <w:r w:rsidRPr="008645DF">
        <w:rPr>
          <w:rFonts w:ascii="Times New Roman" w:hAnsi="Times New Roman" w:cs="Times New Roman"/>
          <w:color w:val="000000" w:themeColor="text1"/>
          <w:sz w:val="24"/>
          <w:szCs w:val="20"/>
          <w:shd w:val="clear" w:color="auto" w:fill="FFFFFF"/>
        </w:rPr>
        <w:t>, 2020</w:t>
      </w:r>
      <w:r w:rsidRPr="008645DF">
        <w:rPr>
          <w:rFonts w:ascii="Times New Roman" w:eastAsia="Times New Roman" w:hAnsi="Times New Roman" w:cs="Times New Roman"/>
          <w:color w:val="000000" w:themeColor="text1"/>
          <w:sz w:val="24"/>
          <w:szCs w:val="24"/>
        </w:rPr>
        <w:t xml:space="preserve">). The business had a net loss of 50.8 million </w:t>
      </w:r>
      <w:proofErr w:type="gramStart"/>
      <w:r w:rsidR="003A0895" w:rsidRPr="008645DF">
        <w:rPr>
          <w:rFonts w:ascii="Times New Roman" w:eastAsia="Times New Roman" w:hAnsi="Times New Roman" w:cs="Times New Roman"/>
          <w:color w:val="000000" w:themeColor="text1"/>
          <w:sz w:val="24"/>
          <w:szCs w:val="24"/>
        </w:rPr>
        <w:t xml:space="preserve">pounds </w:t>
      </w:r>
      <w:r w:rsidRPr="008645DF">
        <w:rPr>
          <w:rFonts w:ascii="Times New Roman" w:eastAsia="Times New Roman" w:hAnsi="Times New Roman" w:cs="Times New Roman"/>
          <w:color w:val="000000" w:themeColor="text1"/>
          <w:sz w:val="24"/>
          <w:szCs w:val="24"/>
        </w:rPr>
        <w:t xml:space="preserve"> in</w:t>
      </w:r>
      <w:proofErr w:type="gramEnd"/>
      <w:r w:rsidRPr="008645DF">
        <w:rPr>
          <w:rFonts w:ascii="Times New Roman" w:eastAsia="Times New Roman" w:hAnsi="Times New Roman" w:cs="Times New Roman"/>
          <w:color w:val="000000" w:themeColor="text1"/>
          <w:sz w:val="24"/>
          <w:szCs w:val="24"/>
        </w:rPr>
        <w:t xml:space="preserve"> 2020 but did not release its sales estimates for 2020 or 2021. Along with these cost-cutting strategies, the corporation delayed investments, renegotiated contracts, and laid off employees. The business anticipated a slow recovery in 2021 as it resumed hotel operations and adjusted to the updated health and safety regulations </w:t>
      </w:r>
      <w:r w:rsidRPr="008645DF">
        <w:rPr>
          <w:rFonts w:ascii="Times New Roman" w:eastAsia="Times New Roman" w:hAnsi="Times New Roman" w:cs="Times New Roman"/>
          <w:b/>
          <w:i/>
          <w:color w:val="000000" w:themeColor="text1"/>
          <w:sz w:val="24"/>
          <w:szCs w:val="24"/>
        </w:rPr>
        <w:t>[Refer to appendix 2]</w:t>
      </w:r>
      <w:r w:rsidRPr="008645DF">
        <w:rPr>
          <w:rFonts w:ascii="Times New Roman" w:eastAsia="Times New Roman" w:hAnsi="Times New Roman" w:cs="Times New Roman"/>
          <w:color w:val="000000" w:themeColor="text1"/>
          <w:sz w:val="24"/>
          <w:szCs w:val="24"/>
        </w:rPr>
        <w:t>.</w:t>
      </w:r>
    </w:p>
    <w:p w14:paraId="1C0FF606"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i/>
          <w:color w:val="000000" w:themeColor="text1"/>
          <w:sz w:val="24"/>
          <w:szCs w:val="24"/>
        </w:rPr>
        <w:t xml:space="preserve">Accor Group: </w:t>
      </w:r>
      <w:r w:rsidRPr="008645DF">
        <w:rPr>
          <w:rFonts w:ascii="Times New Roman" w:eastAsia="Times New Roman" w:hAnsi="Times New Roman" w:cs="Times New Roman"/>
          <w:color w:val="000000" w:themeColor="text1"/>
          <w:sz w:val="24"/>
          <w:szCs w:val="24"/>
        </w:rPr>
        <w:t xml:space="preserve">The Accor Group's economy business, which involves Ibis Hotels and other brands, saw a 61% decline in sales in 2020 from 2,952 million </w:t>
      </w:r>
      <w:r w:rsidR="003A0895" w:rsidRPr="008645DF">
        <w:rPr>
          <w:rFonts w:ascii="Times New Roman" w:eastAsia="Times New Roman" w:hAnsi="Times New Roman" w:cs="Times New Roman"/>
          <w:color w:val="000000" w:themeColor="text1"/>
          <w:sz w:val="24"/>
          <w:szCs w:val="24"/>
        </w:rPr>
        <w:t>pounds</w:t>
      </w:r>
      <w:r w:rsidRPr="008645DF">
        <w:rPr>
          <w:rFonts w:ascii="Times New Roman" w:eastAsia="Times New Roman" w:hAnsi="Times New Roman" w:cs="Times New Roman"/>
          <w:color w:val="000000" w:themeColor="text1"/>
          <w:sz w:val="24"/>
          <w:szCs w:val="24"/>
        </w:rPr>
        <w:t xml:space="preserve"> in 2019 to 1,149 million </w:t>
      </w:r>
      <w:r w:rsidR="003A0895" w:rsidRPr="008645DF">
        <w:rPr>
          <w:rFonts w:ascii="Times New Roman" w:eastAsia="Times New Roman" w:hAnsi="Times New Roman" w:cs="Times New Roman"/>
          <w:color w:val="000000" w:themeColor="text1"/>
          <w:sz w:val="24"/>
          <w:szCs w:val="24"/>
        </w:rPr>
        <w:t>pound</w:t>
      </w:r>
      <w:r w:rsidRPr="008645DF">
        <w:rPr>
          <w:rFonts w:ascii="Times New Roman" w:eastAsia="Times New Roman" w:hAnsi="Times New Roman" w:cs="Times New Roman"/>
          <w:color w:val="000000" w:themeColor="text1"/>
          <w:sz w:val="24"/>
          <w:szCs w:val="24"/>
        </w:rPr>
        <w:t xml:space="preserve">s. This was brought on by the COVID-19 epidemic, which caused 62% of its hotels to close and its occupancy rate to fall from 69.3% in 2019 to 32.6% in 2020. On the other hand, the Accor Group's economic segment's sales climbed by 109% in 2021, from 1,149 million </w:t>
      </w:r>
      <w:r w:rsidR="003A0895" w:rsidRPr="008645DF">
        <w:rPr>
          <w:rFonts w:ascii="Times New Roman" w:eastAsia="Times New Roman" w:hAnsi="Times New Roman" w:cs="Times New Roman"/>
          <w:color w:val="000000" w:themeColor="text1"/>
          <w:sz w:val="24"/>
          <w:szCs w:val="24"/>
        </w:rPr>
        <w:t>pounds</w:t>
      </w:r>
      <w:r w:rsidRPr="008645DF">
        <w:rPr>
          <w:rFonts w:ascii="Times New Roman" w:eastAsia="Times New Roman" w:hAnsi="Times New Roman" w:cs="Times New Roman"/>
          <w:color w:val="000000" w:themeColor="text1"/>
          <w:sz w:val="24"/>
          <w:szCs w:val="24"/>
        </w:rPr>
        <w:t xml:space="preserve"> in 2020 to 2,402 million </w:t>
      </w:r>
      <w:r w:rsidR="003A0895" w:rsidRPr="008645DF">
        <w:rPr>
          <w:rFonts w:ascii="Times New Roman" w:eastAsia="Times New Roman" w:hAnsi="Times New Roman" w:cs="Times New Roman"/>
          <w:color w:val="000000" w:themeColor="text1"/>
          <w:sz w:val="24"/>
          <w:szCs w:val="24"/>
        </w:rPr>
        <w:t>pound</w:t>
      </w:r>
      <w:r w:rsidRPr="008645DF">
        <w:rPr>
          <w:rFonts w:ascii="Times New Roman" w:eastAsia="Times New Roman" w:hAnsi="Times New Roman" w:cs="Times New Roman"/>
          <w:color w:val="000000" w:themeColor="text1"/>
          <w:sz w:val="24"/>
          <w:szCs w:val="24"/>
        </w:rPr>
        <w:t>s. This was caused by the resilience of the budget category, which profited from its cheap pricing and devoted client base, as well as the rebound of the domestic and leisure markets, particularly in Europe and Asia (</w:t>
      </w:r>
      <w:proofErr w:type="spellStart"/>
      <w:r w:rsidRPr="008645DF">
        <w:rPr>
          <w:rFonts w:ascii="Times New Roman" w:hAnsi="Times New Roman" w:cs="Times New Roman"/>
          <w:color w:val="000000" w:themeColor="text1"/>
          <w:sz w:val="24"/>
          <w:szCs w:val="20"/>
          <w:shd w:val="clear" w:color="auto" w:fill="FFFFFF"/>
        </w:rPr>
        <w:t>Beusch</w:t>
      </w:r>
      <w:proofErr w:type="spellEnd"/>
      <w:r w:rsidRPr="008645DF">
        <w:rPr>
          <w:rFonts w:ascii="Times New Roman" w:hAnsi="Times New Roman" w:cs="Times New Roman"/>
          <w:color w:val="000000" w:themeColor="text1"/>
          <w:sz w:val="24"/>
          <w:szCs w:val="20"/>
          <w:shd w:val="clear" w:color="auto" w:fill="FFFFFF"/>
        </w:rPr>
        <w:t>, 2020</w:t>
      </w:r>
      <w:r w:rsidRPr="008645DF">
        <w:rPr>
          <w:rFonts w:ascii="Times New Roman" w:eastAsia="Times New Roman" w:hAnsi="Times New Roman" w:cs="Times New Roman"/>
          <w:color w:val="000000" w:themeColor="text1"/>
          <w:sz w:val="24"/>
          <w:szCs w:val="24"/>
        </w:rPr>
        <w:t xml:space="preserve">). In addition, the business intensified its efforts in </w:t>
      </w:r>
      <w:r w:rsidRPr="008645DF">
        <w:rPr>
          <w:rFonts w:ascii="Times New Roman" w:eastAsia="Times New Roman" w:hAnsi="Times New Roman" w:cs="Times New Roman"/>
          <w:color w:val="000000" w:themeColor="text1"/>
          <w:sz w:val="24"/>
          <w:szCs w:val="24"/>
        </w:rPr>
        <w:lastRenderedPageBreak/>
        <w:t>innovation, sustainability, and digital transformation in addition to growing into new markets and industry sectors.</w:t>
      </w:r>
    </w:p>
    <w:p w14:paraId="2B5DF3C3" w14:textId="77777777" w:rsidR="00BF636F" w:rsidRPr="008645DF" w:rsidRDefault="00BF636F">
      <w:pPr>
        <w:rPr>
          <w:rFonts w:ascii="Times New Roman" w:eastAsia="Times New Roman" w:hAnsi="Times New Roman" w:cs="Times New Roman"/>
          <w:color w:val="000000" w:themeColor="text1"/>
          <w:sz w:val="24"/>
          <w:szCs w:val="24"/>
        </w:rPr>
      </w:pPr>
    </w:p>
    <w:p w14:paraId="4E5D406D" w14:textId="77777777" w:rsidR="00BF636F" w:rsidRPr="008645DF" w:rsidRDefault="005B1773" w:rsidP="005B1773">
      <w:pPr>
        <w:pStyle w:val="Heading2"/>
        <w:rPr>
          <w:color w:val="000000" w:themeColor="text1"/>
        </w:rPr>
      </w:pPr>
      <w:bookmarkStart w:id="3" w:name="_Toc157427095"/>
      <w:r w:rsidRPr="008645DF">
        <w:rPr>
          <w:color w:val="000000" w:themeColor="text1"/>
        </w:rPr>
        <w:t>Assessing the market positions for both hotels</w:t>
      </w:r>
      <w:bookmarkEnd w:id="3"/>
    </w:p>
    <w:p w14:paraId="6A7D8577" w14:textId="77777777" w:rsidR="00BF636F" w:rsidRPr="008645DF" w:rsidRDefault="007E4F4E" w:rsidP="007E4F4E">
      <w:pPr>
        <w:jc w:val="center"/>
        <w:rPr>
          <w:rFonts w:ascii="Times New Roman" w:eastAsia="Times New Roman" w:hAnsi="Times New Roman" w:cs="Times New Roman"/>
          <w:color w:val="000000" w:themeColor="text1"/>
          <w:sz w:val="24"/>
          <w:szCs w:val="24"/>
        </w:rPr>
      </w:pPr>
      <w:r w:rsidRPr="008645DF">
        <w:rPr>
          <w:noProof/>
          <w:color w:val="000000" w:themeColor="text1"/>
          <w:lang w:val="en-US"/>
        </w:rPr>
        <w:drawing>
          <wp:inline distT="0" distB="0" distL="0" distR="0" wp14:anchorId="1AD31B3A" wp14:editId="2FC8356C">
            <wp:extent cx="4438650" cy="5065688"/>
            <wp:effectExtent l="0" t="0" r="0" b="190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0502" cy="5067801"/>
                    </a:xfrm>
                    <a:prstGeom prst="rect">
                      <a:avLst/>
                    </a:prstGeom>
                    <a:noFill/>
                  </pic:spPr>
                </pic:pic>
              </a:graphicData>
            </a:graphic>
          </wp:inline>
        </w:drawing>
      </w:r>
    </w:p>
    <w:p w14:paraId="6C760756" w14:textId="77777777" w:rsidR="00BF636F" w:rsidRPr="008645DF" w:rsidRDefault="005B1773">
      <w:pPr>
        <w:jc w:val="cente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Figure 2: Marketing position analysis of both the hotels</w:t>
      </w:r>
    </w:p>
    <w:p w14:paraId="070457AC" w14:textId="77777777" w:rsidR="00BF636F" w:rsidRPr="008645DF" w:rsidRDefault="005B1773">
      <w:pPr>
        <w:jc w:val="center"/>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(Source: Self-created in MS EXCEL)</w:t>
      </w:r>
    </w:p>
    <w:p w14:paraId="4CA4047A"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color w:val="000000" w:themeColor="text1"/>
          <w:sz w:val="24"/>
          <w:szCs w:val="24"/>
        </w:rPr>
        <w:t xml:space="preserve">Market share: </w:t>
      </w:r>
      <w:r w:rsidRPr="008645DF">
        <w:rPr>
          <w:rFonts w:ascii="Times New Roman" w:eastAsia="Times New Roman" w:hAnsi="Times New Roman" w:cs="Times New Roman"/>
          <w:color w:val="000000" w:themeColor="text1"/>
          <w:sz w:val="24"/>
          <w:szCs w:val="24"/>
        </w:rPr>
        <w:t>Accor Group offers more than 5,000 hotel and 800,000 rooms in 110 countries, making it the largest hospitality group in Europe and the sixth largest globally. This group comprises Ibis Hotels among other brands. The Corinthia Hotels is a far smaller chain of hotels, consisting of just 15 properties spread over 11 countries and 3,500 rooms. Consequently, both internationally and regionally, Ibis Hotels holds a far greater market shire than Corinthia Hotels.</w:t>
      </w:r>
    </w:p>
    <w:p w14:paraId="4B4C8F7E" w14:textId="77777777" w:rsidR="00BF636F" w:rsidRPr="008645DF" w:rsidRDefault="005B1773">
      <w:pPr>
        <w:spacing w:line="360" w:lineRule="auto"/>
        <w:jc w:val="both"/>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lastRenderedPageBreak/>
        <w:t xml:space="preserve">Customer demographics: </w:t>
      </w:r>
      <w:r w:rsidRPr="008645DF">
        <w:rPr>
          <w:rFonts w:ascii="Times New Roman" w:eastAsia="Times New Roman" w:hAnsi="Times New Roman" w:cs="Times New Roman"/>
          <w:color w:val="000000" w:themeColor="text1"/>
          <w:sz w:val="24"/>
          <w:szCs w:val="24"/>
        </w:rPr>
        <w:t>Ibis Hotels primarily caters to domestic and recreational visitors, particularly those in Europe and Asia, who are on a tight budget and are searching for reasonably priced, cozy, and easily accessible lodging. With a concentration on the commercial and international markets, particularly in Europe and Africa, Corinthia Hotels caters to affluent tourists seeking exceptional, refined, and customized service (</w:t>
      </w:r>
      <w:proofErr w:type="spellStart"/>
      <w:r w:rsidRPr="008645DF">
        <w:rPr>
          <w:rFonts w:ascii="Times New Roman" w:hAnsi="Times New Roman" w:cs="Times New Roman"/>
          <w:color w:val="000000" w:themeColor="text1"/>
          <w:sz w:val="24"/>
          <w:szCs w:val="20"/>
          <w:shd w:val="clear" w:color="auto" w:fill="FFFFFF"/>
        </w:rPr>
        <w:t>Căpușneanu</w:t>
      </w:r>
      <w:proofErr w:type="spellEnd"/>
      <w:r w:rsidRPr="008645DF">
        <w:rPr>
          <w:rFonts w:ascii="Times New Roman" w:hAnsi="Times New Roman" w:cs="Times New Roman"/>
          <w:color w:val="000000" w:themeColor="text1"/>
          <w:sz w:val="24"/>
          <w:szCs w:val="20"/>
          <w:shd w:val="clear" w:color="auto" w:fill="FFFFFF"/>
        </w:rPr>
        <w:t xml:space="preserve"> </w:t>
      </w:r>
      <w:r w:rsidRPr="008645DF">
        <w:rPr>
          <w:rFonts w:ascii="Times New Roman" w:hAnsi="Times New Roman" w:cs="Times New Roman"/>
          <w:i/>
          <w:color w:val="000000" w:themeColor="text1"/>
          <w:sz w:val="24"/>
          <w:szCs w:val="20"/>
          <w:shd w:val="clear" w:color="auto" w:fill="FFFFFF"/>
        </w:rPr>
        <w:t>et al</w:t>
      </w:r>
      <w:r w:rsidRPr="008645DF">
        <w:rPr>
          <w:rFonts w:ascii="Times New Roman" w:hAnsi="Times New Roman" w:cs="Times New Roman"/>
          <w:color w:val="000000" w:themeColor="text1"/>
          <w:sz w:val="24"/>
          <w:szCs w:val="20"/>
          <w:shd w:val="clear" w:color="auto" w:fill="FFFFFF"/>
        </w:rPr>
        <w:t>., 2020</w:t>
      </w:r>
      <w:r w:rsidRPr="008645DF">
        <w:rPr>
          <w:rFonts w:ascii="Times New Roman" w:eastAsia="Times New Roman" w:hAnsi="Times New Roman" w:cs="Times New Roman"/>
          <w:color w:val="000000" w:themeColor="text1"/>
          <w:sz w:val="24"/>
          <w:szCs w:val="24"/>
        </w:rPr>
        <w:t>). As a result, the client groups and preferences of Ibis Hotels and Corinthia Hotels diverge, reflecting their disparate market positions.</w:t>
      </w:r>
    </w:p>
    <w:p w14:paraId="5329A013"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color w:val="000000" w:themeColor="text1"/>
          <w:sz w:val="24"/>
          <w:szCs w:val="24"/>
        </w:rPr>
        <w:t>Brand perception</w:t>
      </w:r>
      <w:r w:rsidRPr="008645DF">
        <w:rPr>
          <w:rFonts w:ascii="Times New Roman" w:eastAsia="Times New Roman" w:hAnsi="Times New Roman" w:cs="Times New Roman"/>
          <w:color w:val="000000" w:themeColor="text1"/>
          <w:sz w:val="24"/>
          <w:szCs w:val="24"/>
        </w:rPr>
        <w:t>: Ibis Hotels is known for being a dependable, inventive, and consistent low-cost hotel brand. It provides a variety of services and amenities, including Ibis, Ibis Styles, and Ibis Budget, to accommodate a Rangie of requirements and preferences. A distinctive and unforgettable experience is provided to visitors by Corinthia Hotels, which is regarded as a distinguished, exclusive, and refined luxury hotel brand that prioritizes quality, craftsmanship, and hospitality. Consequently, the brand images and values of Corinthia Hotels and Ibis Hotels diverge, reflecting their disparate market positions.</w:t>
      </w:r>
    </w:p>
    <w:p w14:paraId="7EEEE7CB" w14:textId="77777777" w:rsidR="00BF636F" w:rsidRPr="008645DF" w:rsidRDefault="007E4F4E">
      <w:pPr>
        <w:jc w:val="center"/>
        <w:rPr>
          <w:rFonts w:ascii="Times New Roman" w:eastAsia="Times New Roman" w:hAnsi="Times New Roman" w:cs="Times New Roman"/>
          <w:color w:val="000000" w:themeColor="text1"/>
          <w:sz w:val="24"/>
          <w:szCs w:val="24"/>
        </w:rPr>
      </w:pPr>
      <w:r w:rsidRPr="008645DF">
        <w:rPr>
          <w:noProof/>
          <w:color w:val="000000" w:themeColor="text1"/>
          <w:lang w:val="en-US"/>
        </w:rPr>
        <w:drawing>
          <wp:inline distT="0" distB="0" distL="0" distR="0" wp14:anchorId="2EB6304D" wp14:editId="1E67B911">
            <wp:extent cx="6290423" cy="1762125"/>
            <wp:effectExtent l="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0706" cy="1765006"/>
                    </a:xfrm>
                    <a:prstGeom prst="rect">
                      <a:avLst/>
                    </a:prstGeom>
                    <a:noFill/>
                  </pic:spPr>
                </pic:pic>
              </a:graphicData>
            </a:graphic>
          </wp:inline>
        </w:drawing>
      </w:r>
    </w:p>
    <w:p w14:paraId="2E3F505B" w14:textId="77777777" w:rsidR="00BF636F" w:rsidRPr="008645DF" w:rsidRDefault="005B1773">
      <w:pPr>
        <w:jc w:val="cente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Figure 3: Performance and position analysis of both the hotels</w:t>
      </w:r>
    </w:p>
    <w:p w14:paraId="4DFA8567" w14:textId="77777777" w:rsidR="00BF636F" w:rsidRPr="008645DF" w:rsidRDefault="005B1773">
      <w:pPr>
        <w:jc w:val="center"/>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(Source: Self-created in MS EXCEL)</w:t>
      </w:r>
    </w:p>
    <w:p w14:paraId="1EDCB229"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As a luxury hotel operator, Corinthia Hotels may charge higher room rates because of its prominent location and opulent amenities, but this also means that its fixed expenses are greater. Its high fixed cost ratio (0.46) is indicative of this. Higher profit margins than 60% on additional revenue are possible due to reduced variable expenses per room (</w:t>
      </w:r>
      <w:r w:rsidRPr="008645DF">
        <w:rPr>
          <w:rFonts w:ascii="Times New Roman" w:hAnsi="Times New Roman" w:cs="Times New Roman"/>
          <w:color w:val="000000" w:themeColor="text1"/>
          <w:sz w:val="24"/>
          <w:szCs w:val="20"/>
          <w:shd w:val="clear" w:color="auto" w:fill="FFFFFF"/>
        </w:rPr>
        <w:t>Dahal, 2020</w:t>
      </w:r>
      <w:r w:rsidRPr="008645DF">
        <w:rPr>
          <w:rFonts w:ascii="Times New Roman" w:eastAsia="Times New Roman" w:hAnsi="Times New Roman" w:cs="Times New Roman"/>
          <w:color w:val="000000" w:themeColor="text1"/>
          <w:sz w:val="24"/>
          <w:szCs w:val="24"/>
        </w:rPr>
        <w:t>). Corinthia therefore only needs €460 million in sales to break even on fixed expenses. Given that 62.7% of its current sales is over breakeven, its strong margins provide a sizable safety cushion. Its properties are marketable, therefore if it is necessary to liquidate assists, the expected recovery is likewise rather high at 80.5%.</w:t>
      </w:r>
    </w:p>
    <w:p w14:paraId="13AB9E65"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lastRenderedPageBreak/>
        <w:t>Ibis competes on price, thus it has to maintain minimal expenses. Its tiny standardized features allow it to keep a lower fixed cost ratio of 0.27. Variably expenditures per room, however, are significantly more. Nevertheless, because to the hotel's size and effective management, its breakeven point only needs €235 million in revenue. Thinks to its flexible personnel methods, Ibis can sustain large revenue drops during a downturn with a 73% margin of safety (</w:t>
      </w:r>
      <w:r w:rsidRPr="008645DF">
        <w:rPr>
          <w:rFonts w:ascii="Times New Roman" w:hAnsi="Times New Roman" w:cs="Times New Roman"/>
          <w:color w:val="000000" w:themeColor="text1"/>
          <w:sz w:val="24"/>
          <w:szCs w:val="20"/>
          <w:shd w:val="clear" w:color="auto" w:fill="FFFFFF"/>
        </w:rPr>
        <w:t>Dahal, 2021</w:t>
      </w:r>
      <w:r w:rsidRPr="008645DF">
        <w:rPr>
          <w:rFonts w:ascii="Times New Roman" w:eastAsia="Times New Roman" w:hAnsi="Times New Roman" w:cs="Times New Roman"/>
          <w:color w:val="000000" w:themeColor="text1"/>
          <w:sz w:val="24"/>
          <w:szCs w:val="24"/>
        </w:rPr>
        <w:t xml:space="preserve">). Since there are fewer potential applications for budget hotel assets if they are sold, their liquidation value is significantly lower at 79.2%. Overall yet, both hotels show strengths: Ibis's cost control and Corinthian’s unique selling point are appropriate for their respective market categories. </w:t>
      </w:r>
    </w:p>
    <w:p w14:paraId="39E857D1" w14:textId="77777777" w:rsidR="00BF636F" w:rsidRPr="008645DF" w:rsidRDefault="005B1773" w:rsidP="005B1773">
      <w:pPr>
        <w:pStyle w:val="Heading2"/>
        <w:rPr>
          <w:color w:val="000000" w:themeColor="text1"/>
        </w:rPr>
      </w:pPr>
      <w:bookmarkStart w:id="4" w:name="_Toc157427096"/>
      <w:r w:rsidRPr="008645DF">
        <w:rPr>
          <w:color w:val="000000" w:themeColor="text1"/>
        </w:rPr>
        <w:t>Evaluation of growth potential for both hotels</w:t>
      </w:r>
      <w:bookmarkEnd w:id="4"/>
    </w:p>
    <w:p w14:paraId="217DBF93"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Budgeting analysis, working capital management, risk management and financial strategies are one of the most important metrics to comprehend and justify the growth potential of any company (</w:t>
      </w:r>
      <w:r w:rsidRPr="008645DF">
        <w:rPr>
          <w:rFonts w:ascii="Times New Roman" w:hAnsi="Times New Roman" w:cs="Times New Roman"/>
          <w:color w:val="000000" w:themeColor="text1"/>
          <w:sz w:val="24"/>
          <w:szCs w:val="20"/>
          <w:shd w:val="clear" w:color="auto" w:fill="FFFFFF"/>
        </w:rPr>
        <w:t>Dahal, 2022</w:t>
      </w:r>
      <w:r w:rsidRPr="008645DF">
        <w:rPr>
          <w:rFonts w:ascii="Times New Roman" w:eastAsia="Times New Roman" w:hAnsi="Times New Roman" w:cs="Times New Roman"/>
          <w:color w:val="000000" w:themeColor="text1"/>
          <w:sz w:val="24"/>
          <w:szCs w:val="24"/>
        </w:rPr>
        <w:t xml:space="preserve">). Hence the help of these factors are taken as the metric of measurement for growth aspects for both the hotels. </w:t>
      </w:r>
    </w:p>
    <w:p w14:paraId="702B2B4A" w14:textId="77777777" w:rsidR="00BF636F" w:rsidRPr="008645DF" w:rsidRDefault="007E4F4E">
      <w:pPr>
        <w:spacing w:line="360" w:lineRule="auto"/>
        <w:jc w:val="center"/>
        <w:rPr>
          <w:rFonts w:ascii="Times New Roman" w:eastAsia="Times New Roman" w:hAnsi="Times New Roman" w:cs="Times New Roman"/>
          <w:color w:val="000000" w:themeColor="text1"/>
          <w:sz w:val="24"/>
          <w:szCs w:val="24"/>
        </w:rPr>
      </w:pPr>
      <w:r w:rsidRPr="008645DF">
        <w:rPr>
          <w:noProof/>
          <w:color w:val="000000" w:themeColor="text1"/>
          <w:lang w:val="en-US"/>
        </w:rPr>
        <w:drawing>
          <wp:inline distT="0" distB="0" distL="0" distR="0" wp14:anchorId="0C337268" wp14:editId="2CB8C039">
            <wp:extent cx="5943600" cy="932815"/>
            <wp:effectExtent l="0" t="0" r="0" b="63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932815"/>
                    </a:xfrm>
                    <a:prstGeom prst="rect">
                      <a:avLst/>
                    </a:prstGeom>
                    <a:noFill/>
                  </pic:spPr>
                </pic:pic>
              </a:graphicData>
            </a:graphic>
          </wp:inline>
        </w:drawing>
      </w:r>
    </w:p>
    <w:p w14:paraId="43289B43" w14:textId="77777777" w:rsidR="00BF636F" w:rsidRPr="008645DF" w:rsidRDefault="007E4F4E" w:rsidP="007E4F4E">
      <w:pPr>
        <w:spacing w:line="360" w:lineRule="auto"/>
        <w:jc w:val="center"/>
        <w:rPr>
          <w:rFonts w:ascii="Times New Roman" w:eastAsia="Times New Roman" w:hAnsi="Times New Roman" w:cs="Times New Roman"/>
          <w:color w:val="000000" w:themeColor="text1"/>
          <w:sz w:val="24"/>
          <w:szCs w:val="24"/>
        </w:rPr>
      </w:pPr>
      <w:r w:rsidRPr="008645DF">
        <w:rPr>
          <w:noProof/>
          <w:color w:val="000000" w:themeColor="text1"/>
          <w:lang w:val="en-US"/>
        </w:rPr>
        <w:drawing>
          <wp:inline distT="0" distB="0" distL="0" distR="0" wp14:anchorId="46B30646" wp14:editId="5D0494C7">
            <wp:extent cx="5943600" cy="932815"/>
            <wp:effectExtent l="0" t="0" r="0" b="63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932815"/>
                    </a:xfrm>
                    <a:prstGeom prst="rect">
                      <a:avLst/>
                    </a:prstGeom>
                    <a:noFill/>
                  </pic:spPr>
                </pic:pic>
              </a:graphicData>
            </a:graphic>
          </wp:inline>
        </w:drawing>
      </w:r>
    </w:p>
    <w:p w14:paraId="07D92A0B" w14:textId="77777777" w:rsidR="00BF636F" w:rsidRPr="008645DF" w:rsidRDefault="005B1773">
      <w:pPr>
        <w:jc w:val="cente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Figure 4: Growth measurement analysis of both the hotels</w:t>
      </w:r>
    </w:p>
    <w:p w14:paraId="312E8D29" w14:textId="77777777" w:rsidR="00BF636F" w:rsidRPr="008645DF" w:rsidRDefault="005B1773">
      <w:pPr>
        <w:jc w:val="center"/>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(Source: Self-created in MS EXCEL)</w:t>
      </w:r>
    </w:p>
    <w:p w14:paraId="61EA3B54"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color w:val="000000" w:themeColor="text1"/>
          <w:sz w:val="24"/>
          <w:szCs w:val="24"/>
        </w:rPr>
        <w:t xml:space="preserve">Growth Potential: </w:t>
      </w:r>
      <w:r w:rsidRPr="008645DF">
        <w:rPr>
          <w:rFonts w:ascii="Times New Roman" w:eastAsia="Times New Roman" w:hAnsi="Times New Roman" w:cs="Times New Roman"/>
          <w:color w:val="000000" w:themeColor="text1"/>
          <w:sz w:val="24"/>
          <w:szCs w:val="24"/>
        </w:rPr>
        <w:t>Due to its more development-oriented and diversified financial strategy, which strives to increase its worldwide footprint and portfolio as well as its investments in fresh, creative initiatives and endeavors, Corinthia Hotels has a strong potential for growth (</w:t>
      </w:r>
      <w:r w:rsidRPr="008645DF">
        <w:rPr>
          <w:rFonts w:ascii="Times New Roman" w:hAnsi="Times New Roman" w:cs="Times New Roman"/>
          <w:color w:val="000000" w:themeColor="text1"/>
          <w:sz w:val="24"/>
          <w:szCs w:val="20"/>
          <w:shd w:val="clear" w:color="auto" w:fill="FFFFFF"/>
        </w:rPr>
        <w:t>Dlamini and Schutte, 2021</w:t>
      </w:r>
      <w:r w:rsidRPr="008645DF">
        <w:rPr>
          <w:rFonts w:ascii="Times New Roman" w:eastAsia="Times New Roman" w:hAnsi="Times New Roman" w:cs="Times New Roman"/>
          <w:color w:val="000000" w:themeColor="text1"/>
          <w:sz w:val="24"/>
          <w:szCs w:val="24"/>
        </w:rPr>
        <w:t xml:space="preserve">). To assess and control the risk associated with its projects and the anticipated cash flow, Corinthia Hotels use Cash Flow at Risk (Car). With a more steady and targeted financial approach that seeks to preserve its market position and reputation while enhancing its operational and financial performance, Ibis Hotels has a moderate potential for development. Sensitivity analysis </w:t>
      </w:r>
      <w:r w:rsidRPr="008645DF">
        <w:rPr>
          <w:rFonts w:ascii="Times New Roman" w:eastAsia="Times New Roman" w:hAnsi="Times New Roman" w:cs="Times New Roman"/>
          <w:color w:val="000000" w:themeColor="text1"/>
          <w:sz w:val="24"/>
          <w:szCs w:val="24"/>
        </w:rPr>
        <w:lastRenderedPageBreak/>
        <w:t>and scenario analysis are Ibis Hotels' primary methods for determining how changes to important parameters and presumptions would affect the project’s results.</w:t>
      </w:r>
    </w:p>
    <w:p w14:paraId="71F2F2C2"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color w:val="000000" w:themeColor="text1"/>
          <w:sz w:val="24"/>
          <w:szCs w:val="24"/>
        </w:rPr>
        <w:t xml:space="preserve">Expansion strategy: </w:t>
      </w:r>
      <w:r w:rsidRPr="008645DF">
        <w:rPr>
          <w:rFonts w:ascii="Times New Roman" w:eastAsia="Times New Roman" w:hAnsi="Times New Roman" w:cs="Times New Roman"/>
          <w:color w:val="000000" w:themeColor="text1"/>
          <w:sz w:val="24"/>
          <w:szCs w:val="24"/>
        </w:rPr>
        <w:t>A variety of market possibilities and expansion options are available to Corinthia Hotels, including working with regional developers and investors, purchasing and refurbishing existing hotels, expanding into new markets and categories, and establishing new hotels and residences in strategic locations (</w:t>
      </w:r>
      <w:r w:rsidRPr="008645DF">
        <w:rPr>
          <w:rFonts w:ascii="Times New Roman" w:hAnsi="Times New Roman" w:cs="Times New Roman"/>
          <w:color w:val="000000" w:themeColor="text1"/>
          <w:sz w:val="24"/>
          <w:szCs w:val="20"/>
          <w:shd w:val="clear" w:color="auto" w:fill="FFFFFF"/>
        </w:rPr>
        <w:t>Dlamini, 2023</w:t>
      </w:r>
      <w:r w:rsidRPr="008645DF">
        <w:rPr>
          <w:rFonts w:ascii="Times New Roman" w:eastAsia="Times New Roman" w:hAnsi="Times New Roman" w:cs="Times New Roman"/>
          <w:color w:val="000000" w:themeColor="text1"/>
          <w:sz w:val="24"/>
          <w:szCs w:val="24"/>
        </w:rPr>
        <w:t>). Numerous projects, including those in construction in Bucharest, Doha, Dubai, Moscow, Rome, and Brussels, are in the pipeline for Corinthia Hotels. Ibis Hotels has a number of projects in the works, most of which are in Europe, where it intends to establish 20 new ibis Styles locations by 2023</w:t>
      </w:r>
    </w:p>
    <w:p w14:paraId="1057F63D"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b/>
          <w:color w:val="000000" w:themeColor="text1"/>
          <w:sz w:val="24"/>
          <w:szCs w:val="24"/>
        </w:rPr>
        <w:t xml:space="preserve">Potential barriers: </w:t>
      </w:r>
      <w:r w:rsidRPr="008645DF">
        <w:rPr>
          <w:rFonts w:ascii="Times New Roman" w:eastAsia="Times New Roman" w:hAnsi="Times New Roman" w:cs="Times New Roman"/>
          <w:color w:val="000000" w:themeColor="text1"/>
          <w:sz w:val="24"/>
          <w:szCs w:val="24"/>
        </w:rPr>
        <w:t>The high debt and leverage of Corinthia Hotels, which raises its cost of capital and financial risk, the lower profitability and efficiency of the company, the competitive and price-sensitive market in which it must compete with other low-cost hotels and alternative lodging providers like Airbnb, and the internal and external risks of pandemics, natural disasters, cyberattacks, and human error are some other potential growth barriers.</w:t>
      </w:r>
    </w:p>
    <w:p w14:paraId="198E3C15"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The Corinthian Hotels are having CAGR from 2020 to 2025 are 8.4% and Ibis Hotels are having CAGR of 3.7% by the end of 2025.</w:t>
      </w:r>
    </w:p>
    <w:p w14:paraId="00A3B4C5" w14:textId="77777777" w:rsidR="00BF636F" w:rsidRPr="008645DF" w:rsidRDefault="005B1773" w:rsidP="005B1773">
      <w:pPr>
        <w:pStyle w:val="Heading2"/>
        <w:rPr>
          <w:color w:val="000000" w:themeColor="text1"/>
        </w:rPr>
      </w:pPr>
      <w:bookmarkStart w:id="5" w:name="_Toc157427097"/>
      <w:r w:rsidRPr="008645DF">
        <w:rPr>
          <w:color w:val="000000" w:themeColor="text1"/>
        </w:rPr>
        <w:t>Financial commitment to CSR</w:t>
      </w:r>
      <w:bookmarkEnd w:id="5"/>
    </w:p>
    <w:p w14:paraId="235A9374"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Corinthia Hotels has supported the global water-aid organization Just a Drop for a number of years, funding initiatives that supply clean waiter to more than 45,000 children and families in Asia and Africa. Additionally, it has provided food, masks, and baskets to the elderly, the disabled, and underprivileged Maltese youngsters.</w:t>
      </w:r>
    </w:p>
    <w:p w14:paraId="64D79139"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By closely collaborating with staff, visitors, partners, and local communities on four strategic themes and two critical issues sustainable food and buildings Ibis Hotels hopes to deliver a pleasant hospitality experience through the implementation of its Planet 21 initiative. Additionally, it has adopted eco-certified items, done away with single-use plastics, and decreased food waste in its hotels.</w:t>
      </w:r>
    </w:p>
    <w:p w14:paraId="3CEB1302" w14:textId="77777777" w:rsidR="00BF636F" w:rsidRPr="008645DF" w:rsidRDefault="005B1773" w:rsidP="005B1773">
      <w:pPr>
        <w:pStyle w:val="Heading2"/>
        <w:rPr>
          <w:color w:val="000000" w:themeColor="text1"/>
        </w:rPr>
      </w:pPr>
      <w:bookmarkStart w:id="6" w:name="_Toc157427098"/>
      <w:r w:rsidRPr="008645DF">
        <w:rPr>
          <w:color w:val="000000" w:themeColor="text1"/>
        </w:rPr>
        <w:t>Recommendations</w:t>
      </w:r>
      <w:bookmarkEnd w:id="6"/>
    </w:p>
    <w:p w14:paraId="2145070D"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 xml:space="preserve">In light of the competitive market environment and high debt levels, Corinthia Hotels has to concentrate on increasing operational effectiveness and expanding its sources of income. One </w:t>
      </w:r>
      <w:r w:rsidRPr="008645DF">
        <w:rPr>
          <w:rFonts w:ascii="Times New Roman" w:eastAsia="Times New Roman" w:hAnsi="Times New Roman" w:cs="Times New Roman"/>
          <w:color w:val="000000" w:themeColor="text1"/>
          <w:sz w:val="24"/>
          <w:szCs w:val="24"/>
        </w:rPr>
        <w:lastRenderedPageBreak/>
        <w:t>suggestion is to take use of its upmarket brand image to further establish itself in developing luxury travel markets, especially in Asia and the Middle East, where there is a growing need for expensive lodging (</w:t>
      </w:r>
      <w:r w:rsidRPr="008645DF">
        <w:rPr>
          <w:rFonts w:ascii="Times New Roman" w:hAnsi="Times New Roman" w:cs="Times New Roman"/>
          <w:color w:val="000000" w:themeColor="text1"/>
          <w:sz w:val="24"/>
          <w:szCs w:val="20"/>
          <w:shd w:val="clear" w:color="auto" w:fill="FFFFFF"/>
        </w:rPr>
        <w:t>Marques and Marques, 2023</w:t>
      </w:r>
      <w:r w:rsidRPr="008645DF">
        <w:rPr>
          <w:rFonts w:ascii="Times New Roman" w:eastAsia="Times New Roman" w:hAnsi="Times New Roman" w:cs="Times New Roman"/>
          <w:color w:val="000000" w:themeColor="text1"/>
          <w:sz w:val="24"/>
          <w:szCs w:val="24"/>
        </w:rPr>
        <w:t>). Furthermore, investigating collaborative ventures or strategic alliances with regional developers might help with market development while lowering financial risks.</w:t>
      </w:r>
    </w:p>
    <w:p w14:paraId="702C3099"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Ibis Hotels should keep up its expansion plan in Europe and look into chances for market consolidation through partnerships or acquisitions of smaller budget hotel chains in order to take advantage of its moderate growth potential (</w:t>
      </w:r>
      <w:r w:rsidRPr="008645DF">
        <w:rPr>
          <w:rFonts w:ascii="Times New Roman" w:hAnsi="Times New Roman" w:cs="Times New Roman"/>
          <w:color w:val="000000" w:themeColor="text1"/>
          <w:sz w:val="24"/>
          <w:szCs w:val="20"/>
          <w:shd w:val="clear" w:color="auto" w:fill="FFFFFF"/>
        </w:rPr>
        <w:t>Duci, 2021</w:t>
      </w:r>
      <w:r w:rsidRPr="008645DF">
        <w:rPr>
          <w:rFonts w:ascii="Times New Roman" w:eastAsia="Times New Roman" w:hAnsi="Times New Roman" w:cs="Times New Roman"/>
          <w:color w:val="000000" w:themeColor="text1"/>
          <w:sz w:val="24"/>
          <w:szCs w:val="24"/>
        </w:rPr>
        <w:t>). Strengthening brand loyalty and expanding the consumer base are two benefits of improving the customer experience through digitization and tailored offerings.</w:t>
      </w:r>
    </w:p>
    <w:p w14:paraId="6A51443B" w14:textId="77777777" w:rsidR="00BF636F" w:rsidRPr="008645DF" w:rsidRDefault="005B1773">
      <w:pPr>
        <w:spacing w:line="360" w:lineRule="auto"/>
        <w:jc w:val="both"/>
        <w:rPr>
          <w:rFonts w:ascii="Times New Roman" w:eastAsia="Times New Roman" w:hAnsi="Times New Roman" w:cs="Times New Roman"/>
          <w:b/>
          <w:i/>
          <w:color w:val="000000" w:themeColor="text1"/>
          <w:sz w:val="26"/>
          <w:szCs w:val="26"/>
        </w:rPr>
      </w:pPr>
      <w:r w:rsidRPr="008645DF">
        <w:rPr>
          <w:rFonts w:ascii="Times New Roman" w:eastAsia="Times New Roman" w:hAnsi="Times New Roman" w:cs="Times New Roman"/>
          <w:color w:val="000000" w:themeColor="text1"/>
          <w:sz w:val="24"/>
          <w:szCs w:val="24"/>
        </w:rPr>
        <w:t>In order to be competitive in the ever-evolving hospitality sector, Corinthia Hotel Group and Ibis Hotels need both consistently track market dynamics, adjust to shifting client tastes, and innovate.</w:t>
      </w:r>
    </w:p>
    <w:p w14:paraId="4AB385F1" w14:textId="77777777" w:rsidR="00BF636F" w:rsidRPr="008645DF" w:rsidRDefault="005B1773" w:rsidP="005B1773">
      <w:pPr>
        <w:pStyle w:val="Heading1"/>
        <w:rPr>
          <w:color w:val="000000" w:themeColor="text1"/>
        </w:rPr>
      </w:pPr>
      <w:bookmarkStart w:id="7" w:name="_Toc157427099"/>
      <w:r w:rsidRPr="008645DF">
        <w:rPr>
          <w:color w:val="000000" w:themeColor="text1"/>
        </w:rPr>
        <w:t>Conclusion</w:t>
      </w:r>
      <w:bookmarkEnd w:id="7"/>
    </w:p>
    <w:p w14:paraId="642647B7" w14:textId="77777777" w:rsidR="00BF636F" w:rsidRPr="008645DF" w:rsidRDefault="005B1773">
      <w:pPr>
        <w:spacing w:line="360" w:lineRule="auto"/>
        <w:jc w:val="both"/>
        <w:rPr>
          <w:rFonts w:ascii="Times New Roman" w:eastAsia="Times New Roman" w:hAnsi="Times New Roman" w:cs="Times New Roman"/>
          <w:color w:val="000000" w:themeColor="text1"/>
          <w:sz w:val="24"/>
          <w:szCs w:val="24"/>
        </w:rPr>
      </w:pPr>
      <w:r w:rsidRPr="008645DF">
        <w:rPr>
          <w:rFonts w:ascii="Times New Roman" w:eastAsia="Times New Roman" w:hAnsi="Times New Roman" w:cs="Times New Roman"/>
          <w:color w:val="000000" w:themeColor="text1"/>
          <w:sz w:val="24"/>
          <w:szCs w:val="24"/>
        </w:rPr>
        <w:t>A comparison of Corinthia Hotels vs Ibis Hotels highlights the unique advantages and disadvantages of each brand. Corinthia Hotels uses its premium appeal to draw in rich clients, whereas Ibis Hotels has strong market positioning with its wide reach and economical approach. Notwithstanding obstacles like the COVID-19 epidemic and market constraints, both businesses show promise for expansion and a dedication to corporate social responsibility. Going forward, maintaining competitiveness and promoting development in the ever-changing hospitality industry will need deliberate adaptation to market dynamics and ongoing innovation.</w:t>
      </w:r>
    </w:p>
    <w:p w14:paraId="2B9A172A" w14:textId="77777777" w:rsidR="00BF636F" w:rsidRPr="008645DF" w:rsidRDefault="005B1773">
      <w:pPr>
        <w:rPr>
          <w:rFonts w:ascii="Times New Roman" w:eastAsia="Times New Roman" w:hAnsi="Times New Roman" w:cs="Times New Roman"/>
          <w:b/>
          <w:color w:val="000000" w:themeColor="text1"/>
          <w:sz w:val="28"/>
          <w:szCs w:val="28"/>
        </w:rPr>
      </w:pPr>
      <w:r w:rsidRPr="008645DF">
        <w:rPr>
          <w:color w:val="000000" w:themeColor="text1"/>
        </w:rPr>
        <w:br w:type="page"/>
      </w:r>
    </w:p>
    <w:p w14:paraId="51777E5F" w14:textId="77777777" w:rsidR="005B1773" w:rsidRPr="008645DF" w:rsidRDefault="005B1773" w:rsidP="005B1773">
      <w:pPr>
        <w:pStyle w:val="Heading1"/>
        <w:rPr>
          <w:color w:val="000000" w:themeColor="text1"/>
        </w:rPr>
      </w:pPr>
      <w:bookmarkStart w:id="8" w:name="_Toc157427100"/>
      <w:r w:rsidRPr="008645DF">
        <w:rPr>
          <w:color w:val="000000" w:themeColor="text1"/>
        </w:rPr>
        <w:lastRenderedPageBreak/>
        <w:t>Reference List</w:t>
      </w:r>
      <w:bookmarkEnd w:id="8"/>
    </w:p>
    <w:p w14:paraId="7037F3BA" w14:textId="77777777" w:rsidR="005B1773" w:rsidRPr="008645DF" w:rsidRDefault="005B1773" w:rsidP="005B1773">
      <w:pP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Journals</w:t>
      </w:r>
    </w:p>
    <w:p w14:paraId="2D8E1205"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Anđelković, D., 2020, September. THE SIGNIFICANCE OF FINANCIAL STATEMENTS FOR FINANCIAL MANAGEMET OF HOTEL COMPANIES. In </w:t>
      </w:r>
      <w:r w:rsidRPr="008645DF">
        <w:rPr>
          <w:rFonts w:ascii="Times New Roman" w:hAnsi="Times New Roman" w:cs="Times New Roman"/>
          <w:i/>
          <w:iCs/>
          <w:color w:val="000000" w:themeColor="text1"/>
          <w:sz w:val="24"/>
          <w:szCs w:val="20"/>
          <w:shd w:val="clear" w:color="auto" w:fill="FFFFFF"/>
        </w:rPr>
        <w:t xml:space="preserve">Tourism International Scientific Conference </w:t>
      </w:r>
      <w:proofErr w:type="spellStart"/>
      <w:r w:rsidRPr="008645DF">
        <w:rPr>
          <w:rFonts w:ascii="Times New Roman" w:hAnsi="Times New Roman" w:cs="Times New Roman"/>
          <w:i/>
          <w:iCs/>
          <w:color w:val="000000" w:themeColor="text1"/>
          <w:sz w:val="24"/>
          <w:szCs w:val="20"/>
          <w:shd w:val="clear" w:color="auto" w:fill="FFFFFF"/>
        </w:rPr>
        <w:t>Vrnjačka</w:t>
      </w:r>
      <w:proofErr w:type="spellEnd"/>
      <w:r w:rsidRPr="008645DF">
        <w:rPr>
          <w:rFonts w:ascii="Times New Roman" w:hAnsi="Times New Roman" w:cs="Times New Roman"/>
          <w:i/>
          <w:iCs/>
          <w:color w:val="000000" w:themeColor="text1"/>
          <w:sz w:val="24"/>
          <w:szCs w:val="20"/>
          <w:shd w:val="clear" w:color="auto" w:fill="FFFFFF"/>
        </w:rPr>
        <w:t xml:space="preserve"> Banja-TISC</w:t>
      </w:r>
      <w:r w:rsidRPr="008645DF">
        <w:rPr>
          <w:rFonts w:ascii="Times New Roman" w:hAnsi="Times New Roman" w:cs="Times New Roman"/>
          <w:color w:val="000000" w:themeColor="text1"/>
          <w:sz w:val="24"/>
          <w:szCs w:val="20"/>
          <w:shd w:val="clear" w:color="auto" w:fill="FFFFFF"/>
        </w:rPr>
        <w:t> (Vol. 5, No. 1, pp. 43-58).</w:t>
      </w:r>
    </w:p>
    <w:p w14:paraId="3E560F93"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Anicic, J., Ceha, M. and Dusan, A., 2023. Cost Management in the Function of Business Decision Making. </w:t>
      </w:r>
      <w:r w:rsidRPr="008645DF">
        <w:rPr>
          <w:rFonts w:ascii="Times New Roman" w:hAnsi="Times New Roman" w:cs="Times New Roman"/>
          <w:i/>
          <w:iCs/>
          <w:color w:val="000000" w:themeColor="text1"/>
          <w:sz w:val="24"/>
          <w:szCs w:val="20"/>
          <w:shd w:val="clear" w:color="auto" w:fill="FFFFFF"/>
        </w:rPr>
        <w:t>No. 37 Int'l J. Econ. &amp; L.</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13</w:t>
      </w:r>
      <w:r w:rsidRPr="008645DF">
        <w:rPr>
          <w:rFonts w:ascii="Times New Roman" w:hAnsi="Times New Roman" w:cs="Times New Roman"/>
          <w:color w:val="000000" w:themeColor="text1"/>
          <w:sz w:val="24"/>
          <w:szCs w:val="20"/>
          <w:shd w:val="clear" w:color="auto" w:fill="FFFFFF"/>
        </w:rPr>
        <w:t>, p.11.</w:t>
      </w:r>
    </w:p>
    <w:p w14:paraId="06A0585E"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 xml:space="preserve">Bello, C. and </w:t>
      </w:r>
      <w:proofErr w:type="spellStart"/>
      <w:r w:rsidRPr="008645DF">
        <w:rPr>
          <w:rFonts w:ascii="Times New Roman" w:hAnsi="Times New Roman" w:cs="Times New Roman"/>
          <w:color w:val="000000" w:themeColor="text1"/>
          <w:sz w:val="24"/>
          <w:szCs w:val="20"/>
          <w:shd w:val="clear" w:color="auto" w:fill="FFFFFF"/>
        </w:rPr>
        <w:t>Sensini</w:t>
      </w:r>
      <w:proofErr w:type="spellEnd"/>
      <w:r w:rsidRPr="008645DF">
        <w:rPr>
          <w:rFonts w:ascii="Times New Roman" w:hAnsi="Times New Roman" w:cs="Times New Roman"/>
          <w:color w:val="000000" w:themeColor="text1"/>
          <w:sz w:val="24"/>
          <w:szCs w:val="20"/>
          <w:shd w:val="clear" w:color="auto" w:fill="FFFFFF"/>
        </w:rPr>
        <w:t>, L., 2020. Financing decisions of SMEs in the hotel industry. </w:t>
      </w:r>
      <w:r w:rsidRPr="008645DF">
        <w:rPr>
          <w:rFonts w:ascii="Times New Roman" w:hAnsi="Times New Roman" w:cs="Times New Roman"/>
          <w:i/>
          <w:iCs/>
          <w:color w:val="000000" w:themeColor="text1"/>
          <w:sz w:val="24"/>
          <w:szCs w:val="20"/>
          <w:shd w:val="clear" w:color="auto" w:fill="FFFFFF"/>
        </w:rPr>
        <w:t>International Journal of Academic Research in Accounting, Finance and Management Sciences</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10</w:t>
      </w:r>
      <w:r w:rsidRPr="008645DF">
        <w:rPr>
          <w:rFonts w:ascii="Times New Roman" w:hAnsi="Times New Roman" w:cs="Times New Roman"/>
          <w:color w:val="000000" w:themeColor="text1"/>
          <w:sz w:val="24"/>
          <w:szCs w:val="20"/>
          <w:shd w:val="clear" w:color="auto" w:fill="FFFFFF"/>
        </w:rPr>
        <w:t>(2), pp.9-14.</w:t>
      </w:r>
    </w:p>
    <w:p w14:paraId="506AB915"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proofErr w:type="spellStart"/>
      <w:r w:rsidRPr="008645DF">
        <w:rPr>
          <w:rFonts w:ascii="Times New Roman" w:hAnsi="Times New Roman" w:cs="Times New Roman"/>
          <w:color w:val="000000" w:themeColor="text1"/>
          <w:sz w:val="24"/>
          <w:szCs w:val="20"/>
          <w:shd w:val="clear" w:color="auto" w:fill="FFFFFF"/>
        </w:rPr>
        <w:t>Beusch</w:t>
      </w:r>
      <w:proofErr w:type="spellEnd"/>
      <w:r w:rsidRPr="008645DF">
        <w:rPr>
          <w:rFonts w:ascii="Times New Roman" w:hAnsi="Times New Roman" w:cs="Times New Roman"/>
          <w:color w:val="000000" w:themeColor="text1"/>
          <w:sz w:val="24"/>
          <w:szCs w:val="20"/>
          <w:shd w:val="clear" w:color="auto" w:fill="FFFFFF"/>
        </w:rPr>
        <w:t>, P., 2020. Management accounting and control for sustainability. In </w:t>
      </w:r>
      <w:r w:rsidRPr="008645DF">
        <w:rPr>
          <w:rFonts w:ascii="Times New Roman" w:hAnsi="Times New Roman" w:cs="Times New Roman"/>
          <w:i/>
          <w:iCs/>
          <w:color w:val="000000" w:themeColor="text1"/>
          <w:sz w:val="24"/>
          <w:szCs w:val="20"/>
          <w:shd w:val="clear" w:color="auto" w:fill="FFFFFF"/>
        </w:rPr>
        <w:t>Accounting for Sustainability</w:t>
      </w:r>
      <w:r w:rsidRPr="008645DF">
        <w:rPr>
          <w:rFonts w:ascii="Times New Roman" w:hAnsi="Times New Roman" w:cs="Times New Roman"/>
          <w:color w:val="000000" w:themeColor="text1"/>
          <w:sz w:val="24"/>
          <w:szCs w:val="20"/>
          <w:shd w:val="clear" w:color="auto" w:fill="FFFFFF"/>
        </w:rPr>
        <w:t> (pp. 33-50). Routledge.</w:t>
      </w:r>
    </w:p>
    <w:p w14:paraId="294B378B"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proofErr w:type="spellStart"/>
      <w:r w:rsidRPr="008645DF">
        <w:rPr>
          <w:rFonts w:ascii="Times New Roman" w:hAnsi="Times New Roman" w:cs="Times New Roman"/>
          <w:color w:val="000000" w:themeColor="text1"/>
          <w:sz w:val="24"/>
          <w:szCs w:val="20"/>
          <w:shd w:val="clear" w:color="auto" w:fill="FFFFFF"/>
        </w:rPr>
        <w:t>Căpușneanu</w:t>
      </w:r>
      <w:proofErr w:type="spellEnd"/>
      <w:r w:rsidRPr="008645DF">
        <w:rPr>
          <w:rFonts w:ascii="Times New Roman" w:hAnsi="Times New Roman" w:cs="Times New Roman"/>
          <w:color w:val="000000" w:themeColor="text1"/>
          <w:sz w:val="24"/>
          <w:szCs w:val="20"/>
          <w:shd w:val="clear" w:color="auto" w:fill="FFFFFF"/>
        </w:rPr>
        <w:t>, S., Topor, D.I., Constantin, D.M.O. and Marin-</w:t>
      </w:r>
      <w:proofErr w:type="spellStart"/>
      <w:r w:rsidRPr="008645DF">
        <w:rPr>
          <w:rFonts w:ascii="Times New Roman" w:hAnsi="Times New Roman" w:cs="Times New Roman"/>
          <w:color w:val="000000" w:themeColor="text1"/>
          <w:sz w:val="24"/>
          <w:szCs w:val="20"/>
          <w:shd w:val="clear" w:color="auto" w:fill="FFFFFF"/>
        </w:rPr>
        <w:t>Pantelescu</w:t>
      </w:r>
      <w:proofErr w:type="spellEnd"/>
      <w:r w:rsidRPr="008645DF">
        <w:rPr>
          <w:rFonts w:ascii="Times New Roman" w:hAnsi="Times New Roman" w:cs="Times New Roman"/>
          <w:color w:val="000000" w:themeColor="text1"/>
          <w:sz w:val="24"/>
          <w:szCs w:val="20"/>
          <w:shd w:val="clear" w:color="auto" w:fill="FFFFFF"/>
        </w:rPr>
        <w:t>, A., 2020. Management accounting in the digital economy: evolution and perspectives. In </w:t>
      </w:r>
      <w:r w:rsidRPr="008645DF">
        <w:rPr>
          <w:rFonts w:ascii="Times New Roman" w:hAnsi="Times New Roman" w:cs="Times New Roman"/>
          <w:i/>
          <w:iCs/>
          <w:color w:val="000000" w:themeColor="text1"/>
          <w:sz w:val="24"/>
          <w:szCs w:val="20"/>
          <w:shd w:val="clear" w:color="auto" w:fill="FFFFFF"/>
        </w:rPr>
        <w:t>Improving business performance through innovation in the digital economy</w:t>
      </w:r>
      <w:r w:rsidRPr="008645DF">
        <w:rPr>
          <w:rFonts w:ascii="Times New Roman" w:hAnsi="Times New Roman" w:cs="Times New Roman"/>
          <w:color w:val="000000" w:themeColor="text1"/>
          <w:sz w:val="24"/>
          <w:szCs w:val="20"/>
          <w:shd w:val="clear" w:color="auto" w:fill="FFFFFF"/>
        </w:rPr>
        <w:t> (pp. 156-176). IGI Global.</w:t>
      </w:r>
    </w:p>
    <w:p w14:paraId="459E8BF7"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Dahal, R.K., 2020. Contemporary management accounting techniques and organizational performance. </w:t>
      </w:r>
      <w:proofErr w:type="spellStart"/>
      <w:r w:rsidRPr="008645DF">
        <w:rPr>
          <w:rFonts w:ascii="Times New Roman" w:hAnsi="Times New Roman" w:cs="Times New Roman"/>
          <w:i/>
          <w:iCs/>
          <w:color w:val="000000" w:themeColor="text1"/>
          <w:sz w:val="24"/>
          <w:szCs w:val="20"/>
          <w:shd w:val="clear" w:color="auto" w:fill="FFFFFF"/>
        </w:rPr>
        <w:t>Pravaha</w:t>
      </w:r>
      <w:proofErr w:type="spellEnd"/>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26</w:t>
      </w:r>
      <w:r w:rsidRPr="008645DF">
        <w:rPr>
          <w:rFonts w:ascii="Times New Roman" w:hAnsi="Times New Roman" w:cs="Times New Roman"/>
          <w:color w:val="000000" w:themeColor="text1"/>
          <w:sz w:val="24"/>
          <w:szCs w:val="20"/>
          <w:shd w:val="clear" w:color="auto" w:fill="FFFFFF"/>
        </w:rPr>
        <w:t>(1), pp.177-185.</w:t>
      </w:r>
    </w:p>
    <w:p w14:paraId="6E6C4C9B"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Dahal, R.K., 2021. TRADITIONAL VS CONTEMPORARY MANAGEMENT ACCOUNTING TECHNIQUES IN THE NEPALESE MANUFACTURING COMPANIES. </w:t>
      </w:r>
      <w:r w:rsidRPr="008645DF">
        <w:rPr>
          <w:rFonts w:ascii="Times New Roman" w:hAnsi="Times New Roman" w:cs="Times New Roman"/>
          <w:i/>
          <w:iCs/>
          <w:color w:val="000000" w:themeColor="text1"/>
          <w:sz w:val="24"/>
          <w:szCs w:val="20"/>
          <w:shd w:val="clear" w:color="auto" w:fill="FFFFFF"/>
        </w:rPr>
        <w:t>Journal of Management Information &amp; Decision Sciences</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24</w:t>
      </w:r>
      <w:r w:rsidRPr="008645DF">
        <w:rPr>
          <w:rFonts w:ascii="Times New Roman" w:hAnsi="Times New Roman" w:cs="Times New Roman"/>
          <w:color w:val="000000" w:themeColor="text1"/>
          <w:sz w:val="24"/>
          <w:szCs w:val="20"/>
          <w:shd w:val="clear" w:color="auto" w:fill="FFFFFF"/>
        </w:rPr>
        <w:t>(5).</w:t>
      </w:r>
    </w:p>
    <w:p w14:paraId="4BC3DA42"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 xml:space="preserve">Dahal, R.K., 2022. </w:t>
      </w:r>
      <w:proofErr w:type="spellStart"/>
      <w:r w:rsidRPr="008645DF">
        <w:rPr>
          <w:rFonts w:ascii="Times New Roman" w:hAnsi="Times New Roman" w:cs="Times New Roman"/>
          <w:color w:val="000000" w:themeColor="text1"/>
          <w:sz w:val="24"/>
          <w:szCs w:val="20"/>
          <w:shd w:val="clear" w:color="auto" w:fill="FFFFFF"/>
        </w:rPr>
        <w:t>ACCOuNTING</w:t>
      </w:r>
      <w:proofErr w:type="spellEnd"/>
      <w:r w:rsidRPr="008645DF">
        <w:rPr>
          <w:rFonts w:ascii="Times New Roman" w:hAnsi="Times New Roman" w:cs="Times New Roman"/>
          <w:color w:val="000000" w:themeColor="text1"/>
          <w:sz w:val="24"/>
          <w:szCs w:val="20"/>
          <w:shd w:val="clear" w:color="auto" w:fill="FFFFFF"/>
        </w:rPr>
        <w:t xml:space="preserve"> PRACTICES AND </w:t>
      </w:r>
      <w:proofErr w:type="spellStart"/>
      <w:r w:rsidRPr="008645DF">
        <w:rPr>
          <w:rFonts w:ascii="Times New Roman" w:hAnsi="Times New Roman" w:cs="Times New Roman"/>
          <w:color w:val="000000" w:themeColor="text1"/>
          <w:sz w:val="24"/>
          <w:szCs w:val="20"/>
          <w:shd w:val="clear" w:color="auto" w:fill="FFFFFF"/>
        </w:rPr>
        <w:t>ORGANIzATIONAL</w:t>
      </w:r>
      <w:proofErr w:type="spellEnd"/>
      <w:r w:rsidRPr="008645DF">
        <w:rPr>
          <w:rFonts w:ascii="Times New Roman" w:hAnsi="Times New Roman" w:cs="Times New Roman"/>
          <w:color w:val="000000" w:themeColor="text1"/>
          <w:sz w:val="24"/>
          <w:szCs w:val="20"/>
          <w:shd w:val="clear" w:color="auto" w:fill="FFFFFF"/>
        </w:rPr>
        <w:t xml:space="preserve"> PERFORMANCE.</w:t>
      </w:r>
    </w:p>
    <w:p w14:paraId="3398EADF"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Dlamini, B. and Schutte, D.P., 2021. An exploratory study on the usage of Management Accounting Practices among Small and Medium Enterprises in Zimbabwe. </w:t>
      </w:r>
      <w:r w:rsidRPr="008645DF">
        <w:rPr>
          <w:rFonts w:ascii="Times New Roman" w:hAnsi="Times New Roman" w:cs="Times New Roman"/>
          <w:i/>
          <w:iCs/>
          <w:color w:val="000000" w:themeColor="text1"/>
          <w:sz w:val="24"/>
          <w:szCs w:val="20"/>
          <w:shd w:val="clear" w:color="auto" w:fill="FFFFFF"/>
        </w:rPr>
        <w:t>The Journal of Accounting and Management</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11</w:t>
      </w:r>
      <w:r w:rsidRPr="008645DF">
        <w:rPr>
          <w:rFonts w:ascii="Times New Roman" w:hAnsi="Times New Roman" w:cs="Times New Roman"/>
          <w:color w:val="000000" w:themeColor="text1"/>
          <w:sz w:val="24"/>
          <w:szCs w:val="20"/>
          <w:shd w:val="clear" w:color="auto" w:fill="FFFFFF"/>
        </w:rPr>
        <w:t>(2).</w:t>
      </w:r>
    </w:p>
    <w:p w14:paraId="0C773F23"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Dlamini, B., 2023. Use of management accounting practices: A remedy or delusion for SMEs in Zimbabwe. </w:t>
      </w:r>
      <w:proofErr w:type="spellStart"/>
      <w:r w:rsidRPr="008645DF">
        <w:rPr>
          <w:rFonts w:ascii="Times New Roman" w:hAnsi="Times New Roman" w:cs="Times New Roman"/>
          <w:i/>
          <w:iCs/>
          <w:color w:val="000000" w:themeColor="text1"/>
          <w:sz w:val="24"/>
          <w:szCs w:val="20"/>
          <w:shd w:val="clear" w:color="auto" w:fill="FFFFFF"/>
        </w:rPr>
        <w:t>EuroEconomica</w:t>
      </w:r>
      <w:proofErr w:type="spellEnd"/>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42</w:t>
      </w:r>
      <w:r w:rsidRPr="008645DF">
        <w:rPr>
          <w:rFonts w:ascii="Times New Roman" w:hAnsi="Times New Roman" w:cs="Times New Roman"/>
          <w:color w:val="000000" w:themeColor="text1"/>
          <w:sz w:val="24"/>
          <w:szCs w:val="20"/>
          <w:shd w:val="clear" w:color="auto" w:fill="FFFFFF"/>
        </w:rPr>
        <w:t>(2).</w:t>
      </w:r>
    </w:p>
    <w:p w14:paraId="55BDD830"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Duci, E., 2021. The relationship between management accounting, strategic management accounting and strategic cost management. </w:t>
      </w:r>
      <w:r w:rsidRPr="008645DF">
        <w:rPr>
          <w:rFonts w:ascii="Times New Roman" w:hAnsi="Times New Roman" w:cs="Times New Roman"/>
          <w:i/>
          <w:iCs/>
          <w:color w:val="000000" w:themeColor="text1"/>
          <w:sz w:val="24"/>
          <w:szCs w:val="20"/>
          <w:shd w:val="clear" w:color="auto" w:fill="FFFFFF"/>
        </w:rPr>
        <w:t>Academic Journal of Interdisciplinary Studies</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10</w:t>
      </w:r>
      <w:r w:rsidRPr="008645DF">
        <w:rPr>
          <w:rFonts w:ascii="Times New Roman" w:hAnsi="Times New Roman" w:cs="Times New Roman"/>
          <w:color w:val="000000" w:themeColor="text1"/>
          <w:sz w:val="24"/>
          <w:szCs w:val="20"/>
          <w:shd w:val="clear" w:color="auto" w:fill="FFFFFF"/>
        </w:rPr>
        <w:t>(5), pp.376-389.</w:t>
      </w:r>
    </w:p>
    <w:p w14:paraId="6F1B854C"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proofErr w:type="spellStart"/>
      <w:r w:rsidRPr="008645DF">
        <w:rPr>
          <w:rFonts w:ascii="Times New Roman" w:hAnsi="Times New Roman" w:cs="Times New Roman"/>
          <w:color w:val="000000" w:themeColor="text1"/>
          <w:sz w:val="24"/>
          <w:szCs w:val="20"/>
          <w:shd w:val="clear" w:color="auto" w:fill="FFFFFF"/>
        </w:rPr>
        <w:t>Elhossade</w:t>
      </w:r>
      <w:proofErr w:type="spellEnd"/>
      <w:r w:rsidRPr="008645DF">
        <w:rPr>
          <w:rFonts w:ascii="Times New Roman" w:hAnsi="Times New Roman" w:cs="Times New Roman"/>
          <w:color w:val="000000" w:themeColor="text1"/>
          <w:sz w:val="24"/>
          <w:szCs w:val="20"/>
          <w:shd w:val="clear" w:color="auto" w:fill="FFFFFF"/>
        </w:rPr>
        <w:t xml:space="preserve">, S.S., Abdo, H. and Mas’ </w:t>
      </w:r>
      <w:proofErr w:type="spellStart"/>
      <w:r w:rsidRPr="008645DF">
        <w:rPr>
          <w:rFonts w:ascii="Times New Roman" w:hAnsi="Times New Roman" w:cs="Times New Roman"/>
          <w:color w:val="000000" w:themeColor="text1"/>
          <w:sz w:val="24"/>
          <w:szCs w:val="20"/>
          <w:shd w:val="clear" w:color="auto" w:fill="FFFFFF"/>
        </w:rPr>
        <w:t>ud</w:t>
      </w:r>
      <w:proofErr w:type="spellEnd"/>
      <w:r w:rsidRPr="008645DF">
        <w:rPr>
          <w:rFonts w:ascii="Times New Roman" w:hAnsi="Times New Roman" w:cs="Times New Roman"/>
          <w:color w:val="000000" w:themeColor="text1"/>
          <w:sz w:val="24"/>
          <w:szCs w:val="20"/>
          <w:shd w:val="clear" w:color="auto" w:fill="FFFFFF"/>
        </w:rPr>
        <w:t>, A., 2021. Impact of institutional and contingent factors on adopting environmental management accounting systems: the case of manufacturing companies in Libya. </w:t>
      </w:r>
      <w:r w:rsidRPr="008645DF">
        <w:rPr>
          <w:rFonts w:ascii="Times New Roman" w:hAnsi="Times New Roman" w:cs="Times New Roman"/>
          <w:i/>
          <w:iCs/>
          <w:color w:val="000000" w:themeColor="text1"/>
          <w:sz w:val="24"/>
          <w:szCs w:val="20"/>
          <w:shd w:val="clear" w:color="auto" w:fill="FFFFFF"/>
        </w:rPr>
        <w:t>Journal of Financial Reporting and Accounting</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19</w:t>
      </w:r>
      <w:r w:rsidRPr="008645DF">
        <w:rPr>
          <w:rFonts w:ascii="Times New Roman" w:hAnsi="Times New Roman" w:cs="Times New Roman"/>
          <w:color w:val="000000" w:themeColor="text1"/>
          <w:sz w:val="24"/>
          <w:szCs w:val="20"/>
          <w:shd w:val="clear" w:color="auto" w:fill="FFFFFF"/>
        </w:rPr>
        <w:t>(4), pp.497-539.</w:t>
      </w:r>
    </w:p>
    <w:p w14:paraId="0DD5A8FA"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lastRenderedPageBreak/>
        <w:t>Lodder, G.G., 2022. </w:t>
      </w:r>
      <w:r w:rsidRPr="008645DF">
        <w:rPr>
          <w:rFonts w:ascii="Times New Roman" w:hAnsi="Times New Roman" w:cs="Times New Roman"/>
          <w:i/>
          <w:iCs/>
          <w:color w:val="000000" w:themeColor="text1"/>
          <w:sz w:val="24"/>
          <w:szCs w:val="20"/>
          <w:shd w:val="clear" w:color="auto" w:fill="FFFFFF"/>
        </w:rPr>
        <w:t>Identifying improvement areas within a South African gold mine using management accounting tools</w:t>
      </w:r>
      <w:r w:rsidRPr="008645DF">
        <w:rPr>
          <w:rFonts w:ascii="Times New Roman" w:hAnsi="Times New Roman" w:cs="Times New Roman"/>
          <w:color w:val="000000" w:themeColor="text1"/>
          <w:sz w:val="24"/>
          <w:szCs w:val="20"/>
          <w:shd w:val="clear" w:color="auto" w:fill="FFFFFF"/>
        </w:rPr>
        <w:t> (Doctoral dissertation, North-West University (South Africa)).</w:t>
      </w:r>
    </w:p>
    <w:p w14:paraId="58C035BE"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Marques, J. and Marques, R.P., 2023. Trends in the Hospitality Industry: A global perspective. In </w:t>
      </w:r>
      <w:r w:rsidRPr="008645DF">
        <w:rPr>
          <w:rFonts w:ascii="Times New Roman" w:hAnsi="Times New Roman" w:cs="Times New Roman"/>
          <w:i/>
          <w:iCs/>
          <w:color w:val="000000" w:themeColor="text1"/>
          <w:sz w:val="24"/>
          <w:szCs w:val="20"/>
          <w:shd w:val="clear" w:color="auto" w:fill="FFFFFF"/>
        </w:rPr>
        <w:t>Digital Transformation of the Hotel Industry: Theories, Practices, and Global Challenges</w:t>
      </w:r>
      <w:r w:rsidRPr="008645DF">
        <w:rPr>
          <w:rFonts w:ascii="Times New Roman" w:hAnsi="Times New Roman" w:cs="Times New Roman"/>
          <w:color w:val="000000" w:themeColor="text1"/>
          <w:sz w:val="24"/>
          <w:szCs w:val="20"/>
          <w:shd w:val="clear" w:color="auto" w:fill="FFFFFF"/>
        </w:rPr>
        <w:t> (pp. 1-16). Cham: Springer International Publishing.</w:t>
      </w:r>
    </w:p>
    <w:p w14:paraId="60DA9955" w14:textId="77777777" w:rsidR="005B1773" w:rsidRPr="008645DF" w:rsidRDefault="005B1773" w:rsidP="005B1773">
      <w:pPr>
        <w:spacing w:line="360" w:lineRule="auto"/>
        <w:jc w:val="both"/>
        <w:rPr>
          <w:rFonts w:ascii="Times New Roman" w:hAnsi="Times New Roman" w:cs="Times New Roman"/>
          <w:color w:val="000000" w:themeColor="text1"/>
          <w:sz w:val="28"/>
        </w:rPr>
      </w:pPr>
      <w:r w:rsidRPr="008645DF">
        <w:rPr>
          <w:rFonts w:ascii="Times New Roman" w:hAnsi="Times New Roman" w:cs="Times New Roman"/>
          <w:color w:val="000000" w:themeColor="text1"/>
          <w:sz w:val="24"/>
          <w:szCs w:val="20"/>
          <w:shd w:val="clear" w:color="auto" w:fill="FFFFFF"/>
        </w:rPr>
        <w:t xml:space="preserve">Mueller, A. and </w:t>
      </w:r>
      <w:proofErr w:type="spellStart"/>
      <w:r w:rsidRPr="008645DF">
        <w:rPr>
          <w:rFonts w:ascii="Times New Roman" w:hAnsi="Times New Roman" w:cs="Times New Roman"/>
          <w:color w:val="000000" w:themeColor="text1"/>
          <w:sz w:val="24"/>
          <w:szCs w:val="20"/>
          <w:shd w:val="clear" w:color="auto" w:fill="FFFFFF"/>
        </w:rPr>
        <w:t>Sensini</w:t>
      </w:r>
      <w:proofErr w:type="spellEnd"/>
      <w:r w:rsidRPr="008645DF">
        <w:rPr>
          <w:rFonts w:ascii="Times New Roman" w:hAnsi="Times New Roman" w:cs="Times New Roman"/>
          <w:color w:val="000000" w:themeColor="text1"/>
          <w:sz w:val="24"/>
          <w:szCs w:val="20"/>
          <w:shd w:val="clear" w:color="auto" w:fill="FFFFFF"/>
        </w:rPr>
        <w:t>, L., 2021. Determinants of financing decisions of SMEs: evidence from hotel industry. </w:t>
      </w:r>
      <w:r w:rsidRPr="008645DF">
        <w:rPr>
          <w:rFonts w:ascii="Times New Roman" w:hAnsi="Times New Roman" w:cs="Times New Roman"/>
          <w:i/>
          <w:iCs/>
          <w:color w:val="000000" w:themeColor="text1"/>
          <w:sz w:val="24"/>
          <w:szCs w:val="20"/>
          <w:shd w:val="clear" w:color="auto" w:fill="FFFFFF"/>
        </w:rPr>
        <w:t>International Journal of Business and Management</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16</w:t>
      </w:r>
      <w:r w:rsidRPr="008645DF">
        <w:rPr>
          <w:rFonts w:ascii="Times New Roman" w:hAnsi="Times New Roman" w:cs="Times New Roman"/>
          <w:color w:val="000000" w:themeColor="text1"/>
          <w:sz w:val="24"/>
          <w:szCs w:val="20"/>
          <w:shd w:val="clear" w:color="auto" w:fill="FFFFFF"/>
        </w:rPr>
        <w:t>(3), pp.117-127.</w:t>
      </w:r>
    </w:p>
    <w:p w14:paraId="3D392D84"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proofErr w:type="spellStart"/>
      <w:r w:rsidRPr="008645DF">
        <w:rPr>
          <w:rFonts w:ascii="Times New Roman" w:hAnsi="Times New Roman" w:cs="Times New Roman"/>
          <w:color w:val="000000" w:themeColor="text1"/>
          <w:sz w:val="24"/>
          <w:szCs w:val="20"/>
          <w:shd w:val="clear" w:color="auto" w:fill="FFFFFF"/>
        </w:rPr>
        <w:t>Oyewo</w:t>
      </w:r>
      <w:proofErr w:type="spellEnd"/>
      <w:r w:rsidRPr="008645DF">
        <w:rPr>
          <w:rFonts w:ascii="Times New Roman" w:hAnsi="Times New Roman" w:cs="Times New Roman"/>
          <w:color w:val="000000" w:themeColor="text1"/>
          <w:sz w:val="24"/>
          <w:szCs w:val="20"/>
          <w:shd w:val="clear" w:color="auto" w:fill="FFFFFF"/>
        </w:rPr>
        <w:t xml:space="preserve">, B., Vo, X.V. and Akinsanmi, T., 2021. Strategy-related factors moderating the fit between management accounting practice sophistication and </w:t>
      </w:r>
      <w:proofErr w:type="spellStart"/>
      <w:r w:rsidRPr="008645DF">
        <w:rPr>
          <w:rFonts w:ascii="Times New Roman" w:hAnsi="Times New Roman" w:cs="Times New Roman"/>
          <w:color w:val="000000" w:themeColor="text1"/>
          <w:sz w:val="24"/>
          <w:szCs w:val="20"/>
          <w:shd w:val="clear" w:color="auto" w:fill="FFFFFF"/>
        </w:rPr>
        <w:t>organisational</w:t>
      </w:r>
      <w:proofErr w:type="spellEnd"/>
      <w:r w:rsidRPr="008645DF">
        <w:rPr>
          <w:rFonts w:ascii="Times New Roman" w:hAnsi="Times New Roman" w:cs="Times New Roman"/>
          <w:color w:val="000000" w:themeColor="text1"/>
          <w:sz w:val="24"/>
          <w:szCs w:val="20"/>
          <w:shd w:val="clear" w:color="auto" w:fill="FFFFFF"/>
        </w:rPr>
        <w:t xml:space="preserve"> effectiveness: the Global Management Accounting Principles (GMAP) perspective. </w:t>
      </w:r>
      <w:r w:rsidRPr="008645DF">
        <w:rPr>
          <w:rFonts w:ascii="Times New Roman" w:hAnsi="Times New Roman" w:cs="Times New Roman"/>
          <w:i/>
          <w:iCs/>
          <w:color w:val="000000" w:themeColor="text1"/>
          <w:sz w:val="24"/>
          <w:szCs w:val="20"/>
          <w:shd w:val="clear" w:color="auto" w:fill="FFFFFF"/>
        </w:rPr>
        <w:t>Spanish Journal of Finance and Accounting/</w:t>
      </w:r>
      <w:proofErr w:type="spellStart"/>
      <w:r w:rsidRPr="008645DF">
        <w:rPr>
          <w:rFonts w:ascii="Times New Roman" w:hAnsi="Times New Roman" w:cs="Times New Roman"/>
          <w:i/>
          <w:iCs/>
          <w:color w:val="000000" w:themeColor="text1"/>
          <w:sz w:val="24"/>
          <w:szCs w:val="20"/>
          <w:shd w:val="clear" w:color="auto" w:fill="FFFFFF"/>
        </w:rPr>
        <w:t>Revista</w:t>
      </w:r>
      <w:proofErr w:type="spellEnd"/>
      <w:r w:rsidRPr="008645DF">
        <w:rPr>
          <w:rFonts w:ascii="Times New Roman" w:hAnsi="Times New Roman" w:cs="Times New Roman"/>
          <w:i/>
          <w:iCs/>
          <w:color w:val="000000" w:themeColor="text1"/>
          <w:sz w:val="24"/>
          <w:szCs w:val="20"/>
          <w:shd w:val="clear" w:color="auto" w:fill="FFFFFF"/>
        </w:rPr>
        <w:t xml:space="preserve"> Española de </w:t>
      </w:r>
      <w:proofErr w:type="spellStart"/>
      <w:r w:rsidRPr="008645DF">
        <w:rPr>
          <w:rFonts w:ascii="Times New Roman" w:hAnsi="Times New Roman" w:cs="Times New Roman"/>
          <w:i/>
          <w:iCs/>
          <w:color w:val="000000" w:themeColor="text1"/>
          <w:sz w:val="24"/>
          <w:szCs w:val="20"/>
          <w:shd w:val="clear" w:color="auto" w:fill="FFFFFF"/>
        </w:rPr>
        <w:t>Financiación</w:t>
      </w:r>
      <w:proofErr w:type="spellEnd"/>
      <w:r w:rsidRPr="008645DF">
        <w:rPr>
          <w:rFonts w:ascii="Times New Roman" w:hAnsi="Times New Roman" w:cs="Times New Roman"/>
          <w:i/>
          <w:iCs/>
          <w:color w:val="000000" w:themeColor="text1"/>
          <w:sz w:val="24"/>
          <w:szCs w:val="20"/>
          <w:shd w:val="clear" w:color="auto" w:fill="FFFFFF"/>
        </w:rPr>
        <w:t xml:space="preserve"> y </w:t>
      </w:r>
      <w:proofErr w:type="spellStart"/>
      <w:r w:rsidRPr="008645DF">
        <w:rPr>
          <w:rFonts w:ascii="Times New Roman" w:hAnsi="Times New Roman" w:cs="Times New Roman"/>
          <w:i/>
          <w:iCs/>
          <w:color w:val="000000" w:themeColor="text1"/>
          <w:sz w:val="24"/>
          <w:szCs w:val="20"/>
          <w:shd w:val="clear" w:color="auto" w:fill="FFFFFF"/>
        </w:rPr>
        <w:t>Contabilidad</w:t>
      </w:r>
      <w:proofErr w:type="spellEnd"/>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50</w:t>
      </w:r>
      <w:r w:rsidRPr="008645DF">
        <w:rPr>
          <w:rFonts w:ascii="Times New Roman" w:hAnsi="Times New Roman" w:cs="Times New Roman"/>
          <w:color w:val="000000" w:themeColor="text1"/>
          <w:sz w:val="24"/>
          <w:szCs w:val="20"/>
          <w:shd w:val="clear" w:color="auto" w:fill="FFFFFF"/>
        </w:rPr>
        <w:t>(2), pp.187-223.</w:t>
      </w:r>
    </w:p>
    <w:p w14:paraId="55940069"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SIRANI, A., 2022. </w:t>
      </w:r>
      <w:r w:rsidRPr="008645DF">
        <w:rPr>
          <w:rFonts w:ascii="Times New Roman" w:hAnsi="Times New Roman" w:cs="Times New Roman"/>
          <w:i/>
          <w:iCs/>
          <w:color w:val="000000" w:themeColor="text1"/>
          <w:sz w:val="24"/>
          <w:szCs w:val="20"/>
          <w:shd w:val="clear" w:color="auto" w:fill="FFFFFF"/>
        </w:rPr>
        <w:t>THE ROLE OF MANAGEMENT ACCOUNTING INFORMATION IN ENHANCING DECISION MAKING AT DASHEN BANK</w:t>
      </w:r>
      <w:r w:rsidRPr="008645DF">
        <w:rPr>
          <w:rFonts w:ascii="Times New Roman" w:hAnsi="Times New Roman" w:cs="Times New Roman"/>
          <w:color w:val="000000" w:themeColor="text1"/>
          <w:sz w:val="24"/>
          <w:szCs w:val="20"/>
          <w:shd w:val="clear" w:color="auto" w:fill="FFFFFF"/>
        </w:rPr>
        <w:t> (Doctoral dissertation, ST. MARY’S UNIVERSITY).</w:t>
      </w:r>
    </w:p>
    <w:p w14:paraId="29E0A5B8" w14:textId="77777777" w:rsidR="005B1773" w:rsidRPr="008645DF" w:rsidRDefault="005B1773" w:rsidP="005B1773">
      <w:pPr>
        <w:spacing w:line="360" w:lineRule="auto"/>
        <w:jc w:val="both"/>
        <w:rPr>
          <w:rFonts w:ascii="Times New Roman" w:hAnsi="Times New Roman" w:cs="Times New Roman"/>
          <w:color w:val="000000" w:themeColor="text1"/>
          <w:sz w:val="24"/>
          <w:szCs w:val="20"/>
          <w:shd w:val="clear" w:color="auto" w:fill="FFFFFF"/>
        </w:rPr>
      </w:pPr>
      <w:r w:rsidRPr="008645DF">
        <w:rPr>
          <w:rFonts w:ascii="Times New Roman" w:hAnsi="Times New Roman" w:cs="Times New Roman"/>
          <w:color w:val="000000" w:themeColor="text1"/>
          <w:sz w:val="24"/>
          <w:szCs w:val="20"/>
          <w:shd w:val="clear" w:color="auto" w:fill="FFFFFF"/>
        </w:rPr>
        <w:t xml:space="preserve">Stefani, S.F. and </w:t>
      </w:r>
      <w:proofErr w:type="spellStart"/>
      <w:r w:rsidRPr="008645DF">
        <w:rPr>
          <w:rFonts w:ascii="Times New Roman" w:hAnsi="Times New Roman" w:cs="Times New Roman"/>
          <w:color w:val="000000" w:themeColor="text1"/>
          <w:sz w:val="24"/>
          <w:szCs w:val="20"/>
          <w:shd w:val="clear" w:color="auto" w:fill="FFFFFF"/>
        </w:rPr>
        <w:t>Priatmodjo</w:t>
      </w:r>
      <w:proofErr w:type="spellEnd"/>
      <w:r w:rsidRPr="008645DF">
        <w:rPr>
          <w:rFonts w:ascii="Times New Roman" w:hAnsi="Times New Roman" w:cs="Times New Roman"/>
          <w:color w:val="000000" w:themeColor="text1"/>
          <w:sz w:val="24"/>
          <w:szCs w:val="20"/>
          <w:shd w:val="clear" w:color="auto" w:fill="FFFFFF"/>
        </w:rPr>
        <w:t>, D., 2021. TURNAROUND MANAGEMENT THROUGH BUSINESS PROCESS RE-ENGINEERING FOR SBH HOTEL BANDUNG INDONESIA. </w:t>
      </w:r>
      <w:r w:rsidRPr="008645DF">
        <w:rPr>
          <w:rFonts w:ascii="Times New Roman" w:hAnsi="Times New Roman" w:cs="Times New Roman"/>
          <w:i/>
          <w:iCs/>
          <w:color w:val="000000" w:themeColor="text1"/>
          <w:sz w:val="24"/>
          <w:szCs w:val="20"/>
          <w:shd w:val="clear" w:color="auto" w:fill="FFFFFF"/>
        </w:rPr>
        <w:t>BIMP-EAGA Journal for Sustainable Tourism Development</w:t>
      </w:r>
      <w:r w:rsidRPr="008645DF">
        <w:rPr>
          <w:rFonts w:ascii="Times New Roman" w:hAnsi="Times New Roman" w:cs="Times New Roman"/>
          <w:color w:val="000000" w:themeColor="text1"/>
          <w:sz w:val="24"/>
          <w:szCs w:val="20"/>
          <w:shd w:val="clear" w:color="auto" w:fill="FFFFFF"/>
        </w:rPr>
        <w:t>, </w:t>
      </w:r>
      <w:r w:rsidRPr="008645DF">
        <w:rPr>
          <w:rFonts w:ascii="Times New Roman" w:hAnsi="Times New Roman" w:cs="Times New Roman"/>
          <w:i/>
          <w:iCs/>
          <w:color w:val="000000" w:themeColor="text1"/>
          <w:sz w:val="24"/>
          <w:szCs w:val="20"/>
          <w:shd w:val="clear" w:color="auto" w:fill="FFFFFF"/>
        </w:rPr>
        <w:t>10</w:t>
      </w:r>
      <w:r w:rsidRPr="008645DF">
        <w:rPr>
          <w:rFonts w:ascii="Times New Roman" w:hAnsi="Times New Roman" w:cs="Times New Roman"/>
          <w:color w:val="000000" w:themeColor="text1"/>
          <w:sz w:val="24"/>
          <w:szCs w:val="20"/>
          <w:shd w:val="clear" w:color="auto" w:fill="FFFFFF"/>
        </w:rPr>
        <w:t>(1), pp.105-119.</w:t>
      </w:r>
    </w:p>
    <w:p w14:paraId="2A425B10" w14:textId="77777777" w:rsidR="00BF636F" w:rsidRPr="008645DF" w:rsidRDefault="005B1773">
      <w:pPr>
        <w:rPr>
          <w:rFonts w:ascii="Times New Roman" w:eastAsia="Times New Roman" w:hAnsi="Times New Roman" w:cs="Times New Roman"/>
          <w:b/>
          <w:color w:val="000000" w:themeColor="text1"/>
          <w:sz w:val="28"/>
          <w:szCs w:val="28"/>
        </w:rPr>
      </w:pPr>
      <w:r w:rsidRPr="008645DF">
        <w:rPr>
          <w:color w:val="000000" w:themeColor="text1"/>
        </w:rPr>
        <w:br w:type="page"/>
      </w:r>
    </w:p>
    <w:p w14:paraId="4EAC38C6" w14:textId="77777777" w:rsidR="00BF636F" w:rsidRPr="008645DF" w:rsidRDefault="005B1773" w:rsidP="005B1773">
      <w:pPr>
        <w:pStyle w:val="Heading1"/>
        <w:rPr>
          <w:color w:val="000000" w:themeColor="text1"/>
        </w:rPr>
      </w:pPr>
      <w:bookmarkStart w:id="9" w:name="_Toc157427101"/>
      <w:r w:rsidRPr="008645DF">
        <w:rPr>
          <w:color w:val="000000" w:themeColor="text1"/>
        </w:rPr>
        <w:lastRenderedPageBreak/>
        <w:t>Appendices</w:t>
      </w:r>
      <w:bookmarkEnd w:id="9"/>
    </w:p>
    <w:p w14:paraId="400AD41A" w14:textId="77777777" w:rsidR="00BF636F" w:rsidRPr="008645DF" w:rsidRDefault="005B1773">
      <w:pP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t>Appendix 1: accord group consolidated statement</w:t>
      </w:r>
    </w:p>
    <w:p w14:paraId="7A77D0EB" w14:textId="77777777" w:rsidR="00BF636F" w:rsidRPr="008645DF" w:rsidRDefault="005B1773">
      <w:pPr>
        <w:jc w:val="center"/>
        <w:rPr>
          <w:rFonts w:ascii="Times New Roman" w:eastAsia="Times New Roman" w:hAnsi="Times New Roman" w:cs="Times New Roman"/>
          <w:b/>
          <w:color w:val="000000" w:themeColor="text1"/>
          <w:sz w:val="28"/>
          <w:szCs w:val="28"/>
        </w:rPr>
      </w:pPr>
      <w:r w:rsidRPr="008645DF">
        <w:rPr>
          <w:rFonts w:ascii="Times New Roman" w:eastAsia="Times New Roman" w:hAnsi="Times New Roman" w:cs="Times New Roman"/>
          <w:b/>
          <w:noProof/>
          <w:color w:val="000000" w:themeColor="text1"/>
          <w:sz w:val="28"/>
          <w:szCs w:val="28"/>
          <w:lang w:val="en-US"/>
        </w:rPr>
        <w:drawing>
          <wp:inline distT="114300" distB="114300" distL="114300" distR="114300" wp14:anchorId="13CC7EF9" wp14:editId="272FC06B">
            <wp:extent cx="5000625" cy="39338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00625" cy="3933825"/>
                    </a:xfrm>
                    <a:prstGeom prst="rect">
                      <a:avLst/>
                    </a:prstGeom>
                    <a:ln/>
                  </pic:spPr>
                </pic:pic>
              </a:graphicData>
            </a:graphic>
          </wp:inline>
        </w:drawing>
      </w:r>
    </w:p>
    <w:p w14:paraId="6F900E4A" w14:textId="77777777" w:rsidR="00BF636F" w:rsidRPr="008645DF" w:rsidRDefault="005B1773">
      <w:pPr>
        <w:rPr>
          <w:rFonts w:ascii="Times New Roman" w:eastAsia="Times New Roman" w:hAnsi="Times New Roman" w:cs="Times New Roman"/>
          <w:color w:val="000000" w:themeColor="text1"/>
          <w:sz w:val="24"/>
          <w:szCs w:val="24"/>
        </w:rPr>
      </w:pPr>
      <w:r w:rsidRPr="008645DF">
        <w:rPr>
          <w:color w:val="000000" w:themeColor="text1"/>
        </w:rPr>
        <w:br w:type="page"/>
      </w:r>
    </w:p>
    <w:p w14:paraId="048118EF" w14:textId="77777777" w:rsidR="00BF636F" w:rsidRPr="008645DF" w:rsidRDefault="005B1773">
      <w:pPr>
        <w:rPr>
          <w:rFonts w:ascii="Times New Roman" w:eastAsia="Times New Roman" w:hAnsi="Times New Roman" w:cs="Times New Roman"/>
          <w:b/>
          <w:color w:val="000000" w:themeColor="text1"/>
          <w:sz w:val="24"/>
          <w:szCs w:val="24"/>
        </w:rPr>
      </w:pPr>
      <w:r w:rsidRPr="008645DF">
        <w:rPr>
          <w:rFonts w:ascii="Times New Roman" w:eastAsia="Times New Roman" w:hAnsi="Times New Roman" w:cs="Times New Roman"/>
          <w:b/>
          <w:color w:val="000000" w:themeColor="text1"/>
          <w:sz w:val="24"/>
          <w:szCs w:val="24"/>
        </w:rPr>
        <w:lastRenderedPageBreak/>
        <w:t>Appendix 2: Corinthia Hotels consolidated statement</w:t>
      </w:r>
    </w:p>
    <w:p w14:paraId="67A6399A" w14:textId="77777777" w:rsidR="00BF636F" w:rsidRPr="008645DF" w:rsidRDefault="005B1773">
      <w:pPr>
        <w:jc w:val="center"/>
        <w:rPr>
          <w:rFonts w:ascii="Times New Roman" w:eastAsia="Times New Roman" w:hAnsi="Times New Roman" w:cs="Times New Roman"/>
          <w:b/>
          <w:color w:val="000000" w:themeColor="text1"/>
          <w:sz w:val="28"/>
          <w:szCs w:val="28"/>
        </w:rPr>
      </w:pPr>
      <w:r w:rsidRPr="008645DF">
        <w:rPr>
          <w:rFonts w:ascii="Times New Roman" w:eastAsia="Times New Roman" w:hAnsi="Times New Roman" w:cs="Times New Roman"/>
          <w:b/>
          <w:noProof/>
          <w:color w:val="000000" w:themeColor="text1"/>
          <w:sz w:val="28"/>
          <w:szCs w:val="28"/>
          <w:lang w:val="en-US"/>
        </w:rPr>
        <w:drawing>
          <wp:inline distT="114300" distB="114300" distL="114300" distR="114300" wp14:anchorId="6DF597EB" wp14:editId="01D2046B">
            <wp:extent cx="5943600" cy="3911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911600"/>
                    </a:xfrm>
                    <a:prstGeom prst="rect">
                      <a:avLst/>
                    </a:prstGeom>
                    <a:ln/>
                  </pic:spPr>
                </pic:pic>
              </a:graphicData>
            </a:graphic>
          </wp:inline>
        </w:drawing>
      </w:r>
    </w:p>
    <w:p w14:paraId="6EFCAC4C" w14:textId="4D941377" w:rsidR="00BF636F" w:rsidRPr="008645DF" w:rsidRDefault="00BF636F">
      <w:pPr>
        <w:jc w:val="center"/>
        <w:rPr>
          <w:rFonts w:ascii="Times New Roman" w:eastAsia="Times New Roman" w:hAnsi="Times New Roman" w:cs="Times New Roman"/>
          <w:color w:val="000000" w:themeColor="text1"/>
          <w:sz w:val="24"/>
          <w:szCs w:val="24"/>
        </w:rPr>
      </w:pPr>
    </w:p>
    <w:sectPr w:rsidR="00BF636F" w:rsidRPr="008645DF" w:rsidSect="005B177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52CE4" w14:textId="77777777" w:rsidR="00022E64" w:rsidRDefault="00022E64" w:rsidP="005B1773">
      <w:pPr>
        <w:spacing w:line="240" w:lineRule="auto"/>
      </w:pPr>
      <w:r>
        <w:separator/>
      </w:r>
    </w:p>
  </w:endnote>
  <w:endnote w:type="continuationSeparator" w:id="0">
    <w:p w14:paraId="692C3FF6" w14:textId="77777777" w:rsidR="00022E64" w:rsidRDefault="00022E64" w:rsidP="005B17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4347"/>
      <w:docPartObj>
        <w:docPartGallery w:val="Page Numbers (Bottom of Page)"/>
        <w:docPartUnique/>
      </w:docPartObj>
    </w:sdtPr>
    <w:sdtEndPr>
      <w:rPr>
        <w:noProof/>
      </w:rPr>
    </w:sdtEndPr>
    <w:sdtContent>
      <w:p w14:paraId="0EB793A5" w14:textId="77777777" w:rsidR="005B1773" w:rsidRDefault="005B1773">
        <w:pPr>
          <w:pStyle w:val="Footer"/>
          <w:jc w:val="right"/>
        </w:pPr>
        <w:r>
          <w:fldChar w:fldCharType="begin"/>
        </w:r>
        <w:r>
          <w:instrText xml:space="preserve"> PAGE   \* MERGEFORMAT </w:instrText>
        </w:r>
        <w:r>
          <w:fldChar w:fldCharType="separate"/>
        </w:r>
        <w:r w:rsidR="0007790A">
          <w:rPr>
            <w:noProof/>
          </w:rPr>
          <w:t>10</w:t>
        </w:r>
        <w:r>
          <w:rPr>
            <w:noProof/>
          </w:rPr>
          <w:fldChar w:fldCharType="end"/>
        </w:r>
      </w:p>
    </w:sdtContent>
  </w:sdt>
  <w:p w14:paraId="33A7CB21" w14:textId="77777777" w:rsidR="005B1773" w:rsidRDefault="005B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5CA37" w14:textId="77777777" w:rsidR="00022E64" w:rsidRDefault="00022E64" w:rsidP="005B1773">
      <w:pPr>
        <w:spacing w:line="240" w:lineRule="auto"/>
      </w:pPr>
      <w:r>
        <w:separator/>
      </w:r>
    </w:p>
  </w:footnote>
  <w:footnote w:type="continuationSeparator" w:id="0">
    <w:p w14:paraId="73FFC1A8" w14:textId="77777777" w:rsidR="00022E64" w:rsidRDefault="00022E64" w:rsidP="005B17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36F"/>
    <w:rsid w:val="00022E64"/>
    <w:rsid w:val="0007790A"/>
    <w:rsid w:val="003A0895"/>
    <w:rsid w:val="004778BD"/>
    <w:rsid w:val="00521733"/>
    <w:rsid w:val="005B1773"/>
    <w:rsid w:val="007E4F4E"/>
    <w:rsid w:val="008645DF"/>
    <w:rsid w:val="00A37F64"/>
    <w:rsid w:val="00BF636F"/>
    <w:rsid w:val="00C069D9"/>
    <w:rsid w:val="00DC1E40"/>
    <w:rsid w:val="00E43543"/>
    <w:rsid w:val="00F01148"/>
    <w:rsid w:val="00F23293"/>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754C"/>
  <w15:docId w15:val="{7D8A5506-5AE3-4B98-9B7C-5F8FAAB0D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B177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5B1773"/>
    <w:pPr>
      <w:keepNext/>
      <w:keepLines/>
      <w:spacing w:before="360" w:after="120" w:line="360" w:lineRule="auto"/>
      <w:jc w:val="both"/>
      <w:outlineLvl w:val="1"/>
    </w:pPr>
    <w:rPr>
      <w:rFonts w:ascii="Times New Roman" w:hAnsi="Times New Roman"/>
      <w:b/>
      <w:i/>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B1773"/>
    <w:pPr>
      <w:tabs>
        <w:tab w:val="center" w:pos="4680"/>
        <w:tab w:val="right" w:pos="9360"/>
      </w:tabs>
      <w:spacing w:line="240" w:lineRule="auto"/>
    </w:pPr>
  </w:style>
  <w:style w:type="character" w:customStyle="1" w:styleId="HeaderChar">
    <w:name w:val="Header Char"/>
    <w:basedOn w:val="DefaultParagraphFont"/>
    <w:link w:val="Header"/>
    <w:uiPriority w:val="99"/>
    <w:rsid w:val="005B1773"/>
  </w:style>
  <w:style w:type="paragraph" w:styleId="Footer">
    <w:name w:val="footer"/>
    <w:basedOn w:val="Normal"/>
    <w:link w:val="FooterChar"/>
    <w:uiPriority w:val="99"/>
    <w:unhideWhenUsed/>
    <w:rsid w:val="005B1773"/>
    <w:pPr>
      <w:tabs>
        <w:tab w:val="center" w:pos="4680"/>
        <w:tab w:val="right" w:pos="9360"/>
      </w:tabs>
      <w:spacing w:line="240" w:lineRule="auto"/>
    </w:pPr>
  </w:style>
  <w:style w:type="character" w:customStyle="1" w:styleId="FooterChar">
    <w:name w:val="Footer Char"/>
    <w:basedOn w:val="DefaultParagraphFont"/>
    <w:link w:val="Footer"/>
    <w:uiPriority w:val="99"/>
    <w:rsid w:val="005B1773"/>
  </w:style>
  <w:style w:type="paragraph" w:styleId="TOCHeading">
    <w:name w:val="TOC Heading"/>
    <w:basedOn w:val="Heading1"/>
    <w:next w:val="Normal"/>
    <w:uiPriority w:val="39"/>
    <w:unhideWhenUsed/>
    <w:qFormat/>
    <w:rsid w:val="005B17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B1773"/>
    <w:pPr>
      <w:spacing w:after="100"/>
    </w:pPr>
  </w:style>
  <w:style w:type="paragraph" w:styleId="TOC2">
    <w:name w:val="toc 2"/>
    <w:basedOn w:val="Normal"/>
    <w:next w:val="Normal"/>
    <w:autoRedefine/>
    <w:uiPriority w:val="39"/>
    <w:unhideWhenUsed/>
    <w:rsid w:val="005B1773"/>
    <w:pPr>
      <w:spacing w:after="100"/>
      <w:ind w:left="220"/>
    </w:pPr>
  </w:style>
  <w:style w:type="character" w:styleId="Hyperlink">
    <w:name w:val="Hyperlink"/>
    <w:basedOn w:val="DefaultParagraphFont"/>
    <w:uiPriority w:val="99"/>
    <w:unhideWhenUsed/>
    <w:rsid w:val="005B17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9C4E5-AF5E-4287-9F16-3B02D2147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Khadijah Begum</dc:creator>
  <cp:lastModifiedBy>Khadijah Begum</cp:lastModifiedBy>
  <cp:revision>2</cp:revision>
  <dcterms:created xsi:type="dcterms:W3CDTF">2024-02-01T17:37:00Z</dcterms:created>
  <dcterms:modified xsi:type="dcterms:W3CDTF">2024-02-01T17:37:00Z</dcterms:modified>
</cp:coreProperties>
</file>