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EB949" w14:textId="07F18FB2" w:rsidR="00E33468" w:rsidRPr="00270D3E" w:rsidRDefault="00B3106A" w:rsidP="00B3106A">
      <w:pPr>
        <w:jc w:val="center"/>
        <w:rPr>
          <w:rFonts w:asciiTheme="majorHAnsi" w:hAnsiTheme="majorHAnsi"/>
          <w:sz w:val="24"/>
          <w:szCs w:val="24"/>
          <w:u w:val="single"/>
        </w:rPr>
      </w:pPr>
      <w:r w:rsidRPr="00270D3E">
        <w:rPr>
          <w:rFonts w:asciiTheme="majorHAnsi" w:hAnsiTheme="majorHAnsi"/>
          <w:sz w:val="24"/>
          <w:szCs w:val="24"/>
          <w:u w:val="single"/>
        </w:rPr>
        <w:t>The Holy Chalice of Valencia</w:t>
      </w:r>
    </w:p>
    <w:p w14:paraId="138EECC1" w14:textId="31114B88" w:rsidR="00B3106A" w:rsidRPr="00B3106A" w:rsidRDefault="00B3106A" w:rsidP="00B3106A">
      <w:pPr>
        <w:jc w:val="center"/>
      </w:pPr>
    </w:p>
    <w:p w14:paraId="1CE4A3C9" w14:textId="7F8B61AA" w:rsidR="00B3106A" w:rsidRDefault="00270D3E" w:rsidP="00B3106A">
      <w:r>
        <w:rPr>
          <w:noProof/>
        </w:rPr>
        <w:drawing>
          <wp:anchor distT="0" distB="0" distL="114300" distR="114300" simplePos="0" relativeHeight="251659264" behindDoc="1" locked="0" layoutInCell="1" allowOverlap="1" wp14:anchorId="219BFD2A" wp14:editId="19615F5B">
            <wp:simplePos x="0" y="0"/>
            <wp:positionH relativeFrom="margin">
              <wp:align>left</wp:align>
            </wp:positionH>
            <wp:positionV relativeFrom="paragraph">
              <wp:posOffset>4445</wp:posOffset>
            </wp:positionV>
            <wp:extent cx="1943735" cy="2914650"/>
            <wp:effectExtent l="0" t="0" r="0" b="0"/>
            <wp:wrapTight wrapText="bothSides">
              <wp:wrapPolygon edited="0">
                <wp:start x="0" y="0"/>
                <wp:lineTo x="0" y="21459"/>
                <wp:lineTo x="21381" y="21459"/>
                <wp:lineTo x="21381" y="0"/>
                <wp:lineTo x="0" y="0"/>
              </wp:wrapPolygon>
            </wp:wrapTight>
            <wp:docPr id="813001663" name="Picture 1" descr="Spain Photo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ain Photo Galle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43735" cy="2914650"/>
                    </a:xfrm>
                    <a:prstGeom prst="rect">
                      <a:avLst/>
                    </a:prstGeom>
                    <a:noFill/>
                    <a:ln>
                      <a:noFill/>
                    </a:ln>
                  </pic:spPr>
                </pic:pic>
              </a:graphicData>
            </a:graphic>
            <wp14:sizeRelH relativeFrom="page">
              <wp14:pctWidth>0</wp14:pctWidth>
            </wp14:sizeRelH>
            <wp14:sizeRelV relativeFrom="page">
              <wp14:pctHeight>0</wp14:pctHeight>
            </wp14:sizeRelV>
          </wp:anchor>
        </w:drawing>
      </w:r>
      <w:r w:rsidR="00B3106A" w:rsidRPr="00B3106A">
        <w:t xml:space="preserve">The Holy Chalice of Valencia, safeguarded within the Valencia Cathedral in Spain, stands among Christianity's most venerated relics, with some believers identifying it as the very cup Christ used during the Last Supper. This relic, admired for its intricate craftsmanship and rich symbolism, continues to captivate the faithful and intrigue historians. The chalice’s appeal lies not only in its reputed origin but also in its well-documented journey, which spans centuries and offers a rare glimpse into the historical tradition of relic veneration. Crafted from agate and adorned with a gold mounting, the chalice exemplifies the medieval practice of </w:t>
      </w:r>
      <w:r w:rsidR="00B3106A" w:rsidRPr="00B3106A">
        <w:t>honouring</w:t>
      </w:r>
      <w:r w:rsidR="00B3106A" w:rsidRPr="00B3106A">
        <w:t xml:space="preserve"> sacred objects, a tradition central to Christian worship during the Middle Ages. Unlike many relics whose origins are shrouded in mystery, the Holy Chalice boasts a historical record that may trace back to early Christian communities, adding weight to its theological significance. Today, it is more than an artifact; it is a symbol of faith, devotion, and divine connection.</w:t>
      </w:r>
      <w:r w:rsidR="00B3106A">
        <w:rPr>
          <w:rStyle w:val="FootnoteReference"/>
        </w:rPr>
        <w:footnoteReference w:id="1"/>
      </w:r>
      <w:r w:rsidR="00B3106A" w:rsidRPr="00B3106A">
        <w:t xml:space="preserve"> This entry examines the chalice's journey through history, its importance in Christian theology, its connections to revered figures such as Saint Peter, and its ongoing influence on modern faith, making it a focal point of both pilgrimage and academic inquiry.</w:t>
      </w:r>
    </w:p>
    <w:p w14:paraId="2B854B6E" w14:textId="77777777" w:rsidR="00B3106A" w:rsidRDefault="00B3106A" w:rsidP="00B3106A"/>
    <w:p w14:paraId="43399F5F" w14:textId="77777777" w:rsidR="00B3106A" w:rsidRDefault="00B3106A" w:rsidP="00B3106A">
      <w:r w:rsidRPr="00B3106A">
        <w:t>In Christian tradition, relics serve as tangible links between the faithful and sacred history, providing physical connections to revered figures, events, and beliefs. They are viewed as vessels of spiritual power and are often associated with miracles, healing, and divine intercession</w:t>
      </w:r>
      <w:r>
        <w:t>.</w:t>
      </w:r>
      <w:r w:rsidRPr="00B3106A">
        <w:t xml:space="preserve"> The Holy Chalice of Valencia exemplifies this sacred function, drawing numerous pilgrims who seek spiritual closeness to Christ and his Passion.</w:t>
      </w:r>
      <w:r>
        <w:rPr>
          <w:rStyle w:val="FootnoteReference"/>
        </w:rPr>
        <w:footnoteReference w:id="2"/>
      </w:r>
      <w:r w:rsidRPr="00B3106A">
        <w:t xml:space="preserve"> More than a historical artifact, the chalice embodies Christian beliefs about the material world as a channel for divine grace, thus attracting reverence and theological interest. For centuries, relics have played a fundamental role in Christian worship, embodying the mystical union between the earthly and divine. In the medieval period, relics were not merely historical remnants but were believed to possess spiritual potency, providing sites for prayer, healing, and intercession. This belief continues today as the faithful journey to see and, in some cases, pray before the chalice, hoping for divine grace and spiritual renewal.</w:t>
      </w:r>
      <w:r>
        <w:t xml:space="preserve"> </w:t>
      </w:r>
    </w:p>
    <w:p w14:paraId="6BE4AE3A" w14:textId="77777777" w:rsidR="00B3106A" w:rsidRDefault="00B3106A" w:rsidP="00B3106A"/>
    <w:p w14:paraId="07527967" w14:textId="02082C0E" w:rsidR="00B3106A" w:rsidRDefault="00B3106A" w:rsidP="00B3106A">
      <w:r w:rsidRPr="00B3106A">
        <w:t xml:space="preserve">The Holy Chalice holds a unique position within this tradition due to its reputed connection to Christ’s Last Supper. Alongside other prominent relics, such as the True Cross and the Crown of Thorns, it is revered for its proximity to Christ himself, an association that adds to its theological weight and appeal. The chalice’s association with the Eucharist—central to Christian doctrine, especially in Catholicism—imbues it with additional significance, symbolizing the Real Presence of Christ during the sacrament. By venerating the chalice, believers affirm their faith in </w:t>
      </w:r>
      <w:r w:rsidRPr="00B3106A">
        <w:lastRenderedPageBreak/>
        <w:t>this core tenet, making pilgrimage to the Holy Chalice an act of devotion and a physical expression of theological belief.</w:t>
      </w:r>
      <w:r>
        <w:t xml:space="preserve"> </w:t>
      </w:r>
      <w:r w:rsidRPr="00B3106A">
        <w:t>Bynum (2011) describes how objects like the Holy Chalice were seen in late medieval Europe not only as historical symbols but as living elements of faith that bridged the material and spiritual realms. She explains that relics such as the chalice were thought to contain divine presence, allowing believers to encounter sacred power through physical forms (Bynum, 2011). This concept of "Christian materiality" reinforces the idea that relics like the chalice serve as tangible connections to the divine, enabling worshipers to interact with the sacred in a more direct and immediate way.</w:t>
      </w:r>
    </w:p>
    <w:p w14:paraId="14ABA545" w14:textId="77777777" w:rsidR="00B3106A" w:rsidRDefault="00B3106A" w:rsidP="00B3106A"/>
    <w:p w14:paraId="236DE4A1" w14:textId="7796C7B8" w:rsidR="006D35F4" w:rsidRDefault="006D35F4" w:rsidP="006D35F4">
      <w:r w:rsidRPr="006D35F4">
        <w:t>The Christian tradition of relic veneration originated in the early Church, where believers treasured objects linked to saints, apostles, and events from Christ’s life. Early Christian communities valued relics as tangible connections to the divine, believing they could bring blessings and spiritual intercession.</w:t>
      </w:r>
      <w:r>
        <w:rPr>
          <w:rStyle w:val="FootnoteReference"/>
        </w:rPr>
        <w:footnoteReference w:id="3"/>
      </w:r>
      <w:r w:rsidRPr="006D35F4">
        <w:t xml:space="preserve"> Church Fathers like St. Augustine underscored the importance of relics, seeing them as tools to </w:t>
      </w:r>
      <w:r w:rsidRPr="006D35F4">
        <w:t>honour</w:t>
      </w:r>
      <w:r w:rsidRPr="006D35F4">
        <w:t xml:space="preserve"> the holy and draw nearer to God. This early emphasis on relics laid a foundation that flourished in the medieval period, when relics became central to Christian worship and drew pilgrims seeking divine </w:t>
      </w:r>
      <w:r w:rsidRPr="006D35F4">
        <w:t>favour</w:t>
      </w:r>
      <w:r w:rsidRPr="006D35F4">
        <w:t>, healing, and forgiveness.</w:t>
      </w:r>
      <w:r>
        <w:t xml:space="preserve"> </w:t>
      </w:r>
      <w:r w:rsidRPr="006D35F4">
        <w:t>As historian Patrick Geary notes, medieval Christians viewed relics not simply as historical objects but as conduits of divine power, bridging heaven and earth. The Holy Chalice of Valencia is particularly revered within this tradition due to its connection to the Last Supper, a moment foundational to Christian faith and the institution of the Eucharist. Unlike most relics, which are fragments of saints’ bodies, the chalice is directly linked to Christ himself, lending it unique theological weight.</w:t>
      </w:r>
      <w:r>
        <w:t xml:space="preserve"> </w:t>
      </w:r>
      <w:r w:rsidRPr="006D35F4">
        <w:t>For Catholics, the chalice’s association with the Eucharist intensifies its meaning, symbolizing the Real Presence of Christ. Thus, a pilgrimage to the chalice affirms one’s belief in this sacramental mystery and transforms the journey into an expression of Eucharistic devotion. This unique connection between faith and relic underscores the chalice’s role within Catholic theology as a symbol that embodies the mystery of the divine in tangible form.</w:t>
      </w:r>
    </w:p>
    <w:p w14:paraId="2AA3E9DF" w14:textId="77777777" w:rsidR="006D35F4" w:rsidRDefault="006D35F4" w:rsidP="006D35F4"/>
    <w:p w14:paraId="23FAF366" w14:textId="3AFC5138" w:rsidR="006D35F4" w:rsidRDefault="006D35F4" w:rsidP="006D35F4">
      <w:r w:rsidRPr="006D35F4">
        <w:t>The Holy Chalice of Valencia holds a special place in Christian tradition due to its legendary association with Saint Peter, whom early narratives credit with carrying the chalice from Jerusalem to Rome. This connection with the first pope imbues the chalice with spiritual authority, symbolizing the continuity of Christian leadership from Christ to the early Church. By linking the chalice to Peter, the relic becomes a tangible symbol of the foundations of Roman Catholicism and the spread of Christianity across Europe.</w:t>
      </w:r>
      <w:r>
        <w:t xml:space="preserve"> </w:t>
      </w:r>
      <w:r w:rsidRPr="006D35F4">
        <w:t>This association also deepens the chalice’s theological significance, as it is seen not only as a relic of Christ’s Passion but also as a link to apostolic succession, reinforcing the Church’s historical and spiritual lineage. For believers, the chalice is more than an artifact; it is a connection to the roots of Christian faith and an emblem of the apostolic authority that underpins Catholic doctrine.</w:t>
      </w:r>
      <w:r>
        <w:rPr>
          <w:rStyle w:val="FootnoteReference"/>
        </w:rPr>
        <w:footnoteReference w:id="4"/>
      </w:r>
    </w:p>
    <w:p w14:paraId="2B24C064" w14:textId="77777777" w:rsidR="006D35F4" w:rsidRDefault="006D35F4" w:rsidP="006D35F4"/>
    <w:p w14:paraId="7231C4E3" w14:textId="39501A9A" w:rsidR="006D35F4" w:rsidRDefault="006D35F4" w:rsidP="006D35F4">
      <w:r w:rsidRPr="006D35F4">
        <w:t xml:space="preserve">As Christianity spread, so did stories of relics associated with Christ and his disciples, with these sacred objects gaining prominence as tools of devotion and spiritual connection. According to medieval tradition, the Holy Chalice remained in Rome until the third century, </w:t>
      </w:r>
      <w:r w:rsidRPr="006D35F4">
        <w:lastRenderedPageBreak/>
        <w:t>when it was transported to Huesca, Spain, for safekeeping during Roman persecutions of Christians.</w:t>
      </w:r>
      <w:r>
        <w:rPr>
          <w:rStyle w:val="FootnoteReference"/>
        </w:rPr>
        <w:footnoteReference w:id="5"/>
      </w:r>
      <w:r w:rsidRPr="006D35F4">
        <w:t xml:space="preserve"> This transfer links the chalice not only to Christ but also to the early Christian martyrs and saints who safeguarded such relics at great personal risk.</w:t>
      </w:r>
      <w:r>
        <w:t xml:space="preserve"> </w:t>
      </w:r>
      <w:r w:rsidRPr="006D35F4">
        <w:t>Other relics similarly attributed to early Christian leaders—such as the purported shackles of Saint Peter, kept at the Basilica of St. Peter in Rome—also carry this association with martyrdom and protection, enhancing their reverence. These connections underscore how relics tied to early saints and apostles, through their rich histories, reinforced the Church's spiritual authority and inspired awe and devotion among the faithful. The chalice’s journey from Rome to Spain reflects this tradition of preservation, connecting it to the struggles and sacrifices of early Christianity and deepening its appeal for pilgrims.</w:t>
      </w:r>
      <w:r>
        <w:rPr>
          <w:rStyle w:val="FootnoteReference"/>
        </w:rPr>
        <w:footnoteReference w:id="6"/>
      </w:r>
    </w:p>
    <w:p w14:paraId="20F2C2D5" w14:textId="77777777" w:rsidR="006D35F4" w:rsidRDefault="006D35F4" w:rsidP="006D35F4"/>
    <w:p w14:paraId="7AFF4309" w14:textId="7DC1E764" w:rsidR="006D35F4" w:rsidRDefault="006D35F4" w:rsidP="006D35F4">
      <w:r w:rsidRPr="006D35F4">
        <w:t>The Holy Chalice of Valencia’s history is an intricate blend of tradition and folklore, spanning continents and centuries. Made of Eastern agate and mounted in later medieval gold and precious stones, the chalice is believed by some to be the very cup Christ used at the Last Supper. Archaeologists suggest that the cup itself likely dates to the first century, lending credibility to its origins in early Christian times.</w:t>
      </w:r>
      <w:r>
        <w:rPr>
          <w:rStyle w:val="FootnoteReference"/>
        </w:rPr>
        <w:footnoteReference w:id="7"/>
      </w:r>
      <w:r w:rsidRPr="006D35F4">
        <w:t xml:space="preserve"> According to tradition, after Saint Peter brought the chalice from Jerusalem to Rome, early Christian communities revered it as a sacred vessel for the Eucharist.</w:t>
      </w:r>
      <w:r>
        <w:t xml:space="preserve"> </w:t>
      </w:r>
      <w:r w:rsidRPr="006D35F4">
        <w:t>Legend holds that in the third century, Saint Lawrence, a deacon and martyr, transferred the chalice from Rome to Huesca, Spain, to protect it from Roman persecution.</w:t>
      </w:r>
      <w:r>
        <w:rPr>
          <w:rStyle w:val="FootnoteReference"/>
        </w:rPr>
        <w:footnoteReference w:id="8"/>
      </w:r>
      <w:r w:rsidRPr="006D35F4">
        <w:t xml:space="preserve"> Lawrence’s martyrdom and his association with the chalice imbue it with additional holiness, further rooting it in early Christian history and connecting it to the sacrifices of the faith’s first followers. This enduring connection between the chalice and the early martyrs strengthens its appeal, adding layers of reverence that have contributed to its lasting significance within Christian devotion.</w:t>
      </w:r>
    </w:p>
    <w:p w14:paraId="6DFCEBC1" w14:textId="77777777" w:rsidR="006D35F4" w:rsidRDefault="006D35F4" w:rsidP="006D35F4"/>
    <w:p w14:paraId="4996ABBA" w14:textId="32B6A8BE" w:rsidR="006D35F4" w:rsidRDefault="006D35F4" w:rsidP="006D35F4">
      <w:r w:rsidRPr="006D35F4">
        <w:t>Over the centuries, the Holy Chalice was safeguarded by Spain’s Christian communities as it moved between various monasteries and churches. For a time, it was housed in the Monastery of San Juan de la Peña, a secluded and fortified location in the Pyrenees that provided protection during periods of conflict and political instability. The earliest recorded reference to the chalice appears in a 14th-century document, listing it among the treasures of the Aragonese kings.</w:t>
      </w:r>
      <w:r>
        <w:rPr>
          <w:rStyle w:val="FootnoteReference"/>
        </w:rPr>
        <w:footnoteReference w:id="9"/>
      </w:r>
      <w:r w:rsidRPr="006D35F4">
        <w:t xml:space="preserve"> In the fifteenth century, King Alfonso V of Aragon presented the chalice to Valencia Cathedral as an offering of devotion, marking its journey to Valencia and establishing the cathedral as a prominent site of pilgrimage.</w:t>
      </w:r>
      <w:r>
        <w:t xml:space="preserve"> </w:t>
      </w:r>
      <w:r w:rsidRPr="006D35F4">
        <w:t>The historical records that trace the chalice’s transfer from the Pyrenees to Valencia enhance its legacy, linking it to both local devotion and royal sponsorship.</w:t>
      </w:r>
      <w:r>
        <w:rPr>
          <w:rStyle w:val="FootnoteReference"/>
        </w:rPr>
        <w:footnoteReference w:id="10"/>
      </w:r>
      <w:r w:rsidRPr="006D35F4">
        <w:t xml:space="preserve"> Today, the Holy Chalice remains in the Chapel of the Holy Grail at Valencia Cathedral and is displayed on rare liturgical occasions, particularly during Holy Thursday services and papal visits. This continued liturgical use underscores its enduring status as a powerful religious symbol and a revered object of faith.</w:t>
      </w:r>
    </w:p>
    <w:p w14:paraId="77825D76" w14:textId="77777777" w:rsidR="00270D3E" w:rsidRDefault="00270D3E" w:rsidP="006D35F4"/>
    <w:p w14:paraId="064F2C65" w14:textId="21FD19D6" w:rsidR="00270D3E" w:rsidRDefault="00270D3E" w:rsidP="00270D3E">
      <w:r w:rsidRPr="00270D3E">
        <w:t xml:space="preserve">For centuries, the Holy Chalice of Valencia has drawn pilgrims and </w:t>
      </w:r>
      <w:r w:rsidRPr="00270D3E">
        <w:t>travellers</w:t>
      </w:r>
      <w:r w:rsidRPr="00270D3E">
        <w:t>, revered for its legendary connection to Christ’s Last Supper and the Eucharist. Housed in the Chapel of the Holy Grail within Valencia Cathedral, the chalice attracts hundreds of visitors each year who seek spiritual healing or a closer encounter with this sacred relic. The pilgrimage to the Holy Chalice mirrors other European devotional journeys, such as those to Rome or Santiago de Compostela, where believers visit relics in hopes of receiving blessings, grace, or intercession.</w:t>
      </w:r>
      <w:r>
        <w:rPr>
          <w:rStyle w:val="FootnoteReference"/>
        </w:rPr>
        <w:footnoteReference w:id="11"/>
      </w:r>
    </w:p>
    <w:p w14:paraId="21805960" w14:textId="77777777" w:rsidR="00270D3E" w:rsidRPr="00270D3E" w:rsidRDefault="00270D3E" w:rsidP="00270D3E"/>
    <w:p w14:paraId="2666C74E" w14:textId="4D070442" w:rsidR="00270D3E" w:rsidRDefault="00270D3E" w:rsidP="00270D3E">
      <w:r w:rsidRPr="00270D3E">
        <w:t>Beyond its role as a pilgrimage destination, the chalice plays an active part in liturgical ceremonies. During Holy Thursday Mass, Valencia Cathedral uses the chalice in a reenactment of the Last Supper, reinforcing its association with the Eucharist and Catholic beliefs about the Real Presence of Christ. As</w:t>
      </w:r>
      <w:r>
        <w:t xml:space="preserve"> Herbert</w:t>
      </w:r>
      <w:r w:rsidRPr="00270D3E">
        <w:t xml:space="preserve"> Kessler explains, medieval objects of veneration like the chalice enabled believers to “see” divine mysteries through physical representations, making abstract theological concepts more accessible to the faithful. The Holy Chalice’s visibility during ceremonies, including papal visits, not only strengthens its symbolic link to the Eucharist but also serves as a tangible expression of sacred history, reaffirming its status as a globally recognized and revered relic.</w:t>
      </w:r>
      <w:r>
        <w:rPr>
          <w:rStyle w:val="FootnoteReference"/>
        </w:rPr>
        <w:footnoteReference w:id="12"/>
      </w:r>
    </w:p>
    <w:p w14:paraId="7726AE44" w14:textId="77777777" w:rsidR="00270D3E" w:rsidRDefault="00270D3E" w:rsidP="00270D3E"/>
    <w:p w14:paraId="1668CCC1" w14:textId="742C5EE9" w:rsidR="00270D3E" w:rsidRDefault="00270D3E" w:rsidP="00270D3E">
      <w:r w:rsidRPr="00270D3E">
        <w:t>The Holy Chalice’s significance goes beyond its physical form; as a vessel, it symbolizes the faithful’s reception of divine grace. Its connection to the Eucharist reinforces the medieval theological idea that relics serve as bridges between the divine and earthly realms. Pilgrims often regard the chalice as a sacred mediator, using prayer and contemplation to draw nearer to God through its presence.</w:t>
      </w:r>
      <w:r>
        <w:rPr>
          <w:rStyle w:val="FootnoteReference"/>
        </w:rPr>
        <w:footnoteReference w:id="13"/>
      </w:r>
      <w:r w:rsidRPr="00270D3E">
        <w:t xml:space="preserve"> This practice aligns with customs surrounding other Eucharistic relics, such as the Crown of Thorns in Paris and the True Cross in Rome, which are similarly venerated during significant liturgical events.</w:t>
      </w:r>
      <w:r>
        <w:t xml:space="preserve"> </w:t>
      </w:r>
      <w:r w:rsidRPr="00270D3E">
        <w:t>Within Catholic tradition, the Holy Chalice occupies a role comparable to these revered relics, embodying both reverence for the past and hope for divine intervention.</w:t>
      </w:r>
      <w:r>
        <w:rPr>
          <w:rStyle w:val="FootnoteReference"/>
        </w:rPr>
        <w:footnoteReference w:id="14"/>
      </w:r>
      <w:r w:rsidRPr="00270D3E">
        <w:t xml:space="preserve"> Reflecting medieval beliefs in relics as living symbols of faith, the rituals surrounding the chalice carry deep theological meaning. Its association with Christ’s Passion and the institution of the Eucharist continues to inspire devotion, despite ongoing debates over its authenticity as the actual cup used at the Last Supper.</w:t>
      </w:r>
    </w:p>
    <w:p w14:paraId="4433FB46" w14:textId="77777777" w:rsidR="00270D3E" w:rsidRDefault="00270D3E" w:rsidP="00270D3E"/>
    <w:p w14:paraId="407C6717" w14:textId="7BD26088" w:rsidR="00270D3E" w:rsidRDefault="00270D3E" w:rsidP="00270D3E">
      <w:r w:rsidRPr="00270D3E">
        <w:t>The Holy Chalice of Valencia is often associated with—or even mistaken for—the fabled Holy Grail, a link that has added intrigue while also casting doubt on its authenticity. The Holy Grail, described in medieval literature as a vessel from the Last Supper with supernatural properties, emerged in the works of writers like Chrétien de Troyes and Wolfram von Eschenbach, where it became the object of an ultimate spiritual quest.</w:t>
      </w:r>
      <w:r>
        <w:rPr>
          <w:rStyle w:val="FootnoteReference"/>
        </w:rPr>
        <w:footnoteReference w:id="15"/>
      </w:r>
      <w:r w:rsidRPr="00270D3E">
        <w:t xml:space="preserve"> As the concept of the Grail became intertwined with Arthurian legend and medieval romance, certain Christian relics, including the Valencia Chalice, took on a Grail-like significance due to their claimed connection to the Last </w:t>
      </w:r>
      <w:r w:rsidRPr="00270D3E">
        <w:lastRenderedPageBreak/>
        <w:t>Supper.</w:t>
      </w:r>
      <w:r>
        <w:t xml:space="preserve"> </w:t>
      </w:r>
      <w:r w:rsidRPr="00270D3E">
        <w:t xml:space="preserve">Unlike other relics associated with the Grail, such as the Holy Grail of Genoa or the Santo </w:t>
      </w:r>
      <w:proofErr w:type="spellStart"/>
      <w:r w:rsidRPr="00270D3E">
        <w:t>Cáliz</w:t>
      </w:r>
      <w:proofErr w:type="spellEnd"/>
      <w:r w:rsidRPr="00270D3E">
        <w:t xml:space="preserve"> de Doña Urraca in León, the Valencia Chalice has a more substantiated historical record, lending greater credibility to its claims. This documented history strengthens its legitimacy and distinguishes it from the mythic Grail, allowing it to stand as a distinct relic with its own place in Christian devotion.</w:t>
      </w:r>
      <w:r>
        <w:rPr>
          <w:rStyle w:val="FootnoteReference"/>
        </w:rPr>
        <w:footnoteReference w:id="16"/>
      </w:r>
    </w:p>
    <w:p w14:paraId="26770C97" w14:textId="77777777" w:rsidR="00270D3E" w:rsidRPr="00270D3E" w:rsidRDefault="00270D3E" w:rsidP="00270D3E">
      <w:r w:rsidRPr="00270D3E">
        <w:t>The Holy Chalice of Valencia endures as a profound symbol within Christianity, connecting believers to Christ’s Passion and the foundational moment of the Eucharist. Its long history—rooted in both documented tradition and rich folklore—has elevated it beyond a mere artifact, inspiring devotion through centuries of pilgrimage, worship, and theological reflection. While often linked to the legendary Holy Grail, the chalice holds a unique, legitimate place in Christian heritage, celebrated for its direct ties to early Christian leaders and the medieval practice of relic veneration.</w:t>
      </w:r>
    </w:p>
    <w:p w14:paraId="402AD69F" w14:textId="77777777" w:rsidR="00270D3E" w:rsidRPr="00270D3E" w:rsidRDefault="00270D3E" w:rsidP="00270D3E">
      <w:r w:rsidRPr="00270D3E">
        <w:t>Today, the chalice remains a powerful emblem of faith, bridging the divine and earthly realms in both liturgical use and cultural imagination. As pilgrims continue to visit Valencia Cathedral, the Holy Chalice’s legacy endures, embodying a timeless link to sacred history and the mysteries of faith that continue to captivate and inspire the faithful.</w:t>
      </w:r>
    </w:p>
    <w:p w14:paraId="333B3CDD" w14:textId="77777777" w:rsidR="00270D3E" w:rsidRPr="00270D3E" w:rsidRDefault="00270D3E" w:rsidP="00270D3E"/>
    <w:p w14:paraId="1D0AC630" w14:textId="77777777" w:rsidR="00270D3E" w:rsidRPr="00270D3E" w:rsidRDefault="00270D3E" w:rsidP="00270D3E"/>
    <w:p w14:paraId="51E12068" w14:textId="77777777" w:rsidR="00270D3E" w:rsidRPr="00270D3E" w:rsidRDefault="00270D3E" w:rsidP="00270D3E"/>
    <w:p w14:paraId="77281F41" w14:textId="77777777" w:rsidR="00270D3E" w:rsidRDefault="00270D3E" w:rsidP="006D35F4"/>
    <w:p w14:paraId="52E19FF8" w14:textId="77777777" w:rsidR="006D35F4" w:rsidRDefault="006D35F4" w:rsidP="006D35F4"/>
    <w:p w14:paraId="3244CEBE" w14:textId="77777777" w:rsidR="006D35F4" w:rsidRPr="006D35F4" w:rsidRDefault="006D35F4" w:rsidP="006D35F4"/>
    <w:p w14:paraId="1B77FF4C" w14:textId="77777777" w:rsidR="006D35F4" w:rsidRPr="006D35F4" w:rsidRDefault="006D35F4" w:rsidP="006D35F4"/>
    <w:p w14:paraId="70D36DE8" w14:textId="77777777" w:rsidR="006D35F4" w:rsidRPr="006D35F4" w:rsidRDefault="006D35F4" w:rsidP="006D35F4"/>
    <w:p w14:paraId="53C8ECBF" w14:textId="77777777" w:rsidR="006D35F4" w:rsidRPr="006D35F4" w:rsidRDefault="006D35F4" w:rsidP="006D35F4"/>
    <w:p w14:paraId="0038211C" w14:textId="77777777" w:rsidR="006D35F4" w:rsidRPr="006D35F4" w:rsidRDefault="006D35F4" w:rsidP="006D35F4"/>
    <w:p w14:paraId="6C21BA36" w14:textId="77777777" w:rsidR="00B3106A" w:rsidRPr="00B3106A" w:rsidRDefault="00B3106A" w:rsidP="00B3106A"/>
    <w:p w14:paraId="58500FF4" w14:textId="77777777" w:rsidR="00B3106A" w:rsidRDefault="00B3106A" w:rsidP="00B3106A"/>
    <w:p w14:paraId="41174BD5" w14:textId="77777777" w:rsidR="005A5556" w:rsidRDefault="005A5556" w:rsidP="00B3106A"/>
    <w:p w14:paraId="63733C2D" w14:textId="77777777" w:rsidR="005A5556" w:rsidRDefault="005A5556" w:rsidP="00B3106A"/>
    <w:p w14:paraId="495F9664" w14:textId="77777777" w:rsidR="005A5556" w:rsidRDefault="005A5556" w:rsidP="00B3106A"/>
    <w:p w14:paraId="2CA7F3D7" w14:textId="77777777" w:rsidR="005A5556" w:rsidRDefault="005A5556" w:rsidP="00B3106A"/>
    <w:p w14:paraId="02F6F4A5" w14:textId="77777777" w:rsidR="005A5556" w:rsidRDefault="005A5556" w:rsidP="00B3106A"/>
    <w:p w14:paraId="3A656B18" w14:textId="77777777" w:rsidR="005A5556" w:rsidRDefault="005A5556" w:rsidP="00B3106A"/>
    <w:p w14:paraId="1B638B2B" w14:textId="77777777" w:rsidR="005A5556" w:rsidRPr="005A5556" w:rsidRDefault="005A5556" w:rsidP="005A5556">
      <w:pPr>
        <w:rPr>
          <w:u w:val="single"/>
        </w:rPr>
      </w:pPr>
      <w:r w:rsidRPr="005A5556">
        <w:rPr>
          <w:u w:val="single"/>
        </w:rPr>
        <w:lastRenderedPageBreak/>
        <w:t>Reference list</w:t>
      </w:r>
    </w:p>
    <w:p w14:paraId="54DEC391" w14:textId="77777777" w:rsidR="005A5556" w:rsidRPr="006D5339" w:rsidRDefault="005A5556" w:rsidP="005A5556"/>
    <w:p w14:paraId="01016E71" w14:textId="77777777" w:rsidR="005A5556" w:rsidRPr="006D5339" w:rsidRDefault="005A5556" w:rsidP="005A5556">
      <w:pPr>
        <w:pStyle w:val="ListParagraph"/>
        <w:numPr>
          <w:ilvl w:val="0"/>
          <w:numId w:val="1"/>
        </w:numPr>
      </w:pPr>
      <w:r w:rsidRPr="006D5339">
        <w:t xml:space="preserve">Geary, Patrick J. </w:t>
      </w:r>
      <w:r w:rsidRPr="006D5339">
        <w:rPr>
          <w:i/>
          <w:iCs/>
        </w:rPr>
        <w:t>Furta Sacra: Thefts of Relics in the Central Middle Ages</w:t>
      </w:r>
      <w:r w:rsidRPr="006D5339">
        <w:t>. Princeton University Press, 1990.</w:t>
      </w:r>
    </w:p>
    <w:p w14:paraId="2EF69395" w14:textId="77777777" w:rsidR="005A5556" w:rsidRPr="006D5339" w:rsidRDefault="005A5556" w:rsidP="005A5556">
      <w:pPr>
        <w:pStyle w:val="ListParagraph"/>
        <w:numPr>
          <w:ilvl w:val="0"/>
          <w:numId w:val="1"/>
        </w:numPr>
      </w:pPr>
      <w:r w:rsidRPr="006D5339">
        <w:t xml:space="preserve">Bynum, Caroline Walker. </w:t>
      </w:r>
      <w:r w:rsidRPr="006D5339">
        <w:rPr>
          <w:i/>
          <w:iCs/>
        </w:rPr>
        <w:t>Christian Materiality: An Essay on Religion in Late Medieval Europe</w:t>
      </w:r>
      <w:r w:rsidRPr="006D5339">
        <w:t>. Zone Books, 2011.</w:t>
      </w:r>
    </w:p>
    <w:p w14:paraId="44888D40" w14:textId="77777777" w:rsidR="005A5556" w:rsidRPr="006D5339" w:rsidRDefault="005A5556" w:rsidP="005A5556">
      <w:pPr>
        <w:pStyle w:val="ListParagraph"/>
        <w:numPr>
          <w:ilvl w:val="0"/>
          <w:numId w:val="1"/>
        </w:numPr>
      </w:pPr>
      <w:r w:rsidRPr="006D5339">
        <w:t xml:space="preserve">Brown, Peter. </w:t>
      </w:r>
      <w:r w:rsidRPr="006D5339">
        <w:rPr>
          <w:i/>
          <w:iCs/>
        </w:rPr>
        <w:t>The Cult of the Saints: Its Rise and Function in Latin Christianity</w:t>
      </w:r>
      <w:r w:rsidRPr="006D5339">
        <w:t>. University of Chicago Press, 1981.</w:t>
      </w:r>
    </w:p>
    <w:p w14:paraId="459FB896" w14:textId="77777777" w:rsidR="005A5556" w:rsidRPr="006D5339" w:rsidRDefault="005A5556" w:rsidP="005A5556">
      <w:pPr>
        <w:pStyle w:val="ListParagraph"/>
        <w:numPr>
          <w:ilvl w:val="0"/>
          <w:numId w:val="1"/>
        </w:numPr>
      </w:pPr>
      <w:r w:rsidRPr="00215A35">
        <w:t xml:space="preserve">Fletcher, R. (1999). </w:t>
      </w:r>
      <w:r w:rsidRPr="00215A35">
        <w:rPr>
          <w:i/>
          <w:iCs/>
        </w:rPr>
        <w:t>The Barbarian Conversion: From Paganism to Christianity</w:t>
      </w:r>
      <w:r w:rsidRPr="00215A35">
        <w:t>. University of California Press.</w:t>
      </w:r>
    </w:p>
    <w:p w14:paraId="1B793D0B" w14:textId="77777777" w:rsidR="005A5556" w:rsidRPr="006D5339" w:rsidRDefault="005A5556" w:rsidP="005A5556">
      <w:pPr>
        <w:pStyle w:val="ListParagraph"/>
        <w:numPr>
          <w:ilvl w:val="0"/>
          <w:numId w:val="1"/>
        </w:numPr>
      </w:pPr>
      <w:r w:rsidRPr="006D5339">
        <w:t xml:space="preserve">Rudolph, Conrad. </w:t>
      </w:r>
      <w:r w:rsidRPr="006D5339">
        <w:rPr>
          <w:i/>
          <w:iCs/>
        </w:rPr>
        <w:t>Pilgrimage to the End of the World: The Road to Santiago de Compostela</w:t>
      </w:r>
      <w:r w:rsidRPr="006D5339">
        <w:t>. University of Chicago Press, 2010.</w:t>
      </w:r>
    </w:p>
    <w:p w14:paraId="15278DB7" w14:textId="77777777" w:rsidR="005A5556" w:rsidRPr="006D5339" w:rsidRDefault="005A5556" w:rsidP="005A5556">
      <w:pPr>
        <w:pStyle w:val="ListParagraph"/>
        <w:numPr>
          <w:ilvl w:val="0"/>
          <w:numId w:val="1"/>
        </w:numPr>
      </w:pPr>
      <w:r w:rsidRPr="006D5339">
        <w:t xml:space="preserve">Freeman, Charles. </w:t>
      </w:r>
      <w:r w:rsidRPr="006D5339">
        <w:rPr>
          <w:i/>
          <w:iCs/>
        </w:rPr>
        <w:t>Holy Bones, Holy Dust: How Relics Shaped the History of Medieval Europe</w:t>
      </w:r>
      <w:r w:rsidRPr="006D5339">
        <w:t>. Yale University Press, 2011.</w:t>
      </w:r>
    </w:p>
    <w:p w14:paraId="29745A3B" w14:textId="77777777" w:rsidR="005A5556" w:rsidRPr="006D5339" w:rsidRDefault="005A5556" w:rsidP="005A5556">
      <w:pPr>
        <w:pStyle w:val="ListParagraph"/>
        <w:numPr>
          <w:ilvl w:val="0"/>
          <w:numId w:val="1"/>
        </w:numPr>
      </w:pPr>
      <w:r w:rsidRPr="006D5339">
        <w:t xml:space="preserve">Dixon, C. Scott. </w:t>
      </w:r>
      <w:r w:rsidRPr="006D5339">
        <w:rPr>
          <w:i/>
          <w:iCs/>
        </w:rPr>
        <w:t>Christianity and Religious Plurality in Historical Perspective</w:t>
      </w:r>
      <w:r w:rsidRPr="006D5339">
        <w:t>. Bloomsbury, 2018.</w:t>
      </w:r>
    </w:p>
    <w:p w14:paraId="6FB65E7A" w14:textId="77777777" w:rsidR="005A5556" w:rsidRPr="006D5339" w:rsidRDefault="005A5556" w:rsidP="005A5556">
      <w:pPr>
        <w:pStyle w:val="ListParagraph"/>
        <w:numPr>
          <w:ilvl w:val="0"/>
          <w:numId w:val="1"/>
        </w:numPr>
      </w:pPr>
      <w:r w:rsidRPr="006D5339">
        <w:t xml:space="preserve">Hahn, Cynthia. </w:t>
      </w:r>
      <w:r w:rsidRPr="006D5339">
        <w:rPr>
          <w:i/>
          <w:iCs/>
        </w:rPr>
        <w:t>The Reliquary Effect: Enshrining the Sacred Object</w:t>
      </w:r>
      <w:r w:rsidRPr="006D5339">
        <w:t>. University of Chicago Press, 2017.</w:t>
      </w:r>
    </w:p>
    <w:p w14:paraId="42534E61" w14:textId="77777777" w:rsidR="005A5556" w:rsidRPr="006D5339" w:rsidRDefault="005A5556" w:rsidP="005A5556">
      <w:pPr>
        <w:pStyle w:val="ListParagraph"/>
        <w:numPr>
          <w:ilvl w:val="0"/>
          <w:numId w:val="1"/>
        </w:numPr>
      </w:pPr>
      <w:r w:rsidRPr="006D5339">
        <w:t xml:space="preserve">Camille, Michael. </w:t>
      </w:r>
      <w:r w:rsidRPr="006D5339">
        <w:rPr>
          <w:i/>
          <w:iCs/>
        </w:rPr>
        <w:t>The Gothic Idol: Ideology and Image-Making in Medieval Art</w:t>
      </w:r>
      <w:r w:rsidRPr="006D5339">
        <w:t>. Cambridge University Press, 2011.</w:t>
      </w:r>
    </w:p>
    <w:p w14:paraId="10F2B3FC" w14:textId="77777777" w:rsidR="005A5556" w:rsidRPr="006D5339" w:rsidRDefault="005A5556" w:rsidP="005A5556">
      <w:pPr>
        <w:pStyle w:val="ListParagraph"/>
        <w:numPr>
          <w:ilvl w:val="0"/>
          <w:numId w:val="1"/>
        </w:numPr>
      </w:pPr>
      <w:r w:rsidRPr="002D65C5">
        <w:t xml:space="preserve">Collins, Roger. </w:t>
      </w:r>
      <w:r w:rsidRPr="002D65C5">
        <w:rPr>
          <w:i/>
          <w:iCs/>
        </w:rPr>
        <w:t>Early Medieval Spain: Unity in Diversity, 400–1000.</w:t>
      </w:r>
      <w:r w:rsidRPr="002D65C5">
        <w:t xml:space="preserve"> Palgrave Macmillan, 1995.</w:t>
      </w:r>
    </w:p>
    <w:p w14:paraId="49EF8EBB" w14:textId="77777777" w:rsidR="005A5556" w:rsidRPr="006D5339" w:rsidRDefault="005A5556" w:rsidP="005A5556">
      <w:pPr>
        <w:pStyle w:val="ListParagraph"/>
        <w:numPr>
          <w:ilvl w:val="0"/>
          <w:numId w:val="1"/>
        </w:numPr>
      </w:pPr>
      <w:r w:rsidRPr="006D5339">
        <w:t xml:space="preserve">Turner, Victor, and Edith Turner. </w:t>
      </w:r>
      <w:r w:rsidRPr="006D5339">
        <w:rPr>
          <w:i/>
          <w:iCs/>
        </w:rPr>
        <w:t>Image and Pilgrimage in Christian Culture: Anthropological Perspectives</w:t>
      </w:r>
      <w:r w:rsidRPr="006D5339">
        <w:t>. Columbia University Press, 1978.</w:t>
      </w:r>
    </w:p>
    <w:p w14:paraId="06438104" w14:textId="77777777" w:rsidR="005A5556" w:rsidRPr="006D5339" w:rsidRDefault="005A5556" w:rsidP="005A5556">
      <w:pPr>
        <w:pStyle w:val="ListParagraph"/>
        <w:numPr>
          <w:ilvl w:val="0"/>
          <w:numId w:val="1"/>
        </w:numPr>
      </w:pPr>
      <w:r w:rsidRPr="006D5339">
        <w:t xml:space="preserve">Kessler, Herbert. </w:t>
      </w:r>
      <w:r w:rsidRPr="006D5339">
        <w:rPr>
          <w:i/>
          <w:iCs/>
        </w:rPr>
        <w:t>Spiritual Seeing: Picturing God’s Invisibility in Medieval Art</w:t>
      </w:r>
      <w:r w:rsidRPr="006D5339">
        <w:t>. University of Pennsylvania Press, 2004.</w:t>
      </w:r>
    </w:p>
    <w:p w14:paraId="66B92B33" w14:textId="77777777" w:rsidR="005A5556" w:rsidRPr="006D5339" w:rsidRDefault="005A5556" w:rsidP="005A5556">
      <w:pPr>
        <w:pStyle w:val="ListParagraph"/>
        <w:numPr>
          <w:ilvl w:val="0"/>
          <w:numId w:val="1"/>
        </w:numPr>
      </w:pPr>
      <w:r w:rsidRPr="006D5339">
        <w:t xml:space="preserve">Duffy, Eamon. </w:t>
      </w:r>
      <w:r w:rsidRPr="006D5339">
        <w:rPr>
          <w:i/>
          <w:iCs/>
        </w:rPr>
        <w:t>Saints and Sinners: A History of the Popes</w:t>
      </w:r>
      <w:r w:rsidRPr="006D5339">
        <w:t>. Yale University Press, 1997.</w:t>
      </w:r>
    </w:p>
    <w:p w14:paraId="68BB3EEF" w14:textId="77777777" w:rsidR="005A5556" w:rsidRDefault="005A5556" w:rsidP="005A5556">
      <w:pPr>
        <w:numPr>
          <w:ilvl w:val="0"/>
          <w:numId w:val="1"/>
        </w:numPr>
        <w:spacing w:before="100" w:beforeAutospacing="1" w:after="100" w:afterAutospacing="1" w:line="240" w:lineRule="auto"/>
        <w:rPr>
          <w:rFonts w:eastAsia="Times New Roman" w:cs="Times New Roman"/>
          <w:kern w:val="0"/>
          <w:lang w:eastAsia="en-GB"/>
          <w14:ligatures w14:val="none"/>
        </w:rPr>
      </w:pPr>
      <w:r w:rsidRPr="006D5339">
        <w:rPr>
          <w:rFonts w:eastAsia="Times New Roman" w:cs="Times New Roman"/>
          <w:kern w:val="0"/>
          <w:lang w:eastAsia="en-GB"/>
          <w14:ligatures w14:val="none"/>
        </w:rPr>
        <w:t xml:space="preserve">Riley-Smith, Jonathan. </w:t>
      </w:r>
      <w:r w:rsidRPr="006D5339">
        <w:rPr>
          <w:rFonts w:eastAsia="Times New Roman" w:cs="Times New Roman"/>
          <w:i/>
          <w:iCs/>
          <w:kern w:val="0"/>
          <w:lang w:eastAsia="en-GB"/>
          <w14:ligatures w14:val="none"/>
        </w:rPr>
        <w:t>The Crusades, Christianity, and Islam</w:t>
      </w:r>
      <w:r w:rsidRPr="006D5339">
        <w:rPr>
          <w:rFonts w:eastAsia="Times New Roman" w:cs="Times New Roman"/>
          <w:kern w:val="0"/>
          <w:lang w:eastAsia="en-GB"/>
          <w14:ligatures w14:val="none"/>
        </w:rPr>
        <w:t>. Columbia University Press, 2008.</w:t>
      </w:r>
    </w:p>
    <w:p w14:paraId="726A36E1" w14:textId="77777777" w:rsidR="005A5556" w:rsidRDefault="005A5556" w:rsidP="005A5556">
      <w:pPr>
        <w:numPr>
          <w:ilvl w:val="0"/>
          <w:numId w:val="1"/>
        </w:numPr>
        <w:spacing w:before="100" w:beforeAutospacing="1" w:after="100" w:afterAutospacing="1" w:line="240" w:lineRule="auto"/>
        <w:rPr>
          <w:rFonts w:eastAsia="Times New Roman" w:cs="Times New Roman"/>
          <w:kern w:val="0"/>
          <w:lang w:eastAsia="en-GB"/>
          <w14:ligatures w14:val="none"/>
        </w:rPr>
      </w:pPr>
      <w:r w:rsidRPr="00F17970">
        <w:rPr>
          <w:rFonts w:eastAsia="Times New Roman" w:cs="Times New Roman"/>
          <w:kern w:val="0"/>
          <w:lang w:eastAsia="en-GB"/>
          <w14:ligatures w14:val="none"/>
        </w:rPr>
        <w:t xml:space="preserve">Loomis, Roger Sherman. </w:t>
      </w:r>
      <w:r w:rsidRPr="00F17970">
        <w:rPr>
          <w:rFonts w:eastAsia="Times New Roman" w:cs="Times New Roman"/>
          <w:i/>
          <w:iCs/>
          <w:kern w:val="0"/>
          <w:lang w:eastAsia="en-GB"/>
          <w14:ligatures w14:val="none"/>
        </w:rPr>
        <w:t>The Grail: From Celtic Myth to Christian Symbol</w:t>
      </w:r>
      <w:r w:rsidRPr="00F17970">
        <w:rPr>
          <w:rFonts w:eastAsia="Times New Roman" w:cs="Times New Roman"/>
          <w:kern w:val="0"/>
          <w:lang w:eastAsia="en-GB"/>
          <w14:ligatures w14:val="none"/>
        </w:rPr>
        <w:t>. Princeton University Press, 1991.</w:t>
      </w:r>
    </w:p>
    <w:p w14:paraId="6FC850B1" w14:textId="77777777" w:rsidR="005A5556" w:rsidRDefault="005A5556" w:rsidP="005A5556">
      <w:pPr>
        <w:numPr>
          <w:ilvl w:val="0"/>
          <w:numId w:val="1"/>
        </w:numPr>
        <w:spacing w:before="100" w:beforeAutospacing="1" w:after="100" w:afterAutospacing="1" w:line="240" w:lineRule="auto"/>
        <w:rPr>
          <w:rFonts w:eastAsia="Times New Roman" w:cs="Times New Roman"/>
          <w:kern w:val="0"/>
          <w:lang w:eastAsia="en-GB"/>
          <w14:ligatures w14:val="none"/>
        </w:rPr>
      </w:pPr>
      <w:r w:rsidRPr="00F17970">
        <w:rPr>
          <w:rFonts w:eastAsia="Times New Roman" w:cs="Times New Roman"/>
          <w:kern w:val="0"/>
          <w:lang w:eastAsia="en-GB"/>
          <w14:ligatures w14:val="none"/>
        </w:rPr>
        <w:t xml:space="preserve">Matarasso, Pauline. </w:t>
      </w:r>
      <w:r w:rsidRPr="00F17970">
        <w:rPr>
          <w:rFonts w:eastAsia="Times New Roman" w:cs="Times New Roman"/>
          <w:i/>
          <w:iCs/>
          <w:kern w:val="0"/>
          <w:lang w:eastAsia="en-GB"/>
          <w14:ligatures w14:val="none"/>
        </w:rPr>
        <w:t>The Quest of the Holy Grail</w:t>
      </w:r>
      <w:r w:rsidRPr="00F17970">
        <w:rPr>
          <w:rFonts w:eastAsia="Times New Roman" w:cs="Times New Roman"/>
          <w:kern w:val="0"/>
          <w:lang w:eastAsia="en-GB"/>
          <w14:ligatures w14:val="none"/>
        </w:rPr>
        <w:t>. Penguin Classics, 2005.</w:t>
      </w:r>
    </w:p>
    <w:p w14:paraId="72CC9959" w14:textId="77777777" w:rsidR="005A5556" w:rsidRPr="00F17970" w:rsidRDefault="005A5556" w:rsidP="005A5556">
      <w:pPr>
        <w:numPr>
          <w:ilvl w:val="0"/>
          <w:numId w:val="1"/>
        </w:numPr>
        <w:spacing w:before="100" w:beforeAutospacing="1" w:after="100" w:afterAutospacing="1" w:line="240" w:lineRule="auto"/>
        <w:rPr>
          <w:rFonts w:eastAsia="Times New Roman" w:cs="Times New Roman"/>
          <w:kern w:val="0"/>
          <w:lang w:eastAsia="en-GB"/>
          <w14:ligatures w14:val="none"/>
        </w:rPr>
      </w:pPr>
      <w:r w:rsidRPr="00573D16">
        <w:rPr>
          <w:rFonts w:eastAsia="Times New Roman" w:cs="Times New Roman"/>
          <w:kern w:val="0"/>
          <w:lang w:eastAsia="en-GB"/>
          <w14:ligatures w14:val="none"/>
        </w:rPr>
        <w:t xml:space="preserve">Freeman, Charles. </w:t>
      </w:r>
      <w:r w:rsidRPr="00573D16">
        <w:rPr>
          <w:rFonts w:eastAsia="Times New Roman" w:cs="Times New Roman"/>
          <w:i/>
          <w:iCs/>
          <w:kern w:val="0"/>
          <w:lang w:eastAsia="en-GB"/>
          <w14:ligatures w14:val="none"/>
        </w:rPr>
        <w:t>Holy Bones, Holy Dust: How Relics Shaped the History of Medieval Europe</w:t>
      </w:r>
      <w:r w:rsidRPr="00573D16">
        <w:rPr>
          <w:rFonts w:eastAsia="Times New Roman" w:cs="Times New Roman"/>
          <w:kern w:val="0"/>
          <w:lang w:eastAsia="en-GB"/>
          <w14:ligatures w14:val="none"/>
        </w:rPr>
        <w:t>. Yale University Press, 2011.</w:t>
      </w:r>
    </w:p>
    <w:p w14:paraId="391D4B53" w14:textId="77777777" w:rsidR="005A5556" w:rsidRPr="00B3106A" w:rsidRDefault="005A5556" w:rsidP="00B3106A"/>
    <w:sectPr w:rsidR="005A5556" w:rsidRPr="00B310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58425" w14:textId="77777777" w:rsidR="00B3106A" w:rsidRDefault="00B3106A" w:rsidP="00B3106A">
      <w:pPr>
        <w:spacing w:after="0" w:line="240" w:lineRule="auto"/>
      </w:pPr>
      <w:r>
        <w:separator/>
      </w:r>
    </w:p>
  </w:endnote>
  <w:endnote w:type="continuationSeparator" w:id="0">
    <w:p w14:paraId="5176D669" w14:textId="77777777" w:rsidR="00B3106A" w:rsidRDefault="00B3106A" w:rsidP="00B3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697723" w14:textId="77777777" w:rsidR="00B3106A" w:rsidRDefault="00B3106A" w:rsidP="00B3106A">
      <w:pPr>
        <w:spacing w:after="0" w:line="240" w:lineRule="auto"/>
      </w:pPr>
      <w:r>
        <w:separator/>
      </w:r>
    </w:p>
  </w:footnote>
  <w:footnote w:type="continuationSeparator" w:id="0">
    <w:p w14:paraId="6186EAE2" w14:textId="77777777" w:rsidR="00B3106A" w:rsidRDefault="00B3106A" w:rsidP="00B3106A">
      <w:pPr>
        <w:spacing w:after="0" w:line="240" w:lineRule="auto"/>
      </w:pPr>
      <w:r>
        <w:continuationSeparator/>
      </w:r>
    </w:p>
  </w:footnote>
  <w:footnote w:id="1">
    <w:p w14:paraId="1A11A21B" w14:textId="273CDD21" w:rsidR="00B3106A" w:rsidRDefault="00B3106A">
      <w:pPr>
        <w:pStyle w:val="FootnoteText"/>
      </w:pPr>
      <w:r>
        <w:rPr>
          <w:rStyle w:val="FootnoteReference"/>
        </w:rPr>
        <w:footnoteRef/>
      </w:r>
      <w:r>
        <w:t xml:space="preserve"> </w:t>
      </w:r>
      <w:r w:rsidR="00270D3E" w:rsidRPr="006D5339">
        <w:t xml:space="preserve">Geary, Patrick J. </w:t>
      </w:r>
      <w:r w:rsidR="00270D3E" w:rsidRPr="006D5339">
        <w:rPr>
          <w:i/>
          <w:iCs/>
        </w:rPr>
        <w:t>Furta Sacra: Thefts of Relics in the Central Middle Ages</w:t>
      </w:r>
      <w:r w:rsidR="00270D3E" w:rsidRPr="006D5339">
        <w:t>.</w:t>
      </w:r>
    </w:p>
  </w:footnote>
  <w:footnote w:id="2">
    <w:p w14:paraId="47F6A0C9" w14:textId="6A01CFE8" w:rsidR="00B3106A" w:rsidRDefault="00B3106A">
      <w:pPr>
        <w:pStyle w:val="FootnoteText"/>
      </w:pPr>
      <w:r>
        <w:rPr>
          <w:rStyle w:val="FootnoteReference"/>
        </w:rPr>
        <w:footnoteRef/>
      </w:r>
      <w:r>
        <w:t xml:space="preserve"> </w:t>
      </w:r>
      <w:r w:rsidR="00270D3E" w:rsidRPr="006D5339">
        <w:t xml:space="preserve">Bynum, Caroline Walker. </w:t>
      </w:r>
      <w:r w:rsidR="00270D3E" w:rsidRPr="006D5339">
        <w:rPr>
          <w:i/>
          <w:iCs/>
        </w:rPr>
        <w:t>Christian Materiality: An Essay on Religion in Late Medieval Europe</w:t>
      </w:r>
    </w:p>
  </w:footnote>
  <w:footnote w:id="3">
    <w:p w14:paraId="5974F393" w14:textId="0E919D4D" w:rsidR="006D35F4" w:rsidRDefault="006D35F4">
      <w:pPr>
        <w:pStyle w:val="FootnoteText"/>
      </w:pPr>
      <w:r>
        <w:rPr>
          <w:rStyle w:val="FootnoteReference"/>
        </w:rPr>
        <w:footnoteRef/>
      </w:r>
      <w:r>
        <w:t xml:space="preserve"> </w:t>
      </w:r>
      <w:r w:rsidR="00270D3E" w:rsidRPr="006D5339">
        <w:t xml:space="preserve">Brown, Peter. </w:t>
      </w:r>
      <w:r w:rsidR="00270D3E" w:rsidRPr="006D5339">
        <w:rPr>
          <w:i/>
          <w:iCs/>
        </w:rPr>
        <w:t>The Cult of the Saints: Its Rise and Function in Latin Christianity</w:t>
      </w:r>
      <w:r w:rsidR="00270D3E" w:rsidRPr="006D5339">
        <w:t>.</w:t>
      </w:r>
    </w:p>
  </w:footnote>
  <w:footnote w:id="4">
    <w:p w14:paraId="7CC4A3E9" w14:textId="0452B24F" w:rsidR="006D35F4" w:rsidRDefault="006D35F4">
      <w:pPr>
        <w:pStyle w:val="FootnoteText"/>
      </w:pPr>
      <w:r>
        <w:rPr>
          <w:rStyle w:val="FootnoteReference"/>
        </w:rPr>
        <w:footnoteRef/>
      </w:r>
      <w:r>
        <w:t xml:space="preserve"> </w:t>
      </w:r>
      <w:r w:rsidR="00270D3E" w:rsidRPr="00215A35">
        <w:t xml:space="preserve">Fletcher, R. (1999). </w:t>
      </w:r>
      <w:r w:rsidR="00270D3E" w:rsidRPr="00215A35">
        <w:rPr>
          <w:i/>
          <w:iCs/>
        </w:rPr>
        <w:t>The Barbarian Conversion: From Paganism to Christianity</w:t>
      </w:r>
      <w:r w:rsidR="00270D3E" w:rsidRPr="00215A35">
        <w:t>.</w:t>
      </w:r>
    </w:p>
  </w:footnote>
  <w:footnote w:id="5">
    <w:p w14:paraId="1901E082" w14:textId="0A1B915E" w:rsidR="006D35F4" w:rsidRDefault="006D35F4">
      <w:pPr>
        <w:pStyle w:val="FootnoteText"/>
      </w:pPr>
      <w:r>
        <w:rPr>
          <w:rStyle w:val="FootnoteReference"/>
        </w:rPr>
        <w:footnoteRef/>
      </w:r>
      <w:r>
        <w:t xml:space="preserve"> </w:t>
      </w:r>
      <w:r w:rsidR="00270D3E" w:rsidRPr="006D5339">
        <w:t xml:space="preserve">Rudolph, Conrad. </w:t>
      </w:r>
      <w:r w:rsidR="00270D3E" w:rsidRPr="006D5339">
        <w:rPr>
          <w:i/>
          <w:iCs/>
        </w:rPr>
        <w:t>Pilgrimage to the End of the World: The Road to Santiago de Compostela</w:t>
      </w:r>
    </w:p>
  </w:footnote>
  <w:footnote w:id="6">
    <w:p w14:paraId="5119681A" w14:textId="06972F6A" w:rsidR="006D35F4" w:rsidRDefault="006D35F4">
      <w:pPr>
        <w:pStyle w:val="FootnoteText"/>
      </w:pPr>
      <w:r>
        <w:rPr>
          <w:rStyle w:val="FootnoteReference"/>
        </w:rPr>
        <w:footnoteRef/>
      </w:r>
      <w:r>
        <w:t xml:space="preserve"> </w:t>
      </w:r>
      <w:r w:rsidR="00270D3E" w:rsidRPr="006D5339">
        <w:t xml:space="preserve">Freeman, Charles. </w:t>
      </w:r>
      <w:r w:rsidR="00270D3E" w:rsidRPr="006D5339">
        <w:rPr>
          <w:i/>
          <w:iCs/>
        </w:rPr>
        <w:t>Holy Bones, Holy Dust: How Relics Shaped the History of Medieval Europe</w:t>
      </w:r>
    </w:p>
  </w:footnote>
  <w:footnote w:id="7">
    <w:p w14:paraId="06C7C990" w14:textId="1052C39E" w:rsidR="006D35F4" w:rsidRDefault="006D35F4">
      <w:pPr>
        <w:pStyle w:val="FootnoteText"/>
      </w:pPr>
      <w:r>
        <w:rPr>
          <w:rStyle w:val="FootnoteReference"/>
        </w:rPr>
        <w:footnoteRef/>
      </w:r>
      <w:r>
        <w:t xml:space="preserve"> </w:t>
      </w:r>
      <w:r w:rsidR="00270D3E" w:rsidRPr="006D5339">
        <w:t xml:space="preserve">Dixon, C. Scott. </w:t>
      </w:r>
      <w:r w:rsidR="00270D3E" w:rsidRPr="006D5339">
        <w:rPr>
          <w:i/>
          <w:iCs/>
        </w:rPr>
        <w:t>Christianity and Religious Plurality in Historical Perspective</w:t>
      </w:r>
    </w:p>
  </w:footnote>
  <w:footnote w:id="8">
    <w:p w14:paraId="12D6F313" w14:textId="0878A56A" w:rsidR="006D35F4" w:rsidRDefault="006D35F4">
      <w:pPr>
        <w:pStyle w:val="FootnoteText"/>
      </w:pPr>
      <w:r>
        <w:rPr>
          <w:rStyle w:val="FootnoteReference"/>
        </w:rPr>
        <w:footnoteRef/>
      </w:r>
      <w:r>
        <w:t xml:space="preserve"> </w:t>
      </w:r>
      <w:r w:rsidR="00270D3E" w:rsidRPr="006D5339">
        <w:t xml:space="preserve">Hahn, Cynthia. </w:t>
      </w:r>
      <w:r w:rsidR="00270D3E" w:rsidRPr="006D5339">
        <w:rPr>
          <w:i/>
          <w:iCs/>
        </w:rPr>
        <w:t>The Reliquary Effect: Enshrining the Sacred Object</w:t>
      </w:r>
    </w:p>
  </w:footnote>
  <w:footnote w:id="9">
    <w:p w14:paraId="4BA9E28D" w14:textId="08E0C4D5" w:rsidR="006D35F4" w:rsidRDefault="006D35F4">
      <w:pPr>
        <w:pStyle w:val="FootnoteText"/>
      </w:pPr>
      <w:r>
        <w:rPr>
          <w:rStyle w:val="FootnoteReference"/>
        </w:rPr>
        <w:footnoteRef/>
      </w:r>
      <w:r>
        <w:t xml:space="preserve"> </w:t>
      </w:r>
      <w:r w:rsidR="00270D3E" w:rsidRPr="006D5339">
        <w:t xml:space="preserve">Camille, Michael. </w:t>
      </w:r>
      <w:r w:rsidR="00270D3E" w:rsidRPr="006D5339">
        <w:rPr>
          <w:i/>
          <w:iCs/>
        </w:rPr>
        <w:t>The Gothic Idol: Ideology and Image-Making in Medieval Art</w:t>
      </w:r>
      <w:r w:rsidR="00270D3E" w:rsidRPr="006D5339">
        <w:t>.</w:t>
      </w:r>
    </w:p>
  </w:footnote>
  <w:footnote w:id="10">
    <w:p w14:paraId="247446EF" w14:textId="28DC90A4" w:rsidR="006D35F4" w:rsidRDefault="006D35F4">
      <w:pPr>
        <w:pStyle w:val="FootnoteText"/>
      </w:pPr>
      <w:r>
        <w:rPr>
          <w:rStyle w:val="FootnoteReference"/>
        </w:rPr>
        <w:footnoteRef/>
      </w:r>
      <w:r>
        <w:t xml:space="preserve"> </w:t>
      </w:r>
      <w:r w:rsidR="00270D3E" w:rsidRPr="002D65C5">
        <w:t xml:space="preserve">Collins, Roger. </w:t>
      </w:r>
      <w:r w:rsidR="00270D3E" w:rsidRPr="002D65C5">
        <w:rPr>
          <w:i/>
          <w:iCs/>
        </w:rPr>
        <w:t>Early Medieval Spain: Unity in Diversity, 400–1000</w:t>
      </w:r>
    </w:p>
  </w:footnote>
  <w:footnote w:id="11">
    <w:p w14:paraId="05D4E037" w14:textId="5C87C2BA" w:rsidR="00270D3E" w:rsidRDefault="00270D3E">
      <w:pPr>
        <w:pStyle w:val="FootnoteText"/>
      </w:pPr>
      <w:r>
        <w:rPr>
          <w:rStyle w:val="FootnoteReference"/>
        </w:rPr>
        <w:footnoteRef/>
      </w:r>
      <w:r>
        <w:t xml:space="preserve"> </w:t>
      </w:r>
      <w:r w:rsidRPr="006D5339">
        <w:t xml:space="preserve">Turner, Victor, and Edith Turner. </w:t>
      </w:r>
      <w:r w:rsidRPr="006D5339">
        <w:rPr>
          <w:i/>
          <w:iCs/>
        </w:rPr>
        <w:t>Image and Pilgrimage in Christian Culture: Anthropological Perspectives</w:t>
      </w:r>
    </w:p>
  </w:footnote>
  <w:footnote w:id="12">
    <w:p w14:paraId="3C2A4BF0" w14:textId="176B7D54" w:rsidR="00270D3E" w:rsidRDefault="00270D3E">
      <w:pPr>
        <w:pStyle w:val="FootnoteText"/>
      </w:pPr>
      <w:r>
        <w:rPr>
          <w:rStyle w:val="FootnoteReference"/>
        </w:rPr>
        <w:footnoteRef/>
      </w:r>
      <w:r>
        <w:t xml:space="preserve"> </w:t>
      </w:r>
      <w:r w:rsidRPr="006D5339">
        <w:t xml:space="preserve">Kessler, Herbert. </w:t>
      </w:r>
      <w:r w:rsidRPr="006D5339">
        <w:rPr>
          <w:i/>
          <w:iCs/>
        </w:rPr>
        <w:t>Spiritual Seeing: Picturing God’s Invisibility in Medieval Art</w:t>
      </w:r>
      <w:r w:rsidRPr="006D5339">
        <w:t>.</w:t>
      </w:r>
    </w:p>
  </w:footnote>
  <w:footnote w:id="13">
    <w:p w14:paraId="67351E20" w14:textId="227569AB" w:rsidR="00270D3E" w:rsidRDefault="00270D3E">
      <w:pPr>
        <w:pStyle w:val="FootnoteText"/>
      </w:pPr>
      <w:r>
        <w:rPr>
          <w:rStyle w:val="FootnoteReference"/>
        </w:rPr>
        <w:footnoteRef/>
      </w:r>
      <w:r>
        <w:t xml:space="preserve"> </w:t>
      </w:r>
      <w:r w:rsidRPr="006D5339">
        <w:t xml:space="preserve">Duffy, Eamon. </w:t>
      </w:r>
      <w:r w:rsidRPr="006D5339">
        <w:rPr>
          <w:i/>
          <w:iCs/>
        </w:rPr>
        <w:t>Saints and Sinners: A History of the Popes</w:t>
      </w:r>
    </w:p>
  </w:footnote>
  <w:footnote w:id="14">
    <w:p w14:paraId="65421245" w14:textId="4F661B31" w:rsidR="00270D3E" w:rsidRDefault="00270D3E">
      <w:pPr>
        <w:pStyle w:val="FootnoteText"/>
      </w:pPr>
      <w:r>
        <w:rPr>
          <w:rStyle w:val="FootnoteReference"/>
        </w:rPr>
        <w:footnoteRef/>
      </w:r>
      <w:r>
        <w:t xml:space="preserve"> </w:t>
      </w:r>
      <w:r w:rsidRPr="006D5339">
        <w:rPr>
          <w:rFonts w:eastAsia="Times New Roman" w:cs="Times New Roman"/>
          <w:kern w:val="0"/>
          <w:lang w:eastAsia="en-GB"/>
          <w14:ligatures w14:val="none"/>
        </w:rPr>
        <w:t xml:space="preserve">Riley-Smith, Jonathan. </w:t>
      </w:r>
      <w:r w:rsidRPr="006D5339">
        <w:rPr>
          <w:rFonts w:eastAsia="Times New Roman" w:cs="Times New Roman"/>
          <w:i/>
          <w:iCs/>
          <w:kern w:val="0"/>
          <w:lang w:eastAsia="en-GB"/>
          <w14:ligatures w14:val="none"/>
        </w:rPr>
        <w:t>The Crusades, Christianity, and Islam</w:t>
      </w:r>
    </w:p>
  </w:footnote>
  <w:footnote w:id="15">
    <w:p w14:paraId="15E6CC93" w14:textId="5176473F" w:rsidR="00270D3E" w:rsidRDefault="00270D3E">
      <w:pPr>
        <w:pStyle w:val="FootnoteText"/>
      </w:pPr>
      <w:r>
        <w:rPr>
          <w:rStyle w:val="FootnoteReference"/>
        </w:rPr>
        <w:footnoteRef/>
      </w:r>
      <w:r>
        <w:t xml:space="preserve"> </w:t>
      </w:r>
      <w:r w:rsidRPr="00F17970">
        <w:rPr>
          <w:rFonts w:eastAsia="Times New Roman" w:cs="Times New Roman"/>
          <w:kern w:val="0"/>
          <w:lang w:eastAsia="en-GB"/>
          <w14:ligatures w14:val="none"/>
        </w:rPr>
        <w:t xml:space="preserve">Loomis, Roger Sherman. </w:t>
      </w:r>
      <w:r w:rsidRPr="00F17970">
        <w:rPr>
          <w:rFonts w:eastAsia="Times New Roman" w:cs="Times New Roman"/>
          <w:i/>
          <w:iCs/>
          <w:kern w:val="0"/>
          <w:lang w:eastAsia="en-GB"/>
          <w14:ligatures w14:val="none"/>
        </w:rPr>
        <w:t>The Grail: From Celtic Myth to Christian Symbol</w:t>
      </w:r>
    </w:p>
  </w:footnote>
  <w:footnote w:id="16">
    <w:p w14:paraId="50CE35FE" w14:textId="085AE4D0" w:rsidR="00270D3E" w:rsidRDefault="00270D3E">
      <w:pPr>
        <w:pStyle w:val="FootnoteText"/>
      </w:pPr>
      <w:r>
        <w:rPr>
          <w:rStyle w:val="FootnoteReference"/>
        </w:rPr>
        <w:footnoteRef/>
      </w:r>
      <w:r>
        <w:t xml:space="preserve"> </w:t>
      </w:r>
      <w:r w:rsidR="005A5556" w:rsidRPr="00F17970">
        <w:rPr>
          <w:rFonts w:eastAsia="Times New Roman" w:cs="Times New Roman"/>
          <w:kern w:val="0"/>
          <w:lang w:eastAsia="en-GB"/>
          <w14:ligatures w14:val="none"/>
        </w:rPr>
        <w:t xml:space="preserve">Matarasso, Pauline. </w:t>
      </w:r>
      <w:r w:rsidR="005A5556" w:rsidRPr="00F17970">
        <w:rPr>
          <w:rFonts w:eastAsia="Times New Roman" w:cs="Times New Roman"/>
          <w:i/>
          <w:iCs/>
          <w:kern w:val="0"/>
          <w:lang w:eastAsia="en-GB"/>
          <w14:ligatures w14:val="none"/>
        </w:rPr>
        <w:t>The Quest of the Holy Grail</w:t>
      </w:r>
      <w:r w:rsidR="005A5556" w:rsidRPr="00F17970">
        <w:rPr>
          <w:rFonts w:eastAsia="Times New Roman" w:cs="Times New Roman"/>
          <w:kern w:val="0"/>
          <w:lang w:eastAsia="en-GB"/>
          <w14:ligatures w14:val="none"/>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AF7F63"/>
    <w:multiLevelType w:val="hybridMultilevel"/>
    <w:tmpl w:val="174C4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182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06A"/>
    <w:rsid w:val="00270D3E"/>
    <w:rsid w:val="002A3EA5"/>
    <w:rsid w:val="005A5556"/>
    <w:rsid w:val="006D35F4"/>
    <w:rsid w:val="00A90BB5"/>
    <w:rsid w:val="00B3106A"/>
    <w:rsid w:val="00E33468"/>
    <w:rsid w:val="00EE4B9C"/>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5E341"/>
  <w15:chartTrackingRefBased/>
  <w15:docId w15:val="{4FC4F698-44B9-4A17-9064-886C087EC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0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10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0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0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0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0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0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0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0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0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10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06A"/>
    <w:rPr>
      <w:rFonts w:eastAsiaTheme="majorEastAsia" w:cstheme="majorBidi"/>
      <w:color w:val="272727" w:themeColor="text1" w:themeTint="D8"/>
    </w:rPr>
  </w:style>
  <w:style w:type="paragraph" w:styleId="Title">
    <w:name w:val="Title"/>
    <w:basedOn w:val="Normal"/>
    <w:next w:val="Normal"/>
    <w:link w:val="TitleChar"/>
    <w:uiPriority w:val="10"/>
    <w:qFormat/>
    <w:rsid w:val="00B310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06A"/>
    <w:pPr>
      <w:spacing w:before="160"/>
      <w:jc w:val="center"/>
    </w:pPr>
    <w:rPr>
      <w:i/>
      <w:iCs/>
      <w:color w:val="404040" w:themeColor="text1" w:themeTint="BF"/>
    </w:rPr>
  </w:style>
  <w:style w:type="character" w:customStyle="1" w:styleId="QuoteChar">
    <w:name w:val="Quote Char"/>
    <w:basedOn w:val="DefaultParagraphFont"/>
    <w:link w:val="Quote"/>
    <w:uiPriority w:val="29"/>
    <w:rsid w:val="00B3106A"/>
    <w:rPr>
      <w:i/>
      <w:iCs/>
      <w:color w:val="404040" w:themeColor="text1" w:themeTint="BF"/>
    </w:rPr>
  </w:style>
  <w:style w:type="paragraph" w:styleId="ListParagraph">
    <w:name w:val="List Paragraph"/>
    <w:basedOn w:val="Normal"/>
    <w:uiPriority w:val="34"/>
    <w:qFormat/>
    <w:rsid w:val="00B3106A"/>
    <w:pPr>
      <w:ind w:left="720"/>
      <w:contextualSpacing/>
    </w:pPr>
  </w:style>
  <w:style w:type="character" w:styleId="IntenseEmphasis">
    <w:name w:val="Intense Emphasis"/>
    <w:basedOn w:val="DefaultParagraphFont"/>
    <w:uiPriority w:val="21"/>
    <w:qFormat/>
    <w:rsid w:val="00B3106A"/>
    <w:rPr>
      <w:i/>
      <w:iCs/>
      <w:color w:val="0F4761" w:themeColor="accent1" w:themeShade="BF"/>
    </w:rPr>
  </w:style>
  <w:style w:type="paragraph" w:styleId="IntenseQuote">
    <w:name w:val="Intense Quote"/>
    <w:basedOn w:val="Normal"/>
    <w:next w:val="Normal"/>
    <w:link w:val="IntenseQuoteChar"/>
    <w:uiPriority w:val="30"/>
    <w:qFormat/>
    <w:rsid w:val="00B31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06A"/>
    <w:rPr>
      <w:i/>
      <w:iCs/>
      <w:color w:val="0F4761" w:themeColor="accent1" w:themeShade="BF"/>
    </w:rPr>
  </w:style>
  <w:style w:type="character" w:styleId="IntenseReference">
    <w:name w:val="Intense Reference"/>
    <w:basedOn w:val="DefaultParagraphFont"/>
    <w:uiPriority w:val="32"/>
    <w:qFormat/>
    <w:rsid w:val="00B3106A"/>
    <w:rPr>
      <w:b/>
      <w:bCs/>
      <w:smallCaps/>
      <w:color w:val="0F4761" w:themeColor="accent1" w:themeShade="BF"/>
      <w:spacing w:val="5"/>
    </w:rPr>
  </w:style>
  <w:style w:type="paragraph" w:styleId="FootnoteText">
    <w:name w:val="footnote text"/>
    <w:basedOn w:val="Normal"/>
    <w:link w:val="FootnoteTextChar"/>
    <w:uiPriority w:val="99"/>
    <w:semiHidden/>
    <w:unhideWhenUsed/>
    <w:rsid w:val="00B310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106A"/>
    <w:rPr>
      <w:sz w:val="20"/>
      <w:szCs w:val="20"/>
    </w:rPr>
  </w:style>
  <w:style w:type="character" w:styleId="FootnoteReference">
    <w:name w:val="footnote reference"/>
    <w:basedOn w:val="DefaultParagraphFont"/>
    <w:uiPriority w:val="99"/>
    <w:semiHidden/>
    <w:unhideWhenUsed/>
    <w:rsid w:val="00B3106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190447">
      <w:bodyDiv w:val="1"/>
      <w:marLeft w:val="0"/>
      <w:marRight w:val="0"/>
      <w:marTop w:val="0"/>
      <w:marBottom w:val="0"/>
      <w:divBdr>
        <w:top w:val="none" w:sz="0" w:space="0" w:color="auto"/>
        <w:left w:val="none" w:sz="0" w:space="0" w:color="auto"/>
        <w:bottom w:val="none" w:sz="0" w:space="0" w:color="auto"/>
        <w:right w:val="none" w:sz="0" w:space="0" w:color="auto"/>
      </w:divBdr>
    </w:div>
    <w:div w:id="271666863">
      <w:bodyDiv w:val="1"/>
      <w:marLeft w:val="0"/>
      <w:marRight w:val="0"/>
      <w:marTop w:val="0"/>
      <w:marBottom w:val="0"/>
      <w:divBdr>
        <w:top w:val="none" w:sz="0" w:space="0" w:color="auto"/>
        <w:left w:val="none" w:sz="0" w:space="0" w:color="auto"/>
        <w:bottom w:val="none" w:sz="0" w:space="0" w:color="auto"/>
        <w:right w:val="none" w:sz="0" w:space="0" w:color="auto"/>
      </w:divBdr>
    </w:div>
    <w:div w:id="272371694">
      <w:bodyDiv w:val="1"/>
      <w:marLeft w:val="0"/>
      <w:marRight w:val="0"/>
      <w:marTop w:val="0"/>
      <w:marBottom w:val="0"/>
      <w:divBdr>
        <w:top w:val="none" w:sz="0" w:space="0" w:color="auto"/>
        <w:left w:val="none" w:sz="0" w:space="0" w:color="auto"/>
        <w:bottom w:val="none" w:sz="0" w:space="0" w:color="auto"/>
        <w:right w:val="none" w:sz="0" w:space="0" w:color="auto"/>
      </w:divBdr>
    </w:div>
    <w:div w:id="286548375">
      <w:bodyDiv w:val="1"/>
      <w:marLeft w:val="0"/>
      <w:marRight w:val="0"/>
      <w:marTop w:val="0"/>
      <w:marBottom w:val="0"/>
      <w:divBdr>
        <w:top w:val="none" w:sz="0" w:space="0" w:color="auto"/>
        <w:left w:val="none" w:sz="0" w:space="0" w:color="auto"/>
        <w:bottom w:val="none" w:sz="0" w:space="0" w:color="auto"/>
        <w:right w:val="none" w:sz="0" w:space="0" w:color="auto"/>
      </w:divBdr>
      <w:divsChild>
        <w:div w:id="1703703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9041538">
      <w:bodyDiv w:val="1"/>
      <w:marLeft w:val="0"/>
      <w:marRight w:val="0"/>
      <w:marTop w:val="0"/>
      <w:marBottom w:val="0"/>
      <w:divBdr>
        <w:top w:val="none" w:sz="0" w:space="0" w:color="auto"/>
        <w:left w:val="none" w:sz="0" w:space="0" w:color="auto"/>
        <w:bottom w:val="none" w:sz="0" w:space="0" w:color="auto"/>
        <w:right w:val="none" w:sz="0" w:space="0" w:color="auto"/>
      </w:divBdr>
    </w:div>
    <w:div w:id="459999078">
      <w:bodyDiv w:val="1"/>
      <w:marLeft w:val="0"/>
      <w:marRight w:val="0"/>
      <w:marTop w:val="0"/>
      <w:marBottom w:val="0"/>
      <w:divBdr>
        <w:top w:val="none" w:sz="0" w:space="0" w:color="auto"/>
        <w:left w:val="none" w:sz="0" w:space="0" w:color="auto"/>
        <w:bottom w:val="none" w:sz="0" w:space="0" w:color="auto"/>
        <w:right w:val="none" w:sz="0" w:space="0" w:color="auto"/>
      </w:divBdr>
    </w:div>
    <w:div w:id="514727886">
      <w:bodyDiv w:val="1"/>
      <w:marLeft w:val="0"/>
      <w:marRight w:val="0"/>
      <w:marTop w:val="0"/>
      <w:marBottom w:val="0"/>
      <w:divBdr>
        <w:top w:val="none" w:sz="0" w:space="0" w:color="auto"/>
        <w:left w:val="none" w:sz="0" w:space="0" w:color="auto"/>
        <w:bottom w:val="none" w:sz="0" w:space="0" w:color="auto"/>
        <w:right w:val="none" w:sz="0" w:space="0" w:color="auto"/>
      </w:divBdr>
    </w:div>
    <w:div w:id="592472530">
      <w:bodyDiv w:val="1"/>
      <w:marLeft w:val="0"/>
      <w:marRight w:val="0"/>
      <w:marTop w:val="0"/>
      <w:marBottom w:val="0"/>
      <w:divBdr>
        <w:top w:val="none" w:sz="0" w:space="0" w:color="auto"/>
        <w:left w:val="none" w:sz="0" w:space="0" w:color="auto"/>
        <w:bottom w:val="none" w:sz="0" w:space="0" w:color="auto"/>
        <w:right w:val="none" w:sz="0" w:space="0" w:color="auto"/>
      </w:divBdr>
    </w:div>
    <w:div w:id="593703896">
      <w:bodyDiv w:val="1"/>
      <w:marLeft w:val="0"/>
      <w:marRight w:val="0"/>
      <w:marTop w:val="0"/>
      <w:marBottom w:val="0"/>
      <w:divBdr>
        <w:top w:val="none" w:sz="0" w:space="0" w:color="auto"/>
        <w:left w:val="none" w:sz="0" w:space="0" w:color="auto"/>
        <w:bottom w:val="none" w:sz="0" w:space="0" w:color="auto"/>
        <w:right w:val="none" w:sz="0" w:space="0" w:color="auto"/>
      </w:divBdr>
    </w:div>
    <w:div w:id="823854968">
      <w:bodyDiv w:val="1"/>
      <w:marLeft w:val="0"/>
      <w:marRight w:val="0"/>
      <w:marTop w:val="0"/>
      <w:marBottom w:val="0"/>
      <w:divBdr>
        <w:top w:val="none" w:sz="0" w:space="0" w:color="auto"/>
        <w:left w:val="none" w:sz="0" w:space="0" w:color="auto"/>
        <w:bottom w:val="none" w:sz="0" w:space="0" w:color="auto"/>
        <w:right w:val="none" w:sz="0" w:space="0" w:color="auto"/>
      </w:divBdr>
      <w:divsChild>
        <w:div w:id="9801853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5824569">
      <w:bodyDiv w:val="1"/>
      <w:marLeft w:val="0"/>
      <w:marRight w:val="0"/>
      <w:marTop w:val="0"/>
      <w:marBottom w:val="0"/>
      <w:divBdr>
        <w:top w:val="none" w:sz="0" w:space="0" w:color="auto"/>
        <w:left w:val="none" w:sz="0" w:space="0" w:color="auto"/>
        <w:bottom w:val="none" w:sz="0" w:space="0" w:color="auto"/>
        <w:right w:val="none" w:sz="0" w:space="0" w:color="auto"/>
      </w:divBdr>
    </w:div>
    <w:div w:id="899707460">
      <w:bodyDiv w:val="1"/>
      <w:marLeft w:val="0"/>
      <w:marRight w:val="0"/>
      <w:marTop w:val="0"/>
      <w:marBottom w:val="0"/>
      <w:divBdr>
        <w:top w:val="none" w:sz="0" w:space="0" w:color="auto"/>
        <w:left w:val="none" w:sz="0" w:space="0" w:color="auto"/>
        <w:bottom w:val="none" w:sz="0" w:space="0" w:color="auto"/>
        <w:right w:val="none" w:sz="0" w:space="0" w:color="auto"/>
      </w:divBdr>
      <w:divsChild>
        <w:div w:id="9457705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4309665">
      <w:bodyDiv w:val="1"/>
      <w:marLeft w:val="0"/>
      <w:marRight w:val="0"/>
      <w:marTop w:val="0"/>
      <w:marBottom w:val="0"/>
      <w:divBdr>
        <w:top w:val="none" w:sz="0" w:space="0" w:color="auto"/>
        <w:left w:val="none" w:sz="0" w:space="0" w:color="auto"/>
        <w:bottom w:val="none" w:sz="0" w:space="0" w:color="auto"/>
        <w:right w:val="none" w:sz="0" w:space="0" w:color="auto"/>
      </w:divBdr>
      <w:divsChild>
        <w:div w:id="19771790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3714253">
      <w:bodyDiv w:val="1"/>
      <w:marLeft w:val="0"/>
      <w:marRight w:val="0"/>
      <w:marTop w:val="0"/>
      <w:marBottom w:val="0"/>
      <w:divBdr>
        <w:top w:val="none" w:sz="0" w:space="0" w:color="auto"/>
        <w:left w:val="none" w:sz="0" w:space="0" w:color="auto"/>
        <w:bottom w:val="none" w:sz="0" w:space="0" w:color="auto"/>
        <w:right w:val="none" w:sz="0" w:space="0" w:color="auto"/>
      </w:divBdr>
    </w:div>
    <w:div w:id="1235046548">
      <w:bodyDiv w:val="1"/>
      <w:marLeft w:val="0"/>
      <w:marRight w:val="0"/>
      <w:marTop w:val="0"/>
      <w:marBottom w:val="0"/>
      <w:divBdr>
        <w:top w:val="none" w:sz="0" w:space="0" w:color="auto"/>
        <w:left w:val="none" w:sz="0" w:space="0" w:color="auto"/>
        <w:bottom w:val="none" w:sz="0" w:space="0" w:color="auto"/>
        <w:right w:val="none" w:sz="0" w:space="0" w:color="auto"/>
      </w:divBdr>
    </w:div>
    <w:div w:id="1238250024">
      <w:bodyDiv w:val="1"/>
      <w:marLeft w:val="0"/>
      <w:marRight w:val="0"/>
      <w:marTop w:val="0"/>
      <w:marBottom w:val="0"/>
      <w:divBdr>
        <w:top w:val="none" w:sz="0" w:space="0" w:color="auto"/>
        <w:left w:val="none" w:sz="0" w:space="0" w:color="auto"/>
        <w:bottom w:val="none" w:sz="0" w:space="0" w:color="auto"/>
        <w:right w:val="none" w:sz="0" w:space="0" w:color="auto"/>
      </w:divBdr>
    </w:div>
    <w:div w:id="1482578317">
      <w:bodyDiv w:val="1"/>
      <w:marLeft w:val="0"/>
      <w:marRight w:val="0"/>
      <w:marTop w:val="0"/>
      <w:marBottom w:val="0"/>
      <w:divBdr>
        <w:top w:val="none" w:sz="0" w:space="0" w:color="auto"/>
        <w:left w:val="none" w:sz="0" w:space="0" w:color="auto"/>
        <w:bottom w:val="none" w:sz="0" w:space="0" w:color="auto"/>
        <w:right w:val="none" w:sz="0" w:space="0" w:color="auto"/>
      </w:divBdr>
    </w:div>
    <w:div w:id="1504200371">
      <w:bodyDiv w:val="1"/>
      <w:marLeft w:val="0"/>
      <w:marRight w:val="0"/>
      <w:marTop w:val="0"/>
      <w:marBottom w:val="0"/>
      <w:divBdr>
        <w:top w:val="none" w:sz="0" w:space="0" w:color="auto"/>
        <w:left w:val="none" w:sz="0" w:space="0" w:color="auto"/>
        <w:bottom w:val="none" w:sz="0" w:space="0" w:color="auto"/>
        <w:right w:val="none" w:sz="0" w:space="0" w:color="auto"/>
      </w:divBdr>
    </w:div>
    <w:div w:id="1579973619">
      <w:bodyDiv w:val="1"/>
      <w:marLeft w:val="0"/>
      <w:marRight w:val="0"/>
      <w:marTop w:val="0"/>
      <w:marBottom w:val="0"/>
      <w:divBdr>
        <w:top w:val="none" w:sz="0" w:space="0" w:color="auto"/>
        <w:left w:val="none" w:sz="0" w:space="0" w:color="auto"/>
        <w:bottom w:val="none" w:sz="0" w:space="0" w:color="auto"/>
        <w:right w:val="none" w:sz="0" w:space="0" w:color="auto"/>
      </w:divBdr>
      <w:divsChild>
        <w:div w:id="3472976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8832153">
      <w:bodyDiv w:val="1"/>
      <w:marLeft w:val="0"/>
      <w:marRight w:val="0"/>
      <w:marTop w:val="0"/>
      <w:marBottom w:val="0"/>
      <w:divBdr>
        <w:top w:val="none" w:sz="0" w:space="0" w:color="auto"/>
        <w:left w:val="none" w:sz="0" w:space="0" w:color="auto"/>
        <w:bottom w:val="none" w:sz="0" w:space="0" w:color="auto"/>
        <w:right w:val="none" w:sz="0" w:space="0" w:color="auto"/>
      </w:divBdr>
    </w:div>
    <w:div w:id="1651981995">
      <w:bodyDiv w:val="1"/>
      <w:marLeft w:val="0"/>
      <w:marRight w:val="0"/>
      <w:marTop w:val="0"/>
      <w:marBottom w:val="0"/>
      <w:divBdr>
        <w:top w:val="none" w:sz="0" w:space="0" w:color="auto"/>
        <w:left w:val="none" w:sz="0" w:space="0" w:color="auto"/>
        <w:bottom w:val="none" w:sz="0" w:space="0" w:color="auto"/>
        <w:right w:val="none" w:sz="0" w:space="0" w:color="auto"/>
      </w:divBdr>
    </w:div>
    <w:div w:id="1663507095">
      <w:bodyDiv w:val="1"/>
      <w:marLeft w:val="0"/>
      <w:marRight w:val="0"/>
      <w:marTop w:val="0"/>
      <w:marBottom w:val="0"/>
      <w:divBdr>
        <w:top w:val="none" w:sz="0" w:space="0" w:color="auto"/>
        <w:left w:val="none" w:sz="0" w:space="0" w:color="auto"/>
        <w:bottom w:val="none" w:sz="0" w:space="0" w:color="auto"/>
        <w:right w:val="none" w:sz="0" w:space="0" w:color="auto"/>
      </w:divBdr>
    </w:div>
    <w:div w:id="1735278459">
      <w:bodyDiv w:val="1"/>
      <w:marLeft w:val="0"/>
      <w:marRight w:val="0"/>
      <w:marTop w:val="0"/>
      <w:marBottom w:val="0"/>
      <w:divBdr>
        <w:top w:val="none" w:sz="0" w:space="0" w:color="auto"/>
        <w:left w:val="none" w:sz="0" w:space="0" w:color="auto"/>
        <w:bottom w:val="none" w:sz="0" w:space="0" w:color="auto"/>
        <w:right w:val="none" w:sz="0" w:space="0" w:color="auto"/>
      </w:divBdr>
    </w:div>
    <w:div w:id="1839729936">
      <w:bodyDiv w:val="1"/>
      <w:marLeft w:val="0"/>
      <w:marRight w:val="0"/>
      <w:marTop w:val="0"/>
      <w:marBottom w:val="0"/>
      <w:divBdr>
        <w:top w:val="none" w:sz="0" w:space="0" w:color="auto"/>
        <w:left w:val="none" w:sz="0" w:space="0" w:color="auto"/>
        <w:bottom w:val="none" w:sz="0" w:space="0" w:color="auto"/>
        <w:right w:val="none" w:sz="0" w:space="0" w:color="auto"/>
      </w:divBdr>
      <w:divsChild>
        <w:div w:id="1567263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3504411">
      <w:bodyDiv w:val="1"/>
      <w:marLeft w:val="0"/>
      <w:marRight w:val="0"/>
      <w:marTop w:val="0"/>
      <w:marBottom w:val="0"/>
      <w:divBdr>
        <w:top w:val="none" w:sz="0" w:space="0" w:color="auto"/>
        <w:left w:val="none" w:sz="0" w:space="0" w:color="auto"/>
        <w:bottom w:val="none" w:sz="0" w:space="0" w:color="auto"/>
        <w:right w:val="none" w:sz="0" w:space="0" w:color="auto"/>
      </w:divBdr>
    </w:div>
    <w:div w:id="203453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2024-11-03T13:19:00Z</dcterms:created>
  <dcterms:modified xsi:type="dcterms:W3CDTF">2024-11-03T13:54:00Z</dcterms:modified>
</cp:coreProperties>
</file>