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3F2B7" w14:textId="77777777" w:rsidR="00F76BEF" w:rsidRDefault="00F76BEF" w:rsidP="00F76BEF">
      <w:pPr>
        <w:spacing w:before="120" w:after="240" w:line="360" w:lineRule="auto"/>
        <w:jc w:val="center"/>
        <w:rPr>
          <w:rFonts w:ascii="Arial" w:eastAsia="Calibri" w:hAnsi="Arial" w:cs="Arial"/>
          <w:noProof/>
          <w:sz w:val="24"/>
          <w:szCs w:val="24"/>
        </w:rPr>
      </w:pPr>
    </w:p>
    <w:p w14:paraId="2B11BB39" w14:textId="77777777" w:rsidR="00F76BEF" w:rsidRDefault="00F76BEF" w:rsidP="00F76BEF">
      <w:pPr>
        <w:spacing w:before="120" w:after="240" w:line="360" w:lineRule="auto"/>
        <w:jc w:val="center"/>
        <w:rPr>
          <w:rFonts w:ascii="Arial" w:eastAsia="Calibri" w:hAnsi="Arial" w:cs="Arial"/>
          <w:noProof/>
          <w:sz w:val="24"/>
          <w:szCs w:val="24"/>
        </w:rPr>
      </w:pPr>
    </w:p>
    <w:p w14:paraId="6A63ED7A" w14:textId="77777777" w:rsidR="0017374A" w:rsidRDefault="0017374A" w:rsidP="00F76BEF">
      <w:pPr>
        <w:spacing w:before="120" w:after="240" w:line="360" w:lineRule="auto"/>
        <w:jc w:val="center"/>
        <w:rPr>
          <w:rFonts w:ascii="Arial" w:eastAsia="Calibri" w:hAnsi="Arial" w:cs="Arial"/>
          <w:noProof/>
          <w:sz w:val="24"/>
          <w:szCs w:val="24"/>
        </w:rPr>
      </w:pPr>
    </w:p>
    <w:p w14:paraId="39577D7A" w14:textId="77777777" w:rsidR="0017374A" w:rsidRDefault="0017374A" w:rsidP="00F76BEF">
      <w:pPr>
        <w:spacing w:before="120" w:after="240" w:line="360" w:lineRule="auto"/>
        <w:jc w:val="center"/>
        <w:rPr>
          <w:rFonts w:ascii="Arial" w:eastAsia="Calibri" w:hAnsi="Arial" w:cs="Arial"/>
          <w:noProof/>
          <w:sz w:val="24"/>
          <w:szCs w:val="24"/>
        </w:rPr>
      </w:pPr>
    </w:p>
    <w:p w14:paraId="3D53B64D" w14:textId="3F834C45" w:rsidR="00F76BEF" w:rsidRPr="009914A9" w:rsidRDefault="00F76BEF" w:rsidP="00F76BEF">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Module: Financial Management for the Hotel Industry</w:t>
      </w:r>
    </w:p>
    <w:p w14:paraId="4F856EEE" w14:textId="77777777" w:rsidR="00F76BEF" w:rsidRPr="009914A9" w:rsidRDefault="00F76BEF" w:rsidP="00F76BEF">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Module code: BMIH5007</w:t>
      </w:r>
    </w:p>
    <w:p w14:paraId="335DCCBE" w14:textId="10D11671" w:rsidR="00F76BEF" w:rsidRPr="009914A9" w:rsidRDefault="00F76BEF" w:rsidP="00F76BEF">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 xml:space="preserve">Assignment Title: Business Report – </w:t>
      </w:r>
      <w:r w:rsidRPr="00F76BEF">
        <w:rPr>
          <w:rFonts w:ascii="Arial" w:eastAsia="Calibri" w:hAnsi="Arial" w:cs="Arial"/>
          <w:noProof/>
          <w:sz w:val="24"/>
          <w:szCs w:val="24"/>
        </w:rPr>
        <w:t>Report Case Study: Urban Heights Hotel</w:t>
      </w:r>
    </w:p>
    <w:p w14:paraId="30845191" w14:textId="77777777" w:rsidR="00F76BEF" w:rsidRPr="009914A9" w:rsidRDefault="00F76BEF" w:rsidP="00F76BEF">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Lecturer: Tristan Hawkins</w:t>
      </w:r>
    </w:p>
    <w:p w14:paraId="5F39F886" w14:textId="77777777" w:rsidR="00F76BEF" w:rsidRPr="009914A9" w:rsidRDefault="00F76BEF" w:rsidP="00F76BEF">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Student Name: Nicoleta Elena Bugaciu</w:t>
      </w:r>
    </w:p>
    <w:p w14:paraId="4E000625" w14:textId="77777777" w:rsidR="00F76BEF" w:rsidRPr="009914A9" w:rsidRDefault="00F76BEF" w:rsidP="00F76BEF">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Student number: 2230707</w:t>
      </w:r>
    </w:p>
    <w:p w14:paraId="131C7144" w14:textId="4531F141" w:rsidR="00F76BEF" w:rsidRPr="00A43A35" w:rsidRDefault="00A43A35" w:rsidP="00A43A35">
      <w:pPr>
        <w:spacing w:line="360" w:lineRule="auto"/>
        <w:jc w:val="both"/>
        <w:rPr>
          <w:rFonts w:ascii="Times New Roman" w:eastAsia="Times New Roman" w:hAnsi="Times New Roman" w:cs="Times New Roman"/>
          <w:noProof/>
          <w:sz w:val="24"/>
          <w:szCs w:val="24"/>
        </w:rPr>
      </w:pPr>
      <w:r w:rsidRPr="00A43A35">
        <w:rPr>
          <w:rFonts w:ascii="Times New Roman" w:eastAsia="Times New Roman" w:hAnsi="Times New Roman" w:cs="Times New Roman"/>
          <w:noProof/>
          <w:sz w:val="24"/>
          <w:szCs w:val="24"/>
        </w:rPr>
        <w:br w:type="page"/>
      </w:r>
    </w:p>
    <w:sdt>
      <w:sdtPr>
        <w:rPr>
          <w:rFonts w:ascii="Times New Roman" w:eastAsia="Times New Roman" w:hAnsi="Times New Roman" w:cs="Times New Roman"/>
          <w:noProof/>
          <w:sz w:val="24"/>
          <w:szCs w:val="24"/>
        </w:rPr>
        <w:id w:val="-340013777"/>
        <w:docPartObj>
          <w:docPartGallery w:val="Table of Contents"/>
          <w:docPartUnique/>
        </w:docPartObj>
      </w:sdtPr>
      <w:sdtEndPr>
        <w:rPr>
          <w:b/>
          <w:bCs/>
        </w:rPr>
      </w:sdtEndPr>
      <w:sdtContent>
        <w:p w14:paraId="78C01905" w14:textId="77777777" w:rsidR="00A43A35" w:rsidRPr="00F76BEF" w:rsidRDefault="00A43A35" w:rsidP="00A43A35">
          <w:pPr>
            <w:keepNext/>
            <w:keepLines/>
            <w:spacing w:before="240" w:after="0" w:line="360" w:lineRule="auto"/>
            <w:jc w:val="both"/>
            <w:rPr>
              <w:rFonts w:ascii="Arial" w:eastAsia="Times New Roman" w:hAnsi="Arial" w:cs="Arial"/>
              <w:b/>
              <w:bCs/>
              <w:noProof/>
              <w:kern w:val="0"/>
              <w:sz w:val="24"/>
              <w:szCs w:val="24"/>
              <w14:ligatures w14:val="none"/>
            </w:rPr>
          </w:pPr>
          <w:r w:rsidRPr="00F76BEF">
            <w:rPr>
              <w:rFonts w:ascii="Arial" w:eastAsia="Times New Roman" w:hAnsi="Arial" w:cs="Arial"/>
              <w:b/>
              <w:bCs/>
              <w:noProof/>
              <w:kern w:val="0"/>
              <w:sz w:val="24"/>
              <w:szCs w:val="24"/>
              <w14:ligatures w14:val="none"/>
            </w:rPr>
            <w:t>Contents</w:t>
          </w:r>
        </w:p>
        <w:p w14:paraId="7C8CC608" w14:textId="518F9F49" w:rsidR="00A43A35" w:rsidRPr="00F76BEF" w:rsidRDefault="00000000" w:rsidP="00A43A35">
          <w:pPr>
            <w:tabs>
              <w:tab w:val="right" w:leader="dot" w:pos="9350"/>
            </w:tabs>
            <w:spacing w:after="100" w:line="360" w:lineRule="auto"/>
            <w:jc w:val="both"/>
            <w:rPr>
              <w:rFonts w:ascii="Arial" w:eastAsia="Times New Roman" w:hAnsi="Arial" w:cs="Arial"/>
              <w:noProof/>
              <w:sz w:val="24"/>
              <w:szCs w:val="24"/>
              <w:lang w:eastAsia="en-GB"/>
            </w:rPr>
          </w:pPr>
          <w:hyperlink w:anchor="_Toc166070030" w:history="1">
            <w:r w:rsidR="00A43A35" w:rsidRPr="00F76BEF">
              <w:rPr>
                <w:rFonts w:ascii="Arial" w:eastAsia="Times New Roman" w:hAnsi="Arial" w:cs="Arial"/>
                <w:noProof/>
                <w:color w:val="467886"/>
                <w:sz w:val="24"/>
                <w:szCs w:val="24"/>
                <w:u w:val="single"/>
              </w:rPr>
              <w:t>Introduction</w:t>
            </w:r>
            <w:r w:rsidR="00A43A35" w:rsidRPr="00F76BEF">
              <w:rPr>
                <w:rFonts w:ascii="Arial" w:eastAsia="Times New Roman" w:hAnsi="Arial" w:cs="Arial"/>
                <w:noProof/>
                <w:webHidden/>
                <w:sz w:val="24"/>
                <w:szCs w:val="24"/>
                <w:lang w:val="en-US"/>
              </w:rPr>
              <w:tab/>
            </w:r>
            <w:r w:rsidR="005E6496">
              <w:rPr>
                <w:rFonts w:ascii="Arial" w:eastAsia="Times New Roman" w:hAnsi="Arial" w:cs="Arial"/>
                <w:noProof/>
                <w:webHidden/>
                <w:sz w:val="24"/>
                <w:szCs w:val="24"/>
                <w:lang w:val="en-US"/>
              </w:rPr>
              <w:t>1</w:t>
            </w:r>
          </w:hyperlink>
        </w:p>
        <w:p w14:paraId="3F960C6E" w14:textId="2FB93EE3" w:rsidR="00A43A35" w:rsidRPr="00F76BEF" w:rsidRDefault="00000000" w:rsidP="00A43A35">
          <w:pPr>
            <w:tabs>
              <w:tab w:val="right" w:leader="dot" w:pos="9350"/>
            </w:tabs>
            <w:spacing w:after="100" w:line="360" w:lineRule="auto"/>
            <w:jc w:val="both"/>
            <w:rPr>
              <w:rFonts w:ascii="Arial" w:eastAsia="Times New Roman" w:hAnsi="Arial" w:cs="Arial"/>
              <w:noProof/>
              <w:sz w:val="24"/>
              <w:szCs w:val="24"/>
              <w:lang w:eastAsia="en-GB"/>
            </w:rPr>
          </w:pPr>
          <w:hyperlink w:anchor="_Toc166070031" w:history="1">
            <w:r w:rsidR="00A43A35" w:rsidRPr="00F76BEF">
              <w:rPr>
                <w:rFonts w:ascii="Arial" w:eastAsia="Times New Roman" w:hAnsi="Arial" w:cs="Arial"/>
                <w:noProof/>
                <w:color w:val="467886"/>
                <w:sz w:val="24"/>
                <w:szCs w:val="24"/>
                <w:u w:val="single"/>
              </w:rPr>
              <w:t>Evaluation of the Financial Performance</w:t>
            </w:r>
            <w:r w:rsidR="00A43A35" w:rsidRPr="00F76BEF">
              <w:rPr>
                <w:rFonts w:ascii="Arial" w:eastAsia="Times New Roman" w:hAnsi="Arial" w:cs="Arial"/>
                <w:noProof/>
                <w:webHidden/>
                <w:sz w:val="24"/>
                <w:szCs w:val="24"/>
                <w:lang w:val="en-US"/>
              </w:rPr>
              <w:tab/>
            </w:r>
            <w:r w:rsidR="005E6496">
              <w:rPr>
                <w:rFonts w:ascii="Arial" w:eastAsia="Times New Roman" w:hAnsi="Arial" w:cs="Arial"/>
                <w:noProof/>
                <w:webHidden/>
                <w:sz w:val="24"/>
                <w:szCs w:val="24"/>
                <w:lang w:val="en-US"/>
              </w:rPr>
              <w:t>2</w:t>
            </w:r>
          </w:hyperlink>
        </w:p>
        <w:p w14:paraId="7A67A49C" w14:textId="69AD3FA6" w:rsidR="00A43A35" w:rsidRPr="00F76BEF" w:rsidRDefault="00000000" w:rsidP="00A43A35">
          <w:pPr>
            <w:tabs>
              <w:tab w:val="right" w:leader="dot" w:pos="9350"/>
            </w:tabs>
            <w:spacing w:after="100" w:line="360" w:lineRule="auto"/>
            <w:jc w:val="both"/>
            <w:rPr>
              <w:rFonts w:ascii="Arial" w:eastAsia="Times New Roman" w:hAnsi="Arial" w:cs="Arial"/>
              <w:noProof/>
              <w:sz w:val="24"/>
              <w:szCs w:val="24"/>
              <w:lang w:eastAsia="en-GB"/>
            </w:rPr>
          </w:pPr>
          <w:hyperlink w:anchor="_Toc166070032" w:history="1">
            <w:r w:rsidR="00A43A35" w:rsidRPr="00F76BEF">
              <w:rPr>
                <w:rFonts w:ascii="Arial" w:eastAsia="Times New Roman" w:hAnsi="Arial" w:cs="Arial"/>
                <w:noProof/>
                <w:color w:val="467886"/>
                <w:sz w:val="24"/>
                <w:szCs w:val="24"/>
                <w:u w:val="single"/>
              </w:rPr>
              <w:t>The Factors Affecting the Profitability</w:t>
            </w:r>
            <w:r w:rsidR="00A43A35" w:rsidRPr="00F76BEF">
              <w:rPr>
                <w:rFonts w:ascii="Arial" w:eastAsia="Times New Roman" w:hAnsi="Arial" w:cs="Arial"/>
                <w:noProof/>
                <w:webHidden/>
                <w:sz w:val="24"/>
                <w:szCs w:val="24"/>
                <w:lang w:val="en-US"/>
              </w:rPr>
              <w:tab/>
            </w:r>
            <w:r w:rsidR="005E6496">
              <w:rPr>
                <w:rFonts w:ascii="Arial" w:eastAsia="Times New Roman" w:hAnsi="Arial" w:cs="Arial"/>
                <w:noProof/>
                <w:webHidden/>
                <w:sz w:val="24"/>
                <w:szCs w:val="24"/>
                <w:lang w:val="en-US"/>
              </w:rPr>
              <w:t>3</w:t>
            </w:r>
          </w:hyperlink>
        </w:p>
        <w:p w14:paraId="7522EDE7" w14:textId="763F3FD4" w:rsidR="00A43A35" w:rsidRPr="00F76BEF" w:rsidRDefault="00000000" w:rsidP="00A43A35">
          <w:pPr>
            <w:tabs>
              <w:tab w:val="right" w:leader="dot" w:pos="9350"/>
            </w:tabs>
            <w:spacing w:after="100" w:line="360" w:lineRule="auto"/>
            <w:jc w:val="both"/>
            <w:rPr>
              <w:rFonts w:ascii="Arial" w:eastAsia="Times New Roman" w:hAnsi="Arial" w:cs="Arial"/>
              <w:noProof/>
              <w:sz w:val="24"/>
              <w:szCs w:val="24"/>
              <w:lang w:eastAsia="en-GB"/>
            </w:rPr>
          </w:pPr>
          <w:hyperlink w:anchor="_Toc166070033" w:history="1">
            <w:r w:rsidR="00A43A35" w:rsidRPr="00F76BEF">
              <w:rPr>
                <w:rFonts w:ascii="Arial" w:eastAsia="Times New Roman" w:hAnsi="Arial" w:cs="Arial"/>
                <w:noProof/>
                <w:color w:val="467886"/>
                <w:sz w:val="24"/>
                <w:szCs w:val="24"/>
                <w:u w:val="single"/>
              </w:rPr>
              <w:t>A Comprehensive Turnaround Strategy</w:t>
            </w:r>
            <w:r w:rsidR="00A43A35" w:rsidRPr="00F76BEF">
              <w:rPr>
                <w:rFonts w:ascii="Arial" w:eastAsia="Times New Roman" w:hAnsi="Arial" w:cs="Arial"/>
                <w:noProof/>
                <w:webHidden/>
                <w:sz w:val="24"/>
                <w:szCs w:val="24"/>
                <w:lang w:val="en-US"/>
              </w:rPr>
              <w:tab/>
            </w:r>
            <w:r w:rsidR="005E6496">
              <w:rPr>
                <w:rFonts w:ascii="Arial" w:eastAsia="Times New Roman" w:hAnsi="Arial" w:cs="Arial"/>
                <w:noProof/>
                <w:webHidden/>
                <w:sz w:val="24"/>
                <w:szCs w:val="24"/>
                <w:lang w:val="en-US"/>
              </w:rPr>
              <w:t>4</w:t>
            </w:r>
          </w:hyperlink>
        </w:p>
        <w:p w14:paraId="580DB339" w14:textId="2ADBF16B" w:rsidR="00A43A35" w:rsidRDefault="00000000" w:rsidP="00A43A35">
          <w:pPr>
            <w:tabs>
              <w:tab w:val="right" w:leader="dot" w:pos="9350"/>
            </w:tabs>
            <w:spacing w:after="100" w:line="360" w:lineRule="auto"/>
            <w:jc w:val="both"/>
            <w:rPr>
              <w:rFonts w:ascii="Arial" w:eastAsia="Times New Roman" w:hAnsi="Arial" w:cs="Arial"/>
              <w:noProof/>
              <w:sz w:val="24"/>
              <w:szCs w:val="24"/>
              <w:lang w:val="en-US"/>
            </w:rPr>
          </w:pPr>
          <w:hyperlink w:anchor="_Toc166070034" w:history="1">
            <w:r w:rsidR="00A43A35" w:rsidRPr="00F76BEF">
              <w:rPr>
                <w:rFonts w:ascii="Arial" w:eastAsia="Times New Roman" w:hAnsi="Arial" w:cs="Arial"/>
                <w:noProof/>
                <w:color w:val="467886"/>
                <w:sz w:val="24"/>
                <w:szCs w:val="24"/>
                <w:u w:val="single"/>
              </w:rPr>
              <w:t>Conclusion</w:t>
            </w:r>
            <w:r w:rsidR="00A43A35" w:rsidRPr="00F76BEF">
              <w:rPr>
                <w:rFonts w:ascii="Arial" w:eastAsia="Times New Roman" w:hAnsi="Arial" w:cs="Arial"/>
                <w:noProof/>
                <w:webHidden/>
                <w:sz w:val="24"/>
                <w:szCs w:val="24"/>
                <w:lang w:val="en-US"/>
              </w:rPr>
              <w:tab/>
            </w:r>
            <w:r w:rsidR="005E6496">
              <w:rPr>
                <w:rFonts w:ascii="Arial" w:eastAsia="Times New Roman" w:hAnsi="Arial" w:cs="Arial"/>
                <w:noProof/>
                <w:webHidden/>
                <w:sz w:val="24"/>
                <w:szCs w:val="24"/>
                <w:lang w:val="en-US"/>
              </w:rPr>
              <w:t>5</w:t>
            </w:r>
          </w:hyperlink>
        </w:p>
        <w:p w14:paraId="20A178BC" w14:textId="3620F50F" w:rsidR="00A43A35" w:rsidRPr="00A43A35" w:rsidRDefault="00000000" w:rsidP="00A43A35">
          <w:pPr>
            <w:tabs>
              <w:tab w:val="right" w:leader="dot" w:pos="9350"/>
            </w:tabs>
            <w:spacing w:after="100" w:line="360" w:lineRule="auto"/>
            <w:jc w:val="both"/>
            <w:rPr>
              <w:rFonts w:ascii="Times New Roman" w:eastAsia="Times New Roman" w:hAnsi="Times New Roman" w:cs="Times New Roman"/>
              <w:noProof/>
              <w:sz w:val="24"/>
              <w:szCs w:val="24"/>
              <w:lang w:eastAsia="en-GB"/>
            </w:rPr>
          </w:pPr>
          <w:hyperlink w:anchor="_Toc166070035" w:history="1">
            <w:r w:rsidR="005E6496">
              <w:rPr>
                <w:rFonts w:ascii="Arial" w:eastAsia="Times New Roman" w:hAnsi="Arial" w:cs="Arial"/>
                <w:noProof/>
                <w:color w:val="467886"/>
                <w:sz w:val="24"/>
                <w:szCs w:val="24"/>
                <w:u w:val="single"/>
              </w:rPr>
              <w:t>Business Proposal</w:t>
            </w:r>
            <w:r w:rsidR="00A43A35" w:rsidRPr="00F76BEF">
              <w:rPr>
                <w:rFonts w:ascii="Arial" w:eastAsia="Times New Roman" w:hAnsi="Arial" w:cs="Arial"/>
                <w:noProof/>
                <w:webHidden/>
                <w:sz w:val="24"/>
                <w:szCs w:val="24"/>
                <w:lang w:val="en-US"/>
              </w:rPr>
              <w:tab/>
            </w:r>
            <w:r w:rsidR="005E6496">
              <w:rPr>
                <w:rFonts w:ascii="Arial" w:eastAsia="Times New Roman" w:hAnsi="Arial" w:cs="Arial"/>
                <w:noProof/>
                <w:webHidden/>
                <w:sz w:val="24"/>
                <w:szCs w:val="24"/>
                <w:lang w:val="en-US"/>
              </w:rPr>
              <w:t>6</w:t>
            </w:r>
          </w:hyperlink>
        </w:p>
        <w:p w14:paraId="51DA6F65" w14:textId="77777777" w:rsidR="005E6496" w:rsidRPr="00A43A35" w:rsidRDefault="00000000" w:rsidP="005E6496">
          <w:pPr>
            <w:tabs>
              <w:tab w:val="right" w:leader="dot" w:pos="9350"/>
            </w:tabs>
            <w:spacing w:after="100" w:line="360" w:lineRule="auto"/>
            <w:jc w:val="both"/>
            <w:rPr>
              <w:rFonts w:ascii="Times New Roman" w:eastAsia="Times New Roman" w:hAnsi="Times New Roman" w:cs="Times New Roman"/>
              <w:noProof/>
              <w:sz w:val="24"/>
              <w:szCs w:val="24"/>
              <w:lang w:eastAsia="en-GB"/>
            </w:rPr>
          </w:pPr>
          <w:hyperlink w:anchor="_Toc166070035" w:history="1">
            <w:r w:rsidR="005E6496" w:rsidRPr="00F76BEF">
              <w:rPr>
                <w:rFonts w:ascii="Arial" w:eastAsia="Times New Roman" w:hAnsi="Arial" w:cs="Arial"/>
                <w:noProof/>
                <w:color w:val="467886"/>
                <w:sz w:val="24"/>
                <w:szCs w:val="24"/>
                <w:u w:val="single"/>
              </w:rPr>
              <w:t>Reference List</w:t>
            </w:r>
            <w:r w:rsidR="005E6496" w:rsidRPr="00F76BEF">
              <w:rPr>
                <w:rFonts w:ascii="Arial" w:eastAsia="Times New Roman" w:hAnsi="Arial" w:cs="Arial"/>
                <w:noProof/>
                <w:webHidden/>
                <w:sz w:val="24"/>
                <w:szCs w:val="24"/>
                <w:lang w:val="en-US"/>
              </w:rPr>
              <w:tab/>
            </w:r>
            <w:r w:rsidR="005E6496">
              <w:rPr>
                <w:rFonts w:ascii="Arial" w:eastAsia="Times New Roman" w:hAnsi="Arial" w:cs="Arial"/>
                <w:noProof/>
                <w:webHidden/>
                <w:sz w:val="24"/>
                <w:szCs w:val="24"/>
                <w:lang w:val="en-US"/>
              </w:rPr>
              <w:t>7</w:t>
            </w:r>
          </w:hyperlink>
        </w:p>
        <w:p w14:paraId="6DA194C4" w14:textId="77777777" w:rsidR="00A43A35" w:rsidRPr="00A43A35" w:rsidRDefault="00000000" w:rsidP="00A43A35">
          <w:pPr>
            <w:spacing w:line="360" w:lineRule="auto"/>
            <w:jc w:val="both"/>
            <w:rPr>
              <w:rFonts w:ascii="Times New Roman" w:eastAsia="Times New Roman" w:hAnsi="Times New Roman" w:cs="Times New Roman"/>
              <w:noProof/>
              <w:sz w:val="24"/>
              <w:szCs w:val="24"/>
            </w:rPr>
          </w:pPr>
        </w:p>
      </w:sdtContent>
    </w:sdt>
    <w:p w14:paraId="6AD5268D" w14:textId="77777777" w:rsidR="00A43A35" w:rsidRPr="00A43A35" w:rsidRDefault="00A43A35" w:rsidP="00A43A35">
      <w:pPr>
        <w:spacing w:line="360" w:lineRule="auto"/>
        <w:jc w:val="both"/>
        <w:rPr>
          <w:rFonts w:ascii="Times New Roman" w:eastAsia="Times New Roman" w:hAnsi="Times New Roman" w:cs="Times New Roman"/>
          <w:noProof/>
          <w:sz w:val="24"/>
          <w:szCs w:val="24"/>
        </w:rPr>
      </w:pPr>
      <w:r w:rsidRPr="00A43A35">
        <w:rPr>
          <w:rFonts w:ascii="Times New Roman" w:eastAsia="Times New Roman" w:hAnsi="Times New Roman" w:cs="Times New Roman"/>
          <w:noProof/>
          <w:sz w:val="24"/>
          <w:szCs w:val="24"/>
        </w:rPr>
        <w:br w:type="page"/>
      </w:r>
    </w:p>
    <w:p w14:paraId="0E34D91A" w14:textId="77777777" w:rsidR="00A43A35" w:rsidRPr="00F76BEF" w:rsidRDefault="00A43A35" w:rsidP="00F76BEF">
      <w:pPr>
        <w:keepNext/>
        <w:keepLines/>
        <w:spacing w:before="360" w:after="80" w:line="360" w:lineRule="auto"/>
        <w:jc w:val="both"/>
        <w:outlineLvl w:val="0"/>
        <w:rPr>
          <w:rFonts w:ascii="Arial" w:eastAsia="Times New Roman" w:hAnsi="Arial" w:cs="Arial"/>
          <w:noProof/>
          <w:sz w:val="24"/>
          <w:szCs w:val="24"/>
        </w:rPr>
      </w:pPr>
      <w:bookmarkStart w:id="0" w:name="_Toc166070030"/>
      <w:r w:rsidRPr="00F76BEF">
        <w:rPr>
          <w:rFonts w:ascii="Arial" w:eastAsia="Times New Roman" w:hAnsi="Arial" w:cs="Arial"/>
          <w:b/>
          <w:noProof/>
          <w:sz w:val="24"/>
          <w:szCs w:val="24"/>
        </w:rPr>
        <w:lastRenderedPageBreak/>
        <w:t>Introduction</w:t>
      </w:r>
      <w:bookmarkEnd w:id="0"/>
      <w:r w:rsidRPr="00F76BEF">
        <w:rPr>
          <w:rFonts w:ascii="Arial" w:eastAsia="Times New Roman" w:hAnsi="Arial" w:cs="Arial"/>
          <w:b/>
          <w:noProof/>
          <w:sz w:val="24"/>
          <w:szCs w:val="24"/>
        </w:rPr>
        <w:t xml:space="preserve"> </w:t>
      </w:r>
    </w:p>
    <w:p w14:paraId="1C7960E3" w14:textId="77777777" w:rsidR="00A43A35" w:rsidRPr="00F76BEF" w:rsidRDefault="00A43A35" w:rsidP="00F76BEF">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Financial management has an immense influence on the company’s success or failure. Hospitality organisations need to manage their financial aspects properly to capitalise on opportunities and overcome weaknesses (Hayes, Hayes and Hayes, 2021). The report will analyse the Urban Heights Hotel’s case. In recent years, the hotel has encountered various challenges. The hotel has lost its profitability and financial stability. The report will evaluate the financial performance of the hotel. It will identify the reasons for such challenges and losses. Finally, a turnaround strategy will be suggested that can overcome the company from the hardship and challenges.</w:t>
      </w:r>
    </w:p>
    <w:p w14:paraId="77869EE8" w14:textId="77777777" w:rsidR="00A43A35" w:rsidRPr="00F76BEF" w:rsidRDefault="00A43A35" w:rsidP="00F76BEF">
      <w:pPr>
        <w:keepNext/>
        <w:keepLines/>
        <w:spacing w:before="360" w:after="80" w:line="360" w:lineRule="auto"/>
        <w:jc w:val="both"/>
        <w:outlineLvl w:val="0"/>
        <w:rPr>
          <w:rFonts w:ascii="Arial" w:eastAsia="Times New Roman" w:hAnsi="Arial" w:cs="Arial"/>
          <w:noProof/>
          <w:sz w:val="24"/>
          <w:szCs w:val="24"/>
        </w:rPr>
      </w:pPr>
      <w:bookmarkStart w:id="1" w:name="_Toc166070031"/>
      <w:r w:rsidRPr="00F76BEF">
        <w:rPr>
          <w:rFonts w:ascii="Arial" w:eastAsia="Times New Roman" w:hAnsi="Arial" w:cs="Arial"/>
          <w:b/>
          <w:noProof/>
          <w:sz w:val="24"/>
          <w:szCs w:val="24"/>
        </w:rPr>
        <w:t>Evaluation of the Financial Performance</w:t>
      </w:r>
      <w:bookmarkEnd w:id="1"/>
      <w:r w:rsidRPr="00F76BEF">
        <w:rPr>
          <w:rFonts w:ascii="Arial" w:eastAsia="Times New Roman" w:hAnsi="Arial" w:cs="Arial"/>
          <w:b/>
          <w:noProof/>
          <w:sz w:val="24"/>
          <w:szCs w:val="24"/>
        </w:rPr>
        <w:t xml:space="preserve"> </w:t>
      </w:r>
    </w:p>
    <w:p w14:paraId="028B1E33" w14:textId="77777777" w:rsidR="00A43A35" w:rsidRPr="00F76BEF" w:rsidRDefault="00A43A35" w:rsidP="00F76BEF">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To evaluate the financial performance of Urban Heights Hotel, financial ratios can be utilised. The financial ratios are the key indicators that show the current financial health of an organisation. In addition, the revenue and cost trends can also provide important insights into the company’s financial management strategies (</w:t>
      </w:r>
      <w:r w:rsidRPr="00F76BEF">
        <w:rPr>
          <w:rFonts w:ascii="Arial" w:eastAsia="Times New Roman" w:hAnsi="Arial" w:cs="Arial"/>
          <w:noProof/>
          <w:kern w:val="0"/>
          <w:sz w:val="24"/>
          <w:szCs w:val="24"/>
          <w14:ligatures w14:val="none"/>
        </w:rPr>
        <w:t>Guilding</w:t>
      </w:r>
      <w:r w:rsidRPr="00F76BEF">
        <w:rPr>
          <w:rFonts w:ascii="Arial" w:eastAsia="Times New Roman" w:hAnsi="Arial" w:cs="Arial"/>
          <w:noProof/>
          <w:sz w:val="24"/>
          <w:szCs w:val="24"/>
        </w:rPr>
        <w:t xml:space="preserve">, 2014). The key financial indicators are evaluated below: </w:t>
      </w:r>
    </w:p>
    <w:p w14:paraId="2E123E01" w14:textId="77777777" w:rsidR="00A43A35" w:rsidRPr="00F76BEF" w:rsidRDefault="00A43A35" w:rsidP="00F76BEF">
      <w:pPr>
        <w:spacing w:line="360" w:lineRule="auto"/>
        <w:jc w:val="both"/>
        <w:rPr>
          <w:rFonts w:ascii="Arial" w:eastAsia="Times New Roman" w:hAnsi="Arial" w:cs="Arial"/>
          <w:i/>
          <w:iCs/>
          <w:noProof/>
          <w:sz w:val="24"/>
          <w:szCs w:val="24"/>
          <w:u w:val="single"/>
        </w:rPr>
      </w:pPr>
      <w:r w:rsidRPr="00F76BEF">
        <w:rPr>
          <w:rFonts w:ascii="Arial" w:eastAsia="Times New Roman" w:hAnsi="Arial" w:cs="Arial"/>
          <w:i/>
          <w:iCs/>
          <w:noProof/>
          <w:sz w:val="24"/>
          <w:szCs w:val="24"/>
          <w:u w:val="single"/>
        </w:rPr>
        <w:t>Revenue Trend</w:t>
      </w:r>
    </w:p>
    <w:tbl>
      <w:tblPr>
        <w:tblStyle w:val="TabelgrilLuminos1"/>
        <w:tblW w:w="3320" w:type="dxa"/>
        <w:jc w:val="center"/>
        <w:tblLook w:val="04A0" w:firstRow="1" w:lastRow="0" w:firstColumn="1" w:lastColumn="0" w:noHBand="0" w:noVBand="1"/>
      </w:tblPr>
      <w:tblGrid>
        <w:gridCol w:w="1700"/>
        <w:gridCol w:w="1620"/>
      </w:tblGrid>
      <w:tr w:rsidR="00A43A35" w:rsidRPr="00F76BEF" w14:paraId="273EB1EB" w14:textId="77777777" w:rsidTr="003C06D9">
        <w:trPr>
          <w:trHeight w:val="300"/>
          <w:jc w:val="center"/>
        </w:trPr>
        <w:tc>
          <w:tcPr>
            <w:tcW w:w="1700" w:type="dxa"/>
            <w:noWrap/>
            <w:hideMark/>
          </w:tcPr>
          <w:p w14:paraId="0CE17E0A"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Year</w:t>
            </w:r>
          </w:p>
        </w:tc>
        <w:tc>
          <w:tcPr>
            <w:tcW w:w="1620" w:type="dxa"/>
            <w:noWrap/>
            <w:hideMark/>
          </w:tcPr>
          <w:p w14:paraId="41AD0FAA"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Revenue</w:t>
            </w:r>
          </w:p>
        </w:tc>
      </w:tr>
      <w:tr w:rsidR="00A43A35" w:rsidRPr="00F76BEF" w14:paraId="73632C9F" w14:textId="77777777" w:rsidTr="003C06D9">
        <w:trPr>
          <w:trHeight w:val="300"/>
          <w:jc w:val="center"/>
        </w:trPr>
        <w:tc>
          <w:tcPr>
            <w:tcW w:w="0" w:type="auto"/>
            <w:noWrap/>
            <w:hideMark/>
          </w:tcPr>
          <w:p w14:paraId="2B3C50F3"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2021</w:t>
            </w:r>
          </w:p>
        </w:tc>
        <w:tc>
          <w:tcPr>
            <w:tcW w:w="0" w:type="auto"/>
            <w:noWrap/>
            <w:hideMark/>
          </w:tcPr>
          <w:p w14:paraId="43FA462E"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0</w:t>
            </w:r>
          </w:p>
        </w:tc>
      </w:tr>
      <w:tr w:rsidR="00A43A35" w:rsidRPr="00F76BEF" w14:paraId="6971726D" w14:textId="77777777" w:rsidTr="003C06D9">
        <w:trPr>
          <w:trHeight w:val="300"/>
          <w:jc w:val="center"/>
        </w:trPr>
        <w:tc>
          <w:tcPr>
            <w:tcW w:w="0" w:type="auto"/>
            <w:noWrap/>
            <w:hideMark/>
          </w:tcPr>
          <w:p w14:paraId="3EB3CEC4"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2022</w:t>
            </w:r>
          </w:p>
        </w:tc>
        <w:tc>
          <w:tcPr>
            <w:tcW w:w="0" w:type="auto"/>
            <w:noWrap/>
            <w:hideMark/>
          </w:tcPr>
          <w:p w14:paraId="13100A8D"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-12%</w:t>
            </w:r>
          </w:p>
        </w:tc>
      </w:tr>
      <w:tr w:rsidR="00A43A35" w:rsidRPr="00F76BEF" w14:paraId="07AB898B" w14:textId="77777777" w:rsidTr="003C06D9">
        <w:trPr>
          <w:trHeight w:val="300"/>
          <w:jc w:val="center"/>
        </w:trPr>
        <w:tc>
          <w:tcPr>
            <w:tcW w:w="0" w:type="auto"/>
            <w:noWrap/>
            <w:hideMark/>
          </w:tcPr>
          <w:p w14:paraId="403FAA12"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2023</w:t>
            </w:r>
          </w:p>
        </w:tc>
        <w:tc>
          <w:tcPr>
            <w:tcW w:w="0" w:type="auto"/>
            <w:noWrap/>
            <w:hideMark/>
          </w:tcPr>
          <w:p w14:paraId="656C52A6" w14:textId="77777777" w:rsidR="00A43A35" w:rsidRPr="00F76BEF" w:rsidRDefault="00A43A35" w:rsidP="00F76BEF">
            <w:pPr>
              <w:keepNext/>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-18.18%</w:t>
            </w:r>
          </w:p>
        </w:tc>
      </w:tr>
    </w:tbl>
    <w:p w14:paraId="5AC847CD" w14:textId="77777777" w:rsidR="00A43A35" w:rsidRPr="00F76BEF" w:rsidRDefault="00A43A35" w:rsidP="00F76BEF">
      <w:pPr>
        <w:spacing w:after="200" w:line="360" w:lineRule="auto"/>
        <w:jc w:val="center"/>
        <w:rPr>
          <w:rFonts w:ascii="Arial" w:eastAsia="Times New Roman" w:hAnsi="Arial" w:cs="Arial"/>
          <w:i/>
          <w:iCs/>
          <w:noProof/>
          <w:color w:val="0E2841"/>
          <w:sz w:val="24"/>
          <w:szCs w:val="24"/>
        </w:rPr>
      </w:pPr>
    </w:p>
    <w:p w14:paraId="5077670D" w14:textId="77777777" w:rsidR="00A43A35" w:rsidRPr="00F76BEF" w:rsidRDefault="00A43A35" w:rsidP="00F76BEF">
      <w:pPr>
        <w:spacing w:after="200" w:line="360" w:lineRule="auto"/>
        <w:jc w:val="center"/>
        <w:rPr>
          <w:rFonts w:ascii="Arial" w:eastAsia="Times New Roman" w:hAnsi="Arial" w:cs="Arial"/>
          <w:i/>
          <w:iCs/>
          <w:noProof/>
          <w:color w:val="0E2841"/>
          <w:sz w:val="24"/>
          <w:szCs w:val="24"/>
        </w:rPr>
      </w:pPr>
      <w:r w:rsidRPr="00F76BEF">
        <w:rPr>
          <w:rFonts w:ascii="Arial" w:eastAsia="Times New Roman" w:hAnsi="Arial" w:cs="Arial"/>
          <w:i/>
          <w:iCs/>
          <w:noProof/>
          <w:color w:val="0E2841"/>
          <w:sz w:val="24"/>
          <w:szCs w:val="24"/>
        </w:rPr>
        <w:t>Table 1:Revenue Trend (Self made from case study)</w:t>
      </w:r>
    </w:p>
    <w:p w14:paraId="0FB946ED" w14:textId="77777777" w:rsidR="00A43A35" w:rsidRPr="00F76BEF" w:rsidRDefault="00A43A35" w:rsidP="00F76BEF">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 xml:space="preserve">The hotel has been facing declining revenue since 2021. Its total revenue decreased by 12% in 2022 and 18.18% in 2023. The decreasing trend is growing in the last two years. It indicates that the hotel has lower demands for its hotel services. The company is losing its existing and loyal customer base and so the total revenue faced a sharp decline. As revenue declines, the company will encounter shortage of funds to operate the business. </w:t>
      </w:r>
    </w:p>
    <w:p w14:paraId="51E2A679" w14:textId="77777777" w:rsidR="00A43A35" w:rsidRPr="00F76BEF" w:rsidRDefault="00A43A35" w:rsidP="00F76BEF">
      <w:pPr>
        <w:spacing w:line="360" w:lineRule="auto"/>
        <w:jc w:val="both"/>
        <w:rPr>
          <w:rFonts w:ascii="Arial" w:eastAsia="Times New Roman" w:hAnsi="Arial" w:cs="Arial"/>
          <w:b/>
          <w:bCs/>
          <w:noProof/>
          <w:sz w:val="24"/>
          <w:szCs w:val="24"/>
        </w:rPr>
      </w:pPr>
      <w:r w:rsidRPr="00F76BEF">
        <w:rPr>
          <w:rFonts w:ascii="Arial" w:eastAsia="Times New Roman" w:hAnsi="Arial" w:cs="Arial"/>
          <w:i/>
          <w:iCs/>
          <w:noProof/>
          <w:sz w:val="24"/>
          <w:szCs w:val="24"/>
          <w:u w:val="single"/>
        </w:rPr>
        <w:t xml:space="preserve">Expenses Trend </w:t>
      </w:r>
    </w:p>
    <w:tbl>
      <w:tblPr>
        <w:tblStyle w:val="TabelgrilLuminos1"/>
        <w:tblW w:w="2100" w:type="dxa"/>
        <w:jc w:val="center"/>
        <w:tblLook w:val="04A0" w:firstRow="1" w:lastRow="0" w:firstColumn="1" w:lastColumn="0" w:noHBand="0" w:noVBand="1"/>
      </w:tblPr>
      <w:tblGrid>
        <w:gridCol w:w="1140"/>
        <w:gridCol w:w="1204"/>
      </w:tblGrid>
      <w:tr w:rsidR="00A43A35" w:rsidRPr="00F76BEF" w14:paraId="04B211FC" w14:textId="77777777" w:rsidTr="003C06D9">
        <w:trPr>
          <w:trHeight w:val="300"/>
          <w:jc w:val="center"/>
        </w:trPr>
        <w:tc>
          <w:tcPr>
            <w:tcW w:w="1140" w:type="dxa"/>
            <w:noWrap/>
            <w:hideMark/>
          </w:tcPr>
          <w:p w14:paraId="7F194885"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lastRenderedPageBreak/>
              <w:t>Year</w:t>
            </w:r>
          </w:p>
        </w:tc>
        <w:tc>
          <w:tcPr>
            <w:tcW w:w="960" w:type="dxa"/>
            <w:noWrap/>
            <w:hideMark/>
          </w:tcPr>
          <w:p w14:paraId="08000AFC"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Expense</w:t>
            </w:r>
          </w:p>
        </w:tc>
      </w:tr>
      <w:tr w:rsidR="00A43A35" w:rsidRPr="00F76BEF" w14:paraId="4320F5A8" w14:textId="77777777" w:rsidTr="003C06D9">
        <w:trPr>
          <w:trHeight w:val="300"/>
          <w:jc w:val="center"/>
        </w:trPr>
        <w:tc>
          <w:tcPr>
            <w:tcW w:w="0" w:type="auto"/>
            <w:noWrap/>
            <w:hideMark/>
          </w:tcPr>
          <w:p w14:paraId="3E689902"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2021</w:t>
            </w:r>
          </w:p>
        </w:tc>
        <w:tc>
          <w:tcPr>
            <w:tcW w:w="0" w:type="auto"/>
            <w:noWrap/>
            <w:hideMark/>
          </w:tcPr>
          <w:p w14:paraId="4DC2BEDD"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0</w:t>
            </w:r>
          </w:p>
        </w:tc>
      </w:tr>
      <w:tr w:rsidR="00A43A35" w:rsidRPr="00F76BEF" w14:paraId="6C0BCB4F" w14:textId="77777777" w:rsidTr="003C06D9">
        <w:trPr>
          <w:trHeight w:val="300"/>
          <w:jc w:val="center"/>
        </w:trPr>
        <w:tc>
          <w:tcPr>
            <w:tcW w:w="0" w:type="auto"/>
            <w:noWrap/>
            <w:hideMark/>
          </w:tcPr>
          <w:p w14:paraId="627D11E9"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2022</w:t>
            </w:r>
          </w:p>
        </w:tc>
        <w:tc>
          <w:tcPr>
            <w:tcW w:w="0" w:type="auto"/>
            <w:noWrap/>
            <w:hideMark/>
          </w:tcPr>
          <w:p w14:paraId="7324F65A"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16.89%</w:t>
            </w:r>
          </w:p>
        </w:tc>
      </w:tr>
      <w:tr w:rsidR="00A43A35" w:rsidRPr="00F76BEF" w14:paraId="294651AE" w14:textId="77777777" w:rsidTr="003C06D9">
        <w:trPr>
          <w:trHeight w:val="300"/>
          <w:jc w:val="center"/>
        </w:trPr>
        <w:tc>
          <w:tcPr>
            <w:tcW w:w="0" w:type="auto"/>
            <w:noWrap/>
            <w:hideMark/>
          </w:tcPr>
          <w:p w14:paraId="1B839634"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2023</w:t>
            </w:r>
          </w:p>
        </w:tc>
        <w:tc>
          <w:tcPr>
            <w:tcW w:w="0" w:type="auto"/>
            <w:noWrap/>
            <w:hideMark/>
          </w:tcPr>
          <w:p w14:paraId="22261026" w14:textId="77777777" w:rsidR="00A43A35" w:rsidRPr="00F76BEF" w:rsidRDefault="00A43A35" w:rsidP="00F76BEF">
            <w:pPr>
              <w:keepNext/>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13.04%</w:t>
            </w:r>
          </w:p>
        </w:tc>
      </w:tr>
    </w:tbl>
    <w:p w14:paraId="09B84BD1" w14:textId="77777777" w:rsidR="00A43A35" w:rsidRPr="00F76BEF" w:rsidRDefault="00A43A35" w:rsidP="00F76BEF">
      <w:pPr>
        <w:spacing w:after="200" w:line="360" w:lineRule="auto"/>
        <w:jc w:val="both"/>
        <w:rPr>
          <w:rFonts w:ascii="Arial" w:eastAsia="Times New Roman" w:hAnsi="Arial" w:cs="Arial"/>
          <w:i/>
          <w:iCs/>
          <w:noProof/>
          <w:color w:val="0E2841"/>
          <w:sz w:val="24"/>
          <w:szCs w:val="24"/>
        </w:rPr>
      </w:pPr>
    </w:p>
    <w:p w14:paraId="7E414EF7" w14:textId="77777777" w:rsidR="00A43A35" w:rsidRPr="00F76BEF" w:rsidRDefault="00A43A35" w:rsidP="00F76BEF">
      <w:pPr>
        <w:spacing w:after="200" w:line="360" w:lineRule="auto"/>
        <w:jc w:val="center"/>
        <w:rPr>
          <w:rFonts w:ascii="Arial" w:eastAsia="Times New Roman" w:hAnsi="Arial" w:cs="Arial"/>
          <w:i/>
          <w:iCs/>
          <w:noProof/>
          <w:color w:val="0E2841"/>
          <w:sz w:val="24"/>
          <w:szCs w:val="24"/>
        </w:rPr>
      </w:pPr>
      <w:r w:rsidRPr="00F76BEF">
        <w:rPr>
          <w:rFonts w:ascii="Arial" w:eastAsia="Times New Roman" w:hAnsi="Arial" w:cs="Arial"/>
          <w:i/>
          <w:iCs/>
          <w:noProof/>
          <w:color w:val="0E2841"/>
          <w:sz w:val="24"/>
          <w:szCs w:val="24"/>
        </w:rPr>
        <w:t>Table 2: Expenses Trend (Self made from case study)</w:t>
      </w:r>
    </w:p>
    <w:p w14:paraId="2A7F42DB" w14:textId="3D2E0EC3" w:rsidR="00A43A35" w:rsidRPr="00F76BEF" w:rsidRDefault="00490505" w:rsidP="00F76BEF">
      <w:pPr>
        <w:spacing w:line="360" w:lineRule="auto"/>
        <w:jc w:val="both"/>
        <w:rPr>
          <w:rFonts w:ascii="Arial" w:eastAsia="Times New Roman" w:hAnsi="Arial" w:cs="Arial"/>
          <w:noProof/>
          <w:sz w:val="24"/>
          <w:szCs w:val="24"/>
        </w:rPr>
      </w:pPr>
      <w:r>
        <w:rPr>
          <w:rFonts w:ascii="Arial" w:eastAsia="Times New Roman" w:hAnsi="Arial" w:cs="Arial"/>
          <w:noProof/>
          <w:sz w:val="24"/>
          <w:szCs w:val="24"/>
        </w:rPr>
        <w:t>I</w:t>
      </w:r>
      <w:r w:rsidR="00A43A35" w:rsidRPr="00F76BEF">
        <w:rPr>
          <w:rFonts w:ascii="Arial" w:eastAsia="Times New Roman" w:hAnsi="Arial" w:cs="Arial"/>
          <w:noProof/>
          <w:sz w:val="24"/>
          <w:szCs w:val="24"/>
        </w:rPr>
        <w:t xml:space="preserve">n 2022, the total expenses of the company </w:t>
      </w:r>
      <w:r>
        <w:rPr>
          <w:rFonts w:ascii="Arial" w:eastAsia="Times New Roman" w:hAnsi="Arial" w:cs="Arial"/>
          <w:noProof/>
          <w:sz w:val="24"/>
          <w:szCs w:val="24"/>
        </w:rPr>
        <w:t xml:space="preserve">have </w:t>
      </w:r>
      <w:r w:rsidR="00A43A35" w:rsidRPr="00F76BEF">
        <w:rPr>
          <w:rFonts w:ascii="Arial" w:eastAsia="Times New Roman" w:hAnsi="Arial" w:cs="Arial"/>
          <w:noProof/>
          <w:sz w:val="24"/>
          <w:szCs w:val="24"/>
        </w:rPr>
        <w:t>increased by 16.89%</w:t>
      </w:r>
      <w:r>
        <w:rPr>
          <w:rFonts w:ascii="Arial" w:eastAsia="Times New Roman" w:hAnsi="Arial" w:cs="Arial"/>
          <w:noProof/>
          <w:sz w:val="24"/>
          <w:szCs w:val="24"/>
        </w:rPr>
        <w:t xml:space="preserve"> and one year later</w:t>
      </w:r>
      <w:r w:rsidR="00A43A35" w:rsidRPr="00F76BEF">
        <w:rPr>
          <w:rFonts w:ascii="Arial" w:eastAsia="Times New Roman" w:hAnsi="Arial" w:cs="Arial"/>
          <w:noProof/>
          <w:sz w:val="24"/>
          <w:szCs w:val="24"/>
        </w:rPr>
        <w:t xml:space="preserve">, it </w:t>
      </w:r>
      <w:r>
        <w:rPr>
          <w:rFonts w:ascii="Arial" w:eastAsia="Times New Roman" w:hAnsi="Arial" w:cs="Arial"/>
          <w:noProof/>
          <w:sz w:val="24"/>
          <w:szCs w:val="24"/>
        </w:rPr>
        <w:t xml:space="preserve">has </w:t>
      </w:r>
      <w:r w:rsidR="00A43A35" w:rsidRPr="00F76BEF">
        <w:rPr>
          <w:rFonts w:ascii="Arial" w:eastAsia="Times New Roman" w:hAnsi="Arial" w:cs="Arial"/>
          <w:noProof/>
          <w:sz w:val="24"/>
          <w:szCs w:val="24"/>
        </w:rPr>
        <w:t xml:space="preserve">increased by 13.04%. The increase in expenses has reduced the profitability of the company. The increasing trend in expenses indicates that the financial management of the company has poor control over the financial activities. </w:t>
      </w:r>
    </w:p>
    <w:p w14:paraId="6F349F67" w14:textId="77777777" w:rsidR="00A43A35" w:rsidRPr="00F76BEF" w:rsidRDefault="00A43A35" w:rsidP="00F76BEF">
      <w:pPr>
        <w:spacing w:line="360" w:lineRule="auto"/>
        <w:jc w:val="both"/>
        <w:rPr>
          <w:rFonts w:ascii="Arial" w:eastAsia="Times New Roman" w:hAnsi="Arial" w:cs="Arial"/>
          <w:i/>
          <w:iCs/>
          <w:noProof/>
          <w:sz w:val="24"/>
          <w:szCs w:val="24"/>
          <w:u w:val="single"/>
        </w:rPr>
      </w:pPr>
      <w:r w:rsidRPr="00F76BEF">
        <w:rPr>
          <w:rFonts w:ascii="Arial" w:eastAsia="Times New Roman" w:hAnsi="Arial" w:cs="Arial"/>
          <w:i/>
          <w:iCs/>
          <w:noProof/>
          <w:sz w:val="24"/>
          <w:szCs w:val="24"/>
          <w:u w:val="single"/>
        </w:rPr>
        <w:t xml:space="preserve">Profitability Ratio </w:t>
      </w:r>
    </w:p>
    <w:tbl>
      <w:tblPr>
        <w:tblStyle w:val="TabelgrilLuminos1"/>
        <w:tblW w:w="5130" w:type="dxa"/>
        <w:jc w:val="center"/>
        <w:tblLook w:val="04A0" w:firstRow="1" w:lastRow="0" w:firstColumn="1" w:lastColumn="0" w:noHBand="0" w:noVBand="1"/>
      </w:tblPr>
      <w:tblGrid>
        <w:gridCol w:w="2627"/>
        <w:gridCol w:w="2503"/>
      </w:tblGrid>
      <w:tr w:rsidR="00A43A35" w:rsidRPr="00F76BEF" w14:paraId="36AAD61D" w14:textId="77777777" w:rsidTr="003C06D9">
        <w:trPr>
          <w:trHeight w:val="333"/>
          <w:jc w:val="center"/>
        </w:trPr>
        <w:tc>
          <w:tcPr>
            <w:tcW w:w="2627" w:type="dxa"/>
            <w:noWrap/>
            <w:hideMark/>
          </w:tcPr>
          <w:p w14:paraId="50D41612" w14:textId="77777777" w:rsidR="00A43A35" w:rsidRPr="00F76BEF" w:rsidRDefault="00A43A35" w:rsidP="00F76BEF">
            <w:pPr>
              <w:spacing w:line="360" w:lineRule="auto"/>
              <w:jc w:val="both"/>
              <w:rPr>
                <w:rFonts w:ascii="Arial" w:hAnsi="Arial" w:cs="Arial"/>
                <w:b/>
                <w:bCs/>
                <w:noProof/>
                <w:color w:val="000000"/>
                <w:kern w:val="0"/>
                <w14:ligatures w14:val="none"/>
              </w:rPr>
            </w:pPr>
          </w:p>
        </w:tc>
        <w:tc>
          <w:tcPr>
            <w:tcW w:w="2503" w:type="dxa"/>
            <w:noWrap/>
            <w:hideMark/>
          </w:tcPr>
          <w:p w14:paraId="735FA0DB"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Net Profit Margin</w:t>
            </w:r>
          </w:p>
        </w:tc>
      </w:tr>
      <w:tr w:rsidR="00A43A35" w:rsidRPr="00F76BEF" w14:paraId="77AA855E" w14:textId="77777777" w:rsidTr="003C06D9">
        <w:trPr>
          <w:trHeight w:val="333"/>
          <w:jc w:val="center"/>
        </w:trPr>
        <w:tc>
          <w:tcPr>
            <w:tcW w:w="0" w:type="auto"/>
            <w:noWrap/>
            <w:hideMark/>
          </w:tcPr>
          <w:p w14:paraId="52E4E762"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2021</w:t>
            </w:r>
          </w:p>
        </w:tc>
        <w:tc>
          <w:tcPr>
            <w:tcW w:w="0" w:type="auto"/>
            <w:noWrap/>
            <w:hideMark/>
          </w:tcPr>
          <w:p w14:paraId="328D7411"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28%</w:t>
            </w:r>
          </w:p>
        </w:tc>
      </w:tr>
      <w:tr w:rsidR="00A43A35" w:rsidRPr="00F76BEF" w14:paraId="0D25A11C" w14:textId="77777777" w:rsidTr="003C06D9">
        <w:trPr>
          <w:trHeight w:val="333"/>
          <w:jc w:val="center"/>
        </w:trPr>
        <w:tc>
          <w:tcPr>
            <w:tcW w:w="0" w:type="auto"/>
            <w:noWrap/>
            <w:hideMark/>
          </w:tcPr>
          <w:p w14:paraId="63CB5524"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2022</w:t>
            </w:r>
          </w:p>
        </w:tc>
        <w:tc>
          <w:tcPr>
            <w:tcW w:w="0" w:type="auto"/>
            <w:noWrap/>
            <w:hideMark/>
          </w:tcPr>
          <w:p w14:paraId="0A8E38CC"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9.09%</w:t>
            </w:r>
          </w:p>
        </w:tc>
      </w:tr>
      <w:tr w:rsidR="00A43A35" w:rsidRPr="00F76BEF" w14:paraId="00AB3910" w14:textId="77777777" w:rsidTr="003C06D9">
        <w:trPr>
          <w:trHeight w:val="333"/>
          <w:jc w:val="center"/>
        </w:trPr>
        <w:tc>
          <w:tcPr>
            <w:tcW w:w="0" w:type="auto"/>
            <w:noWrap/>
            <w:hideMark/>
          </w:tcPr>
          <w:p w14:paraId="77A26F15"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2023</w:t>
            </w:r>
          </w:p>
        </w:tc>
        <w:tc>
          <w:tcPr>
            <w:tcW w:w="0" w:type="auto"/>
            <w:noWrap/>
            <w:hideMark/>
          </w:tcPr>
          <w:p w14:paraId="2D8C7683" w14:textId="77777777" w:rsidR="00A43A35" w:rsidRPr="00F76BEF" w:rsidRDefault="00A43A35" w:rsidP="00F76BEF">
            <w:pPr>
              <w:keepNext/>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-27.79%</w:t>
            </w:r>
          </w:p>
        </w:tc>
      </w:tr>
    </w:tbl>
    <w:p w14:paraId="43B8DA80" w14:textId="77777777" w:rsidR="00A43A35" w:rsidRPr="00F76BEF" w:rsidRDefault="00A43A35" w:rsidP="00F76BEF">
      <w:pPr>
        <w:spacing w:after="200" w:line="360" w:lineRule="auto"/>
        <w:jc w:val="both"/>
        <w:rPr>
          <w:rFonts w:ascii="Arial" w:eastAsia="Times New Roman" w:hAnsi="Arial" w:cs="Arial"/>
          <w:i/>
          <w:iCs/>
          <w:noProof/>
          <w:color w:val="0E2841"/>
          <w:sz w:val="24"/>
          <w:szCs w:val="24"/>
        </w:rPr>
      </w:pPr>
    </w:p>
    <w:p w14:paraId="25A3497A" w14:textId="77777777" w:rsidR="00A43A35" w:rsidRPr="00F76BEF" w:rsidRDefault="00A43A35" w:rsidP="00F76BEF">
      <w:pPr>
        <w:spacing w:after="200" w:line="360" w:lineRule="auto"/>
        <w:jc w:val="center"/>
        <w:rPr>
          <w:rFonts w:ascii="Arial" w:eastAsia="Times New Roman" w:hAnsi="Arial" w:cs="Arial"/>
          <w:i/>
          <w:iCs/>
          <w:noProof/>
          <w:color w:val="0E2841"/>
          <w:sz w:val="24"/>
          <w:szCs w:val="24"/>
        </w:rPr>
      </w:pPr>
      <w:r w:rsidRPr="00F76BEF">
        <w:rPr>
          <w:rFonts w:ascii="Arial" w:eastAsia="Times New Roman" w:hAnsi="Arial" w:cs="Arial"/>
          <w:i/>
          <w:iCs/>
          <w:noProof/>
          <w:color w:val="0E2841"/>
          <w:sz w:val="24"/>
          <w:szCs w:val="24"/>
        </w:rPr>
        <w:t>Table 3: Profitability Ratio (Self made from case study)</w:t>
      </w:r>
    </w:p>
    <w:p w14:paraId="04469E9F" w14:textId="2AF921DD" w:rsidR="00A43A35" w:rsidRPr="00F76BEF" w:rsidRDefault="00A43A35" w:rsidP="00F76BEF">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 xml:space="preserve">The net profit margin shows the portion of the total revenues that have converted into net profit after meeting all the expenses such as operating costs, and administrative costs (Hayes, Hayes and Hayes, 2021). The hotel’s net profit margin decreased in the last two years because the total revenue also decreased while total operating costs increased. As a result, the company has lost its profitability. The financial health of the hotel is poor. </w:t>
      </w:r>
    </w:p>
    <w:p w14:paraId="243FF050" w14:textId="77777777" w:rsidR="00A43A35" w:rsidRPr="00F76BEF" w:rsidRDefault="00A43A35" w:rsidP="00F76BEF">
      <w:pPr>
        <w:spacing w:line="360" w:lineRule="auto"/>
        <w:jc w:val="both"/>
        <w:rPr>
          <w:rFonts w:ascii="Arial" w:eastAsia="Times New Roman" w:hAnsi="Arial" w:cs="Arial"/>
          <w:i/>
          <w:iCs/>
          <w:noProof/>
          <w:sz w:val="24"/>
          <w:szCs w:val="24"/>
          <w:u w:val="single"/>
        </w:rPr>
      </w:pPr>
      <w:r w:rsidRPr="00F76BEF">
        <w:rPr>
          <w:rFonts w:ascii="Arial" w:eastAsia="Times New Roman" w:hAnsi="Arial" w:cs="Arial"/>
          <w:i/>
          <w:iCs/>
          <w:noProof/>
          <w:sz w:val="24"/>
          <w:szCs w:val="24"/>
          <w:u w:val="single"/>
        </w:rPr>
        <w:t xml:space="preserve">Liquidity Ratio </w:t>
      </w:r>
    </w:p>
    <w:tbl>
      <w:tblPr>
        <w:tblStyle w:val="TabelgrilLuminos1"/>
        <w:tblW w:w="3823" w:type="dxa"/>
        <w:jc w:val="center"/>
        <w:tblLook w:val="04A0" w:firstRow="1" w:lastRow="0" w:firstColumn="1" w:lastColumn="0" w:noHBand="0" w:noVBand="1"/>
      </w:tblPr>
      <w:tblGrid>
        <w:gridCol w:w="1700"/>
        <w:gridCol w:w="2123"/>
      </w:tblGrid>
      <w:tr w:rsidR="00A43A35" w:rsidRPr="00F76BEF" w14:paraId="69445E1A" w14:textId="77777777" w:rsidTr="003C06D9">
        <w:trPr>
          <w:trHeight w:val="300"/>
          <w:jc w:val="center"/>
        </w:trPr>
        <w:tc>
          <w:tcPr>
            <w:tcW w:w="1700" w:type="dxa"/>
            <w:noWrap/>
            <w:hideMark/>
          </w:tcPr>
          <w:p w14:paraId="43F2E988"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Year</w:t>
            </w:r>
          </w:p>
        </w:tc>
        <w:tc>
          <w:tcPr>
            <w:tcW w:w="2123" w:type="dxa"/>
            <w:noWrap/>
            <w:hideMark/>
          </w:tcPr>
          <w:p w14:paraId="58F5D049"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Current Ratio</w:t>
            </w:r>
          </w:p>
        </w:tc>
      </w:tr>
      <w:tr w:rsidR="00A43A35" w:rsidRPr="00F76BEF" w14:paraId="39D6899C" w14:textId="77777777" w:rsidTr="003C06D9">
        <w:trPr>
          <w:trHeight w:val="300"/>
          <w:jc w:val="center"/>
        </w:trPr>
        <w:tc>
          <w:tcPr>
            <w:tcW w:w="0" w:type="auto"/>
            <w:noWrap/>
            <w:hideMark/>
          </w:tcPr>
          <w:p w14:paraId="7EDB06A0"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2021</w:t>
            </w:r>
          </w:p>
        </w:tc>
        <w:tc>
          <w:tcPr>
            <w:tcW w:w="2123" w:type="dxa"/>
            <w:noWrap/>
            <w:hideMark/>
          </w:tcPr>
          <w:p w14:paraId="339A19A4"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1.8</w:t>
            </w:r>
          </w:p>
        </w:tc>
      </w:tr>
      <w:tr w:rsidR="00A43A35" w:rsidRPr="00F76BEF" w14:paraId="4C10733B" w14:textId="77777777" w:rsidTr="003C06D9">
        <w:trPr>
          <w:trHeight w:val="300"/>
          <w:jc w:val="center"/>
        </w:trPr>
        <w:tc>
          <w:tcPr>
            <w:tcW w:w="0" w:type="auto"/>
            <w:noWrap/>
            <w:hideMark/>
          </w:tcPr>
          <w:p w14:paraId="766A0820"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2022</w:t>
            </w:r>
          </w:p>
        </w:tc>
        <w:tc>
          <w:tcPr>
            <w:tcW w:w="2123" w:type="dxa"/>
            <w:noWrap/>
            <w:hideMark/>
          </w:tcPr>
          <w:p w14:paraId="5CC6A763"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1.1</w:t>
            </w:r>
          </w:p>
        </w:tc>
      </w:tr>
      <w:tr w:rsidR="00A43A35" w:rsidRPr="00F76BEF" w14:paraId="4C6813BA" w14:textId="77777777" w:rsidTr="003C06D9">
        <w:trPr>
          <w:trHeight w:val="300"/>
          <w:jc w:val="center"/>
        </w:trPr>
        <w:tc>
          <w:tcPr>
            <w:tcW w:w="0" w:type="auto"/>
            <w:noWrap/>
            <w:hideMark/>
          </w:tcPr>
          <w:p w14:paraId="2E217859"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2023</w:t>
            </w:r>
          </w:p>
        </w:tc>
        <w:tc>
          <w:tcPr>
            <w:tcW w:w="2123" w:type="dxa"/>
            <w:noWrap/>
            <w:hideMark/>
          </w:tcPr>
          <w:p w14:paraId="5512C6F9" w14:textId="77777777" w:rsidR="00A43A35" w:rsidRPr="00F76BEF" w:rsidRDefault="00A43A35" w:rsidP="00F76BEF">
            <w:pPr>
              <w:keepNext/>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0.6</w:t>
            </w:r>
          </w:p>
        </w:tc>
      </w:tr>
    </w:tbl>
    <w:p w14:paraId="4FC9952B" w14:textId="77777777" w:rsidR="00A43A35" w:rsidRPr="00F76BEF" w:rsidRDefault="00A43A35" w:rsidP="00F76BEF">
      <w:pPr>
        <w:spacing w:after="200" w:line="360" w:lineRule="auto"/>
        <w:jc w:val="center"/>
        <w:rPr>
          <w:rFonts w:ascii="Arial" w:eastAsia="Times New Roman" w:hAnsi="Arial" w:cs="Arial"/>
          <w:i/>
          <w:iCs/>
          <w:noProof/>
          <w:color w:val="0E2841"/>
          <w:sz w:val="24"/>
          <w:szCs w:val="24"/>
        </w:rPr>
      </w:pPr>
      <w:r w:rsidRPr="00F76BEF">
        <w:rPr>
          <w:rFonts w:ascii="Arial" w:eastAsia="Times New Roman" w:hAnsi="Arial" w:cs="Arial"/>
          <w:i/>
          <w:iCs/>
          <w:noProof/>
          <w:color w:val="0E2841"/>
          <w:sz w:val="24"/>
          <w:szCs w:val="24"/>
        </w:rPr>
        <w:lastRenderedPageBreak/>
        <w:t>Table 4: Liquidity Ratio Liquidity Ratio (Self made from case study)</w:t>
      </w:r>
    </w:p>
    <w:p w14:paraId="036C8138" w14:textId="342CE636" w:rsidR="00A43A35" w:rsidRPr="00F76BEF" w:rsidRDefault="00A43A35" w:rsidP="00F76BEF">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The liquidity ratio shows the capabilities of the company to meet the short-term liabilities with the short-term assets (Tranter, Stuart-Hill and Parker, 2014). Keeping high liquidity can affect the profitability of the company because a significant portion of cash or assets remain unutilised. The liquidity level in 2021</w:t>
      </w:r>
      <w:r w:rsidR="00490505">
        <w:rPr>
          <w:rFonts w:ascii="Arial" w:eastAsia="Times New Roman" w:hAnsi="Arial" w:cs="Arial"/>
          <w:noProof/>
          <w:sz w:val="24"/>
          <w:szCs w:val="24"/>
        </w:rPr>
        <w:t xml:space="preserve"> was moderate</w:t>
      </w:r>
      <w:r w:rsidRPr="00F76BEF">
        <w:rPr>
          <w:rFonts w:ascii="Arial" w:eastAsia="Times New Roman" w:hAnsi="Arial" w:cs="Arial"/>
          <w:noProof/>
          <w:sz w:val="24"/>
          <w:szCs w:val="24"/>
        </w:rPr>
        <w:t xml:space="preserve"> </w:t>
      </w:r>
      <w:r w:rsidR="00490505">
        <w:rPr>
          <w:rFonts w:ascii="Arial" w:eastAsia="Times New Roman" w:hAnsi="Arial" w:cs="Arial"/>
          <w:noProof/>
          <w:sz w:val="24"/>
          <w:szCs w:val="24"/>
        </w:rPr>
        <w:t>h</w:t>
      </w:r>
      <w:r w:rsidRPr="00F76BEF">
        <w:rPr>
          <w:rFonts w:ascii="Arial" w:eastAsia="Times New Roman" w:hAnsi="Arial" w:cs="Arial"/>
          <w:noProof/>
          <w:sz w:val="24"/>
          <w:szCs w:val="24"/>
        </w:rPr>
        <w:t xml:space="preserve">owever its liquidity position dropped in 2022 and 2023. It had almost the same level of current assets and current liabilities. In 2023, the hotel </w:t>
      </w:r>
      <w:r w:rsidR="00490505">
        <w:rPr>
          <w:rFonts w:ascii="Arial" w:eastAsia="Times New Roman" w:hAnsi="Arial" w:cs="Arial"/>
          <w:noProof/>
          <w:sz w:val="24"/>
          <w:szCs w:val="24"/>
        </w:rPr>
        <w:t>ended up having</w:t>
      </w:r>
      <w:r w:rsidRPr="00F76BEF">
        <w:rPr>
          <w:rFonts w:ascii="Arial" w:eastAsia="Times New Roman" w:hAnsi="Arial" w:cs="Arial"/>
          <w:noProof/>
          <w:sz w:val="24"/>
          <w:szCs w:val="24"/>
        </w:rPr>
        <w:t xml:space="preserve"> more liabilities than </w:t>
      </w:r>
      <w:r w:rsidR="00490505">
        <w:rPr>
          <w:rFonts w:ascii="Arial" w:eastAsia="Times New Roman" w:hAnsi="Arial" w:cs="Arial"/>
          <w:noProof/>
          <w:sz w:val="24"/>
          <w:szCs w:val="24"/>
        </w:rPr>
        <w:t>the</w:t>
      </w:r>
      <w:r w:rsidRPr="00F76BEF">
        <w:rPr>
          <w:rFonts w:ascii="Arial" w:eastAsia="Times New Roman" w:hAnsi="Arial" w:cs="Arial"/>
          <w:noProof/>
          <w:sz w:val="24"/>
          <w:szCs w:val="24"/>
        </w:rPr>
        <w:t xml:space="preserve"> current assets</w:t>
      </w:r>
      <w:r w:rsidR="00490505">
        <w:rPr>
          <w:rFonts w:ascii="Arial" w:eastAsia="Times New Roman" w:hAnsi="Arial" w:cs="Arial"/>
          <w:noProof/>
          <w:sz w:val="24"/>
          <w:szCs w:val="24"/>
        </w:rPr>
        <w:t xml:space="preserve"> and this is actually indicating</w:t>
      </w:r>
      <w:r w:rsidRPr="00F76BEF">
        <w:rPr>
          <w:rFonts w:ascii="Arial" w:eastAsia="Times New Roman" w:hAnsi="Arial" w:cs="Arial"/>
          <w:noProof/>
          <w:sz w:val="24"/>
          <w:szCs w:val="24"/>
        </w:rPr>
        <w:t xml:space="preserve"> poor cash management. The hotel has taken </w:t>
      </w:r>
      <w:r w:rsidR="00490505">
        <w:rPr>
          <w:rFonts w:ascii="Arial" w:eastAsia="Times New Roman" w:hAnsi="Arial" w:cs="Arial"/>
          <w:noProof/>
          <w:sz w:val="24"/>
          <w:szCs w:val="24"/>
        </w:rPr>
        <w:t>a huge</w:t>
      </w:r>
      <w:r w:rsidRPr="00F76BEF">
        <w:rPr>
          <w:rFonts w:ascii="Arial" w:eastAsia="Times New Roman" w:hAnsi="Arial" w:cs="Arial"/>
          <w:noProof/>
          <w:sz w:val="24"/>
          <w:szCs w:val="24"/>
        </w:rPr>
        <w:t xml:space="preserve"> amount of short-term debts to meet the short-term obligation</w:t>
      </w:r>
      <w:r w:rsidR="00490505">
        <w:rPr>
          <w:rFonts w:ascii="Arial" w:eastAsia="Times New Roman" w:hAnsi="Arial" w:cs="Arial"/>
          <w:noProof/>
          <w:sz w:val="24"/>
          <w:szCs w:val="24"/>
        </w:rPr>
        <w:t>s</w:t>
      </w:r>
      <w:r w:rsidRPr="00F76BEF">
        <w:rPr>
          <w:rFonts w:ascii="Arial" w:eastAsia="Times New Roman" w:hAnsi="Arial" w:cs="Arial"/>
          <w:noProof/>
          <w:sz w:val="24"/>
          <w:szCs w:val="24"/>
        </w:rPr>
        <w:t xml:space="preserve">. </w:t>
      </w:r>
    </w:p>
    <w:p w14:paraId="74A5F8B6" w14:textId="77777777" w:rsidR="00A43A35" w:rsidRPr="00F76BEF" w:rsidRDefault="00A43A35" w:rsidP="00F76BEF">
      <w:pPr>
        <w:spacing w:line="360" w:lineRule="auto"/>
        <w:jc w:val="both"/>
        <w:rPr>
          <w:rFonts w:ascii="Arial" w:eastAsia="Times New Roman" w:hAnsi="Arial" w:cs="Arial"/>
          <w:i/>
          <w:iCs/>
          <w:noProof/>
          <w:sz w:val="24"/>
          <w:szCs w:val="24"/>
          <w:u w:val="single"/>
        </w:rPr>
      </w:pPr>
      <w:r w:rsidRPr="00F76BEF">
        <w:rPr>
          <w:rFonts w:ascii="Arial" w:eastAsia="Times New Roman" w:hAnsi="Arial" w:cs="Arial"/>
          <w:i/>
          <w:iCs/>
          <w:noProof/>
          <w:sz w:val="24"/>
          <w:szCs w:val="24"/>
          <w:u w:val="single"/>
        </w:rPr>
        <w:t xml:space="preserve">Solvency Ratio </w:t>
      </w:r>
    </w:p>
    <w:tbl>
      <w:tblPr>
        <w:tblStyle w:val="TabelgrilLuminos1"/>
        <w:tblW w:w="4710" w:type="dxa"/>
        <w:jc w:val="center"/>
        <w:tblLook w:val="04A0" w:firstRow="1" w:lastRow="0" w:firstColumn="1" w:lastColumn="0" w:noHBand="0" w:noVBand="1"/>
      </w:tblPr>
      <w:tblGrid>
        <w:gridCol w:w="2412"/>
        <w:gridCol w:w="2298"/>
      </w:tblGrid>
      <w:tr w:rsidR="00A43A35" w:rsidRPr="00F76BEF" w14:paraId="114B1DFD" w14:textId="77777777" w:rsidTr="003C06D9">
        <w:trPr>
          <w:trHeight w:val="325"/>
          <w:jc w:val="center"/>
        </w:trPr>
        <w:tc>
          <w:tcPr>
            <w:tcW w:w="2412" w:type="dxa"/>
            <w:noWrap/>
            <w:hideMark/>
          </w:tcPr>
          <w:p w14:paraId="1E43673D" w14:textId="77777777" w:rsidR="00A43A35" w:rsidRPr="00F76BEF" w:rsidRDefault="00A43A35" w:rsidP="00F76BEF">
            <w:pPr>
              <w:spacing w:line="360" w:lineRule="auto"/>
              <w:jc w:val="both"/>
              <w:rPr>
                <w:rFonts w:ascii="Arial" w:hAnsi="Arial" w:cs="Arial"/>
                <w:b/>
                <w:bCs/>
                <w:noProof/>
                <w:color w:val="000000"/>
                <w:kern w:val="0"/>
                <w14:ligatures w14:val="none"/>
              </w:rPr>
            </w:pPr>
          </w:p>
        </w:tc>
        <w:tc>
          <w:tcPr>
            <w:tcW w:w="2298" w:type="dxa"/>
            <w:noWrap/>
            <w:hideMark/>
          </w:tcPr>
          <w:p w14:paraId="1ADC5239"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Debt to Equity Ratio</w:t>
            </w:r>
          </w:p>
        </w:tc>
      </w:tr>
      <w:tr w:rsidR="00A43A35" w:rsidRPr="00F76BEF" w14:paraId="7D854785" w14:textId="77777777" w:rsidTr="003C06D9">
        <w:trPr>
          <w:trHeight w:val="325"/>
          <w:jc w:val="center"/>
        </w:trPr>
        <w:tc>
          <w:tcPr>
            <w:tcW w:w="0" w:type="auto"/>
            <w:noWrap/>
            <w:hideMark/>
          </w:tcPr>
          <w:p w14:paraId="09CA3F1E"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2021</w:t>
            </w:r>
          </w:p>
        </w:tc>
        <w:tc>
          <w:tcPr>
            <w:tcW w:w="0" w:type="auto"/>
            <w:noWrap/>
            <w:hideMark/>
          </w:tcPr>
          <w:p w14:paraId="2EE40AF6"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1.48</w:t>
            </w:r>
          </w:p>
        </w:tc>
      </w:tr>
      <w:tr w:rsidR="00A43A35" w:rsidRPr="00F76BEF" w14:paraId="6FD43199" w14:textId="77777777" w:rsidTr="003C06D9">
        <w:trPr>
          <w:trHeight w:val="325"/>
          <w:jc w:val="center"/>
        </w:trPr>
        <w:tc>
          <w:tcPr>
            <w:tcW w:w="0" w:type="auto"/>
            <w:noWrap/>
            <w:hideMark/>
          </w:tcPr>
          <w:p w14:paraId="7D15B671"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2022</w:t>
            </w:r>
          </w:p>
        </w:tc>
        <w:tc>
          <w:tcPr>
            <w:tcW w:w="0" w:type="auto"/>
            <w:noWrap/>
            <w:hideMark/>
          </w:tcPr>
          <w:p w14:paraId="45051A71"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1.79</w:t>
            </w:r>
          </w:p>
        </w:tc>
      </w:tr>
      <w:tr w:rsidR="00A43A35" w:rsidRPr="00F76BEF" w14:paraId="744F68A6" w14:textId="77777777" w:rsidTr="003C06D9">
        <w:trPr>
          <w:trHeight w:val="325"/>
          <w:jc w:val="center"/>
        </w:trPr>
        <w:tc>
          <w:tcPr>
            <w:tcW w:w="0" w:type="auto"/>
            <w:noWrap/>
            <w:hideMark/>
          </w:tcPr>
          <w:p w14:paraId="3A7F9E89" w14:textId="77777777" w:rsidR="00A43A35" w:rsidRPr="00F76BEF" w:rsidRDefault="00A43A35" w:rsidP="00F76BEF">
            <w:pPr>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2023</w:t>
            </w:r>
          </w:p>
        </w:tc>
        <w:tc>
          <w:tcPr>
            <w:tcW w:w="0" w:type="auto"/>
            <w:noWrap/>
            <w:hideMark/>
          </w:tcPr>
          <w:p w14:paraId="4CF1D399" w14:textId="77777777" w:rsidR="00A43A35" w:rsidRPr="00F76BEF" w:rsidRDefault="00A43A35" w:rsidP="00F76BEF">
            <w:pPr>
              <w:keepNext/>
              <w:spacing w:line="360" w:lineRule="auto"/>
              <w:jc w:val="both"/>
              <w:rPr>
                <w:rFonts w:ascii="Arial" w:hAnsi="Arial" w:cs="Arial"/>
                <w:b/>
                <w:bCs/>
                <w:noProof/>
                <w:color w:val="000000"/>
                <w:kern w:val="0"/>
                <w14:ligatures w14:val="none"/>
              </w:rPr>
            </w:pPr>
            <w:r w:rsidRPr="00F76BEF">
              <w:rPr>
                <w:rFonts w:ascii="Arial" w:hAnsi="Arial" w:cs="Arial"/>
                <w:b/>
                <w:bCs/>
                <w:noProof/>
                <w:color w:val="000000"/>
                <w:kern w:val="0"/>
                <w14:ligatures w14:val="none"/>
              </w:rPr>
              <w:t>2.39</w:t>
            </w:r>
          </w:p>
        </w:tc>
      </w:tr>
    </w:tbl>
    <w:p w14:paraId="256EA0DE" w14:textId="77777777" w:rsidR="00A43A35" w:rsidRPr="00F76BEF" w:rsidRDefault="00A43A35" w:rsidP="00F76BEF">
      <w:pPr>
        <w:spacing w:after="200" w:line="360" w:lineRule="auto"/>
        <w:jc w:val="both"/>
        <w:rPr>
          <w:rFonts w:ascii="Arial" w:eastAsia="Times New Roman" w:hAnsi="Arial" w:cs="Arial"/>
          <w:i/>
          <w:iCs/>
          <w:noProof/>
          <w:color w:val="0E2841"/>
          <w:sz w:val="24"/>
          <w:szCs w:val="24"/>
        </w:rPr>
      </w:pPr>
    </w:p>
    <w:p w14:paraId="201E222B" w14:textId="77777777" w:rsidR="00A43A35" w:rsidRPr="00F76BEF" w:rsidRDefault="00A43A35" w:rsidP="00F76BEF">
      <w:pPr>
        <w:spacing w:after="200" w:line="360" w:lineRule="auto"/>
        <w:jc w:val="center"/>
        <w:rPr>
          <w:rFonts w:ascii="Arial" w:eastAsia="Times New Roman" w:hAnsi="Arial" w:cs="Arial"/>
          <w:i/>
          <w:iCs/>
          <w:noProof/>
          <w:color w:val="0E2841"/>
          <w:sz w:val="24"/>
          <w:szCs w:val="24"/>
        </w:rPr>
      </w:pPr>
      <w:r w:rsidRPr="00F76BEF">
        <w:rPr>
          <w:rFonts w:ascii="Arial" w:eastAsia="Times New Roman" w:hAnsi="Arial" w:cs="Arial"/>
          <w:i/>
          <w:iCs/>
          <w:noProof/>
          <w:color w:val="0E2841"/>
          <w:sz w:val="24"/>
          <w:szCs w:val="24"/>
        </w:rPr>
        <w:t>Table 5: Solvency Ratio (Self made from case study)</w:t>
      </w:r>
    </w:p>
    <w:p w14:paraId="3F1183F8" w14:textId="5CE61853" w:rsidR="00A43A35" w:rsidRPr="00F76BEF" w:rsidRDefault="00A43A35" w:rsidP="00F76BEF">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 xml:space="preserve">The solvency ratio utilised the debt-to-equity ratio. Debt to equity ratio shows the level of debt relative to the company’s equity capital (Tranter, Stuart-Hill and Parker, 2014). Using debt can provide a competitive advantage because it creates scope to use funds at a low cost. The hotel’s debt-to-equity ratio shows that it has increased the use of debt in 2022 and 2023. </w:t>
      </w:r>
      <w:r w:rsidR="003D3805" w:rsidRPr="003D3805">
        <w:rPr>
          <w:rFonts w:ascii="Arial" w:eastAsia="Times New Roman" w:hAnsi="Arial" w:cs="Arial"/>
          <w:noProof/>
          <w:sz w:val="24"/>
          <w:szCs w:val="24"/>
        </w:rPr>
        <w:t xml:space="preserve">If such a high level of long term debt is not managed properly, the company will not be able to meet the long-term responsibilities (Seal et al., 2018). </w:t>
      </w:r>
    </w:p>
    <w:p w14:paraId="1E008B5A" w14:textId="77777777" w:rsidR="00A43A35" w:rsidRPr="00F76BEF" w:rsidRDefault="00A43A35" w:rsidP="00F76BEF">
      <w:pPr>
        <w:keepNext/>
        <w:keepLines/>
        <w:spacing w:before="360" w:after="80" w:line="360" w:lineRule="auto"/>
        <w:jc w:val="both"/>
        <w:outlineLvl w:val="0"/>
        <w:rPr>
          <w:rFonts w:ascii="Arial" w:eastAsia="Times New Roman" w:hAnsi="Arial" w:cs="Arial"/>
          <w:noProof/>
          <w:sz w:val="24"/>
          <w:szCs w:val="24"/>
        </w:rPr>
      </w:pPr>
      <w:bookmarkStart w:id="2" w:name="_Toc166070032"/>
      <w:r w:rsidRPr="00F76BEF">
        <w:rPr>
          <w:rFonts w:ascii="Arial" w:eastAsia="Times New Roman" w:hAnsi="Arial" w:cs="Arial"/>
          <w:b/>
          <w:noProof/>
          <w:sz w:val="24"/>
          <w:szCs w:val="24"/>
        </w:rPr>
        <w:t>The Factors Affecting the Profitability</w:t>
      </w:r>
      <w:bookmarkEnd w:id="2"/>
      <w:r w:rsidRPr="00F76BEF">
        <w:rPr>
          <w:rFonts w:ascii="Arial" w:eastAsia="Times New Roman" w:hAnsi="Arial" w:cs="Arial"/>
          <w:b/>
          <w:noProof/>
          <w:sz w:val="24"/>
          <w:szCs w:val="24"/>
        </w:rPr>
        <w:t xml:space="preserve"> </w:t>
      </w:r>
    </w:p>
    <w:p w14:paraId="15EEAF66" w14:textId="77777777" w:rsidR="00A43A35" w:rsidRPr="00F76BEF" w:rsidRDefault="00A43A35" w:rsidP="00F76BEF">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The Urban Heights Hotel is facing challenges and issues with its hotel operations in recent years. The hospitality organisation has lost its profitability and incurred losses in 2023. The key reasons or the factors that affected the hotel’s profitability are explained as follows:</w:t>
      </w:r>
    </w:p>
    <w:p w14:paraId="00CB9C46" w14:textId="77777777" w:rsidR="00A43A35" w:rsidRPr="00F76BEF" w:rsidRDefault="00A43A35" w:rsidP="00F76BEF">
      <w:pPr>
        <w:numPr>
          <w:ilvl w:val="0"/>
          <w:numId w:val="2"/>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lastRenderedPageBreak/>
        <w:t xml:space="preserve">Pandemic Aftermath: The hospitality industry in the UK was growing before the COVID-19 pandemic. As the COVID-19 pandemic affected the normal course of life of people, the hospitality businesses had to remain closed or their hotel operations were restricted by the government. There was restriction on public movement. The inbound and outbound tourism reached to a halt. Such incidents affected many hotels in the UK. The hospitality businesses incurred losses (Ntounis et al., 2021). After the COVID-19 pandemic, the hospitality businesses are still suffering from the scars of the pandemic. It changed the consumer behaviour and reduced the operational capacities that the Urban Heights Hotel’s revenue decreased consistently in the last two years. </w:t>
      </w:r>
    </w:p>
    <w:p w14:paraId="1E36D018" w14:textId="77777777" w:rsidR="00A43A35" w:rsidRPr="00F76BEF" w:rsidRDefault="00A43A35" w:rsidP="00F76BEF">
      <w:pPr>
        <w:numPr>
          <w:ilvl w:val="0"/>
          <w:numId w:val="2"/>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Cost-of-Living Crisis: The UK is experiencing a high cost of living. The increasing cost of living has presented so many challenges to the people. It changed their spending patterns. Customers have become more discretionary. They opt to spend on necessary items rather than spending on hotel services (Hayes, Hayes and Hayes, 2021). This factor might have decreased the demand for the hotel’s services. </w:t>
      </w:r>
    </w:p>
    <w:p w14:paraId="37D9F812" w14:textId="77777777" w:rsidR="00A43A35" w:rsidRPr="00F76BEF" w:rsidRDefault="00A43A35" w:rsidP="00F76BEF">
      <w:pPr>
        <w:numPr>
          <w:ilvl w:val="0"/>
          <w:numId w:val="2"/>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Inflation: The increasing inflation in the UK has affected the product prices and cost of goods and services (Smith, 2022). Because the hospitality businesses have to spend more money on acquiring the same level of products and services, their profit margin shrinks. They can not pass the increasing costs on to customers by increasing the prices because it will negatively impact the demand side. </w:t>
      </w:r>
    </w:p>
    <w:p w14:paraId="400E973A" w14:textId="77777777" w:rsidR="00A43A35" w:rsidRPr="00F76BEF" w:rsidRDefault="00A43A35" w:rsidP="00F76BEF">
      <w:pPr>
        <w:numPr>
          <w:ilvl w:val="0"/>
          <w:numId w:val="2"/>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Energy Crisis: The recent Russia-Ukraine war has affected the supply of gas and oils. As a result, the UK like other European countries have suffered from the energy crisis. The energy crisis increased the costs of the business operations. The hospitality businesses had to utilise their resources considering the growing energy crisis (Lawson and correspondent, 2023). Because the hotel’s operational costs increased in the last three years, the particular factor might have the influence on the trend. </w:t>
      </w:r>
    </w:p>
    <w:p w14:paraId="0ACC7593" w14:textId="77777777" w:rsidR="00A43A35" w:rsidRPr="00F76BEF" w:rsidRDefault="00A43A35" w:rsidP="00F76BEF">
      <w:pPr>
        <w:numPr>
          <w:ilvl w:val="0"/>
          <w:numId w:val="2"/>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Labour Shortages: UK hospitality industry has labour shortage. The labour shortage issue became intensified after Brexit (O’Carroll, 2023). If there is a labour shortage, hospitality businesses have to offer more wages to attract them. It increases the expenditure and reduces operational efficiency. Urban Heights Hotel received customer complaints for its poor customer services. The guests became dissatisfied </w:t>
      </w:r>
      <w:r w:rsidRPr="00F76BEF">
        <w:rPr>
          <w:rFonts w:ascii="Arial" w:eastAsia="Times New Roman" w:hAnsi="Arial" w:cs="Arial"/>
          <w:noProof/>
          <w:sz w:val="24"/>
          <w:szCs w:val="24"/>
        </w:rPr>
        <w:lastRenderedPageBreak/>
        <w:t xml:space="preserve">with the hotel. The hotel might have labour shortage and so it faced challenges with the service quality. </w:t>
      </w:r>
    </w:p>
    <w:p w14:paraId="60C73249" w14:textId="77777777" w:rsidR="00A43A35" w:rsidRPr="00F76BEF" w:rsidRDefault="00A43A35" w:rsidP="00F76BEF">
      <w:pPr>
        <w:numPr>
          <w:ilvl w:val="0"/>
          <w:numId w:val="2"/>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Supply Chain Disruptions: The Russia-Ukraine war affected the global supply chain. The global supply chain disruption increased the prices of the essential goods. The lack of proper supply of goods caused higher costs for the businesses (Shih, 2020). The increasing trend in operational costs can be relate to the supply chain disruption issue. </w:t>
      </w:r>
    </w:p>
    <w:p w14:paraId="54E108F6" w14:textId="77777777" w:rsidR="00A43A35" w:rsidRPr="00F76BEF" w:rsidRDefault="00A43A35" w:rsidP="00F76BEF">
      <w:pPr>
        <w:numPr>
          <w:ilvl w:val="0"/>
          <w:numId w:val="2"/>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Interest Rate Rise: The increasing interest rate has made it difficult for the hotel to take business loans and support the business operations. At higher interest rate, the cost of borrowing will be greater which may reduce the viability of the financial projects (</w:t>
      </w:r>
      <w:r w:rsidRPr="00F76BEF">
        <w:rPr>
          <w:rFonts w:ascii="Arial" w:eastAsia="Times New Roman" w:hAnsi="Arial" w:cs="Arial"/>
          <w:noProof/>
          <w:kern w:val="0"/>
          <w:sz w:val="24"/>
          <w:szCs w:val="24"/>
          <w14:ligatures w14:val="none"/>
        </w:rPr>
        <w:t>Smith, 2022).</w:t>
      </w:r>
      <w:r w:rsidRPr="00F76BEF">
        <w:rPr>
          <w:rFonts w:ascii="Arial" w:eastAsia="Times New Roman" w:hAnsi="Arial" w:cs="Arial"/>
          <w:noProof/>
          <w:sz w:val="24"/>
          <w:szCs w:val="24"/>
        </w:rPr>
        <w:t xml:space="preserve"> The rising interest rate has affected the hotel’s financial health and future viability. </w:t>
      </w:r>
    </w:p>
    <w:p w14:paraId="5821BB87" w14:textId="77777777" w:rsidR="00A43A35" w:rsidRPr="00F76BEF" w:rsidRDefault="00A43A35" w:rsidP="00F76BEF">
      <w:pPr>
        <w:numPr>
          <w:ilvl w:val="0"/>
          <w:numId w:val="2"/>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Changing Consumer Preferences: Customers are crucial in the hospitality industry. Their needs and preferences can shape the business operations and decision-making. The research has identified that the customers are choosing more affordable and sustainable hospitality options because of their financial crisis and challenges (Ntounis et al., 2021). </w:t>
      </w:r>
    </w:p>
    <w:p w14:paraId="2124150B" w14:textId="77777777" w:rsidR="00A43A35" w:rsidRPr="00F76BEF" w:rsidRDefault="00A43A35" w:rsidP="00F76BEF">
      <w:pPr>
        <w:numPr>
          <w:ilvl w:val="0"/>
          <w:numId w:val="2"/>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Oversupply of Accommodations: The prices of the room go downward when there is lower demand for the hospitality services. The UK has an oversupply of accommodations, particularly in the urban area, therefore the price elasticity is really inmportant as well as knowing very well the compentitivity. As a result the hotel might have lower occupancy rate and RevPAR (Walker, 2021). </w:t>
      </w:r>
    </w:p>
    <w:p w14:paraId="00480929" w14:textId="77777777" w:rsidR="00A43A35" w:rsidRPr="00F76BEF" w:rsidRDefault="00A43A35" w:rsidP="00F76BEF">
      <w:pPr>
        <w:keepNext/>
        <w:keepLines/>
        <w:spacing w:before="360" w:after="80" w:line="360" w:lineRule="auto"/>
        <w:jc w:val="both"/>
        <w:outlineLvl w:val="0"/>
        <w:rPr>
          <w:rFonts w:ascii="Arial" w:eastAsia="Times New Roman" w:hAnsi="Arial" w:cs="Arial"/>
          <w:noProof/>
          <w:sz w:val="24"/>
          <w:szCs w:val="24"/>
        </w:rPr>
      </w:pPr>
      <w:bookmarkStart w:id="3" w:name="_Toc166070033"/>
      <w:r w:rsidRPr="00F76BEF">
        <w:rPr>
          <w:rFonts w:ascii="Arial" w:eastAsia="Times New Roman" w:hAnsi="Arial" w:cs="Arial"/>
          <w:b/>
          <w:noProof/>
          <w:sz w:val="24"/>
          <w:szCs w:val="24"/>
        </w:rPr>
        <w:t>A Comprehensive Turnaround Strategy</w:t>
      </w:r>
      <w:bookmarkEnd w:id="3"/>
      <w:r w:rsidRPr="00F76BEF">
        <w:rPr>
          <w:rFonts w:ascii="Arial" w:eastAsia="Times New Roman" w:hAnsi="Arial" w:cs="Arial"/>
          <w:b/>
          <w:noProof/>
          <w:sz w:val="24"/>
          <w:szCs w:val="24"/>
        </w:rPr>
        <w:t xml:space="preserve"> </w:t>
      </w:r>
    </w:p>
    <w:p w14:paraId="66942C47" w14:textId="77777777" w:rsidR="00A43A35" w:rsidRPr="00F76BEF" w:rsidRDefault="00A43A35" w:rsidP="00F76BEF">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 xml:space="preserve">To overcome the declining profitability of the hotel company, revitalize the financial health, and enhance the reputation of the company, Urban Heights Hotel should implement the following turnaround strategy. The strategy is comprehensive because it covers all the important aspects that can make the company successful again. The focused areas of the strategy are explained below: </w:t>
      </w:r>
    </w:p>
    <w:p w14:paraId="5D739D73" w14:textId="77777777" w:rsidR="00A43A35" w:rsidRPr="00F76BEF" w:rsidRDefault="00A43A35" w:rsidP="00F76BEF">
      <w:pPr>
        <w:numPr>
          <w:ilvl w:val="0"/>
          <w:numId w:val="1"/>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Operational Restructuring: Urban Heights Hotel has weaknesses in its cost management, revenue management, and asset management areas. The financial </w:t>
      </w:r>
      <w:r w:rsidRPr="00F76BEF">
        <w:rPr>
          <w:rFonts w:ascii="Arial" w:eastAsia="Times New Roman" w:hAnsi="Arial" w:cs="Arial"/>
          <w:noProof/>
          <w:sz w:val="24"/>
          <w:szCs w:val="24"/>
        </w:rPr>
        <w:lastRenderedPageBreak/>
        <w:t>management has to bring significant changes in these areas to make them effective to meet the organisational goals and objectives (</w:t>
      </w:r>
      <w:r w:rsidRPr="00F76BEF">
        <w:rPr>
          <w:rFonts w:ascii="Arial" w:eastAsia="Times New Roman" w:hAnsi="Arial" w:cs="Arial"/>
          <w:noProof/>
          <w:kern w:val="0"/>
          <w:sz w:val="24"/>
          <w:szCs w:val="24"/>
          <w14:ligatures w14:val="none"/>
        </w:rPr>
        <w:t>Guilding</w:t>
      </w:r>
      <w:r w:rsidRPr="00F76BEF">
        <w:rPr>
          <w:rFonts w:ascii="Arial" w:eastAsia="Times New Roman" w:hAnsi="Arial" w:cs="Arial"/>
          <w:noProof/>
          <w:sz w:val="24"/>
          <w:szCs w:val="24"/>
        </w:rPr>
        <w:t xml:space="preserve">, 2014). The current cost management must be revised because the company is facing an increasing trend in the operational costs. The management should identify redundant costs and eliminate them to control the total costs and increase the company’s profitability. The revenue management must emphasise on adopting a dynamic pricing strategy because it is essential to increase the occupancy rate (Tranter, Stuart-Hill and Parker, 2014). The hotel organisations face lower occupancy rate when they say the room prices higher than the customer’s expectations. So customers lower their demand. Dynamic pricing strategy will match the market demand and supply for the room prices. In addition, the company might consider selling its non-core assets to enhance the cash flow in the organisation. </w:t>
      </w:r>
    </w:p>
    <w:p w14:paraId="376C1E18" w14:textId="77777777" w:rsidR="00A43A35" w:rsidRPr="00F76BEF" w:rsidRDefault="00A43A35" w:rsidP="00F76BEF">
      <w:pPr>
        <w:numPr>
          <w:ilvl w:val="0"/>
          <w:numId w:val="1"/>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Financial Restructuring: The Hotel needs to restructure its financial aspects too. The current debt financing has increased the risk of insolvency for the hotel. The hotel should seek equity financing by issuing shares to the investors. It should maintain an optimal portion of debt and equity in its capital (Seal et al., 2018). If the debt is required for future growth opportunities, the company should seek lower rates and convenient terms of the debt. </w:t>
      </w:r>
    </w:p>
    <w:p w14:paraId="49CB45FA" w14:textId="77777777" w:rsidR="00A43A35" w:rsidRPr="00F76BEF" w:rsidRDefault="00A43A35" w:rsidP="00F76BEF">
      <w:pPr>
        <w:numPr>
          <w:ilvl w:val="0"/>
          <w:numId w:val="1"/>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Marketing Strategy to Raise Awareness: The hotel brand should adopt a comprehensive marketing strategy. Before making any marketing strategies, it must target its key market segments and offer unique offerings. The company might consider diversifying its services and be elastic when it comes to pricing. Here they can look at the types of guests, how often they visit the hotel, for how long and what their prefference are based on the reason they check in. The Service diversification will be implemented by introducing new services such as wellness programmes to meet the customer’s preferences (Chen et al., 2017). The marketing strategy will involve in both offline and online channels. The hotel can create strategic partnerships with the local businesses to drive sales. It can also create partnership with the influencers and celebrities. Such initiative can enhance the brand awareness in the target market. The hotel can use digital channels such as social media platforms and </w:t>
      </w:r>
      <w:r w:rsidRPr="00F76BEF">
        <w:rPr>
          <w:rFonts w:ascii="Arial" w:eastAsia="Times New Roman" w:hAnsi="Arial" w:cs="Arial"/>
          <w:noProof/>
          <w:sz w:val="24"/>
          <w:szCs w:val="24"/>
        </w:rPr>
        <w:lastRenderedPageBreak/>
        <w:t xml:space="preserve">website to make the online presence stronger (Walker, 2021). Digital marketing is effective to reach the target audiences successfully. </w:t>
      </w:r>
    </w:p>
    <w:p w14:paraId="164857B2" w14:textId="77777777" w:rsidR="00A43A35" w:rsidRPr="00F76BEF" w:rsidRDefault="00A43A35" w:rsidP="00F76BEF">
      <w:pPr>
        <w:numPr>
          <w:ilvl w:val="0"/>
          <w:numId w:val="1"/>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Customer Experience Enhancement: It is important for the hotel to look into customer satisfaction aspects. The company should identify the key reasons for their dissatisfaction about the hotel services. The service quality can be improved by adopting two approaches. First approach is to train the employees effectively to enhance their performance (</w:t>
      </w:r>
      <w:r w:rsidRPr="00F76BEF">
        <w:rPr>
          <w:rFonts w:ascii="Arial" w:eastAsia="Times New Roman" w:hAnsi="Arial" w:cs="Arial"/>
          <w:noProof/>
          <w:kern w:val="0"/>
          <w:sz w:val="24"/>
          <w:szCs w:val="24"/>
          <w14:ligatures w14:val="none"/>
        </w:rPr>
        <w:t>Ntounis et al., 2021).</w:t>
      </w:r>
      <w:r w:rsidRPr="00F76BEF">
        <w:rPr>
          <w:rFonts w:ascii="Arial" w:eastAsia="Times New Roman" w:hAnsi="Arial" w:cs="Arial"/>
          <w:noProof/>
          <w:sz w:val="24"/>
          <w:szCs w:val="24"/>
        </w:rPr>
        <w:t xml:space="preserve"> Highly experienced employees can offer greater guest services. Second, the company should implement the latest technology to support its hotel operations. The latest technologies can be integrated into booking, check-in, and customer service processes (Walker, 2021). Technological transformation can streamline the hotel operations and ensure efficiency. </w:t>
      </w:r>
    </w:p>
    <w:p w14:paraId="70591344" w14:textId="77777777" w:rsidR="00A43A35" w:rsidRPr="00F76BEF" w:rsidRDefault="00A43A35" w:rsidP="00F76BEF">
      <w:pPr>
        <w:numPr>
          <w:ilvl w:val="0"/>
          <w:numId w:val="1"/>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Reputation Management: The hotel’s reputation has been affected significantly due to its poor services and failure to address the customer complaints. The company can restore the reputation by adopting approaches to respond to guest’s queries quickly. The company must appreciate customer’s feedback and work on that feedback to provide better services. Moreover, the hotel should engage the key stakeholders in the decision-making because it make them feel valued and understanding to the company’s current situation (Perez-Aranda, Vallespín and Molinillo, 2019). </w:t>
      </w:r>
    </w:p>
    <w:p w14:paraId="2444FC1C" w14:textId="77777777" w:rsidR="00A43A35" w:rsidRPr="00F76BEF" w:rsidRDefault="00A43A35" w:rsidP="00F76BEF">
      <w:pPr>
        <w:numPr>
          <w:ilvl w:val="0"/>
          <w:numId w:val="1"/>
        </w:numPr>
        <w:spacing w:line="360" w:lineRule="auto"/>
        <w:contextualSpacing/>
        <w:jc w:val="both"/>
        <w:rPr>
          <w:rFonts w:ascii="Arial" w:eastAsia="Times New Roman" w:hAnsi="Arial" w:cs="Arial"/>
          <w:noProof/>
          <w:sz w:val="24"/>
          <w:szCs w:val="24"/>
        </w:rPr>
      </w:pPr>
      <w:r w:rsidRPr="00F76BEF">
        <w:rPr>
          <w:rFonts w:ascii="Arial" w:eastAsia="Times New Roman" w:hAnsi="Arial" w:cs="Arial"/>
          <w:noProof/>
          <w:sz w:val="24"/>
          <w:szCs w:val="24"/>
        </w:rPr>
        <w:t xml:space="preserve">Strategic Planning:The hotel should make strategic planning by utilising frameworks such as SWOT and PESTLE analyses. This framework can identify the key internal and external forces that present both opportunities and challenges (Walker, 2021). After understanding the threats and opportunities, the hotel should leverage its strengths to avail of the opportunities. </w:t>
      </w:r>
    </w:p>
    <w:p w14:paraId="058880F0" w14:textId="77777777" w:rsidR="00A43A35" w:rsidRPr="00F76BEF" w:rsidRDefault="00A43A35" w:rsidP="00F76BEF">
      <w:pPr>
        <w:keepNext/>
        <w:keepLines/>
        <w:spacing w:before="360" w:after="80" w:line="360" w:lineRule="auto"/>
        <w:jc w:val="both"/>
        <w:outlineLvl w:val="0"/>
        <w:rPr>
          <w:rFonts w:ascii="Arial" w:eastAsia="Times New Roman" w:hAnsi="Arial" w:cs="Arial"/>
          <w:noProof/>
          <w:sz w:val="24"/>
          <w:szCs w:val="24"/>
        </w:rPr>
      </w:pPr>
      <w:bookmarkStart w:id="4" w:name="_Toc166070034"/>
      <w:r w:rsidRPr="00F76BEF">
        <w:rPr>
          <w:rFonts w:ascii="Arial" w:eastAsia="Times New Roman" w:hAnsi="Arial" w:cs="Arial"/>
          <w:b/>
          <w:noProof/>
          <w:sz w:val="24"/>
          <w:szCs w:val="24"/>
        </w:rPr>
        <w:t>Conclusion</w:t>
      </w:r>
      <w:bookmarkEnd w:id="4"/>
      <w:r w:rsidRPr="00F76BEF">
        <w:rPr>
          <w:rFonts w:ascii="Arial" w:eastAsia="Times New Roman" w:hAnsi="Arial" w:cs="Arial"/>
          <w:b/>
          <w:noProof/>
          <w:sz w:val="24"/>
          <w:szCs w:val="24"/>
        </w:rPr>
        <w:t xml:space="preserve"> </w:t>
      </w:r>
    </w:p>
    <w:p w14:paraId="60C72498" w14:textId="77777777" w:rsidR="00A43A35" w:rsidRPr="00F76BEF" w:rsidRDefault="00A43A35" w:rsidP="00F76BEF">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 xml:space="preserve">The Urban Heights Hotel has been facing losses in recent years because of poor financial management. The financial manager could not make accurate demand forecasts or provide hotel services that align with the customer's needs and preferences. It could not manage the guest services properly and so the guests became dissatisfied. In addition, the external forces of the company have influenced to the losses. To overcome the losses </w:t>
      </w:r>
      <w:r w:rsidRPr="00F76BEF">
        <w:rPr>
          <w:rFonts w:ascii="Arial" w:eastAsia="Times New Roman" w:hAnsi="Arial" w:cs="Arial"/>
          <w:noProof/>
          <w:sz w:val="24"/>
          <w:szCs w:val="24"/>
        </w:rPr>
        <w:lastRenderedPageBreak/>
        <w:t xml:space="preserve">and make the business viable in the long run, the company should implement a turnaround strategy. </w:t>
      </w:r>
    </w:p>
    <w:p w14:paraId="52D3B7E7" w14:textId="77777777" w:rsidR="00A43A35" w:rsidRPr="00F76BEF" w:rsidRDefault="00A43A35" w:rsidP="00F76BEF">
      <w:pPr>
        <w:spacing w:line="360" w:lineRule="auto"/>
        <w:jc w:val="both"/>
        <w:rPr>
          <w:rFonts w:ascii="Arial" w:eastAsia="Times New Roman" w:hAnsi="Arial" w:cs="Arial"/>
          <w:b/>
          <w:bCs/>
          <w:noProof/>
          <w:sz w:val="24"/>
          <w:szCs w:val="24"/>
        </w:rPr>
      </w:pPr>
      <w:r w:rsidRPr="00F76BEF">
        <w:rPr>
          <w:rFonts w:ascii="Arial" w:eastAsia="Times New Roman" w:hAnsi="Arial" w:cs="Arial"/>
          <w:b/>
          <w:bCs/>
          <w:noProof/>
          <w:sz w:val="24"/>
          <w:szCs w:val="24"/>
        </w:rPr>
        <w:t>Business Proposal</w:t>
      </w:r>
    </w:p>
    <w:p w14:paraId="1F430D36" w14:textId="77777777" w:rsidR="00A43A35" w:rsidRPr="00F76BEF" w:rsidRDefault="00A43A35" w:rsidP="00F76BEF">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Firstly the business will have to make a substatioal change in the Property and Equipment sector. While borrowing £1.000.000 from the bank will increase the long term debt to £4.000.000, this will have a knock-on effect on the all other assessts. As the total assesst have decrreased from 100% to 93.7% in 2022 and then dropped to 86% in 2023, we see a total loss of 14% in the past years. By investing in  property and equipament, the business can gain more cash and equivalent and subsequently the total assets, account receivableand equity will increase. Also the liabilities percentage will go down.</w:t>
      </w:r>
    </w:p>
    <w:p w14:paraId="6A5E807E" w14:textId="77777777" w:rsidR="00A43A35" w:rsidRPr="00A43A35" w:rsidRDefault="00A43A35" w:rsidP="00A43A35">
      <w:pPr>
        <w:spacing w:line="360" w:lineRule="auto"/>
        <w:jc w:val="both"/>
        <w:rPr>
          <w:rFonts w:ascii="Times New Roman" w:eastAsia="Times New Roman" w:hAnsi="Times New Roman" w:cs="Times New Roman"/>
          <w:b/>
          <w:bCs/>
          <w:noProof/>
          <w:sz w:val="24"/>
          <w:szCs w:val="24"/>
        </w:rPr>
      </w:pPr>
      <w:r w:rsidRPr="00A43A35">
        <w:rPr>
          <w:rFonts w:ascii="Times New Roman" w:eastAsia="Times New Roman" w:hAnsi="Times New Roman" w:cs="Times New Roman"/>
          <w:b/>
          <w:bCs/>
          <w:noProof/>
          <w:sz w:val="24"/>
          <w:szCs w:val="24"/>
        </w:rPr>
        <w:br w:type="page"/>
      </w:r>
    </w:p>
    <w:p w14:paraId="46746499" w14:textId="77777777" w:rsidR="00A43A35" w:rsidRPr="00F76BEF" w:rsidRDefault="00A43A35" w:rsidP="00A43A35">
      <w:pPr>
        <w:keepNext/>
        <w:keepLines/>
        <w:spacing w:before="360" w:after="80" w:line="360" w:lineRule="auto"/>
        <w:jc w:val="both"/>
        <w:outlineLvl w:val="0"/>
        <w:rPr>
          <w:rFonts w:ascii="Times New Roman" w:eastAsia="Times New Roman" w:hAnsi="Times New Roman" w:cs="Times New Roman"/>
          <w:b/>
          <w:noProof/>
          <w:sz w:val="24"/>
          <w:szCs w:val="24"/>
        </w:rPr>
      </w:pPr>
      <w:bookmarkStart w:id="5" w:name="_Toc166070035"/>
      <w:r w:rsidRPr="00F76BEF">
        <w:rPr>
          <w:rFonts w:ascii="Times New Roman" w:eastAsia="Times New Roman" w:hAnsi="Times New Roman" w:cs="Times New Roman"/>
          <w:b/>
          <w:noProof/>
          <w:sz w:val="24"/>
          <w:szCs w:val="24"/>
        </w:rPr>
        <w:lastRenderedPageBreak/>
        <w:t>Reference List</w:t>
      </w:r>
      <w:bookmarkEnd w:id="5"/>
      <w:r w:rsidRPr="00F76BEF">
        <w:rPr>
          <w:rFonts w:ascii="Times New Roman" w:eastAsia="Times New Roman" w:hAnsi="Times New Roman" w:cs="Times New Roman"/>
          <w:b/>
          <w:noProof/>
          <w:sz w:val="24"/>
          <w:szCs w:val="24"/>
        </w:rPr>
        <w:t xml:space="preserve"> </w:t>
      </w:r>
    </w:p>
    <w:p w14:paraId="7A4420F6" w14:textId="77777777" w:rsidR="00A43A35" w:rsidRPr="00F76BEF" w:rsidRDefault="00A43A35" w:rsidP="00A43A35">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 xml:space="preserve">Chen, J.S., Kerr, D., Chou, C.Y. and Ang, C. (2017) Business co-creation for service innovation in the hospitality and tourism industry. </w:t>
      </w:r>
      <w:r w:rsidRPr="00F76BEF">
        <w:rPr>
          <w:rFonts w:ascii="Arial" w:eastAsia="Times New Roman" w:hAnsi="Arial" w:cs="Arial"/>
          <w:i/>
          <w:iCs/>
          <w:noProof/>
          <w:sz w:val="24"/>
          <w:szCs w:val="24"/>
        </w:rPr>
        <w:t>International Journal of Contemporary Hospitality Management</w:t>
      </w:r>
      <w:r w:rsidRPr="00F76BEF">
        <w:rPr>
          <w:rFonts w:ascii="Arial" w:eastAsia="Times New Roman" w:hAnsi="Arial" w:cs="Arial"/>
          <w:noProof/>
          <w:sz w:val="24"/>
          <w:szCs w:val="24"/>
        </w:rPr>
        <w:t xml:space="preserve">, </w:t>
      </w:r>
      <w:r w:rsidRPr="00F76BEF">
        <w:rPr>
          <w:rFonts w:ascii="Arial" w:eastAsia="Times New Roman" w:hAnsi="Arial" w:cs="Arial"/>
          <w:i/>
          <w:iCs/>
          <w:noProof/>
          <w:sz w:val="24"/>
          <w:szCs w:val="24"/>
        </w:rPr>
        <w:t>29</w:t>
      </w:r>
      <w:r w:rsidRPr="00F76BEF">
        <w:rPr>
          <w:rFonts w:ascii="Arial" w:eastAsia="Times New Roman" w:hAnsi="Arial" w:cs="Arial"/>
          <w:noProof/>
          <w:sz w:val="24"/>
          <w:szCs w:val="24"/>
        </w:rPr>
        <w:t>(6), pp.1522-1540.</w:t>
      </w:r>
    </w:p>
    <w:p w14:paraId="22B18657" w14:textId="77777777" w:rsidR="00A43A35" w:rsidRPr="00F76BEF" w:rsidRDefault="00A43A35" w:rsidP="00A43A35">
      <w:pPr>
        <w:spacing w:after="240" w:line="360" w:lineRule="auto"/>
        <w:jc w:val="both"/>
        <w:rPr>
          <w:rFonts w:ascii="Arial" w:eastAsia="Times New Roman" w:hAnsi="Arial" w:cs="Arial"/>
          <w:noProof/>
          <w:kern w:val="0"/>
          <w:sz w:val="24"/>
          <w:szCs w:val="24"/>
          <w14:ligatures w14:val="none"/>
        </w:rPr>
      </w:pPr>
      <w:r w:rsidRPr="00F76BEF">
        <w:rPr>
          <w:rFonts w:ascii="Arial" w:eastAsia="Times New Roman" w:hAnsi="Arial" w:cs="Arial"/>
          <w:noProof/>
          <w:kern w:val="0"/>
          <w:sz w:val="24"/>
          <w:szCs w:val="24"/>
          <w14:ligatures w14:val="none"/>
        </w:rPr>
        <w:t xml:space="preserve">Guilding, C. (2014) </w:t>
      </w:r>
      <w:r w:rsidRPr="00F76BEF">
        <w:rPr>
          <w:rFonts w:ascii="Arial" w:eastAsia="Times New Roman" w:hAnsi="Arial" w:cs="Arial"/>
          <w:i/>
          <w:iCs/>
          <w:noProof/>
          <w:kern w:val="0"/>
          <w:sz w:val="24"/>
          <w:szCs w:val="24"/>
          <w14:ligatures w14:val="none"/>
        </w:rPr>
        <w:t>Accounting Essentials for Hospitality Managers.</w:t>
      </w:r>
      <w:r w:rsidRPr="00F76BEF">
        <w:rPr>
          <w:rFonts w:ascii="Arial" w:eastAsia="Times New Roman" w:hAnsi="Arial" w:cs="Arial"/>
          <w:noProof/>
          <w:kern w:val="0"/>
          <w:sz w:val="24"/>
          <w:szCs w:val="24"/>
          <w14:ligatures w14:val="none"/>
        </w:rPr>
        <w:t xml:space="preserve"> 3rd Edition. London, Routledge</w:t>
      </w:r>
    </w:p>
    <w:p w14:paraId="0F7B6C95" w14:textId="77777777" w:rsidR="00A43A35" w:rsidRPr="00F76BEF" w:rsidRDefault="00A43A35" w:rsidP="00A43A35">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 xml:space="preserve">Hayes, D.K., Hayes, J.D. and Hayes, P.A. (2021) </w:t>
      </w:r>
      <w:r w:rsidRPr="00F76BEF">
        <w:rPr>
          <w:rFonts w:ascii="Arial" w:eastAsia="Times New Roman" w:hAnsi="Arial" w:cs="Arial"/>
          <w:i/>
          <w:iCs/>
          <w:noProof/>
          <w:sz w:val="24"/>
          <w:szCs w:val="24"/>
        </w:rPr>
        <w:t>Revenue management for the hospitality industry</w:t>
      </w:r>
      <w:r w:rsidRPr="00F76BEF">
        <w:rPr>
          <w:rFonts w:ascii="Arial" w:eastAsia="Times New Roman" w:hAnsi="Arial" w:cs="Arial"/>
          <w:noProof/>
          <w:sz w:val="24"/>
          <w:szCs w:val="24"/>
        </w:rPr>
        <w:t>. John Wiley &amp; Sons.</w:t>
      </w:r>
    </w:p>
    <w:p w14:paraId="0D0153B8" w14:textId="77777777" w:rsidR="00A43A35" w:rsidRPr="00F76BEF" w:rsidRDefault="00A43A35" w:rsidP="00A43A35">
      <w:pPr>
        <w:spacing w:after="240" w:line="360" w:lineRule="auto"/>
        <w:jc w:val="both"/>
        <w:rPr>
          <w:rFonts w:ascii="Arial" w:eastAsia="Times New Roman" w:hAnsi="Arial" w:cs="Arial"/>
          <w:noProof/>
          <w:kern w:val="0"/>
          <w:sz w:val="24"/>
          <w:szCs w:val="24"/>
          <w14:ligatures w14:val="none"/>
        </w:rPr>
      </w:pPr>
      <w:r w:rsidRPr="00F76BEF">
        <w:rPr>
          <w:rFonts w:ascii="Arial" w:eastAsia="Times New Roman" w:hAnsi="Arial" w:cs="Arial"/>
          <w:noProof/>
          <w:kern w:val="0"/>
          <w:sz w:val="24"/>
          <w:szCs w:val="24"/>
          <w14:ligatures w14:val="none"/>
        </w:rPr>
        <w:t xml:space="preserve">Lawson, A. and correspondent, A.L.E. (2023) Energy Crisis Stemming from Ukraine War ‘cost £1k for Every UK Adult’. </w:t>
      </w:r>
      <w:r w:rsidRPr="00F76BEF">
        <w:rPr>
          <w:rFonts w:ascii="Arial" w:eastAsia="Times New Roman" w:hAnsi="Arial" w:cs="Arial"/>
          <w:i/>
          <w:iCs/>
          <w:noProof/>
          <w:kern w:val="0"/>
          <w:sz w:val="24"/>
          <w:szCs w:val="24"/>
          <w14:ligatures w14:val="none"/>
        </w:rPr>
        <w:t>The Guardian</w:t>
      </w:r>
      <w:r w:rsidRPr="00F76BEF">
        <w:rPr>
          <w:rFonts w:ascii="Arial" w:eastAsia="Times New Roman" w:hAnsi="Arial" w:cs="Arial"/>
          <w:noProof/>
          <w:kern w:val="0"/>
          <w:sz w:val="24"/>
          <w:szCs w:val="24"/>
          <w14:ligatures w14:val="none"/>
        </w:rPr>
        <w:t>. [online] 21 Feb. Available at: https://www.google.com/amp/s/amp.theguardian.com/business/2023/feb/21/energy-crisis-ukraine-war-uk-cost-gas [Accessed 8 May 2024].</w:t>
      </w:r>
    </w:p>
    <w:p w14:paraId="06F5672E" w14:textId="77777777" w:rsidR="00A43A35" w:rsidRPr="00F76BEF" w:rsidRDefault="00A43A35" w:rsidP="00A43A35">
      <w:pPr>
        <w:spacing w:after="240" w:line="360" w:lineRule="auto"/>
        <w:jc w:val="both"/>
        <w:rPr>
          <w:rFonts w:ascii="Arial" w:eastAsia="Times New Roman" w:hAnsi="Arial" w:cs="Arial"/>
          <w:noProof/>
          <w:kern w:val="0"/>
          <w:sz w:val="24"/>
          <w:szCs w:val="24"/>
          <w14:ligatures w14:val="none"/>
        </w:rPr>
      </w:pPr>
      <w:r w:rsidRPr="00F76BEF">
        <w:rPr>
          <w:rFonts w:ascii="Arial" w:eastAsia="Times New Roman" w:hAnsi="Arial" w:cs="Arial"/>
          <w:noProof/>
          <w:kern w:val="0"/>
          <w:sz w:val="24"/>
          <w:szCs w:val="24"/>
          <w14:ligatures w14:val="none"/>
        </w:rPr>
        <w:t xml:space="preserve">Ntounis, N., Parker, C., Skinner, H., Steadman, C. and Warnaby, G. (2021) Tourism and Hospitality Industry Resilience during the covid-19 pandemic: Evidence from England. </w:t>
      </w:r>
      <w:r w:rsidRPr="00F76BEF">
        <w:rPr>
          <w:rFonts w:ascii="Arial" w:eastAsia="Times New Roman" w:hAnsi="Arial" w:cs="Arial"/>
          <w:i/>
          <w:iCs/>
          <w:noProof/>
          <w:kern w:val="0"/>
          <w:sz w:val="24"/>
          <w:szCs w:val="24"/>
          <w14:ligatures w14:val="none"/>
        </w:rPr>
        <w:t>Current Issues in Tourism</w:t>
      </w:r>
      <w:r w:rsidRPr="00F76BEF">
        <w:rPr>
          <w:rFonts w:ascii="Arial" w:eastAsia="Times New Roman" w:hAnsi="Arial" w:cs="Arial"/>
          <w:noProof/>
          <w:kern w:val="0"/>
          <w:sz w:val="24"/>
          <w:szCs w:val="24"/>
          <w14:ligatures w14:val="none"/>
        </w:rPr>
        <w:t>, 25(1), pp.1–14.</w:t>
      </w:r>
    </w:p>
    <w:p w14:paraId="0F83FF12" w14:textId="77777777" w:rsidR="00A43A35" w:rsidRPr="00F76BEF" w:rsidRDefault="00A43A35" w:rsidP="00A43A35">
      <w:pPr>
        <w:spacing w:after="240" w:line="360" w:lineRule="auto"/>
        <w:jc w:val="both"/>
        <w:rPr>
          <w:rFonts w:ascii="Arial" w:eastAsia="Times New Roman" w:hAnsi="Arial" w:cs="Arial"/>
          <w:noProof/>
          <w:kern w:val="0"/>
          <w:sz w:val="24"/>
          <w:szCs w:val="24"/>
          <w14:ligatures w14:val="none"/>
        </w:rPr>
      </w:pPr>
      <w:r w:rsidRPr="00F76BEF">
        <w:rPr>
          <w:rFonts w:ascii="Arial" w:eastAsia="Times New Roman" w:hAnsi="Arial" w:cs="Arial"/>
          <w:noProof/>
          <w:kern w:val="0"/>
          <w:sz w:val="24"/>
          <w:szCs w:val="24"/>
          <w14:ligatures w14:val="none"/>
        </w:rPr>
        <w:t xml:space="preserve">O’Carroll, L. (2023) Shortfall of 330,000 Workers in UK Due to Brexit, Say Thinktanks. </w:t>
      </w:r>
      <w:r w:rsidRPr="00F76BEF">
        <w:rPr>
          <w:rFonts w:ascii="Arial" w:eastAsia="Times New Roman" w:hAnsi="Arial" w:cs="Arial"/>
          <w:i/>
          <w:iCs/>
          <w:noProof/>
          <w:kern w:val="0"/>
          <w:sz w:val="24"/>
          <w:szCs w:val="24"/>
          <w14:ligatures w14:val="none"/>
        </w:rPr>
        <w:t>The Guardian</w:t>
      </w:r>
      <w:r w:rsidRPr="00F76BEF">
        <w:rPr>
          <w:rFonts w:ascii="Arial" w:eastAsia="Times New Roman" w:hAnsi="Arial" w:cs="Arial"/>
          <w:noProof/>
          <w:kern w:val="0"/>
          <w:sz w:val="24"/>
          <w:szCs w:val="24"/>
          <w14:ligatures w14:val="none"/>
        </w:rPr>
        <w:t>. [online] 17 Jan. Available at: https://www.google.com/amp/s/amp.theguardian.com/politics/2023/jan/17/shortfall-of-330000-workers-in-uk-due-to-brexit-say-thinktanks.</w:t>
      </w:r>
    </w:p>
    <w:p w14:paraId="55DD0139" w14:textId="77777777" w:rsidR="00A43A35" w:rsidRPr="00F76BEF" w:rsidRDefault="00A43A35" w:rsidP="00A43A35">
      <w:pPr>
        <w:spacing w:after="240" w:line="360" w:lineRule="auto"/>
        <w:jc w:val="both"/>
        <w:rPr>
          <w:rFonts w:ascii="Arial" w:eastAsia="Times New Roman" w:hAnsi="Arial" w:cs="Arial"/>
          <w:noProof/>
          <w:kern w:val="0"/>
          <w:sz w:val="24"/>
          <w:szCs w:val="24"/>
          <w14:ligatures w14:val="none"/>
        </w:rPr>
      </w:pPr>
      <w:r w:rsidRPr="00F76BEF">
        <w:rPr>
          <w:rFonts w:ascii="Arial" w:eastAsia="Times New Roman" w:hAnsi="Arial" w:cs="Arial"/>
          <w:noProof/>
          <w:kern w:val="0"/>
          <w:sz w:val="24"/>
          <w:szCs w:val="24"/>
          <w14:ligatures w14:val="none"/>
        </w:rPr>
        <w:t xml:space="preserve">Perez-Aranda, J., Vallespín, M. and Molinillo, S. (2019) Hotels’ Online Reputation management: Benefits Perceived by Managers. </w:t>
      </w:r>
      <w:r w:rsidRPr="00F76BEF">
        <w:rPr>
          <w:rFonts w:ascii="Arial" w:eastAsia="Times New Roman" w:hAnsi="Arial" w:cs="Arial"/>
          <w:i/>
          <w:iCs/>
          <w:noProof/>
          <w:kern w:val="0"/>
          <w:sz w:val="24"/>
          <w:szCs w:val="24"/>
          <w14:ligatures w14:val="none"/>
        </w:rPr>
        <w:t>International Journal of Contemporary Hospitality Management</w:t>
      </w:r>
      <w:r w:rsidRPr="00F76BEF">
        <w:rPr>
          <w:rFonts w:ascii="Arial" w:eastAsia="Times New Roman" w:hAnsi="Arial" w:cs="Arial"/>
          <w:noProof/>
          <w:kern w:val="0"/>
          <w:sz w:val="24"/>
          <w:szCs w:val="24"/>
          <w14:ligatures w14:val="none"/>
        </w:rPr>
        <w:t>, 31(2), pp.615–632. doi:https://doi.org/10.1108/ijchm-07-2017-0460.</w:t>
      </w:r>
    </w:p>
    <w:p w14:paraId="1A84BD94" w14:textId="77777777" w:rsidR="00A43A35" w:rsidRPr="00F76BEF" w:rsidRDefault="00A43A35" w:rsidP="00A43A35">
      <w:pPr>
        <w:spacing w:after="240" w:line="360" w:lineRule="auto"/>
        <w:jc w:val="both"/>
        <w:rPr>
          <w:rFonts w:ascii="Arial" w:eastAsia="Times New Roman" w:hAnsi="Arial" w:cs="Arial"/>
          <w:noProof/>
          <w:kern w:val="0"/>
          <w:sz w:val="24"/>
          <w:szCs w:val="24"/>
          <w14:ligatures w14:val="none"/>
        </w:rPr>
      </w:pPr>
      <w:r w:rsidRPr="00F76BEF">
        <w:rPr>
          <w:rFonts w:ascii="Arial" w:eastAsia="Times New Roman" w:hAnsi="Arial" w:cs="Arial"/>
          <w:noProof/>
          <w:kern w:val="0"/>
          <w:sz w:val="24"/>
          <w:szCs w:val="24"/>
          <w14:ligatures w14:val="none"/>
        </w:rPr>
        <w:t xml:space="preserve">Seal, W., Rohde, C., Garrison, R. and Noreen, E. (2018) </w:t>
      </w:r>
      <w:r w:rsidRPr="00F76BEF">
        <w:rPr>
          <w:rFonts w:ascii="Arial" w:eastAsia="Times New Roman" w:hAnsi="Arial" w:cs="Arial"/>
          <w:i/>
          <w:iCs/>
          <w:noProof/>
          <w:kern w:val="0"/>
          <w:sz w:val="24"/>
          <w:szCs w:val="24"/>
          <w14:ligatures w14:val="none"/>
        </w:rPr>
        <w:t>Management Accounting, 6e</w:t>
      </w:r>
      <w:r w:rsidRPr="00F76BEF">
        <w:rPr>
          <w:rFonts w:ascii="Arial" w:eastAsia="Times New Roman" w:hAnsi="Arial" w:cs="Arial"/>
          <w:noProof/>
          <w:kern w:val="0"/>
          <w:sz w:val="24"/>
          <w:szCs w:val="24"/>
          <w14:ligatures w14:val="none"/>
        </w:rPr>
        <w:t>. McGraw-Hill Education (UK).</w:t>
      </w:r>
    </w:p>
    <w:p w14:paraId="71699062" w14:textId="77777777" w:rsidR="00A43A35" w:rsidRPr="00F76BEF" w:rsidRDefault="00A43A35" w:rsidP="00A43A35">
      <w:pPr>
        <w:spacing w:after="240" w:line="360" w:lineRule="auto"/>
        <w:jc w:val="both"/>
        <w:rPr>
          <w:rFonts w:ascii="Arial" w:eastAsia="Times New Roman" w:hAnsi="Arial" w:cs="Arial"/>
          <w:noProof/>
          <w:kern w:val="0"/>
          <w:sz w:val="24"/>
          <w:szCs w:val="24"/>
          <w14:ligatures w14:val="none"/>
        </w:rPr>
      </w:pPr>
      <w:r w:rsidRPr="00F76BEF">
        <w:rPr>
          <w:rFonts w:ascii="Arial" w:eastAsia="Times New Roman" w:hAnsi="Arial" w:cs="Arial"/>
          <w:noProof/>
          <w:kern w:val="0"/>
          <w:sz w:val="24"/>
          <w:szCs w:val="24"/>
          <w14:ligatures w14:val="none"/>
        </w:rPr>
        <w:lastRenderedPageBreak/>
        <w:t xml:space="preserve">Shih, W.C. (2020) </w:t>
      </w:r>
      <w:r w:rsidRPr="00F76BEF">
        <w:rPr>
          <w:rFonts w:ascii="Arial" w:eastAsia="Times New Roman" w:hAnsi="Arial" w:cs="Arial"/>
          <w:i/>
          <w:iCs/>
          <w:noProof/>
          <w:kern w:val="0"/>
          <w:sz w:val="24"/>
          <w:szCs w:val="24"/>
          <w14:ligatures w14:val="none"/>
        </w:rPr>
        <w:t>Global Supply Chains in a Post-Pandemic World</w:t>
      </w:r>
      <w:r w:rsidRPr="00F76BEF">
        <w:rPr>
          <w:rFonts w:ascii="Arial" w:eastAsia="Times New Roman" w:hAnsi="Arial" w:cs="Arial"/>
          <w:noProof/>
          <w:kern w:val="0"/>
          <w:sz w:val="24"/>
          <w:szCs w:val="24"/>
          <w14:ligatures w14:val="none"/>
        </w:rPr>
        <w:t>. [online] Harvard Business Review. Available at: https://hbr.org/2020/09/global-supply-chains-in-a-post-pandemic-world [Accessed 8 May 2024].</w:t>
      </w:r>
    </w:p>
    <w:p w14:paraId="79D4F396" w14:textId="77777777" w:rsidR="00A43A35" w:rsidRPr="00F76BEF" w:rsidRDefault="00A43A35" w:rsidP="00A43A35">
      <w:pPr>
        <w:spacing w:after="240" w:line="360" w:lineRule="auto"/>
        <w:jc w:val="both"/>
        <w:rPr>
          <w:rFonts w:ascii="Arial" w:eastAsia="Times New Roman" w:hAnsi="Arial" w:cs="Arial"/>
          <w:noProof/>
          <w:kern w:val="0"/>
          <w:sz w:val="24"/>
          <w:szCs w:val="24"/>
          <w14:ligatures w14:val="none"/>
        </w:rPr>
      </w:pPr>
      <w:r w:rsidRPr="00F76BEF">
        <w:rPr>
          <w:rFonts w:ascii="Arial" w:eastAsia="Times New Roman" w:hAnsi="Arial" w:cs="Arial"/>
          <w:noProof/>
          <w:kern w:val="0"/>
          <w:sz w:val="24"/>
          <w:szCs w:val="24"/>
          <w14:ligatures w14:val="none"/>
        </w:rPr>
        <w:t xml:space="preserve">Smith, E. (2022) </w:t>
      </w:r>
      <w:r w:rsidRPr="00F76BEF">
        <w:rPr>
          <w:rFonts w:ascii="Arial" w:eastAsia="Times New Roman" w:hAnsi="Arial" w:cs="Arial"/>
          <w:i/>
          <w:iCs/>
          <w:noProof/>
          <w:kern w:val="0"/>
          <w:sz w:val="24"/>
          <w:szCs w:val="24"/>
          <w14:ligatures w14:val="none"/>
        </w:rPr>
        <w:t>UK Inflation Hits 41-year High of 11.1% as Food and Energy Prices Continue to Soar</w:t>
      </w:r>
      <w:r w:rsidRPr="00F76BEF">
        <w:rPr>
          <w:rFonts w:ascii="Arial" w:eastAsia="Times New Roman" w:hAnsi="Arial" w:cs="Arial"/>
          <w:noProof/>
          <w:kern w:val="0"/>
          <w:sz w:val="24"/>
          <w:szCs w:val="24"/>
          <w14:ligatures w14:val="none"/>
        </w:rPr>
        <w:t>. [online] CNBC. Available at: https://www.google.com/amp/s/www.cnbc.com/amp/2022/11/16/uk-inflation-hits-new-41-year-high-as-food-and-energy-prices-continue-to-soar.html [Accessed 8 May 2024].</w:t>
      </w:r>
    </w:p>
    <w:p w14:paraId="7991C896" w14:textId="77777777" w:rsidR="00A43A35" w:rsidRPr="00F76BEF" w:rsidRDefault="00A43A35" w:rsidP="00A43A35">
      <w:pPr>
        <w:spacing w:line="360" w:lineRule="auto"/>
        <w:jc w:val="both"/>
        <w:rPr>
          <w:rFonts w:ascii="Arial" w:eastAsia="Times New Roman" w:hAnsi="Arial" w:cs="Arial"/>
          <w:noProof/>
          <w:sz w:val="24"/>
          <w:szCs w:val="24"/>
        </w:rPr>
      </w:pPr>
      <w:r w:rsidRPr="00F76BEF">
        <w:rPr>
          <w:rFonts w:ascii="Arial" w:eastAsia="Times New Roman" w:hAnsi="Arial" w:cs="Arial"/>
          <w:noProof/>
          <w:sz w:val="24"/>
          <w:szCs w:val="24"/>
        </w:rPr>
        <w:t xml:space="preserve">Tranter, K.A., Stuart-Hill, T. and Parker, J. (2014) </w:t>
      </w:r>
      <w:r w:rsidRPr="00F76BEF">
        <w:rPr>
          <w:rFonts w:ascii="Arial" w:eastAsia="Times New Roman" w:hAnsi="Arial" w:cs="Arial"/>
          <w:i/>
          <w:iCs/>
          <w:noProof/>
          <w:sz w:val="24"/>
          <w:szCs w:val="24"/>
        </w:rPr>
        <w:t>An introduction to revenue management for the hospitality industry : principles and practices for the real world</w:t>
      </w:r>
      <w:r w:rsidRPr="00F76BEF">
        <w:rPr>
          <w:rFonts w:ascii="Arial" w:eastAsia="Times New Roman" w:hAnsi="Arial" w:cs="Arial"/>
          <w:noProof/>
          <w:sz w:val="24"/>
          <w:szCs w:val="24"/>
        </w:rPr>
        <w:t>. Essex: Pearson Education Limited.</w:t>
      </w:r>
    </w:p>
    <w:p w14:paraId="68C90F83" w14:textId="77777777" w:rsidR="00A43A35" w:rsidRPr="00F76BEF" w:rsidRDefault="00A43A35" w:rsidP="00A43A35">
      <w:pPr>
        <w:spacing w:after="240" w:line="360" w:lineRule="auto"/>
        <w:jc w:val="both"/>
        <w:rPr>
          <w:rFonts w:ascii="Arial" w:eastAsia="Times New Roman" w:hAnsi="Arial" w:cs="Arial"/>
          <w:noProof/>
          <w:kern w:val="0"/>
          <w:sz w:val="24"/>
          <w:szCs w:val="24"/>
          <w14:ligatures w14:val="none"/>
        </w:rPr>
      </w:pPr>
      <w:r w:rsidRPr="00F76BEF">
        <w:rPr>
          <w:rFonts w:ascii="Arial" w:eastAsia="Times New Roman" w:hAnsi="Arial" w:cs="Arial"/>
          <w:noProof/>
          <w:kern w:val="0"/>
          <w:sz w:val="24"/>
          <w:szCs w:val="24"/>
          <w14:ligatures w14:val="none"/>
        </w:rPr>
        <w:t xml:space="preserve">Walker, J.R. (2021) </w:t>
      </w:r>
      <w:r w:rsidRPr="00F76BEF">
        <w:rPr>
          <w:rFonts w:ascii="Arial" w:eastAsia="Times New Roman" w:hAnsi="Arial" w:cs="Arial"/>
          <w:i/>
          <w:iCs/>
          <w:noProof/>
          <w:kern w:val="0"/>
          <w:sz w:val="24"/>
          <w:szCs w:val="24"/>
          <w14:ligatures w14:val="none"/>
        </w:rPr>
        <w:t>Introduction to Hospitality</w:t>
      </w:r>
      <w:r w:rsidRPr="00F76BEF">
        <w:rPr>
          <w:rFonts w:ascii="Arial" w:eastAsia="Times New Roman" w:hAnsi="Arial" w:cs="Arial"/>
          <w:noProof/>
          <w:kern w:val="0"/>
          <w:sz w:val="24"/>
          <w:szCs w:val="24"/>
          <w14:ligatures w14:val="none"/>
        </w:rPr>
        <w:t>. 8th ed. Hoboken: Pearson.</w:t>
      </w:r>
    </w:p>
    <w:p w14:paraId="0464F986" w14:textId="77777777" w:rsidR="00A43A35" w:rsidRPr="00A43A35" w:rsidRDefault="00A43A35" w:rsidP="00A43A35">
      <w:pPr>
        <w:spacing w:line="360" w:lineRule="auto"/>
        <w:jc w:val="both"/>
        <w:rPr>
          <w:rFonts w:ascii="Times New Roman" w:eastAsia="Times New Roman" w:hAnsi="Times New Roman" w:cs="Times New Roman"/>
          <w:noProof/>
          <w:sz w:val="24"/>
          <w:szCs w:val="24"/>
        </w:rPr>
      </w:pPr>
    </w:p>
    <w:p w14:paraId="11501E6F" w14:textId="77777777" w:rsidR="000125E7" w:rsidRDefault="000125E7"/>
    <w:sectPr w:rsidR="000125E7" w:rsidSect="00A43A3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FCEA0" w14:textId="77777777" w:rsidR="00A74FD5" w:rsidRDefault="00A74FD5">
      <w:pPr>
        <w:spacing w:after="0" w:line="240" w:lineRule="auto"/>
      </w:pPr>
      <w:r>
        <w:separator/>
      </w:r>
    </w:p>
  </w:endnote>
  <w:endnote w:type="continuationSeparator" w:id="0">
    <w:p w14:paraId="0B2D554E" w14:textId="77777777" w:rsidR="00A74FD5" w:rsidRDefault="00A74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depagin"/>
      </w:rPr>
      <w:id w:val="-413245707"/>
      <w:docPartObj>
        <w:docPartGallery w:val="Page Numbers (Bottom of Page)"/>
        <w:docPartUnique/>
      </w:docPartObj>
    </w:sdtPr>
    <w:sdtContent>
      <w:p w14:paraId="30C5307E" w14:textId="77777777" w:rsidR="001F1AC7" w:rsidRDefault="00000000" w:rsidP="008B1A2F">
        <w:pPr>
          <w:pStyle w:val="Subsol"/>
          <w:framePr w:wrap="none" w:vAnchor="text" w:hAnchor="margin"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17E22F10" w14:textId="77777777" w:rsidR="001F1AC7" w:rsidRDefault="001F1AC7" w:rsidP="00F268C5">
    <w:pPr>
      <w:pStyle w:val="Subsol"/>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0623950"/>
      <w:docPartObj>
        <w:docPartGallery w:val="Page Numbers (Bottom of Page)"/>
        <w:docPartUnique/>
      </w:docPartObj>
    </w:sdtPr>
    <w:sdtEndPr>
      <w:rPr>
        <w:noProof/>
      </w:rPr>
    </w:sdtEndPr>
    <w:sdtContent>
      <w:p w14:paraId="7C65BB1C" w14:textId="77777777" w:rsidR="001F1AC7" w:rsidRDefault="0000000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5C826FE" w14:textId="77777777" w:rsidR="001F1AC7" w:rsidRDefault="001F1AC7" w:rsidP="00F268C5">
    <w:pPr>
      <w:pStyle w:val="Subsol"/>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49742A" w14:textId="77777777" w:rsidR="00A74FD5" w:rsidRDefault="00A74FD5">
      <w:pPr>
        <w:spacing w:after="0" w:line="240" w:lineRule="auto"/>
      </w:pPr>
      <w:r>
        <w:separator/>
      </w:r>
    </w:p>
  </w:footnote>
  <w:footnote w:type="continuationSeparator" w:id="0">
    <w:p w14:paraId="0340257C" w14:textId="77777777" w:rsidR="00A74FD5" w:rsidRDefault="00A74F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32777"/>
    <w:multiLevelType w:val="hybridMultilevel"/>
    <w:tmpl w:val="096272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A277019"/>
    <w:multiLevelType w:val="hybridMultilevel"/>
    <w:tmpl w:val="67466AE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4373791">
    <w:abstractNumId w:val="0"/>
  </w:num>
  <w:num w:numId="2" w16cid:durableId="458497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213"/>
    <w:rsid w:val="000125E7"/>
    <w:rsid w:val="001405C2"/>
    <w:rsid w:val="0017374A"/>
    <w:rsid w:val="001F1AC7"/>
    <w:rsid w:val="003D3805"/>
    <w:rsid w:val="00490505"/>
    <w:rsid w:val="005E6496"/>
    <w:rsid w:val="00704EC7"/>
    <w:rsid w:val="007B40F5"/>
    <w:rsid w:val="008F0BD9"/>
    <w:rsid w:val="00A43A35"/>
    <w:rsid w:val="00A74FD5"/>
    <w:rsid w:val="00AB7213"/>
    <w:rsid w:val="00B37E09"/>
    <w:rsid w:val="00CF3D5E"/>
    <w:rsid w:val="00CF771F"/>
    <w:rsid w:val="00F76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36B59"/>
  <w15:chartTrackingRefBased/>
  <w15:docId w15:val="{534115FF-8BBF-461B-97D1-19DE8BBF2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B72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B72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B721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B721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B721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B721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B721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B721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B721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B7213"/>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B7213"/>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B721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B721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B721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B721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B721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B721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B7213"/>
    <w:rPr>
      <w:rFonts w:eastAsiaTheme="majorEastAsia" w:cstheme="majorBidi"/>
      <w:color w:val="272727" w:themeColor="text1" w:themeTint="D8"/>
    </w:rPr>
  </w:style>
  <w:style w:type="paragraph" w:styleId="Titlu">
    <w:name w:val="Title"/>
    <w:basedOn w:val="Normal"/>
    <w:next w:val="Normal"/>
    <w:link w:val="TitluCaracter"/>
    <w:uiPriority w:val="10"/>
    <w:qFormat/>
    <w:rsid w:val="00AB72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B721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B721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B721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B721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B7213"/>
    <w:rPr>
      <w:i/>
      <w:iCs/>
      <w:color w:val="404040" w:themeColor="text1" w:themeTint="BF"/>
    </w:rPr>
  </w:style>
  <w:style w:type="paragraph" w:styleId="Listparagraf">
    <w:name w:val="List Paragraph"/>
    <w:basedOn w:val="Normal"/>
    <w:uiPriority w:val="34"/>
    <w:qFormat/>
    <w:rsid w:val="00AB7213"/>
    <w:pPr>
      <w:ind w:left="720"/>
      <w:contextualSpacing/>
    </w:pPr>
  </w:style>
  <w:style w:type="character" w:styleId="Accentuareintens">
    <w:name w:val="Intense Emphasis"/>
    <w:basedOn w:val="Fontdeparagrafimplicit"/>
    <w:uiPriority w:val="21"/>
    <w:qFormat/>
    <w:rsid w:val="00AB7213"/>
    <w:rPr>
      <w:i/>
      <w:iCs/>
      <w:color w:val="0F4761" w:themeColor="accent1" w:themeShade="BF"/>
    </w:rPr>
  </w:style>
  <w:style w:type="paragraph" w:styleId="Citatintens">
    <w:name w:val="Intense Quote"/>
    <w:basedOn w:val="Normal"/>
    <w:next w:val="Normal"/>
    <w:link w:val="CitatintensCaracter"/>
    <w:uiPriority w:val="30"/>
    <w:qFormat/>
    <w:rsid w:val="00AB72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B7213"/>
    <w:rPr>
      <w:i/>
      <w:iCs/>
      <w:color w:val="0F4761" w:themeColor="accent1" w:themeShade="BF"/>
    </w:rPr>
  </w:style>
  <w:style w:type="character" w:styleId="Referireintens">
    <w:name w:val="Intense Reference"/>
    <w:basedOn w:val="Fontdeparagrafimplicit"/>
    <w:uiPriority w:val="32"/>
    <w:qFormat/>
    <w:rsid w:val="00AB7213"/>
    <w:rPr>
      <w:b/>
      <w:bCs/>
      <w:smallCaps/>
      <w:color w:val="0F4761" w:themeColor="accent1" w:themeShade="BF"/>
      <w:spacing w:val="5"/>
    </w:rPr>
  </w:style>
  <w:style w:type="paragraph" w:styleId="Subsol">
    <w:name w:val="footer"/>
    <w:basedOn w:val="Normal"/>
    <w:link w:val="SubsolCaracter"/>
    <w:uiPriority w:val="99"/>
    <w:semiHidden/>
    <w:unhideWhenUsed/>
    <w:rsid w:val="00A43A35"/>
    <w:pPr>
      <w:tabs>
        <w:tab w:val="center" w:pos="4513"/>
        <w:tab w:val="right" w:pos="9026"/>
      </w:tabs>
      <w:spacing w:after="0" w:line="240" w:lineRule="auto"/>
    </w:pPr>
  </w:style>
  <w:style w:type="character" w:customStyle="1" w:styleId="SubsolCaracter">
    <w:name w:val="Subsol Caracter"/>
    <w:basedOn w:val="Fontdeparagrafimplicit"/>
    <w:link w:val="Subsol"/>
    <w:uiPriority w:val="99"/>
    <w:semiHidden/>
    <w:rsid w:val="00A43A35"/>
  </w:style>
  <w:style w:type="character" w:styleId="Numrdepagin">
    <w:name w:val="page number"/>
    <w:basedOn w:val="Fontdeparagrafimplicit"/>
    <w:uiPriority w:val="99"/>
    <w:semiHidden/>
    <w:unhideWhenUsed/>
    <w:rsid w:val="00A43A35"/>
  </w:style>
  <w:style w:type="table" w:customStyle="1" w:styleId="TabelgrilLuminos1">
    <w:name w:val="Tabel grilă Luminos1"/>
    <w:basedOn w:val="TabelNormal"/>
    <w:next w:val="TabelgrilLuminos"/>
    <w:uiPriority w:val="40"/>
    <w:rsid w:val="00A43A35"/>
    <w:pPr>
      <w:spacing w:after="0" w:line="240" w:lineRule="auto"/>
    </w:pPr>
    <w:rPr>
      <w:rFonts w:eastAsia="Times New Roman"/>
      <w:sz w:val="24"/>
      <w:szCs w:val="24"/>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grilLuminos">
    <w:name w:val="Grid Table Light"/>
    <w:basedOn w:val="TabelNormal"/>
    <w:uiPriority w:val="40"/>
    <w:rsid w:val="00A43A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12</Pages>
  <Words>2607</Words>
  <Characters>14864</Characters>
  <Application>Microsoft Office Word</Application>
  <DocSecurity>0</DocSecurity>
  <Lines>123</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6</cp:revision>
  <dcterms:created xsi:type="dcterms:W3CDTF">2024-06-06T12:23:00Z</dcterms:created>
  <dcterms:modified xsi:type="dcterms:W3CDTF">2024-06-06T16:51:00Z</dcterms:modified>
</cp:coreProperties>
</file>