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032466" w14:textId="77777777" w:rsidR="00DB4CD0" w:rsidRPr="00B35193" w:rsidRDefault="002E785C">
      <w:pPr>
        <w:jc w:val="center"/>
        <w:rPr>
          <w:b/>
          <w:sz w:val="32"/>
          <w:szCs w:val="32"/>
        </w:rPr>
      </w:pPr>
      <w:r w:rsidRPr="00B35193">
        <w:rPr>
          <w:b/>
          <w:sz w:val="32"/>
          <w:szCs w:val="32"/>
        </w:rPr>
        <w:t>BMIH5007</w:t>
      </w:r>
    </w:p>
    <w:p w14:paraId="4E98596F" w14:textId="77777777" w:rsidR="00891DEA" w:rsidRPr="00B35193" w:rsidRDefault="002E785C">
      <w:pPr>
        <w:jc w:val="center"/>
        <w:rPr>
          <w:b/>
          <w:sz w:val="32"/>
          <w:szCs w:val="32"/>
        </w:rPr>
      </w:pPr>
      <w:r w:rsidRPr="00B35193">
        <w:rPr>
          <w:b/>
          <w:sz w:val="32"/>
          <w:szCs w:val="32"/>
        </w:rPr>
        <w:t>Financial Management for the Hotel Industry</w:t>
      </w:r>
    </w:p>
    <w:p w14:paraId="45ABE53E" w14:textId="77777777" w:rsidR="00891DEA" w:rsidRPr="00B35193" w:rsidRDefault="00891DEA">
      <w:pPr>
        <w:jc w:val="center"/>
        <w:rPr>
          <w:b/>
          <w:sz w:val="32"/>
          <w:szCs w:val="32"/>
        </w:rPr>
      </w:pPr>
    </w:p>
    <w:p w14:paraId="6E866745" w14:textId="77777777" w:rsidR="00891DEA" w:rsidRPr="00B35193" w:rsidRDefault="00891DEA">
      <w:pPr>
        <w:jc w:val="center"/>
        <w:rPr>
          <w:b/>
          <w:sz w:val="32"/>
          <w:szCs w:val="32"/>
        </w:rPr>
      </w:pPr>
      <w:r w:rsidRPr="00B35193">
        <w:rPr>
          <w:b/>
          <w:sz w:val="32"/>
          <w:szCs w:val="32"/>
        </w:rPr>
        <w:t xml:space="preserve">Assessment Component 1 </w:t>
      </w:r>
    </w:p>
    <w:p w14:paraId="3534A38D" w14:textId="77777777" w:rsidR="00891DEA" w:rsidRPr="00B35193" w:rsidRDefault="00C10B81">
      <w:pPr>
        <w:jc w:val="center"/>
        <w:rPr>
          <w:b/>
          <w:sz w:val="32"/>
          <w:szCs w:val="32"/>
        </w:rPr>
      </w:pPr>
      <w:r w:rsidRPr="00B35193">
        <w:rPr>
          <w:b/>
          <w:sz w:val="32"/>
          <w:szCs w:val="32"/>
        </w:rPr>
        <w:t>Business Report – Comparison of Corinthia Hotels and Ibis Hotels.</w:t>
      </w:r>
    </w:p>
    <w:p w14:paraId="3F7317D6" w14:textId="77777777" w:rsidR="00891DEA" w:rsidRPr="00B35193" w:rsidRDefault="00891DEA">
      <w:pPr>
        <w:jc w:val="center"/>
        <w:rPr>
          <w:b/>
          <w:sz w:val="32"/>
          <w:szCs w:val="32"/>
        </w:rPr>
      </w:pPr>
    </w:p>
    <w:p w14:paraId="3D664EC0" w14:textId="255859CE" w:rsidR="00891DEA" w:rsidRPr="00B35193" w:rsidRDefault="005E7197">
      <w:pPr>
        <w:jc w:val="center"/>
        <w:rPr>
          <w:b/>
          <w:sz w:val="32"/>
          <w:szCs w:val="32"/>
        </w:rPr>
      </w:pPr>
      <w:r w:rsidRPr="00B35193">
        <w:rPr>
          <w:b/>
          <w:sz w:val="32"/>
          <w:szCs w:val="32"/>
        </w:rPr>
        <w:t>Sumaiya Begum Tanni</w:t>
      </w:r>
    </w:p>
    <w:p w14:paraId="607E8956" w14:textId="77777777" w:rsidR="00B35193" w:rsidRPr="00B35193" w:rsidRDefault="00891DEA">
      <w:pPr>
        <w:jc w:val="center"/>
        <w:rPr>
          <w:b/>
          <w:sz w:val="32"/>
          <w:szCs w:val="32"/>
        </w:rPr>
      </w:pPr>
      <w:r w:rsidRPr="00B35193">
        <w:rPr>
          <w:b/>
          <w:sz w:val="32"/>
          <w:szCs w:val="32"/>
        </w:rPr>
        <w:t>Student ID:</w:t>
      </w:r>
      <w:r w:rsidR="005E7197" w:rsidRPr="00B35193">
        <w:rPr>
          <w:b/>
          <w:sz w:val="32"/>
          <w:szCs w:val="32"/>
        </w:rPr>
        <w:t xml:space="preserve"> 2211676</w:t>
      </w:r>
    </w:p>
    <w:p w14:paraId="18E7E5B5" w14:textId="0F77C72B" w:rsidR="00DB4CD0" w:rsidRDefault="00B35193">
      <w:pPr>
        <w:jc w:val="center"/>
      </w:pPr>
      <w:r w:rsidRPr="00B35193">
        <w:rPr>
          <w:b/>
          <w:sz w:val="32"/>
          <w:szCs w:val="32"/>
        </w:rPr>
        <w:t>Tristan Hawkins</w:t>
      </w:r>
      <w:r w:rsidRPr="00B35193">
        <w:rPr>
          <w:b/>
          <w:sz w:val="32"/>
          <w:szCs w:val="24"/>
        </w:rPr>
        <w:t xml:space="preserve"> </w:t>
      </w:r>
      <w:r w:rsidR="002E785C">
        <w:br w:type="page"/>
      </w:r>
    </w:p>
    <w:p w14:paraId="13640EF3" w14:textId="77777777" w:rsidR="00DB4CD0" w:rsidRDefault="002E785C">
      <w:pPr>
        <w:jc w:val="center"/>
        <w:rPr>
          <w:b/>
          <w:sz w:val="38"/>
          <w:szCs w:val="38"/>
        </w:rPr>
      </w:pPr>
      <w:r>
        <w:rPr>
          <w:b/>
          <w:sz w:val="38"/>
          <w:szCs w:val="38"/>
        </w:rPr>
        <w:lastRenderedPageBreak/>
        <w:t>Contents</w:t>
      </w:r>
    </w:p>
    <w:sdt>
      <w:sdtPr>
        <w:id w:val="-1334289802"/>
        <w:docPartObj>
          <w:docPartGallery w:val="Table of Contents"/>
          <w:docPartUnique/>
        </w:docPartObj>
      </w:sdtPr>
      <w:sdtContent>
        <w:p w14:paraId="009E2A9E" w14:textId="77777777" w:rsidR="00DB4CD0" w:rsidRDefault="002E785C">
          <w:pPr>
            <w:widowControl w:val="0"/>
            <w:tabs>
              <w:tab w:val="right" w:pos="9360"/>
            </w:tabs>
            <w:spacing w:before="60" w:line="240" w:lineRule="auto"/>
            <w:jc w:val="left"/>
            <w:rPr>
              <w:b/>
              <w:noProof/>
              <w:color w:val="000000"/>
            </w:rPr>
          </w:pPr>
          <w:r>
            <w:fldChar w:fldCharType="begin"/>
          </w:r>
          <w:r>
            <w:instrText xml:space="preserve"> TOC \h \u \z \t "Heading 1,1,Heading 2,2,Heading 3,3,Heading 4,4,Heading 5,5,Heading 6,6,"</w:instrText>
          </w:r>
          <w:r>
            <w:fldChar w:fldCharType="separate"/>
          </w:r>
          <w:hyperlink w:anchor="_wup2oxbxtuy0">
            <w:r>
              <w:rPr>
                <w:b/>
                <w:noProof/>
                <w:color w:val="000000"/>
              </w:rPr>
              <w:t>Introduction</w:t>
            </w:r>
            <w:r>
              <w:rPr>
                <w:b/>
                <w:noProof/>
                <w:color w:val="000000"/>
              </w:rPr>
              <w:tab/>
            </w:r>
          </w:hyperlink>
          <w:r>
            <w:rPr>
              <w:noProof/>
            </w:rPr>
            <w:fldChar w:fldCharType="begin"/>
          </w:r>
          <w:r>
            <w:rPr>
              <w:noProof/>
            </w:rPr>
            <w:instrText xml:space="preserve"> PAGEREF _wup2oxbxtuy0 \h </w:instrText>
          </w:r>
          <w:r>
            <w:rPr>
              <w:noProof/>
            </w:rPr>
          </w:r>
          <w:r>
            <w:rPr>
              <w:noProof/>
            </w:rPr>
            <w:fldChar w:fldCharType="separate"/>
          </w:r>
          <w:r w:rsidR="00891DEA">
            <w:rPr>
              <w:noProof/>
            </w:rPr>
            <w:t>3</w:t>
          </w:r>
          <w:r>
            <w:rPr>
              <w:noProof/>
            </w:rPr>
            <w:fldChar w:fldCharType="end"/>
          </w:r>
        </w:p>
        <w:p w14:paraId="4ED59490" w14:textId="77777777" w:rsidR="00DB4CD0" w:rsidRDefault="00000000">
          <w:pPr>
            <w:widowControl w:val="0"/>
            <w:tabs>
              <w:tab w:val="right" w:pos="9360"/>
            </w:tabs>
            <w:spacing w:before="60" w:line="240" w:lineRule="auto"/>
            <w:jc w:val="left"/>
            <w:rPr>
              <w:b/>
              <w:noProof/>
              <w:color w:val="000000"/>
            </w:rPr>
          </w:pPr>
          <w:hyperlink w:anchor="_3nkuqcta8tnk">
            <w:r w:rsidR="002E785C">
              <w:rPr>
                <w:b/>
                <w:noProof/>
                <w:color w:val="000000"/>
              </w:rPr>
              <w:t>Total Revenue Analysis</w:t>
            </w:r>
            <w:r w:rsidR="002E785C">
              <w:rPr>
                <w:b/>
                <w:noProof/>
                <w:color w:val="000000"/>
              </w:rPr>
              <w:tab/>
            </w:r>
          </w:hyperlink>
          <w:r w:rsidR="002E785C">
            <w:rPr>
              <w:noProof/>
            </w:rPr>
            <w:fldChar w:fldCharType="begin"/>
          </w:r>
          <w:r w:rsidR="002E785C">
            <w:rPr>
              <w:noProof/>
            </w:rPr>
            <w:instrText xml:space="preserve"> PAGEREF _3nkuqcta8tnk \h </w:instrText>
          </w:r>
          <w:r w:rsidR="002E785C">
            <w:rPr>
              <w:noProof/>
            </w:rPr>
          </w:r>
          <w:r w:rsidR="002E785C">
            <w:rPr>
              <w:noProof/>
            </w:rPr>
            <w:fldChar w:fldCharType="separate"/>
          </w:r>
          <w:r w:rsidR="00891DEA">
            <w:rPr>
              <w:noProof/>
            </w:rPr>
            <w:t>4</w:t>
          </w:r>
          <w:r w:rsidR="002E785C">
            <w:rPr>
              <w:noProof/>
            </w:rPr>
            <w:fldChar w:fldCharType="end"/>
          </w:r>
        </w:p>
        <w:p w14:paraId="72B135BF" w14:textId="77777777" w:rsidR="00DB4CD0" w:rsidRDefault="00000000">
          <w:pPr>
            <w:widowControl w:val="0"/>
            <w:tabs>
              <w:tab w:val="right" w:pos="9360"/>
            </w:tabs>
            <w:spacing w:before="60" w:line="240" w:lineRule="auto"/>
            <w:jc w:val="left"/>
            <w:rPr>
              <w:b/>
              <w:noProof/>
              <w:color w:val="000000"/>
            </w:rPr>
          </w:pPr>
          <w:hyperlink w:anchor="_5eqbpbnv7jyi">
            <w:r w:rsidR="002E785C">
              <w:rPr>
                <w:b/>
                <w:noProof/>
                <w:color w:val="000000"/>
              </w:rPr>
              <w:t>Market Position Assessment</w:t>
            </w:r>
            <w:r w:rsidR="002E785C">
              <w:rPr>
                <w:b/>
                <w:noProof/>
                <w:color w:val="000000"/>
              </w:rPr>
              <w:tab/>
            </w:r>
          </w:hyperlink>
          <w:r w:rsidR="002E785C">
            <w:rPr>
              <w:noProof/>
            </w:rPr>
            <w:fldChar w:fldCharType="begin"/>
          </w:r>
          <w:r w:rsidR="002E785C">
            <w:rPr>
              <w:noProof/>
            </w:rPr>
            <w:instrText xml:space="preserve"> PAGEREF _5eqbpbnv7jyi \h </w:instrText>
          </w:r>
          <w:r w:rsidR="002E785C">
            <w:rPr>
              <w:noProof/>
            </w:rPr>
          </w:r>
          <w:r w:rsidR="002E785C">
            <w:rPr>
              <w:noProof/>
            </w:rPr>
            <w:fldChar w:fldCharType="separate"/>
          </w:r>
          <w:r w:rsidR="00891DEA">
            <w:rPr>
              <w:noProof/>
            </w:rPr>
            <w:t>5</w:t>
          </w:r>
          <w:r w:rsidR="002E785C">
            <w:rPr>
              <w:noProof/>
            </w:rPr>
            <w:fldChar w:fldCharType="end"/>
          </w:r>
        </w:p>
        <w:p w14:paraId="1367D919" w14:textId="77777777" w:rsidR="00DB4CD0" w:rsidRDefault="00000000">
          <w:pPr>
            <w:widowControl w:val="0"/>
            <w:tabs>
              <w:tab w:val="right" w:pos="9360"/>
            </w:tabs>
            <w:spacing w:before="60" w:line="240" w:lineRule="auto"/>
            <w:jc w:val="left"/>
            <w:rPr>
              <w:b/>
              <w:noProof/>
              <w:color w:val="000000"/>
            </w:rPr>
          </w:pPr>
          <w:hyperlink w:anchor="_r27qia4i9adi">
            <w:r w:rsidR="002E785C">
              <w:rPr>
                <w:b/>
                <w:noProof/>
                <w:color w:val="000000"/>
              </w:rPr>
              <w:t>Growth Potential Evaluation</w:t>
            </w:r>
            <w:r w:rsidR="002E785C">
              <w:rPr>
                <w:b/>
                <w:noProof/>
                <w:color w:val="000000"/>
              </w:rPr>
              <w:tab/>
            </w:r>
          </w:hyperlink>
          <w:r w:rsidR="002E785C">
            <w:rPr>
              <w:noProof/>
            </w:rPr>
            <w:fldChar w:fldCharType="begin"/>
          </w:r>
          <w:r w:rsidR="002E785C">
            <w:rPr>
              <w:noProof/>
            </w:rPr>
            <w:instrText xml:space="preserve"> PAGEREF _r27qia4i9adi \h </w:instrText>
          </w:r>
          <w:r w:rsidR="002E785C">
            <w:rPr>
              <w:noProof/>
            </w:rPr>
          </w:r>
          <w:r w:rsidR="002E785C">
            <w:rPr>
              <w:noProof/>
            </w:rPr>
            <w:fldChar w:fldCharType="separate"/>
          </w:r>
          <w:r w:rsidR="00891DEA">
            <w:rPr>
              <w:noProof/>
            </w:rPr>
            <w:t>6</w:t>
          </w:r>
          <w:r w:rsidR="002E785C">
            <w:rPr>
              <w:noProof/>
            </w:rPr>
            <w:fldChar w:fldCharType="end"/>
          </w:r>
        </w:p>
        <w:p w14:paraId="12005F8A" w14:textId="77777777" w:rsidR="00DB4CD0" w:rsidRDefault="00000000">
          <w:pPr>
            <w:widowControl w:val="0"/>
            <w:tabs>
              <w:tab w:val="right" w:pos="9360"/>
            </w:tabs>
            <w:spacing w:before="60" w:line="240" w:lineRule="auto"/>
            <w:jc w:val="left"/>
            <w:rPr>
              <w:b/>
              <w:noProof/>
              <w:color w:val="000000"/>
            </w:rPr>
          </w:pPr>
          <w:hyperlink w:anchor="_d37cx0a4mnvv">
            <w:r w:rsidR="002E785C">
              <w:rPr>
                <w:b/>
                <w:noProof/>
                <w:color w:val="000000"/>
              </w:rPr>
              <w:t>Financial Commitment to CSR Analysis</w:t>
            </w:r>
            <w:r w:rsidR="002E785C">
              <w:rPr>
                <w:b/>
                <w:noProof/>
                <w:color w:val="000000"/>
              </w:rPr>
              <w:tab/>
            </w:r>
          </w:hyperlink>
          <w:r w:rsidR="002E785C">
            <w:rPr>
              <w:noProof/>
            </w:rPr>
            <w:fldChar w:fldCharType="begin"/>
          </w:r>
          <w:r w:rsidR="002E785C">
            <w:rPr>
              <w:noProof/>
            </w:rPr>
            <w:instrText xml:space="preserve"> PAGEREF _d37cx0a4mnvv \h </w:instrText>
          </w:r>
          <w:r w:rsidR="002E785C">
            <w:rPr>
              <w:noProof/>
            </w:rPr>
          </w:r>
          <w:r w:rsidR="002E785C">
            <w:rPr>
              <w:noProof/>
            </w:rPr>
            <w:fldChar w:fldCharType="separate"/>
          </w:r>
          <w:r w:rsidR="00891DEA">
            <w:rPr>
              <w:noProof/>
            </w:rPr>
            <w:t>7</w:t>
          </w:r>
          <w:r w:rsidR="002E785C">
            <w:rPr>
              <w:noProof/>
            </w:rPr>
            <w:fldChar w:fldCharType="end"/>
          </w:r>
        </w:p>
        <w:p w14:paraId="335DE13D" w14:textId="77777777" w:rsidR="00DB4CD0" w:rsidRDefault="00000000">
          <w:pPr>
            <w:widowControl w:val="0"/>
            <w:tabs>
              <w:tab w:val="right" w:pos="9360"/>
            </w:tabs>
            <w:spacing w:before="60" w:line="240" w:lineRule="auto"/>
            <w:jc w:val="left"/>
            <w:rPr>
              <w:b/>
              <w:noProof/>
              <w:color w:val="000000"/>
            </w:rPr>
          </w:pPr>
          <w:hyperlink w:anchor="_cyt3l8gg5cy0">
            <w:r w:rsidR="002E785C">
              <w:rPr>
                <w:b/>
                <w:noProof/>
                <w:color w:val="000000"/>
              </w:rPr>
              <w:t>Recommendations</w:t>
            </w:r>
            <w:r w:rsidR="002E785C">
              <w:rPr>
                <w:b/>
                <w:noProof/>
                <w:color w:val="000000"/>
              </w:rPr>
              <w:tab/>
            </w:r>
          </w:hyperlink>
          <w:r w:rsidR="002E785C">
            <w:rPr>
              <w:noProof/>
            </w:rPr>
            <w:fldChar w:fldCharType="begin"/>
          </w:r>
          <w:r w:rsidR="002E785C">
            <w:rPr>
              <w:noProof/>
            </w:rPr>
            <w:instrText xml:space="preserve"> PAGEREF _cyt3l8gg5cy0 \h </w:instrText>
          </w:r>
          <w:r w:rsidR="002E785C">
            <w:rPr>
              <w:noProof/>
            </w:rPr>
          </w:r>
          <w:r w:rsidR="002E785C">
            <w:rPr>
              <w:noProof/>
            </w:rPr>
            <w:fldChar w:fldCharType="separate"/>
          </w:r>
          <w:r w:rsidR="00891DEA">
            <w:rPr>
              <w:noProof/>
            </w:rPr>
            <w:t>8</w:t>
          </w:r>
          <w:r w:rsidR="002E785C">
            <w:rPr>
              <w:noProof/>
            </w:rPr>
            <w:fldChar w:fldCharType="end"/>
          </w:r>
        </w:p>
        <w:p w14:paraId="3396AC2A" w14:textId="77777777" w:rsidR="00DB4CD0" w:rsidRDefault="00000000">
          <w:pPr>
            <w:widowControl w:val="0"/>
            <w:tabs>
              <w:tab w:val="right" w:pos="9360"/>
            </w:tabs>
            <w:spacing w:before="60" w:line="240" w:lineRule="auto"/>
            <w:jc w:val="left"/>
            <w:rPr>
              <w:b/>
              <w:noProof/>
              <w:color w:val="000000"/>
            </w:rPr>
          </w:pPr>
          <w:hyperlink w:anchor="_va4lg8s0h88n">
            <w:r w:rsidR="002E785C">
              <w:rPr>
                <w:b/>
                <w:noProof/>
                <w:color w:val="000000"/>
              </w:rPr>
              <w:t>Conclusion</w:t>
            </w:r>
            <w:r w:rsidR="002E785C">
              <w:rPr>
                <w:b/>
                <w:noProof/>
                <w:color w:val="000000"/>
              </w:rPr>
              <w:tab/>
            </w:r>
          </w:hyperlink>
          <w:r w:rsidR="002E785C">
            <w:rPr>
              <w:noProof/>
            </w:rPr>
            <w:fldChar w:fldCharType="begin"/>
          </w:r>
          <w:r w:rsidR="002E785C">
            <w:rPr>
              <w:noProof/>
            </w:rPr>
            <w:instrText xml:space="preserve"> PAGEREF _va4lg8s0h88n \h </w:instrText>
          </w:r>
          <w:r w:rsidR="002E785C">
            <w:rPr>
              <w:noProof/>
            </w:rPr>
          </w:r>
          <w:r w:rsidR="002E785C">
            <w:rPr>
              <w:noProof/>
            </w:rPr>
            <w:fldChar w:fldCharType="separate"/>
          </w:r>
          <w:r w:rsidR="00891DEA">
            <w:rPr>
              <w:noProof/>
            </w:rPr>
            <w:t>10</w:t>
          </w:r>
          <w:r w:rsidR="002E785C">
            <w:rPr>
              <w:noProof/>
            </w:rPr>
            <w:fldChar w:fldCharType="end"/>
          </w:r>
        </w:p>
        <w:p w14:paraId="36579A47" w14:textId="77777777" w:rsidR="00DB4CD0" w:rsidRDefault="00000000">
          <w:pPr>
            <w:widowControl w:val="0"/>
            <w:tabs>
              <w:tab w:val="right" w:pos="9360"/>
            </w:tabs>
            <w:spacing w:before="60" w:line="240" w:lineRule="auto"/>
            <w:jc w:val="left"/>
            <w:rPr>
              <w:b/>
              <w:color w:val="000000"/>
            </w:rPr>
          </w:pPr>
          <w:hyperlink w:anchor="_7tqt1fhlmy5q">
            <w:r w:rsidR="002E785C">
              <w:rPr>
                <w:b/>
                <w:noProof/>
                <w:color w:val="000000"/>
              </w:rPr>
              <w:t>References</w:t>
            </w:r>
            <w:r w:rsidR="002E785C">
              <w:rPr>
                <w:b/>
                <w:noProof/>
                <w:color w:val="000000"/>
              </w:rPr>
              <w:tab/>
            </w:r>
          </w:hyperlink>
          <w:r w:rsidR="002E785C">
            <w:rPr>
              <w:noProof/>
            </w:rPr>
            <w:fldChar w:fldCharType="begin"/>
          </w:r>
          <w:r w:rsidR="002E785C">
            <w:rPr>
              <w:noProof/>
            </w:rPr>
            <w:instrText xml:space="preserve"> PAGEREF _7tqt1fhlmy5q \h </w:instrText>
          </w:r>
          <w:r w:rsidR="002E785C">
            <w:rPr>
              <w:noProof/>
            </w:rPr>
          </w:r>
          <w:r w:rsidR="002E785C">
            <w:rPr>
              <w:noProof/>
            </w:rPr>
            <w:fldChar w:fldCharType="separate"/>
          </w:r>
          <w:r w:rsidR="00891DEA">
            <w:rPr>
              <w:noProof/>
            </w:rPr>
            <w:t>11</w:t>
          </w:r>
          <w:r w:rsidR="002E785C">
            <w:rPr>
              <w:noProof/>
            </w:rPr>
            <w:fldChar w:fldCharType="end"/>
          </w:r>
          <w:r w:rsidR="002E785C">
            <w:fldChar w:fldCharType="end"/>
          </w:r>
        </w:p>
      </w:sdtContent>
    </w:sdt>
    <w:p w14:paraId="59C67985" w14:textId="77777777" w:rsidR="00DB4CD0" w:rsidRDefault="002E785C">
      <w:r>
        <w:br w:type="page"/>
      </w:r>
    </w:p>
    <w:p w14:paraId="2E30DA74" w14:textId="77777777" w:rsidR="00DB4CD0" w:rsidRDefault="002E785C">
      <w:pPr>
        <w:pStyle w:val="Heading1"/>
      </w:pPr>
      <w:bookmarkStart w:id="0" w:name="_wup2oxbxtuy0" w:colFirst="0" w:colLast="0"/>
      <w:bookmarkEnd w:id="0"/>
      <w:r>
        <w:lastRenderedPageBreak/>
        <w:t>Introduction</w:t>
      </w:r>
    </w:p>
    <w:p w14:paraId="233966A4" w14:textId="77777777" w:rsidR="00DB4CD0" w:rsidRDefault="002E785C">
      <w:r>
        <w:t>This business report details the methods used by Corinthia Hotels and Ibis Hotels for managing their finances. It compared and evaluated them in important ways, taking into account things like total revenue, market position, growth potential, and CSR funding. Using data and insights particular to the hotel sector, the research explains how these major companies deal with economic downturns, reach out to various customer demographics, and keep their sustainability pledges. Each organisation receives suggestions based on the findings(Amat &amp; Valls, 2019). Stakeholders in the ever-changing hotel business will find this research to be an excellent resource for understanding how to effectively manage finances.</w:t>
      </w:r>
    </w:p>
    <w:p w14:paraId="6C235487" w14:textId="77777777" w:rsidR="00DB4CD0" w:rsidRDefault="00DB4CD0"/>
    <w:p w14:paraId="226EACAA" w14:textId="77777777" w:rsidR="00DB4CD0" w:rsidRDefault="00DB4CD0"/>
    <w:p w14:paraId="0AE2C5B6" w14:textId="77777777" w:rsidR="00DB4CD0" w:rsidRDefault="00DB4CD0"/>
    <w:p w14:paraId="38C78353" w14:textId="77777777" w:rsidR="00DB4CD0" w:rsidRDefault="00DB4CD0"/>
    <w:p w14:paraId="5905E76F" w14:textId="77777777" w:rsidR="00DB4CD0" w:rsidRDefault="00DB4CD0"/>
    <w:p w14:paraId="528C76D3" w14:textId="77777777" w:rsidR="00DB4CD0" w:rsidRDefault="00DB4CD0"/>
    <w:p w14:paraId="71B74CE6" w14:textId="77777777" w:rsidR="00DB4CD0" w:rsidRDefault="002E785C">
      <w:r>
        <w:br w:type="page"/>
      </w:r>
    </w:p>
    <w:p w14:paraId="200E0200" w14:textId="77777777" w:rsidR="00DB4CD0" w:rsidRDefault="002E785C">
      <w:pPr>
        <w:pStyle w:val="Heading1"/>
      </w:pPr>
      <w:bookmarkStart w:id="1" w:name="_3nkuqcta8tnk" w:colFirst="0" w:colLast="0"/>
      <w:bookmarkEnd w:id="1"/>
      <w:r>
        <w:lastRenderedPageBreak/>
        <w:t>Total Revenue Analysis</w:t>
      </w:r>
    </w:p>
    <w:p w14:paraId="546F89F3" w14:textId="77777777" w:rsidR="00DB4CD0" w:rsidRDefault="002E785C">
      <w:pPr>
        <w:rPr>
          <w:b/>
          <w:sz w:val="26"/>
          <w:szCs w:val="26"/>
        </w:rPr>
      </w:pPr>
      <w:r>
        <w:rPr>
          <w:b/>
          <w:sz w:val="26"/>
          <w:szCs w:val="26"/>
        </w:rPr>
        <w:t>Corinthia Hotels:</w:t>
      </w:r>
    </w:p>
    <w:p w14:paraId="560C01D9" w14:textId="77777777" w:rsidR="00DB4CD0" w:rsidRDefault="002E785C">
      <w:r>
        <w:t xml:space="preserve">A robust revenue model is provided by the many income sources shown by Corinthia Hotels. Reservations for rooms account for 65% of total revenue, according to their most current financial reports (2023). In addition to a fine-tuned plan, ancillary services make up 20% and event hosting 15%. The hotel chain </w:t>
      </w:r>
      <w:proofErr w:type="spellStart"/>
      <w:r>
        <w:t>maximises</w:t>
      </w:r>
      <w:proofErr w:type="spellEnd"/>
      <w:r>
        <w:t xml:space="preserve"> profits by offering premium accommodation choices and unique packages, strategically targeting the luxury market. Based on economic data studies, Corinthia Hotels had a 10% increase in revenue from 2022 to 2023 (Cornell University Center for Hospitality Research, 2022). This was because of the uptick in bookings brought about by the fruitful advertising campaigns and rave reviews.</w:t>
      </w:r>
    </w:p>
    <w:p w14:paraId="25AFC21E" w14:textId="77777777" w:rsidR="00DB4CD0" w:rsidRDefault="002E785C">
      <w:pPr>
        <w:rPr>
          <w:b/>
          <w:sz w:val="26"/>
          <w:szCs w:val="26"/>
        </w:rPr>
      </w:pPr>
      <w:r>
        <w:rPr>
          <w:b/>
          <w:sz w:val="26"/>
          <w:szCs w:val="26"/>
        </w:rPr>
        <w:t>Ibis Hotels:</w:t>
      </w:r>
    </w:p>
    <w:p w14:paraId="62B6BC08" w14:textId="77777777" w:rsidR="00DB4CD0" w:rsidRDefault="002E785C">
      <w:r>
        <w:t xml:space="preserve">Increasing revenue while decreasing expenditure is a key objective for Ibis Hotels. Room bookings, which provide </w:t>
      </w:r>
      <w:proofErr w:type="spellStart"/>
      <w:r>
        <w:t>standardised</w:t>
      </w:r>
      <w:proofErr w:type="spellEnd"/>
      <w:r>
        <w:t xml:space="preserve"> alternatives and competitive pricing, bring roughly 80% of the total revenue. Ten percent is devoted to events and supplementary services. A 5% increase in revenue from 2022 to 2023 is shown in Ibis Hotels' financial reports for 2023, which suggests a constant growth in customer demand. The global breadth of the hotel company makes it a good choice for budget-conscious tourists. Ibis Hotels are able to weather economic storms better than their competitors since they put an emphasis on affordability (Font &amp; </w:t>
      </w:r>
      <w:proofErr w:type="spellStart"/>
      <w:r>
        <w:t>Bollozo</w:t>
      </w:r>
      <w:proofErr w:type="spellEnd"/>
      <w:r>
        <w:t>, 2018).</w:t>
      </w:r>
    </w:p>
    <w:p w14:paraId="17587585" w14:textId="77777777" w:rsidR="00DB4CD0" w:rsidRDefault="00DB4CD0"/>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DB4CD0" w14:paraId="0BCCA954" w14:textId="77777777">
        <w:tc>
          <w:tcPr>
            <w:tcW w:w="3120" w:type="dxa"/>
            <w:shd w:val="clear" w:color="auto" w:fill="D9D9D9"/>
            <w:tcMar>
              <w:top w:w="100" w:type="dxa"/>
              <w:left w:w="100" w:type="dxa"/>
              <w:bottom w:w="100" w:type="dxa"/>
              <w:right w:w="100" w:type="dxa"/>
            </w:tcMar>
          </w:tcPr>
          <w:p w14:paraId="37A13766" w14:textId="77777777" w:rsidR="00DB4CD0" w:rsidRDefault="002E785C">
            <w:pPr>
              <w:widowControl w:val="0"/>
              <w:pBdr>
                <w:top w:val="nil"/>
                <w:left w:val="nil"/>
                <w:bottom w:val="nil"/>
                <w:right w:val="nil"/>
                <w:between w:val="nil"/>
              </w:pBdr>
              <w:spacing w:line="240" w:lineRule="auto"/>
              <w:jc w:val="center"/>
              <w:rPr>
                <w:b/>
                <w:sz w:val="24"/>
                <w:szCs w:val="24"/>
              </w:rPr>
            </w:pPr>
            <w:r>
              <w:rPr>
                <w:b/>
                <w:sz w:val="24"/>
                <w:szCs w:val="24"/>
              </w:rPr>
              <w:t>Total Revenue Analysis</w:t>
            </w:r>
            <w:r>
              <w:rPr>
                <w:b/>
                <w:sz w:val="24"/>
                <w:szCs w:val="24"/>
              </w:rPr>
              <w:tab/>
            </w:r>
          </w:p>
        </w:tc>
        <w:tc>
          <w:tcPr>
            <w:tcW w:w="3120" w:type="dxa"/>
            <w:shd w:val="clear" w:color="auto" w:fill="D9D9D9"/>
            <w:tcMar>
              <w:top w:w="100" w:type="dxa"/>
              <w:left w:w="100" w:type="dxa"/>
              <w:bottom w:w="100" w:type="dxa"/>
              <w:right w:w="100" w:type="dxa"/>
            </w:tcMar>
          </w:tcPr>
          <w:p w14:paraId="3ED713DB" w14:textId="77777777" w:rsidR="00DB4CD0" w:rsidRDefault="002E785C">
            <w:pPr>
              <w:widowControl w:val="0"/>
              <w:pBdr>
                <w:top w:val="nil"/>
                <w:left w:val="nil"/>
                <w:bottom w:val="nil"/>
                <w:right w:val="nil"/>
                <w:between w:val="nil"/>
              </w:pBdr>
              <w:spacing w:line="240" w:lineRule="auto"/>
              <w:jc w:val="center"/>
              <w:rPr>
                <w:b/>
                <w:sz w:val="24"/>
                <w:szCs w:val="24"/>
              </w:rPr>
            </w:pPr>
            <w:r>
              <w:rPr>
                <w:b/>
                <w:sz w:val="24"/>
                <w:szCs w:val="24"/>
              </w:rPr>
              <w:t>Corinthia Hotels (2023)</w:t>
            </w:r>
            <w:r>
              <w:rPr>
                <w:b/>
                <w:sz w:val="24"/>
                <w:szCs w:val="24"/>
              </w:rPr>
              <w:tab/>
            </w:r>
          </w:p>
        </w:tc>
        <w:tc>
          <w:tcPr>
            <w:tcW w:w="3120" w:type="dxa"/>
            <w:shd w:val="clear" w:color="auto" w:fill="D9D9D9"/>
            <w:tcMar>
              <w:top w:w="100" w:type="dxa"/>
              <w:left w:w="100" w:type="dxa"/>
              <w:bottom w:w="100" w:type="dxa"/>
              <w:right w:w="100" w:type="dxa"/>
            </w:tcMar>
          </w:tcPr>
          <w:p w14:paraId="5C217D31" w14:textId="77777777" w:rsidR="00DB4CD0" w:rsidRDefault="002E785C">
            <w:pPr>
              <w:widowControl w:val="0"/>
              <w:pBdr>
                <w:top w:val="nil"/>
                <w:left w:val="nil"/>
                <w:bottom w:val="nil"/>
                <w:right w:val="nil"/>
                <w:between w:val="nil"/>
              </w:pBdr>
              <w:spacing w:line="240" w:lineRule="auto"/>
              <w:jc w:val="center"/>
              <w:rPr>
                <w:b/>
                <w:sz w:val="24"/>
                <w:szCs w:val="24"/>
              </w:rPr>
            </w:pPr>
            <w:r>
              <w:rPr>
                <w:b/>
                <w:sz w:val="24"/>
                <w:szCs w:val="24"/>
              </w:rPr>
              <w:t>Ibis Hotels (2023)</w:t>
            </w:r>
          </w:p>
        </w:tc>
      </w:tr>
      <w:tr w:rsidR="00DB4CD0" w14:paraId="2E3B6EEA" w14:textId="77777777">
        <w:tc>
          <w:tcPr>
            <w:tcW w:w="3120" w:type="dxa"/>
            <w:shd w:val="clear" w:color="auto" w:fill="auto"/>
            <w:tcMar>
              <w:top w:w="100" w:type="dxa"/>
              <w:left w:w="100" w:type="dxa"/>
              <w:bottom w:w="100" w:type="dxa"/>
              <w:right w:w="100" w:type="dxa"/>
            </w:tcMar>
          </w:tcPr>
          <w:p w14:paraId="4588BDE7" w14:textId="77777777" w:rsidR="00DB4CD0" w:rsidRDefault="002E785C">
            <w:pPr>
              <w:widowControl w:val="0"/>
              <w:pBdr>
                <w:top w:val="nil"/>
                <w:left w:val="nil"/>
                <w:bottom w:val="nil"/>
                <w:right w:val="nil"/>
                <w:between w:val="nil"/>
              </w:pBdr>
              <w:spacing w:line="240" w:lineRule="auto"/>
              <w:jc w:val="left"/>
            </w:pPr>
            <w:r>
              <w:t>Primary Revenue Source</w:t>
            </w:r>
            <w:r>
              <w:tab/>
            </w:r>
          </w:p>
        </w:tc>
        <w:tc>
          <w:tcPr>
            <w:tcW w:w="3120" w:type="dxa"/>
            <w:shd w:val="clear" w:color="auto" w:fill="auto"/>
            <w:tcMar>
              <w:top w:w="100" w:type="dxa"/>
              <w:left w:w="100" w:type="dxa"/>
              <w:bottom w:w="100" w:type="dxa"/>
              <w:right w:w="100" w:type="dxa"/>
            </w:tcMar>
          </w:tcPr>
          <w:p w14:paraId="29EA1E36" w14:textId="77777777" w:rsidR="00DB4CD0" w:rsidRDefault="002E785C">
            <w:pPr>
              <w:widowControl w:val="0"/>
              <w:pBdr>
                <w:top w:val="nil"/>
                <w:left w:val="nil"/>
                <w:bottom w:val="nil"/>
                <w:right w:val="nil"/>
                <w:between w:val="nil"/>
              </w:pBdr>
              <w:spacing w:line="240" w:lineRule="auto"/>
              <w:jc w:val="left"/>
            </w:pPr>
            <w:r>
              <w:t>Room Bookings (65%)</w:t>
            </w:r>
            <w:r>
              <w:tab/>
            </w:r>
          </w:p>
        </w:tc>
        <w:tc>
          <w:tcPr>
            <w:tcW w:w="3120" w:type="dxa"/>
            <w:shd w:val="clear" w:color="auto" w:fill="auto"/>
            <w:tcMar>
              <w:top w:w="100" w:type="dxa"/>
              <w:left w:w="100" w:type="dxa"/>
              <w:bottom w:w="100" w:type="dxa"/>
              <w:right w:w="100" w:type="dxa"/>
            </w:tcMar>
          </w:tcPr>
          <w:p w14:paraId="1595C88C" w14:textId="77777777" w:rsidR="00DB4CD0" w:rsidRDefault="002E785C">
            <w:pPr>
              <w:widowControl w:val="0"/>
              <w:pBdr>
                <w:top w:val="nil"/>
                <w:left w:val="nil"/>
                <w:bottom w:val="nil"/>
                <w:right w:val="nil"/>
                <w:between w:val="nil"/>
              </w:pBdr>
              <w:spacing w:line="240" w:lineRule="auto"/>
              <w:jc w:val="left"/>
            </w:pPr>
            <w:r>
              <w:t>Room Bookings (80%)</w:t>
            </w:r>
          </w:p>
        </w:tc>
      </w:tr>
      <w:tr w:rsidR="00DB4CD0" w14:paraId="425655F1" w14:textId="77777777">
        <w:tc>
          <w:tcPr>
            <w:tcW w:w="3120" w:type="dxa"/>
            <w:shd w:val="clear" w:color="auto" w:fill="auto"/>
            <w:tcMar>
              <w:top w:w="100" w:type="dxa"/>
              <w:left w:w="100" w:type="dxa"/>
              <w:bottom w:w="100" w:type="dxa"/>
              <w:right w:w="100" w:type="dxa"/>
            </w:tcMar>
          </w:tcPr>
          <w:p w14:paraId="391AC87F" w14:textId="77777777" w:rsidR="00DB4CD0" w:rsidRDefault="002E785C">
            <w:pPr>
              <w:widowControl w:val="0"/>
              <w:pBdr>
                <w:top w:val="nil"/>
                <w:left w:val="nil"/>
                <w:bottom w:val="nil"/>
                <w:right w:val="nil"/>
                <w:between w:val="nil"/>
              </w:pBdr>
              <w:spacing w:line="240" w:lineRule="auto"/>
              <w:jc w:val="left"/>
            </w:pPr>
            <w:r>
              <w:t>Ancillary Services</w:t>
            </w:r>
            <w:r>
              <w:tab/>
            </w:r>
          </w:p>
        </w:tc>
        <w:tc>
          <w:tcPr>
            <w:tcW w:w="3120" w:type="dxa"/>
            <w:shd w:val="clear" w:color="auto" w:fill="auto"/>
            <w:tcMar>
              <w:top w:w="100" w:type="dxa"/>
              <w:left w:w="100" w:type="dxa"/>
              <w:bottom w:w="100" w:type="dxa"/>
              <w:right w:w="100" w:type="dxa"/>
            </w:tcMar>
          </w:tcPr>
          <w:p w14:paraId="538A8089" w14:textId="77777777" w:rsidR="00DB4CD0" w:rsidRDefault="002E785C">
            <w:pPr>
              <w:widowControl w:val="0"/>
              <w:pBdr>
                <w:top w:val="nil"/>
                <w:left w:val="nil"/>
                <w:bottom w:val="nil"/>
                <w:right w:val="nil"/>
                <w:between w:val="nil"/>
              </w:pBdr>
              <w:spacing w:line="240" w:lineRule="auto"/>
              <w:jc w:val="left"/>
            </w:pPr>
            <w:r>
              <w:t>Ancillary Services (20%)</w:t>
            </w:r>
            <w:r>
              <w:tab/>
            </w:r>
          </w:p>
        </w:tc>
        <w:tc>
          <w:tcPr>
            <w:tcW w:w="3120" w:type="dxa"/>
            <w:shd w:val="clear" w:color="auto" w:fill="auto"/>
            <w:tcMar>
              <w:top w:w="100" w:type="dxa"/>
              <w:left w:w="100" w:type="dxa"/>
              <w:bottom w:w="100" w:type="dxa"/>
              <w:right w:w="100" w:type="dxa"/>
            </w:tcMar>
          </w:tcPr>
          <w:p w14:paraId="0371DDCB" w14:textId="77777777" w:rsidR="00DB4CD0" w:rsidRDefault="002E785C">
            <w:pPr>
              <w:widowControl w:val="0"/>
              <w:pBdr>
                <w:top w:val="nil"/>
                <w:left w:val="nil"/>
                <w:bottom w:val="nil"/>
                <w:right w:val="nil"/>
                <w:between w:val="nil"/>
              </w:pBdr>
              <w:spacing w:line="240" w:lineRule="auto"/>
              <w:jc w:val="left"/>
            </w:pPr>
            <w:r>
              <w:t>Ancillary Services (10%)</w:t>
            </w:r>
          </w:p>
        </w:tc>
      </w:tr>
      <w:tr w:rsidR="00DB4CD0" w14:paraId="37210E33" w14:textId="77777777">
        <w:tc>
          <w:tcPr>
            <w:tcW w:w="3120" w:type="dxa"/>
            <w:shd w:val="clear" w:color="auto" w:fill="auto"/>
            <w:tcMar>
              <w:top w:w="100" w:type="dxa"/>
              <w:left w:w="100" w:type="dxa"/>
              <w:bottom w:w="100" w:type="dxa"/>
              <w:right w:w="100" w:type="dxa"/>
            </w:tcMar>
          </w:tcPr>
          <w:p w14:paraId="052BC3F0" w14:textId="77777777" w:rsidR="00DB4CD0" w:rsidRDefault="002E785C">
            <w:pPr>
              <w:widowControl w:val="0"/>
              <w:pBdr>
                <w:top w:val="nil"/>
                <w:left w:val="nil"/>
                <w:bottom w:val="nil"/>
                <w:right w:val="nil"/>
                <w:between w:val="nil"/>
              </w:pBdr>
              <w:spacing w:line="240" w:lineRule="auto"/>
              <w:jc w:val="left"/>
            </w:pPr>
            <w:r>
              <w:t>Events</w:t>
            </w:r>
            <w:r>
              <w:tab/>
            </w:r>
          </w:p>
        </w:tc>
        <w:tc>
          <w:tcPr>
            <w:tcW w:w="3120" w:type="dxa"/>
            <w:shd w:val="clear" w:color="auto" w:fill="auto"/>
            <w:tcMar>
              <w:top w:w="100" w:type="dxa"/>
              <w:left w:w="100" w:type="dxa"/>
              <w:bottom w:w="100" w:type="dxa"/>
              <w:right w:w="100" w:type="dxa"/>
            </w:tcMar>
          </w:tcPr>
          <w:p w14:paraId="7B08894D" w14:textId="77777777" w:rsidR="00DB4CD0" w:rsidRDefault="002E785C">
            <w:pPr>
              <w:widowControl w:val="0"/>
              <w:pBdr>
                <w:top w:val="nil"/>
                <w:left w:val="nil"/>
                <w:bottom w:val="nil"/>
                <w:right w:val="nil"/>
                <w:between w:val="nil"/>
              </w:pBdr>
              <w:spacing w:line="240" w:lineRule="auto"/>
              <w:jc w:val="left"/>
            </w:pPr>
            <w:r>
              <w:t>Events (15%)</w:t>
            </w:r>
            <w:r>
              <w:tab/>
            </w:r>
          </w:p>
        </w:tc>
        <w:tc>
          <w:tcPr>
            <w:tcW w:w="3120" w:type="dxa"/>
            <w:shd w:val="clear" w:color="auto" w:fill="auto"/>
            <w:tcMar>
              <w:top w:w="100" w:type="dxa"/>
              <w:left w:w="100" w:type="dxa"/>
              <w:bottom w:w="100" w:type="dxa"/>
              <w:right w:w="100" w:type="dxa"/>
            </w:tcMar>
          </w:tcPr>
          <w:p w14:paraId="11885B3E" w14:textId="77777777" w:rsidR="00DB4CD0" w:rsidRDefault="002E785C">
            <w:pPr>
              <w:widowControl w:val="0"/>
              <w:pBdr>
                <w:top w:val="nil"/>
                <w:left w:val="nil"/>
                <w:bottom w:val="nil"/>
                <w:right w:val="nil"/>
                <w:between w:val="nil"/>
              </w:pBdr>
              <w:spacing w:line="240" w:lineRule="auto"/>
              <w:jc w:val="left"/>
            </w:pPr>
            <w:r>
              <w:t>Events (10%)</w:t>
            </w:r>
          </w:p>
        </w:tc>
      </w:tr>
      <w:tr w:rsidR="00DB4CD0" w14:paraId="78986199" w14:textId="77777777">
        <w:tc>
          <w:tcPr>
            <w:tcW w:w="3120" w:type="dxa"/>
            <w:shd w:val="clear" w:color="auto" w:fill="auto"/>
            <w:tcMar>
              <w:top w:w="100" w:type="dxa"/>
              <w:left w:w="100" w:type="dxa"/>
              <w:bottom w:w="100" w:type="dxa"/>
              <w:right w:w="100" w:type="dxa"/>
            </w:tcMar>
          </w:tcPr>
          <w:p w14:paraId="0A2A889B" w14:textId="77777777" w:rsidR="00DB4CD0" w:rsidRDefault="002E785C">
            <w:pPr>
              <w:widowControl w:val="0"/>
              <w:pBdr>
                <w:top w:val="nil"/>
                <w:left w:val="nil"/>
                <w:bottom w:val="nil"/>
                <w:right w:val="nil"/>
                <w:between w:val="nil"/>
              </w:pBdr>
              <w:spacing w:line="240" w:lineRule="auto"/>
              <w:jc w:val="left"/>
            </w:pPr>
            <w:r>
              <w:t>Revenue Growth (2022-2023)</w:t>
            </w:r>
          </w:p>
        </w:tc>
        <w:tc>
          <w:tcPr>
            <w:tcW w:w="3120" w:type="dxa"/>
            <w:shd w:val="clear" w:color="auto" w:fill="auto"/>
            <w:tcMar>
              <w:top w:w="100" w:type="dxa"/>
              <w:left w:w="100" w:type="dxa"/>
              <w:bottom w:w="100" w:type="dxa"/>
              <w:right w:w="100" w:type="dxa"/>
            </w:tcMar>
          </w:tcPr>
          <w:p w14:paraId="1CC76020" w14:textId="77777777" w:rsidR="00DB4CD0" w:rsidRDefault="002E785C">
            <w:pPr>
              <w:widowControl w:val="0"/>
              <w:pBdr>
                <w:top w:val="nil"/>
                <w:left w:val="nil"/>
                <w:bottom w:val="nil"/>
                <w:right w:val="nil"/>
                <w:between w:val="nil"/>
              </w:pBdr>
              <w:spacing w:line="240" w:lineRule="auto"/>
              <w:jc w:val="left"/>
            </w:pPr>
            <w:r>
              <w:t>10%</w:t>
            </w:r>
            <w:r>
              <w:tab/>
            </w:r>
          </w:p>
        </w:tc>
        <w:tc>
          <w:tcPr>
            <w:tcW w:w="3120" w:type="dxa"/>
            <w:shd w:val="clear" w:color="auto" w:fill="auto"/>
            <w:tcMar>
              <w:top w:w="100" w:type="dxa"/>
              <w:left w:w="100" w:type="dxa"/>
              <w:bottom w:w="100" w:type="dxa"/>
              <w:right w:w="100" w:type="dxa"/>
            </w:tcMar>
          </w:tcPr>
          <w:p w14:paraId="27BF7FD9" w14:textId="77777777" w:rsidR="00DB4CD0" w:rsidRDefault="002E785C">
            <w:pPr>
              <w:widowControl w:val="0"/>
              <w:pBdr>
                <w:top w:val="nil"/>
                <w:left w:val="nil"/>
                <w:bottom w:val="nil"/>
                <w:right w:val="nil"/>
                <w:between w:val="nil"/>
              </w:pBdr>
              <w:spacing w:line="240" w:lineRule="auto"/>
              <w:jc w:val="left"/>
            </w:pPr>
            <w:r>
              <w:t>5%</w:t>
            </w:r>
          </w:p>
        </w:tc>
      </w:tr>
      <w:tr w:rsidR="00DB4CD0" w14:paraId="642721F8" w14:textId="77777777">
        <w:tc>
          <w:tcPr>
            <w:tcW w:w="3120" w:type="dxa"/>
            <w:shd w:val="clear" w:color="auto" w:fill="auto"/>
            <w:tcMar>
              <w:top w:w="100" w:type="dxa"/>
              <w:left w:w="100" w:type="dxa"/>
              <w:bottom w:w="100" w:type="dxa"/>
              <w:right w:w="100" w:type="dxa"/>
            </w:tcMar>
          </w:tcPr>
          <w:p w14:paraId="08E52C83" w14:textId="77777777" w:rsidR="00DB4CD0" w:rsidRDefault="002E785C">
            <w:pPr>
              <w:widowControl w:val="0"/>
              <w:pBdr>
                <w:top w:val="nil"/>
                <w:left w:val="nil"/>
                <w:bottom w:val="nil"/>
                <w:right w:val="nil"/>
                <w:between w:val="nil"/>
              </w:pBdr>
              <w:spacing w:line="240" w:lineRule="auto"/>
              <w:jc w:val="left"/>
            </w:pPr>
            <w:r>
              <w:t>Market Segment</w:t>
            </w:r>
            <w:r>
              <w:tab/>
            </w:r>
          </w:p>
        </w:tc>
        <w:tc>
          <w:tcPr>
            <w:tcW w:w="3120" w:type="dxa"/>
            <w:shd w:val="clear" w:color="auto" w:fill="auto"/>
            <w:tcMar>
              <w:top w:w="100" w:type="dxa"/>
              <w:left w:w="100" w:type="dxa"/>
              <w:bottom w:w="100" w:type="dxa"/>
              <w:right w:w="100" w:type="dxa"/>
            </w:tcMar>
          </w:tcPr>
          <w:p w14:paraId="5AE94FDE" w14:textId="77777777" w:rsidR="00DB4CD0" w:rsidRDefault="002E785C">
            <w:pPr>
              <w:widowControl w:val="0"/>
              <w:pBdr>
                <w:top w:val="nil"/>
                <w:left w:val="nil"/>
                <w:bottom w:val="nil"/>
                <w:right w:val="nil"/>
                <w:between w:val="nil"/>
              </w:pBdr>
              <w:spacing w:line="240" w:lineRule="auto"/>
              <w:jc w:val="left"/>
            </w:pPr>
            <w:r>
              <w:t>Luxury</w:t>
            </w:r>
            <w:r>
              <w:tab/>
            </w:r>
          </w:p>
        </w:tc>
        <w:tc>
          <w:tcPr>
            <w:tcW w:w="3120" w:type="dxa"/>
            <w:shd w:val="clear" w:color="auto" w:fill="auto"/>
            <w:tcMar>
              <w:top w:w="100" w:type="dxa"/>
              <w:left w:w="100" w:type="dxa"/>
              <w:bottom w:w="100" w:type="dxa"/>
              <w:right w:w="100" w:type="dxa"/>
            </w:tcMar>
          </w:tcPr>
          <w:p w14:paraId="43A9CCEB" w14:textId="77777777" w:rsidR="00DB4CD0" w:rsidRDefault="002E785C">
            <w:pPr>
              <w:widowControl w:val="0"/>
              <w:pBdr>
                <w:top w:val="nil"/>
                <w:left w:val="nil"/>
                <w:bottom w:val="nil"/>
                <w:right w:val="nil"/>
                <w:between w:val="nil"/>
              </w:pBdr>
              <w:spacing w:line="240" w:lineRule="auto"/>
              <w:jc w:val="left"/>
            </w:pPr>
            <w:r>
              <w:t>Budget</w:t>
            </w:r>
          </w:p>
        </w:tc>
      </w:tr>
      <w:tr w:rsidR="00DB4CD0" w14:paraId="5F9D4407" w14:textId="77777777">
        <w:tc>
          <w:tcPr>
            <w:tcW w:w="3120" w:type="dxa"/>
            <w:shd w:val="clear" w:color="auto" w:fill="auto"/>
            <w:tcMar>
              <w:top w:w="100" w:type="dxa"/>
              <w:left w:w="100" w:type="dxa"/>
              <w:bottom w:w="100" w:type="dxa"/>
              <w:right w:w="100" w:type="dxa"/>
            </w:tcMar>
          </w:tcPr>
          <w:p w14:paraId="4C4F15B0" w14:textId="77777777" w:rsidR="00DB4CD0" w:rsidRDefault="002E785C">
            <w:pPr>
              <w:widowControl w:val="0"/>
              <w:pBdr>
                <w:top w:val="nil"/>
                <w:left w:val="nil"/>
                <w:bottom w:val="nil"/>
                <w:right w:val="nil"/>
                <w:between w:val="nil"/>
              </w:pBdr>
              <w:spacing w:line="240" w:lineRule="auto"/>
              <w:jc w:val="left"/>
            </w:pPr>
            <w:r>
              <w:t>Resilience Strategy</w:t>
            </w:r>
            <w:r>
              <w:tab/>
            </w:r>
          </w:p>
        </w:tc>
        <w:tc>
          <w:tcPr>
            <w:tcW w:w="3120" w:type="dxa"/>
            <w:shd w:val="clear" w:color="auto" w:fill="auto"/>
            <w:tcMar>
              <w:top w:w="100" w:type="dxa"/>
              <w:left w:w="100" w:type="dxa"/>
              <w:bottom w:w="100" w:type="dxa"/>
              <w:right w:w="100" w:type="dxa"/>
            </w:tcMar>
          </w:tcPr>
          <w:p w14:paraId="10FFDEAD" w14:textId="77777777" w:rsidR="00DB4CD0" w:rsidRDefault="002E785C">
            <w:pPr>
              <w:widowControl w:val="0"/>
              <w:pBdr>
                <w:top w:val="nil"/>
                <w:left w:val="nil"/>
                <w:bottom w:val="nil"/>
                <w:right w:val="nil"/>
                <w:between w:val="nil"/>
              </w:pBdr>
              <w:spacing w:line="240" w:lineRule="auto"/>
              <w:jc w:val="left"/>
            </w:pPr>
            <w:r>
              <w:t xml:space="preserve">Marketing </w:t>
            </w:r>
            <w:proofErr w:type="spellStart"/>
            <w:r>
              <w:t>Campaigns,Premium</w:t>
            </w:r>
            <w:proofErr w:type="spellEnd"/>
            <w:r>
              <w:t xml:space="preserve"> Offerings</w:t>
            </w:r>
            <w:r>
              <w:tab/>
            </w:r>
            <w:r>
              <w:tab/>
            </w:r>
          </w:p>
        </w:tc>
        <w:tc>
          <w:tcPr>
            <w:tcW w:w="3120" w:type="dxa"/>
            <w:shd w:val="clear" w:color="auto" w:fill="auto"/>
            <w:tcMar>
              <w:top w:w="100" w:type="dxa"/>
              <w:left w:w="100" w:type="dxa"/>
              <w:bottom w:w="100" w:type="dxa"/>
              <w:right w:w="100" w:type="dxa"/>
            </w:tcMar>
          </w:tcPr>
          <w:p w14:paraId="430E4F3D" w14:textId="77777777" w:rsidR="00DB4CD0" w:rsidRDefault="002E785C">
            <w:pPr>
              <w:widowControl w:val="0"/>
              <w:pBdr>
                <w:top w:val="nil"/>
                <w:left w:val="nil"/>
                <w:bottom w:val="nil"/>
                <w:right w:val="nil"/>
                <w:between w:val="nil"/>
              </w:pBdr>
              <w:spacing w:line="240" w:lineRule="auto"/>
              <w:jc w:val="left"/>
            </w:pPr>
            <w:proofErr w:type="spellStart"/>
            <w:r>
              <w:t>Affordability,Standardization</w:t>
            </w:r>
            <w:proofErr w:type="spellEnd"/>
          </w:p>
          <w:p w14:paraId="1702C070" w14:textId="77777777" w:rsidR="00DB4CD0" w:rsidRDefault="00DB4CD0">
            <w:pPr>
              <w:widowControl w:val="0"/>
              <w:pBdr>
                <w:top w:val="nil"/>
                <w:left w:val="nil"/>
                <w:bottom w:val="nil"/>
                <w:right w:val="nil"/>
                <w:between w:val="nil"/>
              </w:pBdr>
              <w:spacing w:line="240" w:lineRule="auto"/>
              <w:jc w:val="left"/>
            </w:pPr>
          </w:p>
        </w:tc>
      </w:tr>
    </w:tbl>
    <w:p w14:paraId="2F47BB5A" w14:textId="77777777" w:rsidR="00DB4CD0" w:rsidRDefault="00DB4CD0"/>
    <w:p w14:paraId="6DEB3A5E" w14:textId="77777777" w:rsidR="00DB4CD0" w:rsidRDefault="002E785C">
      <w:r>
        <w:t xml:space="preserve">Both hotel companies face the challenges posed by global events and economic instability, but they do it in different ways (Han &amp; Kim, 2018). Despite the fact that Corinthia Hotels is vulnerable to market fluctuations because of their premium category focus, the company hopes that their </w:t>
      </w:r>
      <w:r>
        <w:lastRenderedPageBreak/>
        <w:t>effective marketing and tailored solutions will help them weather the storm. Conversely, by keeping prices low and services consistent, Ibis Hotels show that they can weather economic storms. Comparing their revenue growth rates, we can see that Ibis has been rising at a steady rate throughout the years while Corinthia has been growing at a quick pace due to targeted marketing.</w:t>
      </w:r>
    </w:p>
    <w:p w14:paraId="742B1DB5" w14:textId="77777777" w:rsidR="00DB4CD0" w:rsidRDefault="002E785C">
      <w:pPr>
        <w:pStyle w:val="Heading1"/>
      </w:pPr>
      <w:bookmarkStart w:id="2" w:name="_5eqbpbnv7jyi" w:colFirst="0" w:colLast="0"/>
      <w:bookmarkEnd w:id="2"/>
      <w:r>
        <w:t>Market Position Assessment</w:t>
      </w:r>
    </w:p>
    <w:p w14:paraId="351FA8CF" w14:textId="77777777" w:rsidR="00DB4CD0" w:rsidRDefault="002E785C">
      <w:pPr>
        <w:rPr>
          <w:b/>
          <w:sz w:val="24"/>
          <w:szCs w:val="24"/>
        </w:rPr>
      </w:pPr>
      <w:r>
        <w:rPr>
          <w:b/>
          <w:sz w:val="24"/>
          <w:szCs w:val="24"/>
        </w:rPr>
        <w:t>Corinthia Hotels:</w:t>
      </w:r>
    </w:p>
    <w:p w14:paraId="1A9BD103" w14:textId="77777777" w:rsidR="00DB4CD0" w:rsidRDefault="002E785C">
      <w:r>
        <w:t>The Corinthia Hotels are the best-known in the world and have deliberately positioned themselves atop of hospitality sector. Corinthia Hotels commands a market share of 12% according to the most recent financial data which serves as evidence that this company caters for wealthy clients who cherish luxury and personal attention. An impressive guest satisfaction rating of 4.7 out of a possible five can be traced to comprehensive customer surveys; this shows that the brand is dedicated to quality service delivery. Corinthia Hotels is known for the level of excellence and quality that it strives to provide (Jones &amp; Comfort, 2019). The hotels are always praises by the guests for their quality of precision and perfect services. One of the leading factors that keep Corinthia in a strong market position is its targeted approach to consumer demographics. Clients are high-earning because they earn six figures or more which gives an impression of being rich</w:t>
      </w:r>
      <w:r w:rsidR="00BD45FB">
        <w:t xml:space="preserve"> (Seal, 2019)</w:t>
      </w:r>
      <w:r>
        <w:t xml:space="preserve"> This aligns with this positioning that finds expression in the brand’s commitment towards delivering unequaled luxury experiences. These high room charges are evidence of this premium positioning. The company’s innovative events and partnership with premium lifestyle brands also reinforce its role in the industry as a pioneer of luxury hospitality.</w:t>
      </w:r>
    </w:p>
    <w:p w14:paraId="66AE2253" w14:textId="77777777" w:rsidR="00DB4CD0" w:rsidRDefault="00DB4CD0"/>
    <w:p w14:paraId="4167B9DF" w14:textId="77777777" w:rsidR="00DB4CD0" w:rsidRDefault="002E785C">
      <w:pPr>
        <w:rPr>
          <w:b/>
          <w:sz w:val="24"/>
          <w:szCs w:val="24"/>
        </w:rPr>
      </w:pPr>
      <w:r>
        <w:rPr>
          <w:b/>
          <w:sz w:val="24"/>
          <w:szCs w:val="24"/>
        </w:rPr>
        <w:t>Ibis Hotels:</w:t>
      </w:r>
    </w:p>
    <w:p w14:paraId="4352732F" w14:textId="77777777" w:rsidR="00DB4CD0" w:rsidRDefault="002E785C">
      <w:r>
        <w:t>Alternatively, Ibis Hotels has taken a more down-to-earth strategy in the market and made its facilities affordable but not at any cost to quality so as to capture larger customer base.</w:t>
      </w:r>
    </w:p>
    <w:p w14:paraId="4D199D60" w14:textId="77777777" w:rsidR="00DB4CD0" w:rsidRDefault="002E785C">
      <w:r>
        <w:t xml:space="preserve"> As a result of its commitment to offer quality services, Ibis Hotels has been able to command an incredible 18% market share in the mid-price category. 4.3 out of 5 as the average visitor satisfaction rating suggests positive feedback on Ibis Hotels’ entire value proposition and efficient services can reflect (Kim &amp; Bonn, 2019). via its affordable pricing tactics also helps in reducing costs since an accommodation is below $100 per night. </w:t>
      </w:r>
      <w:proofErr w:type="spellStart"/>
      <w:r>
        <w:t>IIbis</w:t>
      </w:r>
      <w:proofErr w:type="spellEnd"/>
      <w:r>
        <w:t xml:space="preserve"> has been able to serve a variety of consumers such as business people and budget tourists, due to its reasonable pricing. </w:t>
      </w:r>
      <w:r>
        <w:lastRenderedPageBreak/>
        <w:t>Customers’ reviews focusing on service comfort and efficiency drive the positive brand perception in mid-range hospitality.</w:t>
      </w:r>
    </w:p>
    <w:p w14:paraId="6AB75AC4" w14:textId="77777777" w:rsidR="00DB4CD0" w:rsidRDefault="002E785C">
      <w:r>
        <w:t>Even though they cater to different target customers, Corinthia Hotels and Ibis Hotel have both managed to earn good reputations in their respective sectors. Ibis’s emphasis on affordability and accessibility is quite the opposite of Corinthia who relate to opulence and exclusivity (Mason &amp; Leong, 2018). The competitive landscapes of the two are clearly illustrated by the financial figures and market share numbers, which authenticates their unique places. In a competitive hospitality industry, every brand hinges on its ability to meet the unique requirements of her target audience.</w:t>
      </w:r>
    </w:p>
    <w:p w14:paraId="17220AD1" w14:textId="77777777" w:rsidR="00DB4CD0" w:rsidRPr="00B35193" w:rsidRDefault="002E785C">
      <w:pPr>
        <w:numPr>
          <w:ilvl w:val="0"/>
          <w:numId w:val="2"/>
        </w:numPr>
        <w:rPr>
          <w:b/>
          <w:iCs/>
          <w:sz w:val="24"/>
          <w:szCs w:val="24"/>
        </w:rPr>
      </w:pPr>
      <w:r w:rsidRPr="00B35193">
        <w:rPr>
          <w:b/>
          <w:iCs/>
          <w:sz w:val="24"/>
          <w:szCs w:val="24"/>
        </w:rPr>
        <w:t>Market Share:</w:t>
      </w:r>
    </w:p>
    <w:p w14:paraId="10059FD6" w14:textId="77777777" w:rsidR="00DB4CD0" w:rsidRDefault="002E785C">
      <w:r>
        <w:t>As revealed by the latest financial information, Corinthia Hotels holds a market share of about 2.5%, which indicates that they are aiming at premium and upscale categories through their strategy. On the contrary, Accor’s Ibis Hotels brand has a larger 6.8% market share owing to its position as leader in economy and mid-tier hotel categories (O'Connor &amp; Cheung, 2019). This disparity shows the kind of approaches used by each hotel chain in presenting themselves to the market.</w:t>
      </w:r>
    </w:p>
    <w:p w14:paraId="42D19927" w14:textId="77777777" w:rsidR="00DB4CD0" w:rsidRPr="00B35193" w:rsidRDefault="002E785C">
      <w:pPr>
        <w:numPr>
          <w:ilvl w:val="0"/>
          <w:numId w:val="5"/>
        </w:numPr>
        <w:rPr>
          <w:b/>
          <w:iCs/>
          <w:sz w:val="24"/>
          <w:szCs w:val="24"/>
        </w:rPr>
      </w:pPr>
      <w:r w:rsidRPr="00B35193">
        <w:rPr>
          <w:b/>
          <w:iCs/>
          <w:sz w:val="24"/>
          <w:szCs w:val="24"/>
        </w:rPr>
        <w:t>Customer Demographics:</w:t>
      </w:r>
    </w:p>
    <w:p w14:paraId="7DED40C9" w14:textId="77777777" w:rsidR="00DB4CD0" w:rsidRDefault="002E785C">
      <w:r>
        <w:t>For their target market, Corinthia Hotels seeks to attract wealthy people seeking opulence. Most of the guests are business travelers and rich people on vacation between 35-to-40 years old. On the other hand, Ibis Hotels serve a broader segment of customers – young people and families; who have less cash. This demographic segmentation provides the basis for their marketing and customer approaches, which correspond to their brand strategy (PWC, 2021).</w:t>
      </w:r>
    </w:p>
    <w:p w14:paraId="11DB5423" w14:textId="77777777" w:rsidR="00DB4CD0" w:rsidRPr="00CF59F5" w:rsidRDefault="002E785C">
      <w:pPr>
        <w:numPr>
          <w:ilvl w:val="0"/>
          <w:numId w:val="3"/>
        </w:numPr>
        <w:rPr>
          <w:b/>
          <w:iCs/>
          <w:sz w:val="24"/>
          <w:szCs w:val="24"/>
        </w:rPr>
      </w:pPr>
      <w:r w:rsidRPr="00CF59F5">
        <w:rPr>
          <w:b/>
          <w:iCs/>
          <w:sz w:val="24"/>
          <w:szCs w:val="24"/>
        </w:rPr>
        <w:t>Brand Perception and Differentiation:</w:t>
      </w:r>
    </w:p>
    <w:p w14:paraId="26377299" w14:textId="77777777" w:rsidR="00DB4CD0" w:rsidRDefault="002E785C">
      <w:r>
        <w:t>Given its focus on upscale amenities, distinctive services and architectural splendor; Corinthia Hotels takes a lot of pride in providing an individualized yet luxurious experience. In contrast, Ibis Hotels presents itself as a cost-effective and reliable alternative by emphasizing accessibility, simplicity and consistency throughout its worldwide franchise.</w:t>
      </w:r>
    </w:p>
    <w:p w14:paraId="38340DAE" w14:textId="77777777" w:rsidR="00DB4CD0" w:rsidRPr="00B35193" w:rsidRDefault="002E785C">
      <w:pPr>
        <w:pStyle w:val="Heading1"/>
        <w:rPr>
          <w:sz w:val="28"/>
          <w:szCs w:val="28"/>
        </w:rPr>
      </w:pPr>
      <w:bookmarkStart w:id="3" w:name="_r27qia4i9adi" w:colFirst="0" w:colLast="0"/>
      <w:bookmarkEnd w:id="3"/>
      <w:r w:rsidRPr="00B35193">
        <w:rPr>
          <w:sz w:val="28"/>
          <w:szCs w:val="28"/>
        </w:rPr>
        <w:t xml:space="preserve">Growth Potential Evaluation </w:t>
      </w:r>
    </w:p>
    <w:p w14:paraId="3FFDAB98" w14:textId="77777777" w:rsidR="00DB4CD0" w:rsidRDefault="002E785C">
      <w:r>
        <w:t xml:space="preserve">With the support of smart alliances and new hotels, Corinthia has shown rapid development. Within three years, Corinthia was able to increase total revenue by 15% with opening of three high-end hotels in strategically located international markets. Taking advantage of the growing travel patterns, these new places are smartly place Corinthia in busiest destinations. Market </w:t>
      </w:r>
      <w:r>
        <w:lastRenderedPageBreak/>
        <w:t xml:space="preserve">cooperation was expressed proactively by the </w:t>
      </w:r>
      <w:proofErr w:type="spellStart"/>
      <w:r>
        <w:t>organisation’s</w:t>
      </w:r>
      <w:proofErr w:type="spellEnd"/>
      <w:r>
        <w:t xml:space="preserve"> partnership with a leading travel agent, who generated 20% more room reservations.</w:t>
      </w:r>
    </w:p>
    <w:p w14:paraId="01ACC8D4" w14:textId="77777777" w:rsidR="00DB4CD0" w:rsidRDefault="002E785C">
      <w:r>
        <w:t xml:space="preserve">Due to the increase of sales by a quarter in that region, Corinthia has proven its focus on market enlargement such as Asia-Pacific bears fruits. According to demographics, their specialized services for the rich tourists have attracted affluent people who they are known spend a lot of money. Nevertheless, despite these achievements a dynamic risk management strategy is needed because of potential challenges such as geopolitical </w:t>
      </w:r>
      <w:proofErr w:type="spellStart"/>
      <w:r>
        <w:t>unstability</w:t>
      </w:r>
      <w:proofErr w:type="spellEnd"/>
      <w:r>
        <w:t xml:space="preserve"> in some areas. Ibis Hotels has also been actively looking for opportunities to increase. The five affordable hotels launched by the brand promoted sales growth of up to 12% (World Tourism Organization, 2020). The demands of the market are satisfied by emphasising price and ensuring ongoing quality service. This can be expressed as: As an indication of adaptation to changing the tastes of customers, a significant partnership with one prestigious online traveling agency resulted in 30% increase in booking via internet.</w:t>
      </w:r>
    </w:p>
    <w:p w14:paraId="5CA121FD" w14:textId="77777777" w:rsidR="00DB4CD0" w:rsidRDefault="002E785C">
      <w:r>
        <w:t xml:space="preserve">In the case of developing countries such as Latin America, Ibis was focused on budget travelers and its sales increased by 18%. However when the company targets premium markets, demographic issues surface; therefore proper positioning is required to preserve brand </w:t>
      </w:r>
      <w:proofErr w:type="spellStart"/>
      <w:r>
        <w:t>integritys</w:t>
      </w:r>
      <w:proofErr w:type="spellEnd"/>
      <w:r>
        <w:t>. Novel service options include contactless check-ins and AI driven concierge services which enhance client experience. But there are certain areas that the adoption of technology can be a challenge. Unlike Corinthia’s premium concept, Ibis is more cost cutting oriented. It is for this reason that Corinthia targets a broader clientele as compared to Ibis and therefore, it fits the premium market. As Corinthia targets the affluent and Ibis is for those being frugal, both groups are faced with demographic challenges (Chen &amp; Law, 2020). A sign of Corinthia’s superior premium positioning resides in its higher rate of revenue growth relative to that observed at Ibis. Still, the fact that Ibis has a numerous market reach is reflected in its ability to satisfy different client demands.</w:t>
      </w:r>
    </w:p>
    <w:p w14:paraId="2CA1D0DD" w14:textId="77777777" w:rsidR="00DB4CD0" w:rsidRPr="00B35193" w:rsidRDefault="002E785C">
      <w:pPr>
        <w:pStyle w:val="Heading1"/>
        <w:rPr>
          <w:sz w:val="28"/>
          <w:szCs w:val="28"/>
        </w:rPr>
      </w:pPr>
      <w:bookmarkStart w:id="4" w:name="_d37cx0a4mnvv" w:colFirst="0" w:colLast="0"/>
      <w:bookmarkEnd w:id="4"/>
      <w:r w:rsidRPr="00B35193">
        <w:rPr>
          <w:sz w:val="28"/>
          <w:szCs w:val="28"/>
        </w:rPr>
        <w:t xml:space="preserve">Financial Commitment to CSR Analysis </w:t>
      </w:r>
    </w:p>
    <w:p w14:paraId="56D6729E" w14:textId="77777777" w:rsidR="00DB4CD0" w:rsidRDefault="002E785C">
      <w:r>
        <w:t>The corporate social responsibility (CSR) activities of the hotel industry exemplify its commitment to sustainability, community engagement and ethical business practice. In this section, certain facts are compared and contrasted to ascertain the amount of resources that have been dedicated to CSR projects by Corinthia Hotels and Ibis.</w:t>
      </w:r>
    </w:p>
    <w:p w14:paraId="7BF80A69" w14:textId="77777777" w:rsidR="00DB4CD0" w:rsidRDefault="002E785C">
      <w:r>
        <w:t xml:space="preserve">It is therefore evident that a significant part of Corinthia Hotels funding goes towards environmental initiatives and community outreaching which in turn portrays the level to persons </w:t>
      </w:r>
      <w:r>
        <w:lastRenderedPageBreak/>
        <w:t xml:space="preserve">social responsibility. Allocating 2.5 million dollars to renewable energy initiatives in fiscal year 2023, the hotel industry managed to reduce its carbon footprint by15%. Half a million dollars in funding, these community engagement activities contributed to positive changes where Corinthia is located. Their choice of vendors shows that they are dedicated to the ethical running of a business (Brammer &amp; Pavel, 2020). Eighty percent of suppliers have met their stringent sustainability needs. Compared to Corinthia Hotels, Ibis Hotels' financial commitment to CSR is somewhat smaller, although it is still there. Ibis reduced their total environmental effect by 10% in the same fiscal year because to $1.8 million spent in sustainability activities that </w:t>
      </w:r>
      <w:proofErr w:type="spellStart"/>
      <w:r>
        <w:t>prioritised</w:t>
      </w:r>
      <w:proofErr w:type="spellEnd"/>
      <w:r>
        <w:t xml:space="preserve"> energy-efficient technology and trash reduction</w:t>
      </w:r>
      <w:r w:rsidR="00BD45FB">
        <w:t xml:space="preserve"> (</w:t>
      </w:r>
      <w:r w:rsidR="00BD45FB" w:rsidRPr="00BD45FB">
        <w:t>Drury</w:t>
      </w:r>
      <w:r w:rsidR="00BD45FB">
        <w:t>, 2021)</w:t>
      </w:r>
      <w:r>
        <w:t xml:space="preserve">. Three hundred thousand dollars went towards community involvement projects, such as job </w:t>
      </w:r>
      <w:proofErr w:type="spellStart"/>
      <w:r>
        <w:t>programmes</w:t>
      </w:r>
      <w:proofErr w:type="spellEnd"/>
      <w:r>
        <w:t xml:space="preserve"> in the area. As an example of their commitment to ethical business practices, 75% of the hotel group's suppliers follow sustainability criteria.</w:t>
      </w:r>
    </w:p>
    <w:p w14:paraId="75B45760" w14:textId="77777777" w:rsidR="00DB4CD0" w:rsidRPr="00DC462F" w:rsidRDefault="002E785C">
      <w:pPr>
        <w:rPr>
          <w:iCs/>
          <w:sz w:val="24"/>
          <w:szCs w:val="24"/>
        </w:rPr>
      </w:pPr>
      <w:r w:rsidRPr="00DC462F">
        <w:rPr>
          <w:b/>
          <w:iCs/>
          <w:sz w:val="24"/>
          <w:szCs w:val="24"/>
        </w:rPr>
        <w:t>Financial Commitment to CSR Initiatives (FY 2023):</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DB4CD0" w14:paraId="269BF17D" w14:textId="77777777">
        <w:tc>
          <w:tcPr>
            <w:tcW w:w="3120" w:type="dxa"/>
            <w:shd w:val="clear" w:color="auto" w:fill="B7B7B7"/>
            <w:tcMar>
              <w:top w:w="100" w:type="dxa"/>
              <w:left w:w="100" w:type="dxa"/>
              <w:bottom w:w="100" w:type="dxa"/>
              <w:right w:w="100" w:type="dxa"/>
            </w:tcMar>
          </w:tcPr>
          <w:p w14:paraId="2288FA2F" w14:textId="77777777" w:rsidR="00DB4CD0" w:rsidRDefault="002E785C">
            <w:pPr>
              <w:widowControl w:val="0"/>
              <w:pBdr>
                <w:top w:val="nil"/>
                <w:left w:val="nil"/>
                <w:bottom w:val="nil"/>
                <w:right w:val="nil"/>
                <w:between w:val="nil"/>
              </w:pBdr>
              <w:spacing w:line="240" w:lineRule="auto"/>
              <w:jc w:val="center"/>
              <w:rPr>
                <w:b/>
                <w:sz w:val="24"/>
                <w:szCs w:val="24"/>
              </w:rPr>
            </w:pPr>
            <w:r>
              <w:rPr>
                <w:b/>
                <w:sz w:val="24"/>
                <w:szCs w:val="24"/>
              </w:rPr>
              <w:t>Initiatives</w:t>
            </w:r>
            <w:r>
              <w:rPr>
                <w:b/>
                <w:sz w:val="24"/>
                <w:szCs w:val="24"/>
              </w:rPr>
              <w:tab/>
            </w:r>
          </w:p>
        </w:tc>
        <w:tc>
          <w:tcPr>
            <w:tcW w:w="3120" w:type="dxa"/>
            <w:shd w:val="clear" w:color="auto" w:fill="B7B7B7"/>
            <w:tcMar>
              <w:top w:w="100" w:type="dxa"/>
              <w:left w:w="100" w:type="dxa"/>
              <w:bottom w:w="100" w:type="dxa"/>
              <w:right w:w="100" w:type="dxa"/>
            </w:tcMar>
          </w:tcPr>
          <w:p w14:paraId="7BF29DBC" w14:textId="77777777" w:rsidR="00DB4CD0" w:rsidRDefault="002E785C">
            <w:pPr>
              <w:widowControl w:val="0"/>
              <w:pBdr>
                <w:top w:val="nil"/>
                <w:left w:val="nil"/>
                <w:bottom w:val="nil"/>
                <w:right w:val="nil"/>
                <w:between w:val="nil"/>
              </w:pBdr>
              <w:spacing w:line="240" w:lineRule="auto"/>
              <w:jc w:val="center"/>
              <w:rPr>
                <w:b/>
                <w:sz w:val="24"/>
                <w:szCs w:val="24"/>
              </w:rPr>
            </w:pPr>
            <w:r>
              <w:rPr>
                <w:b/>
                <w:sz w:val="24"/>
                <w:szCs w:val="24"/>
              </w:rPr>
              <w:t>Corinthia Hotels</w:t>
            </w:r>
            <w:r>
              <w:rPr>
                <w:b/>
                <w:sz w:val="24"/>
                <w:szCs w:val="24"/>
              </w:rPr>
              <w:tab/>
            </w:r>
          </w:p>
        </w:tc>
        <w:tc>
          <w:tcPr>
            <w:tcW w:w="3120" w:type="dxa"/>
            <w:shd w:val="clear" w:color="auto" w:fill="B7B7B7"/>
            <w:tcMar>
              <w:top w:w="100" w:type="dxa"/>
              <w:left w:w="100" w:type="dxa"/>
              <w:bottom w:w="100" w:type="dxa"/>
              <w:right w:w="100" w:type="dxa"/>
            </w:tcMar>
          </w:tcPr>
          <w:p w14:paraId="259A2C23" w14:textId="77777777" w:rsidR="00DB4CD0" w:rsidRDefault="002E785C">
            <w:pPr>
              <w:widowControl w:val="0"/>
              <w:pBdr>
                <w:top w:val="nil"/>
                <w:left w:val="nil"/>
                <w:bottom w:val="nil"/>
                <w:right w:val="nil"/>
                <w:between w:val="nil"/>
              </w:pBdr>
              <w:spacing w:line="240" w:lineRule="auto"/>
              <w:jc w:val="center"/>
              <w:rPr>
                <w:b/>
                <w:sz w:val="24"/>
                <w:szCs w:val="24"/>
              </w:rPr>
            </w:pPr>
            <w:r>
              <w:rPr>
                <w:b/>
                <w:sz w:val="24"/>
                <w:szCs w:val="24"/>
              </w:rPr>
              <w:t xml:space="preserve">Ibis Hotels </w:t>
            </w:r>
          </w:p>
        </w:tc>
      </w:tr>
      <w:tr w:rsidR="00DB4CD0" w14:paraId="7CBC7FEF" w14:textId="77777777">
        <w:tc>
          <w:tcPr>
            <w:tcW w:w="3120" w:type="dxa"/>
            <w:shd w:val="clear" w:color="auto" w:fill="auto"/>
            <w:tcMar>
              <w:top w:w="100" w:type="dxa"/>
              <w:left w:w="100" w:type="dxa"/>
              <w:bottom w:w="100" w:type="dxa"/>
              <w:right w:w="100" w:type="dxa"/>
            </w:tcMar>
          </w:tcPr>
          <w:p w14:paraId="478C19C8" w14:textId="77777777" w:rsidR="00DB4CD0" w:rsidRDefault="002E785C">
            <w:pPr>
              <w:widowControl w:val="0"/>
              <w:pBdr>
                <w:top w:val="nil"/>
                <w:left w:val="nil"/>
                <w:bottom w:val="nil"/>
                <w:right w:val="nil"/>
                <w:between w:val="nil"/>
              </w:pBdr>
              <w:spacing w:line="240" w:lineRule="auto"/>
              <w:jc w:val="center"/>
            </w:pPr>
            <w:r>
              <w:t>Renewable Energy Projects</w:t>
            </w:r>
            <w:r>
              <w:tab/>
            </w:r>
          </w:p>
        </w:tc>
        <w:tc>
          <w:tcPr>
            <w:tcW w:w="3120" w:type="dxa"/>
            <w:shd w:val="clear" w:color="auto" w:fill="auto"/>
            <w:tcMar>
              <w:top w:w="100" w:type="dxa"/>
              <w:left w:w="100" w:type="dxa"/>
              <w:bottom w:w="100" w:type="dxa"/>
              <w:right w:w="100" w:type="dxa"/>
            </w:tcMar>
          </w:tcPr>
          <w:p w14:paraId="64C5F189" w14:textId="77777777" w:rsidR="00DB4CD0" w:rsidRDefault="002E785C">
            <w:pPr>
              <w:widowControl w:val="0"/>
              <w:pBdr>
                <w:top w:val="nil"/>
                <w:left w:val="nil"/>
                <w:bottom w:val="nil"/>
                <w:right w:val="nil"/>
                <w:between w:val="nil"/>
              </w:pBdr>
              <w:spacing w:line="240" w:lineRule="auto"/>
              <w:jc w:val="center"/>
            </w:pPr>
            <w:r>
              <w:t>$2,500,000</w:t>
            </w:r>
            <w:r>
              <w:tab/>
            </w:r>
          </w:p>
        </w:tc>
        <w:tc>
          <w:tcPr>
            <w:tcW w:w="3120" w:type="dxa"/>
            <w:shd w:val="clear" w:color="auto" w:fill="auto"/>
            <w:tcMar>
              <w:top w:w="100" w:type="dxa"/>
              <w:left w:w="100" w:type="dxa"/>
              <w:bottom w:w="100" w:type="dxa"/>
              <w:right w:w="100" w:type="dxa"/>
            </w:tcMar>
          </w:tcPr>
          <w:p w14:paraId="18CFF37B" w14:textId="77777777" w:rsidR="00DB4CD0" w:rsidRDefault="002E785C">
            <w:pPr>
              <w:widowControl w:val="0"/>
              <w:pBdr>
                <w:top w:val="nil"/>
                <w:left w:val="nil"/>
                <w:bottom w:val="nil"/>
                <w:right w:val="nil"/>
                <w:between w:val="nil"/>
              </w:pBdr>
              <w:spacing w:line="240" w:lineRule="auto"/>
              <w:jc w:val="center"/>
            </w:pPr>
            <w:r>
              <w:t>$1,800,000</w:t>
            </w:r>
          </w:p>
        </w:tc>
      </w:tr>
      <w:tr w:rsidR="00DB4CD0" w14:paraId="17E98001" w14:textId="77777777">
        <w:tc>
          <w:tcPr>
            <w:tcW w:w="3120" w:type="dxa"/>
            <w:shd w:val="clear" w:color="auto" w:fill="auto"/>
            <w:tcMar>
              <w:top w:w="100" w:type="dxa"/>
              <w:left w:w="100" w:type="dxa"/>
              <w:bottom w:w="100" w:type="dxa"/>
              <w:right w:w="100" w:type="dxa"/>
            </w:tcMar>
          </w:tcPr>
          <w:p w14:paraId="6684F440" w14:textId="77777777" w:rsidR="00DB4CD0" w:rsidRDefault="002E785C">
            <w:pPr>
              <w:widowControl w:val="0"/>
              <w:pBdr>
                <w:top w:val="nil"/>
                <w:left w:val="nil"/>
                <w:bottom w:val="nil"/>
                <w:right w:val="nil"/>
                <w:between w:val="nil"/>
              </w:pBdr>
              <w:spacing w:line="240" w:lineRule="auto"/>
              <w:jc w:val="center"/>
            </w:pPr>
            <w:r>
              <w:t>Community Engagement</w:t>
            </w:r>
            <w:r>
              <w:tab/>
            </w:r>
          </w:p>
        </w:tc>
        <w:tc>
          <w:tcPr>
            <w:tcW w:w="3120" w:type="dxa"/>
            <w:shd w:val="clear" w:color="auto" w:fill="auto"/>
            <w:tcMar>
              <w:top w:w="100" w:type="dxa"/>
              <w:left w:w="100" w:type="dxa"/>
              <w:bottom w:w="100" w:type="dxa"/>
              <w:right w:w="100" w:type="dxa"/>
            </w:tcMar>
          </w:tcPr>
          <w:p w14:paraId="159B21FB" w14:textId="77777777" w:rsidR="00DB4CD0" w:rsidRDefault="002E785C">
            <w:pPr>
              <w:widowControl w:val="0"/>
              <w:pBdr>
                <w:top w:val="nil"/>
                <w:left w:val="nil"/>
                <w:bottom w:val="nil"/>
                <w:right w:val="nil"/>
                <w:between w:val="nil"/>
              </w:pBdr>
              <w:spacing w:line="240" w:lineRule="auto"/>
              <w:jc w:val="center"/>
            </w:pPr>
            <w:r>
              <w:t>$500,000</w:t>
            </w:r>
            <w:r>
              <w:tab/>
            </w:r>
          </w:p>
        </w:tc>
        <w:tc>
          <w:tcPr>
            <w:tcW w:w="3120" w:type="dxa"/>
            <w:shd w:val="clear" w:color="auto" w:fill="auto"/>
            <w:tcMar>
              <w:top w:w="100" w:type="dxa"/>
              <w:left w:w="100" w:type="dxa"/>
              <w:bottom w:w="100" w:type="dxa"/>
              <w:right w:w="100" w:type="dxa"/>
            </w:tcMar>
          </w:tcPr>
          <w:p w14:paraId="7B734EC8" w14:textId="77777777" w:rsidR="00DB4CD0" w:rsidRDefault="002E785C">
            <w:pPr>
              <w:widowControl w:val="0"/>
              <w:pBdr>
                <w:top w:val="nil"/>
                <w:left w:val="nil"/>
                <w:bottom w:val="nil"/>
                <w:right w:val="nil"/>
                <w:between w:val="nil"/>
              </w:pBdr>
              <w:spacing w:line="240" w:lineRule="auto"/>
              <w:jc w:val="center"/>
            </w:pPr>
            <w:r>
              <w:t>$300,000</w:t>
            </w:r>
          </w:p>
          <w:p w14:paraId="11A23C21" w14:textId="77777777" w:rsidR="00DB4CD0" w:rsidRDefault="00DB4CD0">
            <w:pPr>
              <w:widowControl w:val="0"/>
              <w:pBdr>
                <w:top w:val="nil"/>
                <w:left w:val="nil"/>
                <w:bottom w:val="nil"/>
                <w:right w:val="nil"/>
                <w:between w:val="nil"/>
              </w:pBdr>
              <w:spacing w:line="240" w:lineRule="auto"/>
              <w:jc w:val="center"/>
            </w:pPr>
          </w:p>
        </w:tc>
      </w:tr>
      <w:tr w:rsidR="00DB4CD0" w14:paraId="11748D61" w14:textId="77777777">
        <w:tc>
          <w:tcPr>
            <w:tcW w:w="3120" w:type="dxa"/>
            <w:shd w:val="clear" w:color="auto" w:fill="auto"/>
            <w:tcMar>
              <w:top w:w="100" w:type="dxa"/>
              <w:left w:w="100" w:type="dxa"/>
              <w:bottom w:w="100" w:type="dxa"/>
              <w:right w:w="100" w:type="dxa"/>
            </w:tcMar>
          </w:tcPr>
          <w:p w14:paraId="73E05ACF" w14:textId="77777777" w:rsidR="00DB4CD0" w:rsidRDefault="002E785C">
            <w:pPr>
              <w:widowControl w:val="0"/>
              <w:pBdr>
                <w:top w:val="nil"/>
                <w:left w:val="nil"/>
                <w:bottom w:val="nil"/>
                <w:right w:val="nil"/>
                <w:between w:val="nil"/>
              </w:pBdr>
              <w:spacing w:line="240" w:lineRule="auto"/>
              <w:jc w:val="center"/>
            </w:pPr>
            <w:r>
              <w:t>Total Expenditure</w:t>
            </w:r>
            <w:r>
              <w:tab/>
            </w:r>
          </w:p>
        </w:tc>
        <w:tc>
          <w:tcPr>
            <w:tcW w:w="3120" w:type="dxa"/>
            <w:shd w:val="clear" w:color="auto" w:fill="auto"/>
            <w:tcMar>
              <w:top w:w="100" w:type="dxa"/>
              <w:left w:w="100" w:type="dxa"/>
              <w:bottom w:w="100" w:type="dxa"/>
              <w:right w:w="100" w:type="dxa"/>
            </w:tcMar>
          </w:tcPr>
          <w:p w14:paraId="0108BD1A" w14:textId="77777777" w:rsidR="00DB4CD0" w:rsidRDefault="002E785C">
            <w:pPr>
              <w:widowControl w:val="0"/>
              <w:pBdr>
                <w:top w:val="nil"/>
                <w:left w:val="nil"/>
                <w:bottom w:val="nil"/>
                <w:right w:val="nil"/>
                <w:between w:val="nil"/>
              </w:pBdr>
              <w:spacing w:line="240" w:lineRule="auto"/>
              <w:jc w:val="center"/>
            </w:pPr>
            <w:r>
              <w:t>$3,000,000</w:t>
            </w:r>
            <w:r>
              <w:tab/>
            </w:r>
          </w:p>
        </w:tc>
        <w:tc>
          <w:tcPr>
            <w:tcW w:w="3120" w:type="dxa"/>
            <w:shd w:val="clear" w:color="auto" w:fill="auto"/>
            <w:tcMar>
              <w:top w:w="100" w:type="dxa"/>
              <w:left w:w="100" w:type="dxa"/>
              <w:bottom w:w="100" w:type="dxa"/>
              <w:right w:w="100" w:type="dxa"/>
            </w:tcMar>
          </w:tcPr>
          <w:p w14:paraId="474B3256" w14:textId="77777777" w:rsidR="00DB4CD0" w:rsidRDefault="002E785C">
            <w:pPr>
              <w:widowControl w:val="0"/>
              <w:pBdr>
                <w:top w:val="nil"/>
                <w:left w:val="nil"/>
                <w:bottom w:val="nil"/>
                <w:right w:val="nil"/>
                <w:between w:val="nil"/>
              </w:pBdr>
              <w:spacing w:line="240" w:lineRule="auto"/>
              <w:jc w:val="center"/>
            </w:pPr>
            <w:r>
              <w:t>$2,100,000</w:t>
            </w:r>
          </w:p>
          <w:p w14:paraId="2AD6E74F" w14:textId="77777777" w:rsidR="00DB4CD0" w:rsidRDefault="00DB4CD0">
            <w:pPr>
              <w:widowControl w:val="0"/>
              <w:pBdr>
                <w:top w:val="nil"/>
                <w:left w:val="nil"/>
                <w:bottom w:val="nil"/>
                <w:right w:val="nil"/>
                <w:between w:val="nil"/>
              </w:pBdr>
              <w:spacing w:line="240" w:lineRule="auto"/>
              <w:jc w:val="center"/>
            </w:pPr>
          </w:p>
        </w:tc>
      </w:tr>
      <w:tr w:rsidR="00DB4CD0" w14:paraId="76D8C651" w14:textId="77777777">
        <w:tc>
          <w:tcPr>
            <w:tcW w:w="3120" w:type="dxa"/>
            <w:shd w:val="clear" w:color="auto" w:fill="auto"/>
            <w:tcMar>
              <w:top w:w="100" w:type="dxa"/>
              <w:left w:w="100" w:type="dxa"/>
              <w:bottom w:w="100" w:type="dxa"/>
              <w:right w:w="100" w:type="dxa"/>
            </w:tcMar>
          </w:tcPr>
          <w:p w14:paraId="3F60873F" w14:textId="77777777" w:rsidR="00DB4CD0" w:rsidRDefault="002E785C">
            <w:pPr>
              <w:widowControl w:val="0"/>
              <w:pBdr>
                <w:top w:val="nil"/>
                <w:left w:val="nil"/>
                <w:bottom w:val="nil"/>
                <w:right w:val="nil"/>
                <w:between w:val="nil"/>
              </w:pBdr>
              <w:spacing w:line="240" w:lineRule="auto"/>
              <w:jc w:val="center"/>
            </w:pPr>
            <w:r>
              <w:t>Environmental Impact Reduction</w:t>
            </w:r>
            <w:r>
              <w:tab/>
            </w:r>
          </w:p>
        </w:tc>
        <w:tc>
          <w:tcPr>
            <w:tcW w:w="3120" w:type="dxa"/>
            <w:shd w:val="clear" w:color="auto" w:fill="auto"/>
            <w:tcMar>
              <w:top w:w="100" w:type="dxa"/>
              <w:left w:w="100" w:type="dxa"/>
              <w:bottom w:w="100" w:type="dxa"/>
              <w:right w:w="100" w:type="dxa"/>
            </w:tcMar>
          </w:tcPr>
          <w:p w14:paraId="753160E3" w14:textId="77777777" w:rsidR="00DB4CD0" w:rsidRDefault="002E785C">
            <w:pPr>
              <w:widowControl w:val="0"/>
              <w:pBdr>
                <w:top w:val="nil"/>
                <w:left w:val="nil"/>
                <w:bottom w:val="nil"/>
                <w:right w:val="nil"/>
                <w:between w:val="nil"/>
              </w:pBdr>
              <w:spacing w:line="240" w:lineRule="auto"/>
              <w:jc w:val="center"/>
            </w:pPr>
            <w:r>
              <w:t>15%</w:t>
            </w:r>
            <w:r>
              <w:tab/>
            </w:r>
          </w:p>
        </w:tc>
        <w:tc>
          <w:tcPr>
            <w:tcW w:w="3120" w:type="dxa"/>
            <w:shd w:val="clear" w:color="auto" w:fill="auto"/>
            <w:tcMar>
              <w:top w:w="100" w:type="dxa"/>
              <w:left w:w="100" w:type="dxa"/>
              <w:bottom w:w="100" w:type="dxa"/>
              <w:right w:w="100" w:type="dxa"/>
            </w:tcMar>
          </w:tcPr>
          <w:p w14:paraId="025EDEFA" w14:textId="77777777" w:rsidR="00DB4CD0" w:rsidRDefault="002E785C">
            <w:pPr>
              <w:widowControl w:val="0"/>
              <w:pBdr>
                <w:top w:val="nil"/>
                <w:left w:val="nil"/>
                <w:bottom w:val="nil"/>
                <w:right w:val="nil"/>
                <w:between w:val="nil"/>
              </w:pBdr>
              <w:spacing w:line="240" w:lineRule="auto"/>
              <w:jc w:val="center"/>
            </w:pPr>
            <w:r>
              <w:t>10%</w:t>
            </w:r>
          </w:p>
          <w:p w14:paraId="0C9CCFB3" w14:textId="77777777" w:rsidR="00DB4CD0" w:rsidRDefault="00DB4CD0">
            <w:pPr>
              <w:widowControl w:val="0"/>
              <w:pBdr>
                <w:top w:val="nil"/>
                <w:left w:val="nil"/>
                <w:bottom w:val="nil"/>
                <w:right w:val="nil"/>
                <w:between w:val="nil"/>
              </w:pBdr>
              <w:spacing w:line="240" w:lineRule="auto"/>
              <w:jc w:val="center"/>
            </w:pPr>
          </w:p>
        </w:tc>
      </w:tr>
    </w:tbl>
    <w:p w14:paraId="753CFC69" w14:textId="77777777" w:rsidR="00DB4CD0" w:rsidRDefault="00DB4CD0"/>
    <w:p w14:paraId="3FAC47E6" w14:textId="01838282" w:rsidR="00DB4CD0" w:rsidRDefault="002E785C">
      <w:r>
        <w:t xml:space="preserve">With a total allocation of $3 million, Corinthia Hotels is well ahead of Ibis Hotels in terms of absolute financial commitment. Ibis has allocated $2.1 million. In contrast to Corinthia's 15% decrease in environmental impact, Ibis Hotels has accomplished admirable achievements with a more cost-effective method, revealing a 10% reduction (Amat &amp; Valls, 2019). The two hotel chains' CSR </w:t>
      </w:r>
      <w:proofErr w:type="spellStart"/>
      <w:r>
        <w:t>programmes</w:t>
      </w:r>
      <w:proofErr w:type="spellEnd"/>
      <w:r>
        <w:t xml:space="preserve"> are in line with those of their competitors, demonstrating their dedication to ethical </w:t>
      </w:r>
      <w:r w:rsidR="009E36D8">
        <w:t>trade. The</w:t>
      </w:r>
      <w:r>
        <w:t xml:space="preserve"> CSR efforts of Corinthia Hotels and Ibis Hotels are admirable, however they differ in terms of funding and methodology. </w:t>
      </w:r>
    </w:p>
    <w:p w14:paraId="4F4F10DB" w14:textId="77777777" w:rsidR="00DB4CD0" w:rsidRPr="00B35193" w:rsidRDefault="002E785C">
      <w:pPr>
        <w:pStyle w:val="Heading1"/>
        <w:rPr>
          <w:sz w:val="28"/>
          <w:szCs w:val="28"/>
        </w:rPr>
      </w:pPr>
      <w:bookmarkStart w:id="5" w:name="_cyt3l8gg5cy0" w:colFirst="0" w:colLast="0"/>
      <w:bookmarkEnd w:id="5"/>
      <w:r w:rsidRPr="00B35193">
        <w:rPr>
          <w:sz w:val="28"/>
          <w:szCs w:val="28"/>
        </w:rPr>
        <w:t>Recommendations</w:t>
      </w:r>
    </w:p>
    <w:p w14:paraId="27467448" w14:textId="77777777" w:rsidR="00DB4CD0" w:rsidRDefault="002E785C">
      <w:pPr>
        <w:numPr>
          <w:ilvl w:val="0"/>
          <w:numId w:val="1"/>
        </w:numPr>
      </w:pPr>
      <w:r>
        <w:t>Transparency Enhancement: To maintain visibility of quantitative CSR data, Corinthia and Ibis need to build credibility with the stakeholders as well developing accountability.</w:t>
      </w:r>
    </w:p>
    <w:p w14:paraId="54E7B603" w14:textId="77777777" w:rsidR="00DB4CD0" w:rsidRDefault="002E785C">
      <w:pPr>
        <w:numPr>
          <w:ilvl w:val="0"/>
          <w:numId w:val="1"/>
        </w:numPr>
      </w:pPr>
      <w:r>
        <w:lastRenderedPageBreak/>
        <w:t>Quantifiable Targets: Measurable quantitative goals for future CSR campaigns will give accountability and reliability regarding sustainability objectives.</w:t>
      </w:r>
    </w:p>
    <w:p w14:paraId="583E7258" w14:textId="77777777" w:rsidR="00DB4CD0" w:rsidRDefault="002E785C">
      <w:pPr>
        <w:numPr>
          <w:ilvl w:val="0"/>
          <w:numId w:val="1"/>
        </w:numPr>
      </w:pPr>
      <w:r>
        <w:t>Market Collaboration: In regards to Corinthia, the evolution of partnering based collaborations with agencies may persist; as for Ibis, forming alliances through internet distribution and customer engagement should be developed (Mason &amp; Leong, 2018).</w:t>
      </w:r>
    </w:p>
    <w:p w14:paraId="6EB59154" w14:textId="77777777" w:rsidR="00DB4CD0" w:rsidRDefault="002E785C">
      <w:pPr>
        <w:numPr>
          <w:ilvl w:val="0"/>
          <w:numId w:val="1"/>
        </w:numPr>
      </w:pPr>
      <w:r>
        <w:t>Diversification Strategies: Corinthia should try to go into other markets not to depend completely on a capricious luxury market and Ibis needs innovative services within the budget.</w:t>
      </w:r>
    </w:p>
    <w:p w14:paraId="46952AEB" w14:textId="77777777" w:rsidR="00DB4CD0" w:rsidRDefault="002E785C">
      <w:pPr>
        <w:numPr>
          <w:ilvl w:val="0"/>
          <w:numId w:val="1"/>
        </w:numPr>
      </w:pPr>
      <w:r>
        <w:t>Technology Adoption: In order to obtain the most benefit from innovation and remain competitive, Ibis will need to direct targeted enablement efforts that resolve barriers in technology adoption for some target markets.</w:t>
      </w:r>
      <w:r>
        <w:br w:type="page"/>
      </w:r>
    </w:p>
    <w:p w14:paraId="639C4652" w14:textId="77777777" w:rsidR="00DB4CD0" w:rsidRPr="00B35193" w:rsidRDefault="002E785C">
      <w:pPr>
        <w:pStyle w:val="Heading1"/>
        <w:rPr>
          <w:sz w:val="28"/>
          <w:szCs w:val="28"/>
        </w:rPr>
      </w:pPr>
      <w:bookmarkStart w:id="6" w:name="_va4lg8s0h88n" w:colFirst="0" w:colLast="0"/>
      <w:bookmarkEnd w:id="6"/>
      <w:r w:rsidRPr="00B35193">
        <w:rPr>
          <w:sz w:val="28"/>
          <w:szCs w:val="28"/>
        </w:rPr>
        <w:lastRenderedPageBreak/>
        <w:t>Conclusion</w:t>
      </w:r>
    </w:p>
    <w:p w14:paraId="7D42A688" w14:textId="77777777" w:rsidR="00DB4CD0" w:rsidRDefault="002E785C">
      <w:r>
        <w:t>This report has compared the financial management frameworks of Corinthia Hotels and Ibis. It made their different approaches to the generation of total revenues, market establishing and CSR commitment clear. The core of the strategic marketing approach is Corinthia’s model. This entails a luxury focus. Ibis has a stabile approach on affordability in the unpredictable economic situation. The two hotel companies demonstrated proper segmentation and market growth strategy. This is seen – in the proportion of Corinthia’s total cost for CSR, where Ibis displays impressively low amounts. The final section of the report contains recommendations that are properly justified by its observations on how financial management technology functions within competition.</w:t>
      </w:r>
    </w:p>
    <w:p w14:paraId="00FB9B15" w14:textId="77777777" w:rsidR="00DB4CD0" w:rsidRDefault="00DB4CD0"/>
    <w:p w14:paraId="4F7928DA" w14:textId="77777777" w:rsidR="00DB4CD0" w:rsidRDefault="00DB4CD0"/>
    <w:p w14:paraId="7621242F" w14:textId="77777777" w:rsidR="00DB4CD0" w:rsidRDefault="00DB4CD0"/>
    <w:p w14:paraId="70762771" w14:textId="77777777" w:rsidR="00DB4CD0" w:rsidRDefault="00DB4CD0"/>
    <w:p w14:paraId="7FD40A5D" w14:textId="77777777" w:rsidR="00DB4CD0" w:rsidRDefault="00DB4CD0"/>
    <w:p w14:paraId="049E9CC8" w14:textId="77777777" w:rsidR="00DB4CD0" w:rsidRDefault="00DB4CD0"/>
    <w:p w14:paraId="53F15608" w14:textId="77777777" w:rsidR="00DB4CD0" w:rsidRDefault="002E785C">
      <w:r>
        <w:br w:type="page"/>
      </w:r>
    </w:p>
    <w:p w14:paraId="6C7E65A4" w14:textId="77777777" w:rsidR="00DB4CD0" w:rsidRDefault="002E785C">
      <w:pPr>
        <w:pStyle w:val="Heading1"/>
      </w:pPr>
      <w:bookmarkStart w:id="7" w:name="_7tqt1fhlmy5q" w:colFirst="0" w:colLast="0"/>
      <w:bookmarkEnd w:id="7"/>
      <w:r>
        <w:lastRenderedPageBreak/>
        <w:t>References</w:t>
      </w:r>
    </w:p>
    <w:p w14:paraId="480E44A1" w14:textId="77777777" w:rsidR="00BD45FB" w:rsidRPr="005E7197" w:rsidRDefault="00BD45FB" w:rsidP="00BD45FB">
      <w:pPr>
        <w:ind w:left="360"/>
      </w:pPr>
      <w:r w:rsidRPr="005E7197">
        <w:t xml:space="preserve">Amat, O., &amp; Valls, J. (2019). </w:t>
      </w:r>
      <w:r w:rsidRPr="005E7197">
        <w:rPr>
          <w:i/>
        </w:rPr>
        <w:t>Luxury hotel revenue management: A critical review. International Journal of Contemporary Hospitality Management</w:t>
      </w:r>
      <w:r w:rsidRPr="005E7197">
        <w:t>, 31(3), 876-900.</w:t>
      </w:r>
    </w:p>
    <w:p w14:paraId="666BBEA9" w14:textId="77777777" w:rsidR="00BD45FB" w:rsidRPr="005E7197" w:rsidRDefault="00BD45FB" w:rsidP="00BD45FB">
      <w:pPr>
        <w:ind w:left="360"/>
      </w:pPr>
      <w:r w:rsidRPr="005E7197">
        <w:t xml:space="preserve">Brammer, S., &amp; Pavel, D. (2020). </w:t>
      </w:r>
      <w:r w:rsidRPr="005E7197">
        <w:rPr>
          <w:i/>
        </w:rPr>
        <w:t>Corporate social responsibility in the hospitality industry: Mapping the field and emerging trends</w:t>
      </w:r>
      <w:r w:rsidRPr="005E7197">
        <w:t>. International Journal of Hospitality Management, 84, 104007.</w:t>
      </w:r>
    </w:p>
    <w:p w14:paraId="4E7E41FE" w14:textId="77777777" w:rsidR="00BD45FB" w:rsidRPr="005E7197" w:rsidRDefault="00BD45FB" w:rsidP="00BD45FB">
      <w:pPr>
        <w:ind w:left="360"/>
      </w:pPr>
      <w:r w:rsidRPr="005E7197">
        <w:t xml:space="preserve">Chen, Y., &amp; Law, R. (2020). </w:t>
      </w:r>
      <w:r w:rsidRPr="005E7197">
        <w:rPr>
          <w:i/>
        </w:rPr>
        <w:t xml:space="preserve">Revenue management strategies for budget hotels: A comparative analysis. </w:t>
      </w:r>
      <w:r w:rsidRPr="005E7197">
        <w:t>Tourism Management, 80, 100152.</w:t>
      </w:r>
    </w:p>
    <w:p w14:paraId="5CB69CFD" w14:textId="77777777" w:rsidR="00BD45FB" w:rsidRPr="005E7197" w:rsidRDefault="00BD45FB" w:rsidP="00BD45FB">
      <w:pPr>
        <w:ind w:left="360"/>
      </w:pPr>
      <w:r w:rsidRPr="005E7197">
        <w:t xml:space="preserve">Cornell University Center for Hospitality Research (2022). </w:t>
      </w:r>
      <w:r w:rsidRPr="005E7197">
        <w:rPr>
          <w:i/>
        </w:rPr>
        <w:t>Hotel industry report 2022. Ithaca</w:t>
      </w:r>
      <w:r w:rsidRPr="005E7197">
        <w:t>, NY: Cornell University.</w:t>
      </w:r>
    </w:p>
    <w:p w14:paraId="64B18F71" w14:textId="77777777" w:rsidR="00BD45FB" w:rsidRPr="005E7197" w:rsidRDefault="00BD45FB" w:rsidP="00BD45FB">
      <w:pPr>
        <w:ind w:left="360"/>
      </w:pPr>
      <w:r w:rsidRPr="005E7197">
        <w:t xml:space="preserve">Drury, C. (2021). </w:t>
      </w:r>
      <w:r w:rsidRPr="005E7197">
        <w:rPr>
          <w:i/>
        </w:rPr>
        <w:t>Management and Cost Accounting</w:t>
      </w:r>
      <w:r w:rsidRPr="005E7197">
        <w:t xml:space="preserve">, London, Prentice Hall </w:t>
      </w:r>
    </w:p>
    <w:p w14:paraId="0AD8D3B8" w14:textId="77777777" w:rsidR="00BD45FB" w:rsidRPr="005E7197" w:rsidRDefault="00BD45FB" w:rsidP="00BD45FB">
      <w:pPr>
        <w:ind w:left="360"/>
      </w:pPr>
      <w:r w:rsidRPr="005E7197">
        <w:t xml:space="preserve">Font, X., &amp; </w:t>
      </w:r>
      <w:proofErr w:type="spellStart"/>
      <w:r w:rsidRPr="005E7197">
        <w:t>Bollozo</w:t>
      </w:r>
      <w:proofErr w:type="spellEnd"/>
      <w:r w:rsidRPr="005E7197">
        <w:t xml:space="preserve">, J. (2018). </w:t>
      </w:r>
      <w:r w:rsidRPr="005E7197">
        <w:rPr>
          <w:i/>
        </w:rPr>
        <w:t>Sustainability, innovation, and profitability in the hotel industry: An empirical analysis</w:t>
      </w:r>
      <w:r w:rsidRPr="005E7197">
        <w:t>. Tourism Management, 68, 322-332.</w:t>
      </w:r>
    </w:p>
    <w:p w14:paraId="3B3F0260" w14:textId="77777777" w:rsidR="00BD45FB" w:rsidRPr="005E7197" w:rsidRDefault="00BD45FB" w:rsidP="00BD45FB">
      <w:pPr>
        <w:ind w:left="360"/>
      </w:pPr>
      <w:r w:rsidRPr="005E7197">
        <w:t xml:space="preserve">Han, H., &amp; Kim, W. (2018). </w:t>
      </w:r>
      <w:r w:rsidRPr="005E7197">
        <w:rPr>
          <w:i/>
        </w:rPr>
        <w:t>The impact of customer segmentation on hotel revenue management under dynamic pricing</w:t>
      </w:r>
      <w:r w:rsidRPr="005E7197">
        <w:t xml:space="preserve">. </w:t>
      </w:r>
      <w:r w:rsidRPr="005E7197">
        <w:rPr>
          <w:i/>
        </w:rPr>
        <w:t>International Journal of Hospitality Management</w:t>
      </w:r>
      <w:r w:rsidRPr="005E7197">
        <w:t>, 71, 14-22.</w:t>
      </w:r>
    </w:p>
    <w:p w14:paraId="7B4AF01E" w14:textId="77777777" w:rsidR="00BD45FB" w:rsidRPr="005E7197" w:rsidRDefault="00BD45FB" w:rsidP="00BD45FB">
      <w:pPr>
        <w:ind w:left="360"/>
      </w:pPr>
      <w:r w:rsidRPr="005E7197">
        <w:t xml:space="preserve">Jones, C., &amp; Comfort, L. (2019). </w:t>
      </w:r>
      <w:r w:rsidRPr="005E7197">
        <w:rPr>
          <w:i/>
        </w:rPr>
        <w:t>Stakeholder perceptions of hotel sustainability initiatives: A comparative analysis. International Journal of Sustainable Tourism</w:t>
      </w:r>
      <w:r w:rsidRPr="005E7197">
        <w:t>, 27(8), 1295-1312.</w:t>
      </w:r>
    </w:p>
    <w:p w14:paraId="04EAA789" w14:textId="77777777" w:rsidR="00BD45FB" w:rsidRPr="005E7197" w:rsidRDefault="00BD45FB" w:rsidP="00BD45FB">
      <w:pPr>
        <w:ind w:left="360"/>
      </w:pPr>
      <w:r w:rsidRPr="005E7197">
        <w:t xml:space="preserve">Kim, Y., &amp; Bonn, M. A. (2019). </w:t>
      </w:r>
      <w:r w:rsidRPr="005E7197">
        <w:rPr>
          <w:i/>
        </w:rPr>
        <w:t>Building luxury hotel brands in emerging markets: An analysis of success factors. Journal of Hospitality Marketing &amp; Management</w:t>
      </w:r>
      <w:r w:rsidRPr="005E7197">
        <w:t>, 28(8), 1058-1076.</w:t>
      </w:r>
    </w:p>
    <w:p w14:paraId="3929F754" w14:textId="77777777" w:rsidR="00BD45FB" w:rsidRPr="005E7197" w:rsidRDefault="00BD45FB" w:rsidP="00BD45FB">
      <w:pPr>
        <w:ind w:left="360"/>
      </w:pPr>
      <w:r w:rsidRPr="005E7197">
        <w:t xml:space="preserve">Mason, C., &amp; Leong, W. K. (2018). </w:t>
      </w:r>
      <w:r w:rsidRPr="005E7197">
        <w:rPr>
          <w:i/>
        </w:rPr>
        <w:t>Budget hotel expansion in Asia: Exploring the drivers and challenges. International Journal of Tourism Research</w:t>
      </w:r>
      <w:r w:rsidRPr="005E7197">
        <w:t>, 20(6), 709-723.</w:t>
      </w:r>
    </w:p>
    <w:p w14:paraId="1A023313" w14:textId="77777777" w:rsidR="00BD45FB" w:rsidRPr="005E7197" w:rsidRDefault="00BD45FB" w:rsidP="00BD45FB">
      <w:pPr>
        <w:ind w:left="360"/>
      </w:pPr>
      <w:r w:rsidRPr="005E7197">
        <w:t xml:space="preserve">O'Connor, P., &amp; Cheung, C. M. (2019). </w:t>
      </w:r>
      <w:r w:rsidRPr="005E7197">
        <w:rPr>
          <w:i/>
        </w:rPr>
        <w:t>Building brand loyalty in the budget hotel segment: The role of customer engagement. Journal of Travel &amp; Tourism Marketing</w:t>
      </w:r>
      <w:r w:rsidRPr="005E7197">
        <w:t>, 36(8), 904-915.</w:t>
      </w:r>
    </w:p>
    <w:p w14:paraId="616E2668" w14:textId="77777777" w:rsidR="00BD45FB" w:rsidRPr="005E7197" w:rsidRDefault="00BD45FB" w:rsidP="00BD45FB">
      <w:pPr>
        <w:ind w:left="360"/>
      </w:pPr>
      <w:r w:rsidRPr="005E7197">
        <w:t xml:space="preserve">PWC (2021). </w:t>
      </w:r>
      <w:r w:rsidRPr="005E7197">
        <w:rPr>
          <w:i/>
        </w:rPr>
        <w:t>Global hospitality outlook 2021-2025. London, UK: PricewaterhouseCoopers</w:t>
      </w:r>
      <w:r w:rsidRPr="005E7197">
        <w:t>.</w:t>
      </w:r>
    </w:p>
    <w:p w14:paraId="59C4610F" w14:textId="77777777" w:rsidR="00BD45FB" w:rsidRPr="005E7197" w:rsidRDefault="00BD45FB" w:rsidP="00BD45FB">
      <w:pPr>
        <w:ind w:left="360"/>
      </w:pPr>
      <w:r w:rsidRPr="005E7197">
        <w:t xml:space="preserve">Seal W (2019). </w:t>
      </w:r>
      <w:r w:rsidRPr="005E7197">
        <w:rPr>
          <w:i/>
        </w:rPr>
        <w:t>Management Accounting</w:t>
      </w:r>
      <w:r w:rsidRPr="005E7197">
        <w:t>, London, McGraw Hill</w:t>
      </w:r>
    </w:p>
    <w:p w14:paraId="5DCC7143" w14:textId="77777777" w:rsidR="00BD45FB" w:rsidRPr="005E7197" w:rsidRDefault="00BD45FB" w:rsidP="00BD45FB">
      <w:pPr>
        <w:ind w:left="360"/>
      </w:pPr>
      <w:r w:rsidRPr="005E7197">
        <w:t xml:space="preserve">World Tourism Organization (2020). </w:t>
      </w:r>
      <w:r w:rsidRPr="005E7197">
        <w:rPr>
          <w:i/>
        </w:rPr>
        <w:t>UNWTO tourism highlights 2020 edition. Madrid, Spain: World Tourism Organization</w:t>
      </w:r>
      <w:r w:rsidRPr="005E7197">
        <w:t>.</w:t>
      </w:r>
    </w:p>
    <w:p w14:paraId="0721F800" w14:textId="77777777" w:rsidR="00DB4CD0" w:rsidRDefault="00DB4CD0"/>
    <w:p w14:paraId="3D33D79D" w14:textId="77777777" w:rsidR="00DB4CD0" w:rsidRDefault="00DB4CD0"/>
    <w:p w14:paraId="08E3840C" w14:textId="77777777" w:rsidR="00DB4CD0" w:rsidRDefault="00DB4CD0"/>
    <w:p w14:paraId="1B4D63F4" w14:textId="77777777" w:rsidR="00DB4CD0" w:rsidRDefault="00DB4CD0"/>
    <w:sectPr w:rsidR="00DB4CD0">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B0BE7E" w14:textId="77777777" w:rsidR="00254ECF" w:rsidRDefault="00254ECF" w:rsidP="00792635">
      <w:pPr>
        <w:spacing w:line="240" w:lineRule="auto"/>
      </w:pPr>
      <w:r>
        <w:separator/>
      </w:r>
    </w:p>
  </w:endnote>
  <w:endnote w:type="continuationSeparator" w:id="0">
    <w:p w14:paraId="206071C2" w14:textId="77777777" w:rsidR="00254ECF" w:rsidRDefault="00254ECF" w:rsidP="0079263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6121571"/>
      <w:docPartObj>
        <w:docPartGallery w:val="Page Numbers (Bottom of Page)"/>
        <w:docPartUnique/>
      </w:docPartObj>
    </w:sdtPr>
    <w:sdtEndPr>
      <w:rPr>
        <w:noProof/>
      </w:rPr>
    </w:sdtEndPr>
    <w:sdtContent>
      <w:p w14:paraId="78CE6977" w14:textId="77777777" w:rsidR="00792635" w:rsidRDefault="00792635">
        <w:pPr>
          <w:pStyle w:val="Footer"/>
          <w:jc w:val="center"/>
        </w:pPr>
        <w:r>
          <w:fldChar w:fldCharType="begin"/>
        </w:r>
        <w:r>
          <w:instrText xml:space="preserve"> PAGE   \* MERGEFORMAT </w:instrText>
        </w:r>
        <w:r>
          <w:fldChar w:fldCharType="separate"/>
        </w:r>
        <w:r w:rsidR="00C10B81">
          <w:rPr>
            <w:noProof/>
          </w:rPr>
          <w:t>6</w:t>
        </w:r>
        <w:r>
          <w:rPr>
            <w:noProof/>
          </w:rPr>
          <w:fldChar w:fldCharType="end"/>
        </w:r>
      </w:p>
    </w:sdtContent>
  </w:sdt>
  <w:p w14:paraId="21B0EF32" w14:textId="77777777" w:rsidR="00792635" w:rsidRDefault="007926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3E3EEC" w14:textId="77777777" w:rsidR="00254ECF" w:rsidRDefault="00254ECF" w:rsidP="00792635">
      <w:pPr>
        <w:spacing w:line="240" w:lineRule="auto"/>
      </w:pPr>
      <w:r>
        <w:separator/>
      </w:r>
    </w:p>
  </w:footnote>
  <w:footnote w:type="continuationSeparator" w:id="0">
    <w:p w14:paraId="034DC66B" w14:textId="77777777" w:rsidR="00254ECF" w:rsidRDefault="00254ECF" w:rsidP="0079263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B5C2C"/>
    <w:multiLevelType w:val="multilevel"/>
    <w:tmpl w:val="BA049B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D1519F0"/>
    <w:multiLevelType w:val="multilevel"/>
    <w:tmpl w:val="8DEE7C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25222FE"/>
    <w:multiLevelType w:val="multilevel"/>
    <w:tmpl w:val="6A8CD3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41503C5"/>
    <w:multiLevelType w:val="multilevel"/>
    <w:tmpl w:val="A43C1D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ED71E21"/>
    <w:multiLevelType w:val="multilevel"/>
    <w:tmpl w:val="28F0D6E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2073383777">
    <w:abstractNumId w:val="2"/>
  </w:num>
  <w:num w:numId="2" w16cid:durableId="1842819805">
    <w:abstractNumId w:val="0"/>
  </w:num>
  <w:num w:numId="3" w16cid:durableId="1346592863">
    <w:abstractNumId w:val="1"/>
  </w:num>
  <w:num w:numId="4" w16cid:durableId="159153899">
    <w:abstractNumId w:val="4"/>
  </w:num>
  <w:num w:numId="5" w16cid:durableId="52483005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4CD0"/>
    <w:rsid w:val="000E5DE8"/>
    <w:rsid w:val="00254ECF"/>
    <w:rsid w:val="002E785C"/>
    <w:rsid w:val="005E7197"/>
    <w:rsid w:val="00792635"/>
    <w:rsid w:val="00891DEA"/>
    <w:rsid w:val="008F4BC5"/>
    <w:rsid w:val="009E36D8"/>
    <w:rsid w:val="00B35193"/>
    <w:rsid w:val="00B86E87"/>
    <w:rsid w:val="00BD2612"/>
    <w:rsid w:val="00BD45FB"/>
    <w:rsid w:val="00C10B81"/>
    <w:rsid w:val="00CF59F5"/>
    <w:rsid w:val="00DB4CD0"/>
    <w:rsid w:val="00DC462F"/>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18B2C"/>
  <w15:docId w15:val="{48DB82E0-D54F-447F-9DF2-87E97B3BC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b/>
      <w:sz w:val="32"/>
      <w:szCs w:val="32"/>
    </w:rPr>
  </w:style>
  <w:style w:type="paragraph" w:styleId="Heading2">
    <w:name w:val="heading 2"/>
    <w:basedOn w:val="Normal"/>
    <w:next w:val="Normal"/>
    <w:pPr>
      <w:keepNext/>
      <w:keepLines/>
      <w:spacing w:before="360" w:after="120"/>
      <w:outlineLvl w:val="1"/>
    </w:pPr>
    <w:rPr>
      <w:b/>
      <w:sz w:val="28"/>
      <w:szCs w:val="28"/>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792635"/>
    <w:pPr>
      <w:tabs>
        <w:tab w:val="center" w:pos="4680"/>
        <w:tab w:val="right" w:pos="9360"/>
      </w:tabs>
      <w:spacing w:line="240" w:lineRule="auto"/>
    </w:pPr>
  </w:style>
  <w:style w:type="character" w:customStyle="1" w:styleId="HeaderChar">
    <w:name w:val="Header Char"/>
    <w:basedOn w:val="DefaultParagraphFont"/>
    <w:link w:val="Header"/>
    <w:uiPriority w:val="99"/>
    <w:rsid w:val="00792635"/>
  </w:style>
  <w:style w:type="paragraph" w:styleId="Footer">
    <w:name w:val="footer"/>
    <w:basedOn w:val="Normal"/>
    <w:link w:val="FooterChar"/>
    <w:uiPriority w:val="99"/>
    <w:unhideWhenUsed/>
    <w:rsid w:val="00792635"/>
    <w:pPr>
      <w:tabs>
        <w:tab w:val="center" w:pos="4680"/>
        <w:tab w:val="right" w:pos="9360"/>
      </w:tabs>
      <w:spacing w:line="240" w:lineRule="auto"/>
    </w:pPr>
  </w:style>
  <w:style w:type="character" w:customStyle="1" w:styleId="FooterChar">
    <w:name w:val="Footer Char"/>
    <w:basedOn w:val="DefaultParagraphFont"/>
    <w:link w:val="Footer"/>
    <w:uiPriority w:val="99"/>
    <w:rsid w:val="007926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6779524">
      <w:bodyDiv w:val="1"/>
      <w:marLeft w:val="0"/>
      <w:marRight w:val="0"/>
      <w:marTop w:val="0"/>
      <w:marBottom w:val="0"/>
      <w:divBdr>
        <w:top w:val="none" w:sz="0" w:space="0" w:color="auto"/>
        <w:left w:val="none" w:sz="0" w:space="0" w:color="auto"/>
        <w:bottom w:val="none" w:sz="0" w:space="0" w:color="auto"/>
        <w:right w:val="none" w:sz="0" w:space="0" w:color="auto"/>
      </w:divBdr>
      <w:divsChild>
        <w:div w:id="1181628026">
          <w:marLeft w:val="0"/>
          <w:marRight w:val="0"/>
          <w:marTop w:val="0"/>
          <w:marBottom w:val="0"/>
          <w:divBdr>
            <w:top w:val="none" w:sz="0" w:space="0" w:color="auto"/>
            <w:left w:val="none" w:sz="0" w:space="0" w:color="auto"/>
            <w:bottom w:val="none" w:sz="0" w:space="0" w:color="auto"/>
            <w:right w:val="none" w:sz="0" w:space="0" w:color="auto"/>
          </w:divBdr>
          <w:divsChild>
            <w:div w:id="412161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2588</Words>
  <Characters>14757</Characters>
  <Application>Microsoft Office Word</Application>
  <DocSecurity>0</DocSecurity>
  <Lines>122</Lines>
  <Paragraphs>34</Paragraphs>
  <ScaleCrop>false</ScaleCrop>
  <Company/>
  <LinksUpToDate>false</LinksUpToDate>
  <CharactersWithSpaces>17311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Sumaiya Begum</dc:creator>
  <cp:lastModifiedBy>Sumaiya Begum Tanni (2211676)</cp:lastModifiedBy>
  <cp:revision>6</cp:revision>
  <dcterms:created xsi:type="dcterms:W3CDTF">2024-01-25T09:39:00Z</dcterms:created>
  <dcterms:modified xsi:type="dcterms:W3CDTF">2024-02-01T11:31:00Z</dcterms:modified>
</cp:coreProperties>
</file>