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Rachel Walker 2004213 BMSS6007 May 2023</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An exploration of Outdoor Adventure Education student</w:t>
      </w:r>
      <w:r>
        <w:rPr>
          <w:rFonts w:ascii="Times New Roman" w:hAnsi="Times New Roman" w:hint="default"/>
          <w:sz w:val="24"/>
          <w:szCs w:val="24"/>
          <w:u w:val="single"/>
          <w:rtl w:val="0"/>
          <w:lang w:val="en-US"/>
        </w:rPr>
        <w:t>’</w:t>
      </w:r>
      <w:r>
        <w:rPr>
          <w:rFonts w:ascii="Times New Roman" w:hAnsi="Times New Roman"/>
          <w:sz w:val="24"/>
          <w:szCs w:val="24"/>
          <w:u w:val="single"/>
          <w:rtl w:val="0"/>
          <w:lang w:val="en-US"/>
        </w:rPr>
        <w:t xml:space="preserve">s gendered experiences in the outdoor sector.  </w:t>
      </w:r>
    </w:p>
    <w:p>
      <w:pPr>
        <w:pStyle w:val="Body"/>
        <w:spacing w:line="360" w:lineRule="auto"/>
        <w:rPr>
          <w:rFonts w:ascii="Times New Roman" w:cs="Times New Roman" w:hAnsi="Times New Roman" w:eastAsia="Times New Roman"/>
          <w:sz w:val="24"/>
          <w:szCs w:val="24"/>
          <w:u w:val="single"/>
        </w:rPr>
      </w:pPr>
    </w:p>
    <w:p>
      <w:pPr>
        <w:pStyle w:val="Body"/>
        <w:spacing w:line="360" w:lineRule="auto"/>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 xml:space="preserve">Abstract </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The historically male dominated field of outdoor education has prompted much research into the gendered experiences of women in leadership and participation. While this has been an essential part of challenging the masculine culture within the outdoors, there are calls to research beyond the binary concept of gender and diversify the voices heard in order for the sector to become truly inclusive (</w:t>
      </w:r>
      <w:r>
        <w:rPr>
          <w:rFonts w:ascii="Times New Roman" w:hAnsi="Times New Roman"/>
          <w:sz w:val="24"/>
          <w:szCs w:val="24"/>
          <w:rtl w:val="0"/>
          <w:lang w:val="da-DK"/>
        </w:rPr>
        <w:t>Allen Craig et al, 2020</w:t>
      </w:r>
      <w:r>
        <w:rPr>
          <w:rFonts w:ascii="Times New Roman" w:hAnsi="Times New Roman"/>
          <w:sz w:val="24"/>
          <w:szCs w:val="24"/>
          <w:rtl w:val="0"/>
          <w:lang w:val="en-US"/>
        </w:rPr>
        <w:t xml:space="preserve">; </w:t>
      </w:r>
      <w:r>
        <w:rPr>
          <w:rFonts w:ascii="Times New Roman" w:hAnsi="Times New Roman"/>
          <w:sz w:val="24"/>
          <w:szCs w:val="24"/>
          <w:rtl w:val="0"/>
          <w:lang w:val="en-US"/>
        </w:rPr>
        <w:t>Bren and Prince, 2022</w:t>
      </w:r>
      <w:r>
        <w:rPr>
          <w:rFonts w:ascii="Times New Roman" w:hAnsi="Times New Roman"/>
          <w:sz w:val="24"/>
          <w:szCs w:val="24"/>
          <w:rtl w:val="0"/>
          <w:lang w:val="en-US"/>
        </w:rPr>
        <w:t xml:space="preserve">; </w:t>
      </w:r>
      <w:r>
        <w:rPr>
          <w:rFonts w:ascii="Times New Roman" w:hAnsi="Times New Roman"/>
          <w:sz w:val="24"/>
          <w:szCs w:val="24"/>
          <w:rtl w:val="0"/>
        </w:rPr>
        <w:t>lisahunter, 2021</w:t>
      </w:r>
      <w:r>
        <w:rPr>
          <w:rFonts w:ascii="Times New Roman" w:hAnsi="Times New Roman"/>
          <w:sz w:val="24"/>
          <w:szCs w:val="24"/>
          <w:rtl w:val="0"/>
          <w:lang w:val="en-US"/>
        </w:rPr>
        <w:t>). This study had the main aim of exploring the gendered experiences of Outdoor Adventure Education students of different gender identities to achieve this diversity with the secondary aim of gaining insight into their experiences and attitudes towards femininity and masculinity and the impact this had on outdoor experiences and culture. Recruited through convenience sampling, four students from the Outdoor Adventure Education course at UWTSD participated in qualitative semi-structured interviews to gain a in depth insight into their lived experiences. The participants identified as: a transgender man, a cisgender man, a non binary person and a cisgender woman and all were aged 18 or over. Data analysis for this study was based in Braun and Clarke</w:t>
      </w:r>
      <w:r>
        <w:rPr>
          <w:rFonts w:ascii="Times New Roman" w:hAnsi="Times New Roman" w:hint="default"/>
          <w:sz w:val="24"/>
          <w:szCs w:val="24"/>
          <w:rtl w:val="0"/>
          <w:lang w:val="en-US"/>
        </w:rPr>
        <w:t>’</w:t>
      </w:r>
      <w:r>
        <w:rPr>
          <w:rFonts w:ascii="Times New Roman" w:hAnsi="Times New Roman"/>
          <w:sz w:val="24"/>
          <w:szCs w:val="24"/>
          <w:rtl w:val="0"/>
          <w:lang w:val="en-US"/>
        </w:rPr>
        <w:t xml:space="preserve">s (2013) thematic analysis to identify main themes that could be compared with existing research and promote a discussion about gender in the outdoor sector within a broader societal context. Interview transcripts were coded from which four main themes emerged; 1. Physicality and Traditional Gender Roles, 2.Trans and Non-binary Experiences, 3.Femininity and Masculinity, and finally 4.The Outdoors as a Balanced and Mixed Domain. Themes 1, 2 and 3 highlighted the underlying masculine culture within the outdoor sector, consistent with existing literature (Allen-Craig et al, 2020; Gray, 2016; Kennedy &amp; Russell, 2021; Warren et al, 2019) while also illustrating how harmful binary Western gender roles can be in terms of limiting not only outdoor experiences but also personal expression. Theme 2 further </w:t>
      </w:r>
      <w:r>
        <w:rPr>
          <w:rFonts w:ascii="Times New Roman" w:hAnsi="Times New Roman"/>
          <w:sz w:val="24"/>
          <w:szCs w:val="24"/>
          <w:rtl w:val="0"/>
          <w:lang w:val="en-US"/>
        </w:rPr>
        <w:t xml:space="preserve">highlighted the need for adaptations to policies, programming and culture </w:t>
      </w:r>
      <w:r>
        <w:rPr>
          <w:rFonts w:ascii="Times New Roman" w:hAnsi="Times New Roman"/>
          <w:sz w:val="24"/>
          <w:szCs w:val="24"/>
          <w:rtl w:val="0"/>
          <w:lang w:val="en-US"/>
        </w:rPr>
        <w:t xml:space="preserve">to be made </w:t>
      </w:r>
      <w:r>
        <w:rPr>
          <w:rFonts w:ascii="Times New Roman" w:hAnsi="Times New Roman"/>
          <w:sz w:val="24"/>
          <w:szCs w:val="24"/>
          <w:rtl w:val="0"/>
          <w:lang w:val="en-US"/>
        </w:rPr>
        <w:t>in order for all LGBTQ+ and gender nonconforming folks to feel</w:t>
      </w:r>
      <w:r>
        <w:rPr>
          <w:rFonts w:ascii="Times New Roman" w:hAnsi="Times New Roman"/>
          <w:sz w:val="24"/>
          <w:szCs w:val="24"/>
          <w:rtl w:val="0"/>
          <w:lang w:val="en-US"/>
        </w:rPr>
        <w:t xml:space="preserve"> </w:t>
      </w:r>
      <w:r>
        <w:rPr>
          <w:rFonts w:ascii="Times New Roman" w:hAnsi="Times New Roman"/>
          <w:sz w:val="24"/>
          <w:szCs w:val="24"/>
          <w:rtl w:val="0"/>
          <w:lang w:val="en-US"/>
        </w:rPr>
        <w:t>and be safe and comfortable in outdoor experiences and workplaces</w:t>
      </w:r>
      <w:r>
        <w:rPr>
          <w:rFonts w:ascii="Times New Roman" w:hAnsi="Times New Roman"/>
          <w:sz w:val="24"/>
          <w:szCs w:val="24"/>
          <w:rtl w:val="0"/>
          <w:lang w:val="en-US"/>
        </w:rPr>
        <w:t xml:space="preserve"> (Bren &amp; Prince, 2022; Lundin &amp; Bombaci, 2022). Theme 4 paints a picture of the future of the outdoor sector with regard to gender, with participants expressing a desire for </w:t>
      </w:r>
      <w:r>
        <w:rPr>
          <w:rFonts w:ascii="Times New Roman" w:hAnsi="Times New Roman"/>
          <w:sz w:val="24"/>
          <w:szCs w:val="24"/>
          <w:rtl w:val="0"/>
          <w:lang w:val="en-US"/>
        </w:rPr>
        <w:t>balance and inclusion with a mix of feminine and masculine styles valued in leadership.</w:t>
      </w:r>
      <w:r>
        <w:rPr>
          <w:rFonts w:ascii="Times New Roman" w:hAnsi="Times New Roman"/>
          <w:sz w:val="24"/>
          <w:szCs w:val="24"/>
          <w:rtl w:val="0"/>
          <w:lang w:val="en-US"/>
        </w:rPr>
        <w:t xml:space="preserve"> This final theme, while limited to this small sample, could suggest a change in culture and awareness among upcoming outdoor practitioners where ability and variety in styles of leadership are valued over traditional gender roles. The findings from this study illustrate the continued need for the outdoor sector to change practices and culture to become truly inclusive but also points to where this culture may already be changing.  Future research could look further into upcoming outdoor leader</w:t>
      </w:r>
      <w:r>
        <w:rPr>
          <w:rFonts w:ascii="Times New Roman" w:hAnsi="Times New Roman" w:hint="default"/>
          <w:sz w:val="24"/>
          <w:szCs w:val="24"/>
          <w:rtl w:val="0"/>
          <w:lang w:val="en-US"/>
        </w:rPr>
        <w:t>’</w:t>
      </w:r>
      <w:r>
        <w:rPr>
          <w:rFonts w:ascii="Times New Roman" w:hAnsi="Times New Roman"/>
          <w:sz w:val="24"/>
          <w:szCs w:val="24"/>
          <w:rtl w:val="0"/>
          <w:lang w:val="en-US"/>
        </w:rPr>
        <w:t xml:space="preserve">s awareness of the gender binary and the masculine culture within the outdoors to gain an understanding of a potential cultural shift among a generation who may be more aware of gender fluidity and diversity. </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Word count: 500 </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References</w:t>
      </w:r>
    </w:p>
    <w:p>
      <w:pPr>
        <w:pStyle w:val="Body"/>
        <w:spacing w:line="360" w:lineRule="auto"/>
        <w:rPr>
          <w:rFonts w:ascii="Times New Roman" w:cs="Times New Roman" w:hAnsi="Times New Roman" w:eastAsia="Times New Roman"/>
          <w:sz w:val="24"/>
          <w:szCs w:val="24"/>
          <w:u w:val="single"/>
        </w:rPr>
      </w:pPr>
    </w:p>
    <w:p>
      <w:pPr>
        <w:pStyle w:val="Default"/>
        <w:bidi w:val="0"/>
        <w:spacing w:before="0" w:line="36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 xml:space="preserve">Allen-Craig, S., Gray, T. and Charles, R. et al (2020) </w:t>
      </w:r>
      <w:r>
        <w:rPr>
          <w:rFonts w:ascii="Times New Roman" w:hAnsi="Times New Roman" w:hint="default"/>
          <w:shd w:val="clear" w:color="auto" w:fill="ffffff"/>
          <w:rtl w:val="1"/>
        </w:rPr>
        <w:t>‘</w:t>
      </w:r>
      <w:r>
        <w:rPr>
          <w:rFonts w:ascii="Times New Roman" w:hAnsi="Times New Roman"/>
          <w:shd w:val="clear" w:color="auto" w:fill="ffffff"/>
          <w:rtl w:val="0"/>
          <w:lang w:val="en-US"/>
        </w:rPr>
        <w:t>Together we have impact: Exploring Gendered Experiences in Outdoor Leadership</w:t>
      </w:r>
      <w:r>
        <w:rPr>
          <w:rFonts w:ascii="Times New Roman" w:hAnsi="Times New Roman" w:hint="default"/>
          <w:shd w:val="clear" w:color="auto" w:fill="ffffff"/>
          <w:rtl w:val="1"/>
        </w:rPr>
        <w:t xml:space="preserve">’ </w:t>
      </w:r>
      <w:r>
        <w:rPr>
          <w:rFonts w:ascii="Times New Roman" w:hAnsi="Times New Roman"/>
          <w:shd w:val="clear" w:color="auto" w:fill="ffffff"/>
          <w:rtl w:val="0"/>
          <w:lang w:val="en-US"/>
        </w:rPr>
        <w:t>Journal of Outdoor Recreation, Education and Leadership Vol. 12, No 1, pp.121-139</w:t>
      </w:r>
    </w:p>
    <w:p>
      <w:pPr>
        <w:pStyle w:val="Default"/>
        <w:bidi w:val="0"/>
        <w:spacing w:before="0" w:line="360" w:lineRule="auto"/>
        <w:ind w:left="0" w:right="0" w:firstLine="0"/>
        <w:jc w:val="left"/>
        <w:rPr>
          <w:rFonts w:ascii="Times New Roman" w:cs="Times New Roman" w:hAnsi="Times New Roman" w:eastAsia="Times New Roman"/>
          <w:shd w:val="clear" w:color="auto" w:fill="ffffff"/>
          <w:rtl w:val="0"/>
        </w:rPr>
      </w:pPr>
    </w:p>
    <w:p>
      <w:pPr>
        <w:pStyle w:val="Default"/>
        <w:bidi w:val="0"/>
        <w:spacing w:before="0" w:line="36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Braun, V. and Clarke, V. (2013)</w:t>
      </w:r>
      <w:r>
        <w:rPr>
          <w:rFonts w:ascii="Times New Roman" w:hAnsi="Times New Roman" w:hint="default"/>
          <w:shd w:val="clear" w:color="auto" w:fill="ffffff"/>
          <w:rtl w:val="0"/>
        </w:rPr>
        <w:t> </w:t>
      </w:r>
      <w:r>
        <w:rPr>
          <w:rFonts w:ascii="Times New Roman" w:hAnsi="Times New Roman"/>
          <w:shd w:val="clear" w:color="auto" w:fill="ffffff"/>
          <w:rtl w:val="0"/>
          <w:lang w:val="en-US"/>
        </w:rPr>
        <w:t>Successful qualitative research: a practical guide for beginners. Los Angeles, California: SAGE.</w:t>
      </w:r>
    </w:p>
    <w:p>
      <w:pPr>
        <w:pStyle w:val="Default"/>
        <w:bidi w:val="0"/>
        <w:spacing w:before="0" w:line="360" w:lineRule="auto"/>
        <w:ind w:left="0" w:right="0" w:firstLine="0"/>
        <w:jc w:val="left"/>
        <w:rPr>
          <w:rFonts w:ascii="Times New Roman" w:cs="Times New Roman" w:hAnsi="Times New Roman" w:eastAsia="Times New Roman"/>
          <w:shd w:val="clear" w:color="auto" w:fill="ffffff"/>
          <w:rtl w:val="0"/>
        </w:rPr>
      </w:pPr>
    </w:p>
    <w:p>
      <w:pPr>
        <w:pStyle w:val="Default"/>
        <w:bidi w:val="0"/>
        <w:spacing w:before="0" w:line="36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Bren, C., and Prince, H. E., (2022). The experiences of trans and non</w:t>
      </w:r>
      <w:r>
        <w:rPr>
          <w:rFonts w:ascii="Arial Unicode MS" w:cs="Arial Unicode MS" w:hAnsi="Arial Unicode MS" w:eastAsia="Arial Unicode MS" w:hint="default"/>
          <w:b w:val="0"/>
          <w:bCs w:val="0"/>
          <w:i w:val="0"/>
          <w:iCs w:val="0"/>
          <w:shd w:val="clear" w:color="auto" w:fill="ffffff"/>
          <w:rtl w:val="0"/>
        </w:rPr>
        <w:t>‐</w:t>
      </w:r>
      <w:r>
        <w:rPr>
          <w:rFonts w:ascii="Times New Roman" w:hAnsi="Times New Roman"/>
          <w:shd w:val="clear" w:color="auto" w:fill="ffffff"/>
          <w:rtl w:val="0"/>
          <w:lang w:val="en-US"/>
        </w:rPr>
        <w:t>binary participants in residential and non</w:t>
      </w:r>
      <w:r>
        <w:rPr>
          <w:rFonts w:ascii="Arial Unicode MS" w:cs="Arial Unicode MS" w:hAnsi="Arial Unicode MS" w:eastAsia="Arial Unicode MS" w:hint="default"/>
          <w:b w:val="0"/>
          <w:bCs w:val="0"/>
          <w:i w:val="0"/>
          <w:iCs w:val="0"/>
          <w:shd w:val="clear" w:color="auto" w:fill="ffffff"/>
          <w:rtl w:val="0"/>
        </w:rPr>
        <w:t>‐</w:t>
      </w:r>
      <w:r>
        <w:rPr>
          <w:rFonts w:ascii="Times New Roman" w:hAnsi="Times New Roman"/>
          <w:shd w:val="clear" w:color="auto" w:fill="ffffff"/>
          <w:rtl w:val="0"/>
          <w:lang w:val="en-US"/>
        </w:rPr>
        <w:t>residential outdoor programmes. Journal of Outdoor and Environmental Education (2022) 25:27</w:t>
      </w:r>
      <w:r>
        <w:rPr>
          <w:rFonts w:ascii="Times New Roman" w:hAnsi="Times New Roman" w:hint="default"/>
          <w:shd w:val="clear" w:color="auto" w:fill="ffffff"/>
          <w:rtl w:val="0"/>
        </w:rPr>
        <w:t>–</w:t>
      </w:r>
      <w:r>
        <w:rPr>
          <w:rFonts w:ascii="Times New Roman" w:hAnsi="Times New Roman"/>
          <w:shd w:val="clear" w:color="auto" w:fill="ffffff"/>
          <w:rtl w:val="0"/>
        </w:rPr>
        <w:t xml:space="preserve">45 </w:t>
      </w:r>
      <w:r>
        <w:rPr>
          <w:rStyle w:val="Hyperlink.0"/>
          <w:rFonts w:ascii="Times New Roman" w:cs="Times New Roman" w:hAnsi="Times New Roman" w:eastAsia="Times New Roman"/>
          <w:shd w:val="clear" w:color="auto" w:fill="ffffff"/>
          <w:rtl w:val="0"/>
        </w:rPr>
        <w:fldChar w:fldCharType="begin" w:fldLock="0"/>
      </w:r>
      <w:r>
        <w:rPr>
          <w:rStyle w:val="Hyperlink.0"/>
          <w:rFonts w:ascii="Times New Roman" w:cs="Times New Roman" w:hAnsi="Times New Roman" w:eastAsia="Times New Roman"/>
          <w:shd w:val="clear" w:color="auto" w:fill="ffffff"/>
          <w:rtl w:val="0"/>
        </w:rPr>
        <w:instrText xml:space="preserve"> HYPERLINK "https://doi.org/10.1007/s42322-021-00092-9"</w:instrText>
      </w:r>
      <w:r>
        <w:rPr>
          <w:rStyle w:val="Hyperlink.0"/>
          <w:rFonts w:ascii="Times New Roman" w:cs="Times New Roman" w:hAnsi="Times New Roman" w:eastAsia="Times New Roman"/>
          <w:shd w:val="clear" w:color="auto" w:fill="ffffff"/>
          <w:rtl w:val="0"/>
        </w:rPr>
        <w:fldChar w:fldCharType="separate" w:fldLock="0"/>
      </w:r>
      <w:r>
        <w:rPr>
          <w:rStyle w:val="Hyperlink.0"/>
          <w:rFonts w:ascii="Times New Roman" w:hAnsi="Times New Roman"/>
          <w:shd w:val="clear" w:color="auto" w:fill="ffffff"/>
          <w:rtl w:val="0"/>
          <w:lang w:val="en-US"/>
        </w:rPr>
        <w:t>https://doi.org/10.1007/s42322-021-00092-9</w:t>
      </w:r>
      <w:r>
        <w:rPr>
          <w:rFonts w:ascii="Times New Roman" w:cs="Times New Roman" w:hAnsi="Times New Roman" w:eastAsia="Times New Roman"/>
          <w:shd w:val="clear" w:color="auto" w:fill="ffffff"/>
          <w:rtl w:val="0"/>
        </w:rPr>
        <w:fldChar w:fldCharType="end" w:fldLock="0"/>
      </w:r>
    </w:p>
    <w:p>
      <w:pPr>
        <w:pStyle w:val="Default"/>
        <w:bidi w:val="0"/>
        <w:spacing w:before="0" w:line="360" w:lineRule="auto"/>
        <w:ind w:left="0" w:right="0" w:firstLine="0"/>
        <w:jc w:val="left"/>
        <w:rPr>
          <w:rFonts w:ascii="Times New Roman" w:cs="Times New Roman" w:hAnsi="Times New Roman" w:eastAsia="Times New Roman"/>
          <w:shd w:val="clear" w:color="auto" w:fill="ffffff"/>
          <w:rtl w:val="0"/>
        </w:rPr>
      </w:pPr>
    </w:p>
    <w:p>
      <w:pPr>
        <w:pStyle w:val="Default"/>
        <w:bidi w:val="0"/>
        <w:spacing w:before="0" w:line="36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 xml:space="preserve">Gray, T. (2016) The </w:t>
      </w:r>
      <w:r>
        <w:rPr>
          <w:rFonts w:ascii="Times New Roman" w:hAnsi="Times New Roman" w:hint="default"/>
          <w:shd w:val="clear" w:color="auto" w:fill="ffffff"/>
          <w:rtl w:val="1"/>
          <w:lang w:val="ar-SA" w:bidi="ar-SA"/>
        </w:rPr>
        <w:t>“</w:t>
      </w:r>
      <w:r>
        <w:rPr>
          <w:rFonts w:ascii="Times New Roman" w:hAnsi="Times New Roman"/>
          <w:shd w:val="clear" w:color="auto" w:fill="ffffff"/>
          <w:rtl w:val="0"/>
        </w:rPr>
        <w:t>F</w:t>
      </w:r>
      <w:r>
        <w:rPr>
          <w:rFonts w:ascii="Times New Roman" w:hAnsi="Times New Roman" w:hint="default"/>
          <w:shd w:val="clear" w:color="auto" w:fill="ffffff"/>
          <w:rtl w:val="0"/>
        </w:rPr>
        <w:t xml:space="preserve">” </w:t>
      </w:r>
      <w:r>
        <w:rPr>
          <w:rFonts w:ascii="Times New Roman" w:hAnsi="Times New Roman"/>
          <w:shd w:val="clear" w:color="auto" w:fill="ffffff"/>
          <w:rtl w:val="0"/>
          <w:lang w:val="en-US"/>
        </w:rPr>
        <w:t>word: Feminism in outdoor education. Journal of Outdoor and Environmental Education, 19(2), 25-41</w:t>
      </w:r>
    </w:p>
    <w:p>
      <w:pPr>
        <w:pStyle w:val="Default"/>
        <w:bidi w:val="0"/>
        <w:spacing w:before="0" w:line="360" w:lineRule="auto"/>
        <w:ind w:left="0" w:right="0" w:firstLine="0"/>
        <w:jc w:val="left"/>
        <w:rPr>
          <w:rFonts w:ascii="Times New Roman" w:cs="Times New Roman" w:hAnsi="Times New Roman" w:eastAsia="Times New Roman"/>
          <w:shd w:val="clear" w:color="auto" w:fill="ffffff"/>
          <w:rtl w:val="0"/>
        </w:rPr>
      </w:pPr>
    </w:p>
    <w:p>
      <w:pPr>
        <w:pStyle w:val="Default"/>
        <w:bidi w:val="0"/>
        <w:spacing w:before="0" w:line="360" w:lineRule="auto"/>
        <w:ind w:left="0" w:right="0" w:firstLine="0"/>
        <w:jc w:val="left"/>
        <w:rPr>
          <w:rFonts w:ascii="Times New Roman" w:cs="Times New Roman" w:hAnsi="Times New Roman" w:eastAsia="Times New Roman"/>
          <w:rtl w:val="0"/>
        </w:rPr>
      </w:pPr>
      <w:r>
        <w:rPr>
          <w:rFonts w:ascii="Times New Roman" w:hAnsi="Times New Roman" w:hint="default"/>
          <w:rtl w:val="0"/>
        </w:rPr>
        <w:t> </w:t>
      </w:r>
      <w:r>
        <w:rPr>
          <w:rFonts w:ascii="Times New Roman" w:hAnsi="Times New Roman"/>
          <w:rtl w:val="0"/>
          <w:lang w:val="en-US"/>
        </w:rPr>
        <w:t xml:space="preserve">Kennedy, J. and Russell, C. (2021). </w:t>
      </w:r>
      <w:r>
        <w:rPr>
          <w:rFonts w:ascii="Times New Roman" w:hAnsi="Times New Roman" w:hint="default"/>
          <w:rtl w:val="1"/>
        </w:rPr>
        <w:t>‘</w:t>
      </w:r>
      <w:r>
        <w:rPr>
          <w:rFonts w:ascii="Times New Roman" w:hAnsi="Times New Roman"/>
          <w:rtl w:val="0"/>
          <w:lang w:val="en-US"/>
        </w:rPr>
        <w:t>Hegemonic masculinity in outdoor education</w:t>
      </w:r>
      <w:r>
        <w:rPr>
          <w:rFonts w:ascii="Times New Roman" w:hAnsi="Times New Roman" w:hint="default"/>
          <w:rtl w:val="1"/>
        </w:rPr>
        <w:t xml:space="preserve">’ </w:t>
      </w:r>
      <w:r>
        <w:rPr>
          <w:rFonts w:ascii="Times New Roman" w:hAnsi="Times New Roman"/>
          <w:rtl w:val="0"/>
          <w:lang w:val="en-US"/>
        </w:rPr>
        <w:t>Journal of Adventure Education and Outdoor Learning, 21:2, 162-171, DOI: 10.1080/14729679.2020.1755706</w:t>
      </w:r>
    </w:p>
    <w:p>
      <w:pPr>
        <w:pStyle w:val="Default"/>
        <w:bidi w:val="0"/>
        <w:spacing w:before="0" w:line="360" w:lineRule="auto"/>
        <w:ind w:left="0" w:right="0" w:firstLine="0"/>
        <w:jc w:val="left"/>
        <w:rPr>
          <w:rFonts w:ascii="Times New Roman" w:cs="Times New Roman" w:hAnsi="Times New Roman" w:eastAsia="Times New Roman"/>
          <w:rtl w:val="0"/>
        </w:rPr>
      </w:pPr>
    </w:p>
    <w:p>
      <w:pPr>
        <w:pStyle w:val="Default"/>
        <w:bidi w:val="0"/>
        <w:spacing w:before="0" w:after="32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lisahunter, (2021) Is Outdoor and Environmental Education </w:t>
      </w:r>
      <w:r>
        <w:rPr>
          <w:rFonts w:ascii="Times New Roman" w:hAnsi="Times New Roman" w:hint="default"/>
          <w:rtl w:val="1"/>
        </w:rPr>
        <w:t>‘</w:t>
      </w:r>
      <w:r>
        <w:rPr>
          <w:rFonts w:ascii="Times New Roman" w:hAnsi="Times New Roman"/>
          <w:rtl w:val="0"/>
          <w:lang w:val="en-US"/>
        </w:rPr>
        <w:t>Making a Difference</w:t>
      </w:r>
      <w:r>
        <w:rPr>
          <w:rFonts w:ascii="Times New Roman" w:hAnsi="Times New Roman" w:hint="default"/>
          <w:rtl w:val="1"/>
        </w:rPr>
        <w:t>’</w:t>
      </w:r>
      <w:r>
        <w:rPr>
          <w:rFonts w:ascii="Times New Roman" w:hAnsi="Times New Roman"/>
          <w:rtl w:val="0"/>
          <w:lang w:val="en-US"/>
        </w:rPr>
        <w:t>? Gender and Binary Heteronormative Cisgenderism. In Thomas, G, Dyment, J, &amp; Prince, H (eds) 2021, Outdoor Environmental Education in Higher Education : International Perspectives, Springer International Publishing AG, Cham. Available from: ProQuest Ebook Central. [14 February 2023].</w:t>
      </w:r>
    </w:p>
    <w:p>
      <w:pPr>
        <w:pStyle w:val="Default"/>
        <w:bidi w:val="0"/>
        <w:spacing w:before="0" w:after="32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Lundin, M., &amp; Bombaci, S. (2022) Making outdoor field experiences more inclusive for the LGBTQ+ community. Ecological Applications. </w:t>
      </w:r>
      <w:r>
        <w:rPr>
          <w:rStyle w:val="Hyperlink.0"/>
          <w:rFonts w:ascii="Times New Roman" w:cs="Times New Roman" w:hAnsi="Times New Roman" w:eastAsia="Times New Roman"/>
          <w:rtl w:val="0"/>
        </w:rPr>
        <w:fldChar w:fldCharType="begin" w:fldLock="0"/>
      </w:r>
      <w:r>
        <w:rPr>
          <w:rStyle w:val="Hyperlink.0"/>
          <w:rFonts w:ascii="Times New Roman" w:cs="Times New Roman" w:hAnsi="Times New Roman" w:eastAsia="Times New Roman"/>
          <w:rtl w:val="0"/>
        </w:rPr>
        <w:instrText xml:space="preserve"> HYPERLINK "https://doi.org/10.1002/eap.2771"</w:instrText>
      </w:r>
      <w:r>
        <w:rPr>
          <w:rStyle w:val="Hyperlink.0"/>
          <w:rFonts w:ascii="Times New Roman" w:cs="Times New Roman" w:hAnsi="Times New Roman" w:eastAsia="Times New Roman"/>
          <w:rtl w:val="0"/>
        </w:rPr>
        <w:fldChar w:fldCharType="separate" w:fldLock="0"/>
      </w:r>
      <w:r>
        <w:rPr>
          <w:rStyle w:val="Hyperlink.0"/>
          <w:rFonts w:ascii="Times New Roman" w:hAnsi="Times New Roman"/>
          <w:rtl w:val="0"/>
          <w:lang w:val="en-US"/>
        </w:rPr>
        <w:t>https://doi.org/10.1002/eap.2771</w:t>
      </w:r>
      <w:r>
        <w:rPr>
          <w:rFonts w:ascii="Times New Roman" w:cs="Times New Roman" w:hAnsi="Times New Roman" w:eastAsia="Times New Roman"/>
          <w:rtl w:val="0"/>
        </w:rPr>
        <w:fldChar w:fldCharType="end" w:fldLock="0"/>
      </w:r>
    </w:p>
    <w:p>
      <w:pPr>
        <w:pStyle w:val="Default"/>
        <w:bidi w:val="0"/>
        <w:spacing w:before="0" w:after="320" w:line="360" w:lineRule="auto"/>
        <w:ind w:left="0" w:right="0" w:firstLine="0"/>
        <w:jc w:val="left"/>
        <w:rPr>
          <w:rStyle w:val="None"/>
          <w:rFonts w:ascii="Times New Roman" w:cs="Times New Roman" w:hAnsi="Times New Roman" w:eastAsia="Times New Roman"/>
          <w:sz w:val="29"/>
          <w:szCs w:val="29"/>
          <w:rtl w:val="0"/>
        </w:rPr>
      </w:pPr>
      <w:r>
        <w:rPr>
          <w:rFonts w:ascii="Times New Roman" w:hAnsi="Times New Roman"/>
          <w:rtl w:val="0"/>
          <w:lang w:val="de-DE"/>
        </w:rPr>
        <w:t>Warren, K., Mitten, D., D</w:t>
      </w:r>
      <w:r>
        <w:rPr>
          <w:rFonts w:ascii="Times New Roman" w:hAnsi="Times New Roman" w:hint="default"/>
          <w:rtl w:val="1"/>
        </w:rPr>
        <w:t>’</w:t>
      </w:r>
      <w:r>
        <w:rPr>
          <w:rFonts w:ascii="Times New Roman" w:hAnsi="Times New Roman"/>
          <w:rtl w:val="0"/>
          <w:lang w:val="en-US"/>
        </w:rPr>
        <w:t>Amore, C., &amp; Lotz, E. (2019) The Gendered Hidden Curriculum of Adventure Education. Journal of Experiential Education 2019, Vol. 42(2) 140</w:t>
      </w:r>
      <w:r>
        <w:rPr>
          <w:rFonts w:ascii="Times New Roman" w:hAnsi="Times New Roman" w:hint="default"/>
          <w:rtl w:val="0"/>
        </w:rPr>
        <w:t>–</w:t>
      </w:r>
      <w:r>
        <w:rPr>
          <w:rFonts w:ascii="Times New Roman" w:hAnsi="Times New Roman"/>
          <w:rtl w:val="0"/>
        </w:rPr>
        <w:t xml:space="preserve">154 </w:t>
      </w:r>
    </w:p>
    <w:p>
      <w:pPr>
        <w:pStyle w:val="Default"/>
        <w:bidi w:val="0"/>
        <w:spacing w:before="0" w:line="360" w:lineRule="auto"/>
        <w:ind w:left="0" w:right="0" w:firstLine="0"/>
        <w:jc w:val="left"/>
        <w:rPr>
          <w:rFonts w:ascii="Times New Roman" w:cs="Times New Roman" w:hAnsi="Times New Roman" w:eastAsia="Times New Roman"/>
          <w:sz w:val="32"/>
          <w:szCs w:val="32"/>
          <w:rtl w:val="0"/>
        </w:rPr>
      </w:pP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p>
    <w:p>
      <w:pPr>
        <w:pStyle w:val="Body"/>
        <w:spacing w:line="360" w:lineRule="auto"/>
      </w:pPr>
      <w:r>
        <w:rPr>
          <w:rFonts w:ascii="Times New Roman" w:cs="Times New Roman" w:hAnsi="Times New Roman" w:eastAsia="Times New Roman"/>
          <w:sz w:val="24"/>
          <w:szCs w:val="24"/>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000ff"/>
      <w:u w:val="single" w:color="0000ff"/>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