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6BAE5CB" w14:textId="50A4E501" w:rsidR="00A753DE" w:rsidRPr="00DE3DA3" w:rsidRDefault="00B84E3C" w:rsidP="00FA1A37">
      <w:pPr>
        <w:jc w:val="center"/>
        <w:rPr>
          <w:rFonts w:ascii="Baskerville Old Face" w:hAnsi="Baskerville Old Face" w:cs="Times New Roman"/>
          <w:b/>
          <w:bCs/>
          <w:sz w:val="40"/>
          <w:szCs w:val="40"/>
        </w:rPr>
      </w:pPr>
      <w:r>
        <w:rPr>
          <w:rFonts w:ascii="Baskerville Old Face" w:hAnsi="Baskerville Old Face" w:cs="Times New Roman"/>
          <w:b/>
          <w:bCs/>
          <w:sz w:val="40"/>
          <w:szCs w:val="40"/>
        </w:rPr>
        <w:t>NAME:</w:t>
      </w:r>
    </w:p>
    <w:p w14:paraId="79ED81A1" w14:textId="00687ABA" w:rsidR="00FA1A37" w:rsidRPr="00DE3DA3" w:rsidRDefault="003D66F3" w:rsidP="00B9240B">
      <w:pPr>
        <w:jc w:val="center"/>
        <w:rPr>
          <w:rFonts w:ascii="Baskerville Old Face" w:hAnsi="Baskerville Old Face" w:cs="Times New Roman"/>
          <w:b/>
          <w:bCs/>
          <w:sz w:val="40"/>
          <w:szCs w:val="40"/>
        </w:rPr>
      </w:pPr>
      <w:r w:rsidRPr="00DE3DA3">
        <w:rPr>
          <w:rFonts w:ascii="Baskerville Old Face" w:hAnsi="Baskerville Old Face" w:cs="Times New Roman"/>
          <w:b/>
          <w:bCs/>
          <w:sz w:val="40"/>
          <w:szCs w:val="40"/>
        </w:rPr>
        <w:t>NOSHEEN MANZOOR</w:t>
      </w:r>
    </w:p>
    <w:p w14:paraId="474CB50A" w14:textId="56358A62" w:rsidR="003D66F3" w:rsidRPr="00DE3DA3" w:rsidRDefault="003D66F3" w:rsidP="00B9240B">
      <w:pPr>
        <w:jc w:val="center"/>
        <w:rPr>
          <w:rFonts w:ascii="Baskerville Old Face" w:hAnsi="Baskerville Old Face" w:cs="Times New Roman"/>
          <w:b/>
          <w:bCs/>
          <w:sz w:val="40"/>
          <w:szCs w:val="40"/>
        </w:rPr>
      </w:pPr>
      <w:r w:rsidRPr="00DE3DA3">
        <w:rPr>
          <w:rFonts w:ascii="Baskerville Old Face" w:hAnsi="Baskerville Old Face" w:cs="Times New Roman"/>
          <w:b/>
          <w:bCs/>
          <w:sz w:val="40"/>
          <w:szCs w:val="40"/>
        </w:rPr>
        <w:t>2218718</w:t>
      </w:r>
    </w:p>
    <w:p w14:paraId="36B92739" w14:textId="77777777" w:rsidR="003D66F3" w:rsidRDefault="003D66F3" w:rsidP="00B9240B">
      <w:pPr>
        <w:jc w:val="center"/>
        <w:rPr>
          <w:rFonts w:ascii="Baskerville Old Face" w:hAnsi="Baskerville Old Face" w:cs="Times New Roman"/>
          <w:b/>
          <w:bCs/>
          <w:sz w:val="40"/>
          <w:szCs w:val="40"/>
        </w:rPr>
      </w:pPr>
    </w:p>
    <w:p w14:paraId="492DA8D8" w14:textId="41638859" w:rsidR="00B84E3C" w:rsidRPr="00DE3DA3" w:rsidRDefault="00B84E3C" w:rsidP="00B9240B">
      <w:pPr>
        <w:jc w:val="center"/>
        <w:rPr>
          <w:rFonts w:ascii="Baskerville Old Face" w:hAnsi="Baskerville Old Face" w:cs="Times New Roman"/>
          <w:b/>
          <w:bCs/>
          <w:sz w:val="40"/>
          <w:szCs w:val="40"/>
        </w:rPr>
      </w:pPr>
      <w:r>
        <w:rPr>
          <w:rFonts w:ascii="Baskerville Old Face" w:hAnsi="Baskerville Old Face" w:cs="Times New Roman"/>
          <w:b/>
          <w:bCs/>
          <w:sz w:val="40"/>
          <w:szCs w:val="40"/>
        </w:rPr>
        <w:t>MODULE:</w:t>
      </w:r>
    </w:p>
    <w:p w14:paraId="3747B966" w14:textId="05DD5A08" w:rsidR="00A753DE" w:rsidRPr="00DE3DA3" w:rsidRDefault="00315241" w:rsidP="00B9240B">
      <w:pPr>
        <w:jc w:val="center"/>
        <w:rPr>
          <w:rFonts w:ascii="Baskerville Old Face" w:hAnsi="Baskerville Old Face" w:cs="Times New Roman"/>
          <w:b/>
          <w:bCs/>
          <w:sz w:val="40"/>
          <w:szCs w:val="40"/>
        </w:rPr>
      </w:pPr>
      <w:r w:rsidRPr="00DE3DA3">
        <w:rPr>
          <w:rFonts w:ascii="Baskerville Old Face" w:hAnsi="Baskerville Old Face" w:cs="Times New Roman"/>
          <w:b/>
          <w:bCs/>
          <w:sz w:val="40"/>
          <w:szCs w:val="40"/>
        </w:rPr>
        <w:t>LCMB 7002</w:t>
      </w:r>
    </w:p>
    <w:p w14:paraId="79E18120" w14:textId="284FB738" w:rsidR="00D16B5B" w:rsidRPr="00DE3DA3" w:rsidRDefault="00D16B5B" w:rsidP="00B9240B">
      <w:pPr>
        <w:jc w:val="center"/>
        <w:rPr>
          <w:rFonts w:ascii="Baskerville Old Face" w:hAnsi="Baskerville Old Face" w:cs="Times New Roman"/>
          <w:b/>
          <w:bCs/>
          <w:sz w:val="40"/>
          <w:szCs w:val="40"/>
        </w:rPr>
      </w:pPr>
      <w:r w:rsidRPr="00DE3DA3">
        <w:rPr>
          <w:rFonts w:ascii="Baskerville Old Face" w:hAnsi="Baskerville Old Face" w:cs="Times New Roman"/>
          <w:b/>
          <w:bCs/>
          <w:sz w:val="40"/>
          <w:szCs w:val="40"/>
        </w:rPr>
        <w:t>FINANCIAL MANAGEMENT</w:t>
      </w:r>
    </w:p>
    <w:p w14:paraId="43BEB33F" w14:textId="37DF111E" w:rsidR="00DE3DA3" w:rsidRDefault="00DE3DA3" w:rsidP="00B9240B">
      <w:pPr>
        <w:jc w:val="center"/>
        <w:rPr>
          <w:rFonts w:ascii="Baskerville Old Face" w:hAnsi="Baskerville Old Face" w:cs="Times New Roman"/>
          <w:b/>
          <w:bCs/>
          <w:sz w:val="40"/>
          <w:szCs w:val="40"/>
        </w:rPr>
      </w:pPr>
      <w:r w:rsidRPr="00DE3DA3">
        <w:rPr>
          <w:rFonts w:ascii="Baskerville Old Face" w:hAnsi="Baskerville Old Face" w:cs="Times New Roman"/>
          <w:b/>
          <w:bCs/>
          <w:sz w:val="40"/>
          <w:szCs w:val="40"/>
        </w:rPr>
        <w:t>FINANCIAL PERFORMANCE &amp; MANAGEMENT</w:t>
      </w:r>
    </w:p>
    <w:p w14:paraId="6AC72137" w14:textId="77777777" w:rsidR="00B84E3C" w:rsidRDefault="00B84E3C" w:rsidP="00B9240B">
      <w:pPr>
        <w:jc w:val="center"/>
        <w:rPr>
          <w:rFonts w:ascii="Baskerville Old Face" w:hAnsi="Baskerville Old Face" w:cs="Times New Roman"/>
          <w:b/>
          <w:bCs/>
          <w:sz w:val="40"/>
          <w:szCs w:val="40"/>
        </w:rPr>
      </w:pPr>
    </w:p>
    <w:p w14:paraId="0E0F15C8" w14:textId="1E5B2C53" w:rsidR="00B84E3C" w:rsidRPr="00DE3DA3" w:rsidRDefault="00B84E3C" w:rsidP="00B9240B">
      <w:pPr>
        <w:jc w:val="center"/>
        <w:rPr>
          <w:rFonts w:ascii="Baskerville Old Face" w:hAnsi="Baskerville Old Face" w:cs="Times New Roman"/>
          <w:b/>
          <w:bCs/>
          <w:sz w:val="40"/>
          <w:szCs w:val="40"/>
        </w:rPr>
      </w:pPr>
      <w:r>
        <w:rPr>
          <w:rFonts w:ascii="Baskerville Old Face" w:hAnsi="Baskerville Old Face" w:cs="Times New Roman"/>
          <w:b/>
          <w:bCs/>
          <w:sz w:val="40"/>
          <w:szCs w:val="40"/>
        </w:rPr>
        <w:t>LECTURER:</w:t>
      </w:r>
    </w:p>
    <w:p w14:paraId="2A84250B" w14:textId="4BD6C23A" w:rsidR="00315241" w:rsidRDefault="001B7CE1" w:rsidP="00B9240B">
      <w:pPr>
        <w:jc w:val="center"/>
        <w:rPr>
          <w:rFonts w:ascii="Baskerville Old Face" w:hAnsi="Baskerville Old Face" w:cs="Times New Roman"/>
          <w:b/>
          <w:bCs/>
          <w:sz w:val="40"/>
          <w:szCs w:val="40"/>
        </w:rPr>
      </w:pPr>
      <w:r w:rsidRPr="00DE3DA3">
        <w:rPr>
          <w:rFonts w:ascii="Baskerville Old Face" w:hAnsi="Baskerville Old Face" w:cs="Times New Roman"/>
          <w:b/>
          <w:bCs/>
          <w:sz w:val="40"/>
          <w:szCs w:val="40"/>
        </w:rPr>
        <w:t>PATRICK</w:t>
      </w:r>
      <w:r w:rsidR="00D16B5B" w:rsidRPr="00DE3DA3">
        <w:rPr>
          <w:rFonts w:ascii="Baskerville Old Face" w:hAnsi="Baskerville Old Face" w:cs="Times New Roman"/>
          <w:b/>
          <w:bCs/>
          <w:sz w:val="40"/>
          <w:szCs w:val="40"/>
        </w:rPr>
        <w:t xml:space="preserve"> YEBOAH</w:t>
      </w:r>
    </w:p>
    <w:p w14:paraId="29F1597C" w14:textId="77777777" w:rsidR="00B84E3C" w:rsidRDefault="00B84E3C" w:rsidP="00B9240B">
      <w:pPr>
        <w:jc w:val="center"/>
        <w:rPr>
          <w:rFonts w:ascii="Baskerville Old Face" w:hAnsi="Baskerville Old Face" w:cs="Times New Roman"/>
          <w:b/>
          <w:bCs/>
          <w:sz w:val="40"/>
          <w:szCs w:val="40"/>
        </w:rPr>
      </w:pPr>
    </w:p>
    <w:p w14:paraId="7E10023A" w14:textId="6389FF5E" w:rsidR="00B84E3C" w:rsidRDefault="00BB3CCA" w:rsidP="00B9240B">
      <w:pPr>
        <w:jc w:val="center"/>
        <w:rPr>
          <w:rFonts w:ascii="Baskerville Old Face" w:hAnsi="Baskerville Old Face" w:cs="Times New Roman"/>
          <w:b/>
          <w:bCs/>
          <w:sz w:val="40"/>
          <w:szCs w:val="40"/>
        </w:rPr>
      </w:pPr>
      <w:r>
        <w:rPr>
          <w:rFonts w:ascii="Baskerville Old Face" w:hAnsi="Baskerville Old Face" w:cs="Times New Roman"/>
          <w:b/>
          <w:bCs/>
          <w:sz w:val="40"/>
          <w:szCs w:val="40"/>
        </w:rPr>
        <w:t>WORD COUNT:</w:t>
      </w:r>
    </w:p>
    <w:p w14:paraId="3F7BC9C7" w14:textId="20AE6105" w:rsidR="00BB3CCA" w:rsidRPr="00DE3DA3" w:rsidRDefault="005262C5" w:rsidP="00B9240B">
      <w:pPr>
        <w:jc w:val="center"/>
        <w:rPr>
          <w:rFonts w:ascii="Baskerville Old Face" w:hAnsi="Baskerville Old Face" w:cs="Times New Roman"/>
          <w:b/>
          <w:bCs/>
          <w:sz w:val="40"/>
          <w:szCs w:val="40"/>
        </w:rPr>
      </w:pPr>
      <w:r>
        <w:rPr>
          <w:rFonts w:ascii="Baskerville Old Face" w:hAnsi="Baskerville Old Face" w:cs="Times New Roman"/>
          <w:b/>
          <w:bCs/>
          <w:sz w:val="40"/>
          <w:szCs w:val="40"/>
        </w:rPr>
        <w:t>53</w:t>
      </w:r>
      <w:r w:rsidR="00886F0D">
        <w:rPr>
          <w:rFonts w:ascii="Baskerville Old Face" w:hAnsi="Baskerville Old Face" w:cs="Times New Roman"/>
          <w:b/>
          <w:bCs/>
          <w:sz w:val="40"/>
          <w:szCs w:val="40"/>
        </w:rPr>
        <w:t>58</w:t>
      </w:r>
    </w:p>
    <w:p w14:paraId="3108A4B9" w14:textId="2D935F7E" w:rsidR="00A753DE" w:rsidRPr="00DE3DA3" w:rsidRDefault="00A753DE">
      <w:pPr>
        <w:rPr>
          <w:rFonts w:ascii="Baskerville Old Face" w:hAnsi="Baskerville Old Face" w:cs="Times New Roman"/>
          <w:b/>
          <w:bCs/>
        </w:rPr>
      </w:pPr>
    </w:p>
    <w:p w14:paraId="4C916F3A" w14:textId="77777777" w:rsidR="00B01EC5" w:rsidRDefault="00B01EC5"/>
    <w:p w14:paraId="7109D7AE" w14:textId="77777777" w:rsidR="00B01EC5" w:rsidRDefault="00B01EC5"/>
    <w:p w14:paraId="2E3A335D" w14:textId="77777777" w:rsidR="00B01EC5" w:rsidRDefault="00B01EC5"/>
    <w:p w14:paraId="3ACA616E" w14:textId="77777777" w:rsidR="00B01EC5" w:rsidRDefault="00B01EC5"/>
    <w:p w14:paraId="4261A3B8" w14:textId="77777777" w:rsidR="00B01EC5" w:rsidRDefault="00B01EC5"/>
    <w:p w14:paraId="4BDB16D2" w14:textId="77777777" w:rsidR="00B01EC5" w:rsidRDefault="00B01EC5"/>
    <w:p w14:paraId="4540E32E" w14:textId="65A28EA8" w:rsidR="00B01EC5" w:rsidRDefault="00BA07FB">
      <w:r>
        <w:fldChar w:fldCharType="begin"/>
      </w:r>
      <w:r>
        <w:instrText xml:space="preserve"> INCLUDEPICTURE "/Users/noshmanzo/Library/Group Containers/UBF8T346G9.ms/WebArchiveCopyPasteTempFiles/com.microsoft.Word/3840px-Sequana_Accorhotels.jpg" \* MERGEFORMATINET </w:instrText>
      </w:r>
      <w:r>
        <w:fldChar w:fldCharType="separate"/>
      </w:r>
      <w:r>
        <w:rPr>
          <w:noProof/>
        </w:rPr>
        <w:drawing>
          <wp:inline distT="0" distB="0" distL="0" distR="0" wp14:anchorId="28479EAC" wp14:editId="2158EEF8">
            <wp:extent cx="5711825" cy="2989779"/>
            <wp:effectExtent l="0" t="0" r="3175" b="0"/>
            <wp:docPr id="676022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55256" cy="3117199"/>
                    </a:xfrm>
                    <a:prstGeom prst="rect">
                      <a:avLst/>
                    </a:prstGeom>
                    <a:noFill/>
                    <a:ln>
                      <a:noFill/>
                    </a:ln>
                  </pic:spPr>
                </pic:pic>
              </a:graphicData>
            </a:graphic>
          </wp:inline>
        </w:drawing>
      </w:r>
      <w:r>
        <w:fldChar w:fldCharType="end"/>
      </w:r>
    </w:p>
    <w:p w14:paraId="0358FBEB" w14:textId="77777777" w:rsidR="00B01EC5" w:rsidRDefault="00B01EC5"/>
    <w:p w14:paraId="2D7802C9" w14:textId="77777777" w:rsidR="00B01EC5" w:rsidRDefault="00B01EC5"/>
    <w:sdt>
      <w:sdtPr>
        <w:rPr>
          <w:rFonts w:asciiTheme="minorHAnsi" w:eastAsiaTheme="minorHAnsi" w:hAnsiTheme="minorHAnsi" w:cstheme="minorBidi"/>
          <w:b w:val="0"/>
          <w:bCs w:val="0"/>
          <w:color w:val="auto"/>
          <w:kern w:val="2"/>
          <w:sz w:val="24"/>
          <w:szCs w:val="24"/>
          <w:lang w:val="en-GB"/>
          <w14:ligatures w14:val="standardContextual"/>
        </w:rPr>
        <w:id w:val="1656189029"/>
        <w:docPartObj>
          <w:docPartGallery w:val="Table of Contents"/>
          <w:docPartUnique/>
        </w:docPartObj>
      </w:sdtPr>
      <w:sdtEndPr>
        <w:rPr>
          <w:noProof/>
        </w:rPr>
      </w:sdtEndPr>
      <w:sdtContent>
        <w:p w14:paraId="6437D0A2" w14:textId="21E6E141" w:rsidR="005E73D5" w:rsidRDefault="005E73D5">
          <w:pPr>
            <w:pStyle w:val="TOCHeading"/>
          </w:pPr>
          <w:r>
            <w:t>Table of Contents</w:t>
          </w:r>
        </w:p>
        <w:p w14:paraId="26D1C9FE" w14:textId="60A2A861" w:rsidR="006005E0" w:rsidRDefault="005E73D5">
          <w:pPr>
            <w:pStyle w:val="TOC1"/>
            <w:tabs>
              <w:tab w:val="right" w:leader="dot" w:pos="9016"/>
            </w:tabs>
            <w:rPr>
              <w:rFonts w:eastAsiaTheme="minorEastAsia"/>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235559582" w:history="1">
            <w:r w:rsidR="006005E0" w:rsidRPr="004100D2">
              <w:rPr>
                <w:rStyle w:val="Hyperlink"/>
                <w:rFonts w:ascii="Baskerville Old Face" w:hAnsi="Baskerville Old Face"/>
                <w:noProof/>
              </w:rPr>
              <w:t>FINANCIAL STATEMENT (Last five years)</w:t>
            </w:r>
            <w:r w:rsidR="006005E0">
              <w:rPr>
                <w:noProof/>
                <w:webHidden/>
              </w:rPr>
              <w:tab/>
            </w:r>
            <w:r w:rsidR="006005E0">
              <w:rPr>
                <w:noProof/>
                <w:webHidden/>
              </w:rPr>
              <w:fldChar w:fldCharType="begin"/>
            </w:r>
            <w:r w:rsidR="006005E0">
              <w:rPr>
                <w:noProof/>
                <w:webHidden/>
              </w:rPr>
              <w:instrText xml:space="preserve"> PAGEREF _Toc235559582 \h </w:instrText>
            </w:r>
            <w:r w:rsidR="006005E0">
              <w:rPr>
                <w:noProof/>
                <w:webHidden/>
              </w:rPr>
            </w:r>
            <w:r w:rsidR="006005E0">
              <w:rPr>
                <w:noProof/>
                <w:webHidden/>
              </w:rPr>
              <w:fldChar w:fldCharType="separate"/>
            </w:r>
            <w:r w:rsidR="006005E0">
              <w:rPr>
                <w:noProof/>
                <w:webHidden/>
              </w:rPr>
              <w:t>4</w:t>
            </w:r>
            <w:r w:rsidR="006005E0">
              <w:rPr>
                <w:noProof/>
                <w:webHidden/>
              </w:rPr>
              <w:fldChar w:fldCharType="end"/>
            </w:r>
          </w:hyperlink>
        </w:p>
        <w:p w14:paraId="593EE179" w14:textId="55AE8AB1" w:rsidR="006005E0" w:rsidRDefault="006005E0">
          <w:pPr>
            <w:pStyle w:val="TOC2"/>
            <w:tabs>
              <w:tab w:val="right" w:leader="dot" w:pos="9016"/>
            </w:tabs>
            <w:rPr>
              <w:rFonts w:eastAsiaTheme="minorEastAsia"/>
              <w:b w:val="0"/>
              <w:bCs w:val="0"/>
              <w:smallCaps w:val="0"/>
              <w:noProof/>
              <w:sz w:val="24"/>
              <w:szCs w:val="24"/>
              <w:lang w:eastAsia="en-GB"/>
            </w:rPr>
          </w:pPr>
          <w:hyperlink w:anchor="_Toc235559583" w:history="1">
            <w:r w:rsidRPr="004100D2">
              <w:rPr>
                <w:rStyle w:val="Hyperlink"/>
                <w:rFonts w:ascii="Arial" w:hAnsi="Arial" w:cs="Arial"/>
                <w:noProof/>
              </w:rPr>
              <w:t>Balance Sheet Analysis (2021- 2025)</w:t>
            </w:r>
            <w:r>
              <w:rPr>
                <w:noProof/>
                <w:webHidden/>
              </w:rPr>
              <w:tab/>
            </w:r>
            <w:r>
              <w:rPr>
                <w:noProof/>
                <w:webHidden/>
              </w:rPr>
              <w:fldChar w:fldCharType="begin"/>
            </w:r>
            <w:r>
              <w:rPr>
                <w:noProof/>
                <w:webHidden/>
              </w:rPr>
              <w:instrText xml:space="preserve"> PAGEREF _Toc235559583 \h </w:instrText>
            </w:r>
            <w:r>
              <w:rPr>
                <w:noProof/>
                <w:webHidden/>
              </w:rPr>
            </w:r>
            <w:r>
              <w:rPr>
                <w:noProof/>
                <w:webHidden/>
              </w:rPr>
              <w:fldChar w:fldCharType="separate"/>
            </w:r>
            <w:r>
              <w:rPr>
                <w:noProof/>
                <w:webHidden/>
              </w:rPr>
              <w:t>4</w:t>
            </w:r>
            <w:r>
              <w:rPr>
                <w:noProof/>
                <w:webHidden/>
              </w:rPr>
              <w:fldChar w:fldCharType="end"/>
            </w:r>
          </w:hyperlink>
        </w:p>
        <w:p w14:paraId="5C5CD4BE" w14:textId="68D72D63" w:rsidR="006005E0" w:rsidRDefault="006005E0">
          <w:pPr>
            <w:pStyle w:val="TOC2"/>
            <w:tabs>
              <w:tab w:val="right" w:leader="dot" w:pos="9016"/>
            </w:tabs>
            <w:rPr>
              <w:rFonts w:eastAsiaTheme="minorEastAsia"/>
              <w:b w:val="0"/>
              <w:bCs w:val="0"/>
              <w:smallCaps w:val="0"/>
              <w:noProof/>
              <w:sz w:val="24"/>
              <w:szCs w:val="24"/>
              <w:lang w:eastAsia="en-GB"/>
            </w:rPr>
          </w:pPr>
          <w:hyperlink w:anchor="_Toc235559584" w:history="1">
            <w:r w:rsidRPr="004100D2">
              <w:rPr>
                <w:rStyle w:val="Hyperlink"/>
                <w:rFonts w:ascii="Baskerville Old Face" w:hAnsi="Baskerville Old Face"/>
                <w:noProof/>
              </w:rPr>
              <w:t>Profitability Ratio Analysis</w:t>
            </w:r>
            <w:r>
              <w:rPr>
                <w:noProof/>
                <w:webHidden/>
              </w:rPr>
              <w:tab/>
            </w:r>
            <w:r>
              <w:rPr>
                <w:noProof/>
                <w:webHidden/>
              </w:rPr>
              <w:fldChar w:fldCharType="begin"/>
            </w:r>
            <w:r>
              <w:rPr>
                <w:noProof/>
                <w:webHidden/>
              </w:rPr>
              <w:instrText xml:space="preserve"> PAGEREF _Toc235559584 \h </w:instrText>
            </w:r>
            <w:r>
              <w:rPr>
                <w:noProof/>
                <w:webHidden/>
              </w:rPr>
            </w:r>
            <w:r>
              <w:rPr>
                <w:noProof/>
                <w:webHidden/>
              </w:rPr>
              <w:fldChar w:fldCharType="separate"/>
            </w:r>
            <w:r>
              <w:rPr>
                <w:noProof/>
                <w:webHidden/>
              </w:rPr>
              <w:t>6</w:t>
            </w:r>
            <w:r>
              <w:rPr>
                <w:noProof/>
                <w:webHidden/>
              </w:rPr>
              <w:fldChar w:fldCharType="end"/>
            </w:r>
          </w:hyperlink>
        </w:p>
        <w:p w14:paraId="705A6B8A" w14:textId="517F0B93" w:rsidR="006005E0" w:rsidRDefault="006005E0">
          <w:pPr>
            <w:pStyle w:val="TOC2"/>
            <w:tabs>
              <w:tab w:val="right" w:leader="dot" w:pos="9016"/>
            </w:tabs>
            <w:rPr>
              <w:rFonts w:eastAsiaTheme="minorEastAsia"/>
              <w:b w:val="0"/>
              <w:bCs w:val="0"/>
              <w:smallCaps w:val="0"/>
              <w:noProof/>
              <w:sz w:val="24"/>
              <w:szCs w:val="24"/>
              <w:lang w:eastAsia="en-GB"/>
            </w:rPr>
          </w:pPr>
          <w:hyperlink w:anchor="_Toc235559585" w:history="1">
            <w:r w:rsidRPr="004100D2">
              <w:rPr>
                <w:rStyle w:val="Hyperlink"/>
                <w:rFonts w:ascii="Baskerville Old Face" w:hAnsi="Baskerville Old Face"/>
                <w:noProof/>
              </w:rPr>
              <w:t>Cash Flow Statement</w:t>
            </w:r>
            <w:r>
              <w:rPr>
                <w:noProof/>
                <w:webHidden/>
              </w:rPr>
              <w:tab/>
            </w:r>
            <w:r>
              <w:rPr>
                <w:noProof/>
                <w:webHidden/>
              </w:rPr>
              <w:fldChar w:fldCharType="begin"/>
            </w:r>
            <w:r>
              <w:rPr>
                <w:noProof/>
                <w:webHidden/>
              </w:rPr>
              <w:instrText xml:space="preserve"> PAGEREF _Toc235559585 \h </w:instrText>
            </w:r>
            <w:r>
              <w:rPr>
                <w:noProof/>
                <w:webHidden/>
              </w:rPr>
            </w:r>
            <w:r>
              <w:rPr>
                <w:noProof/>
                <w:webHidden/>
              </w:rPr>
              <w:fldChar w:fldCharType="separate"/>
            </w:r>
            <w:r>
              <w:rPr>
                <w:noProof/>
                <w:webHidden/>
              </w:rPr>
              <w:t>8</w:t>
            </w:r>
            <w:r>
              <w:rPr>
                <w:noProof/>
                <w:webHidden/>
              </w:rPr>
              <w:fldChar w:fldCharType="end"/>
            </w:r>
          </w:hyperlink>
        </w:p>
        <w:p w14:paraId="57DC8A43" w14:textId="2270ABE7" w:rsidR="006005E0" w:rsidRDefault="006005E0">
          <w:pPr>
            <w:pStyle w:val="TOC2"/>
            <w:tabs>
              <w:tab w:val="right" w:leader="dot" w:pos="9016"/>
            </w:tabs>
            <w:rPr>
              <w:rFonts w:eastAsiaTheme="minorEastAsia"/>
              <w:b w:val="0"/>
              <w:bCs w:val="0"/>
              <w:smallCaps w:val="0"/>
              <w:noProof/>
              <w:sz w:val="24"/>
              <w:szCs w:val="24"/>
              <w:lang w:eastAsia="en-GB"/>
            </w:rPr>
          </w:pPr>
          <w:hyperlink w:anchor="_Toc235559586" w:history="1">
            <w:r w:rsidRPr="004100D2">
              <w:rPr>
                <w:rStyle w:val="Hyperlink"/>
                <w:rFonts w:ascii="Baskerville Old Face" w:hAnsi="Baskerville Old Face"/>
                <w:noProof/>
              </w:rPr>
              <w:t>Gearing</w:t>
            </w:r>
            <w:r>
              <w:rPr>
                <w:noProof/>
                <w:webHidden/>
              </w:rPr>
              <w:tab/>
            </w:r>
            <w:r>
              <w:rPr>
                <w:noProof/>
                <w:webHidden/>
              </w:rPr>
              <w:fldChar w:fldCharType="begin"/>
            </w:r>
            <w:r>
              <w:rPr>
                <w:noProof/>
                <w:webHidden/>
              </w:rPr>
              <w:instrText xml:space="preserve"> PAGEREF _Toc235559586 \h </w:instrText>
            </w:r>
            <w:r>
              <w:rPr>
                <w:noProof/>
                <w:webHidden/>
              </w:rPr>
            </w:r>
            <w:r>
              <w:rPr>
                <w:noProof/>
                <w:webHidden/>
              </w:rPr>
              <w:fldChar w:fldCharType="separate"/>
            </w:r>
            <w:r>
              <w:rPr>
                <w:noProof/>
                <w:webHidden/>
              </w:rPr>
              <w:t>10</w:t>
            </w:r>
            <w:r>
              <w:rPr>
                <w:noProof/>
                <w:webHidden/>
              </w:rPr>
              <w:fldChar w:fldCharType="end"/>
            </w:r>
          </w:hyperlink>
        </w:p>
        <w:p w14:paraId="42B11337" w14:textId="51A2865C" w:rsidR="006005E0" w:rsidRDefault="006005E0">
          <w:pPr>
            <w:pStyle w:val="TOC2"/>
            <w:tabs>
              <w:tab w:val="right" w:leader="dot" w:pos="9016"/>
            </w:tabs>
            <w:rPr>
              <w:rFonts w:eastAsiaTheme="minorEastAsia"/>
              <w:b w:val="0"/>
              <w:bCs w:val="0"/>
              <w:smallCaps w:val="0"/>
              <w:noProof/>
              <w:sz w:val="24"/>
              <w:szCs w:val="24"/>
              <w:lang w:eastAsia="en-GB"/>
            </w:rPr>
          </w:pPr>
          <w:hyperlink w:anchor="_Toc235559587" w:history="1">
            <w:r w:rsidRPr="004100D2">
              <w:rPr>
                <w:rStyle w:val="Hyperlink"/>
                <w:rFonts w:ascii="Arial" w:hAnsi="Arial" w:cs="Arial"/>
                <w:noProof/>
              </w:rPr>
              <w:t>Investment</w:t>
            </w:r>
            <w:r>
              <w:rPr>
                <w:noProof/>
                <w:webHidden/>
              </w:rPr>
              <w:tab/>
            </w:r>
            <w:r>
              <w:rPr>
                <w:noProof/>
                <w:webHidden/>
              </w:rPr>
              <w:fldChar w:fldCharType="begin"/>
            </w:r>
            <w:r>
              <w:rPr>
                <w:noProof/>
                <w:webHidden/>
              </w:rPr>
              <w:instrText xml:space="preserve"> PAGEREF _Toc235559587 \h </w:instrText>
            </w:r>
            <w:r>
              <w:rPr>
                <w:noProof/>
                <w:webHidden/>
              </w:rPr>
            </w:r>
            <w:r>
              <w:rPr>
                <w:noProof/>
                <w:webHidden/>
              </w:rPr>
              <w:fldChar w:fldCharType="separate"/>
            </w:r>
            <w:r>
              <w:rPr>
                <w:noProof/>
                <w:webHidden/>
              </w:rPr>
              <w:t>12</w:t>
            </w:r>
            <w:r>
              <w:rPr>
                <w:noProof/>
                <w:webHidden/>
              </w:rPr>
              <w:fldChar w:fldCharType="end"/>
            </w:r>
          </w:hyperlink>
        </w:p>
        <w:p w14:paraId="1E3B0DE2" w14:textId="77E1049D" w:rsidR="006005E0" w:rsidRDefault="006005E0">
          <w:pPr>
            <w:pStyle w:val="TOC1"/>
            <w:tabs>
              <w:tab w:val="right" w:leader="dot" w:pos="9016"/>
            </w:tabs>
            <w:rPr>
              <w:rFonts w:eastAsiaTheme="minorEastAsia"/>
              <w:b w:val="0"/>
              <w:bCs w:val="0"/>
              <w:caps w:val="0"/>
              <w:noProof/>
              <w:sz w:val="24"/>
              <w:szCs w:val="24"/>
              <w:u w:val="none"/>
              <w:lang w:eastAsia="en-GB"/>
            </w:rPr>
          </w:pPr>
          <w:hyperlink w:anchor="_Toc235559588" w:history="1">
            <w:r w:rsidRPr="004100D2">
              <w:rPr>
                <w:rStyle w:val="Hyperlink"/>
                <w:rFonts w:ascii="Arial" w:hAnsi="Arial" w:cs="Arial"/>
                <w:noProof/>
              </w:rPr>
              <w:t>Dividends and Shareholder Returns</w:t>
            </w:r>
            <w:r>
              <w:rPr>
                <w:noProof/>
                <w:webHidden/>
              </w:rPr>
              <w:tab/>
            </w:r>
            <w:r>
              <w:rPr>
                <w:noProof/>
                <w:webHidden/>
              </w:rPr>
              <w:fldChar w:fldCharType="begin"/>
            </w:r>
            <w:r>
              <w:rPr>
                <w:noProof/>
                <w:webHidden/>
              </w:rPr>
              <w:instrText xml:space="preserve"> PAGEREF _Toc235559588 \h </w:instrText>
            </w:r>
            <w:r>
              <w:rPr>
                <w:noProof/>
                <w:webHidden/>
              </w:rPr>
            </w:r>
            <w:r>
              <w:rPr>
                <w:noProof/>
                <w:webHidden/>
              </w:rPr>
              <w:fldChar w:fldCharType="separate"/>
            </w:r>
            <w:r>
              <w:rPr>
                <w:noProof/>
                <w:webHidden/>
              </w:rPr>
              <w:t>12</w:t>
            </w:r>
            <w:r>
              <w:rPr>
                <w:noProof/>
                <w:webHidden/>
              </w:rPr>
              <w:fldChar w:fldCharType="end"/>
            </w:r>
          </w:hyperlink>
        </w:p>
        <w:p w14:paraId="5A9055F7" w14:textId="1B33D0E1" w:rsidR="006005E0" w:rsidRDefault="006005E0">
          <w:pPr>
            <w:pStyle w:val="TOC1"/>
            <w:tabs>
              <w:tab w:val="right" w:leader="dot" w:pos="9016"/>
            </w:tabs>
            <w:rPr>
              <w:rFonts w:eastAsiaTheme="minorEastAsia"/>
              <w:b w:val="0"/>
              <w:bCs w:val="0"/>
              <w:caps w:val="0"/>
              <w:noProof/>
              <w:sz w:val="24"/>
              <w:szCs w:val="24"/>
              <w:u w:val="none"/>
              <w:lang w:eastAsia="en-GB"/>
            </w:rPr>
          </w:pPr>
          <w:hyperlink w:anchor="_Toc235559589" w:history="1">
            <w:r w:rsidRPr="004100D2">
              <w:rPr>
                <w:rStyle w:val="Hyperlink"/>
                <w:rFonts w:ascii="Baskerville Old Face" w:hAnsi="Baskerville Old Face"/>
                <w:noProof/>
              </w:rPr>
              <w:t>Identify trends, strengths and potential threats</w:t>
            </w:r>
            <w:r>
              <w:rPr>
                <w:noProof/>
                <w:webHidden/>
              </w:rPr>
              <w:tab/>
            </w:r>
            <w:r>
              <w:rPr>
                <w:noProof/>
                <w:webHidden/>
              </w:rPr>
              <w:fldChar w:fldCharType="begin"/>
            </w:r>
            <w:r>
              <w:rPr>
                <w:noProof/>
                <w:webHidden/>
              </w:rPr>
              <w:instrText xml:space="preserve"> PAGEREF _Toc235559589 \h </w:instrText>
            </w:r>
            <w:r>
              <w:rPr>
                <w:noProof/>
                <w:webHidden/>
              </w:rPr>
            </w:r>
            <w:r>
              <w:rPr>
                <w:noProof/>
                <w:webHidden/>
              </w:rPr>
              <w:fldChar w:fldCharType="separate"/>
            </w:r>
            <w:r>
              <w:rPr>
                <w:noProof/>
                <w:webHidden/>
              </w:rPr>
              <w:t>12</w:t>
            </w:r>
            <w:r>
              <w:rPr>
                <w:noProof/>
                <w:webHidden/>
              </w:rPr>
              <w:fldChar w:fldCharType="end"/>
            </w:r>
          </w:hyperlink>
        </w:p>
        <w:p w14:paraId="6E3ECDC7" w14:textId="2F0EB0BE" w:rsidR="006005E0" w:rsidRDefault="006005E0">
          <w:pPr>
            <w:pStyle w:val="TOC2"/>
            <w:tabs>
              <w:tab w:val="right" w:leader="dot" w:pos="9016"/>
            </w:tabs>
            <w:rPr>
              <w:rFonts w:eastAsiaTheme="minorEastAsia"/>
              <w:b w:val="0"/>
              <w:bCs w:val="0"/>
              <w:smallCaps w:val="0"/>
              <w:noProof/>
              <w:sz w:val="24"/>
              <w:szCs w:val="24"/>
              <w:lang w:eastAsia="en-GB"/>
            </w:rPr>
          </w:pPr>
          <w:hyperlink w:anchor="_Toc235559590" w:history="1">
            <w:r w:rsidRPr="004100D2">
              <w:rPr>
                <w:rStyle w:val="Hyperlink"/>
                <w:rFonts w:ascii="Baskerville Old Face" w:hAnsi="Baskerville Old Face"/>
                <w:noProof/>
              </w:rPr>
              <w:t>Five-Year Financial Trend Summary</w:t>
            </w:r>
            <w:r>
              <w:rPr>
                <w:noProof/>
                <w:webHidden/>
              </w:rPr>
              <w:tab/>
            </w:r>
            <w:r>
              <w:rPr>
                <w:noProof/>
                <w:webHidden/>
              </w:rPr>
              <w:fldChar w:fldCharType="begin"/>
            </w:r>
            <w:r>
              <w:rPr>
                <w:noProof/>
                <w:webHidden/>
              </w:rPr>
              <w:instrText xml:space="preserve"> PAGEREF _Toc235559590 \h </w:instrText>
            </w:r>
            <w:r>
              <w:rPr>
                <w:noProof/>
                <w:webHidden/>
              </w:rPr>
            </w:r>
            <w:r>
              <w:rPr>
                <w:noProof/>
                <w:webHidden/>
              </w:rPr>
              <w:fldChar w:fldCharType="separate"/>
            </w:r>
            <w:r>
              <w:rPr>
                <w:noProof/>
                <w:webHidden/>
              </w:rPr>
              <w:t>12</w:t>
            </w:r>
            <w:r>
              <w:rPr>
                <w:noProof/>
                <w:webHidden/>
              </w:rPr>
              <w:fldChar w:fldCharType="end"/>
            </w:r>
          </w:hyperlink>
        </w:p>
        <w:p w14:paraId="7A693E74" w14:textId="34FD53A8" w:rsidR="006005E0" w:rsidRDefault="006005E0">
          <w:pPr>
            <w:pStyle w:val="TOC2"/>
            <w:tabs>
              <w:tab w:val="right" w:leader="dot" w:pos="9016"/>
            </w:tabs>
            <w:rPr>
              <w:rFonts w:eastAsiaTheme="minorEastAsia"/>
              <w:b w:val="0"/>
              <w:bCs w:val="0"/>
              <w:smallCaps w:val="0"/>
              <w:noProof/>
              <w:sz w:val="24"/>
              <w:szCs w:val="24"/>
              <w:lang w:eastAsia="en-GB"/>
            </w:rPr>
          </w:pPr>
          <w:hyperlink w:anchor="_Toc235559591" w:history="1">
            <w:r w:rsidRPr="004100D2">
              <w:rPr>
                <w:rStyle w:val="Hyperlink"/>
                <w:rFonts w:ascii="Baskerville Old Face" w:hAnsi="Baskerville Old Face"/>
                <w:noProof/>
              </w:rPr>
              <w:t>Key Trends</w:t>
            </w:r>
            <w:r>
              <w:rPr>
                <w:noProof/>
                <w:webHidden/>
              </w:rPr>
              <w:tab/>
            </w:r>
            <w:r>
              <w:rPr>
                <w:noProof/>
                <w:webHidden/>
              </w:rPr>
              <w:fldChar w:fldCharType="begin"/>
            </w:r>
            <w:r>
              <w:rPr>
                <w:noProof/>
                <w:webHidden/>
              </w:rPr>
              <w:instrText xml:space="preserve"> PAGEREF _Toc235559591 \h </w:instrText>
            </w:r>
            <w:r>
              <w:rPr>
                <w:noProof/>
                <w:webHidden/>
              </w:rPr>
            </w:r>
            <w:r>
              <w:rPr>
                <w:noProof/>
                <w:webHidden/>
              </w:rPr>
              <w:fldChar w:fldCharType="separate"/>
            </w:r>
            <w:r>
              <w:rPr>
                <w:noProof/>
                <w:webHidden/>
              </w:rPr>
              <w:t>13</w:t>
            </w:r>
            <w:r>
              <w:rPr>
                <w:noProof/>
                <w:webHidden/>
              </w:rPr>
              <w:fldChar w:fldCharType="end"/>
            </w:r>
          </w:hyperlink>
        </w:p>
        <w:p w14:paraId="328DEF63" w14:textId="2B51B2B6" w:rsidR="006005E0" w:rsidRDefault="006005E0">
          <w:pPr>
            <w:pStyle w:val="TOC2"/>
            <w:tabs>
              <w:tab w:val="right" w:leader="dot" w:pos="9016"/>
            </w:tabs>
            <w:rPr>
              <w:rFonts w:eastAsiaTheme="minorEastAsia"/>
              <w:b w:val="0"/>
              <w:bCs w:val="0"/>
              <w:smallCaps w:val="0"/>
              <w:noProof/>
              <w:sz w:val="24"/>
              <w:szCs w:val="24"/>
              <w:lang w:eastAsia="en-GB"/>
            </w:rPr>
          </w:pPr>
          <w:hyperlink w:anchor="_Toc235559592" w:history="1">
            <w:r w:rsidRPr="004100D2">
              <w:rPr>
                <w:rStyle w:val="Hyperlink"/>
                <w:rFonts w:ascii="Baskerville Old Face" w:hAnsi="Baskerville Old Face"/>
                <w:noProof/>
              </w:rPr>
              <w:t>Strengths</w:t>
            </w:r>
            <w:r>
              <w:rPr>
                <w:noProof/>
                <w:webHidden/>
              </w:rPr>
              <w:tab/>
            </w:r>
            <w:r>
              <w:rPr>
                <w:noProof/>
                <w:webHidden/>
              </w:rPr>
              <w:fldChar w:fldCharType="begin"/>
            </w:r>
            <w:r>
              <w:rPr>
                <w:noProof/>
                <w:webHidden/>
              </w:rPr>
              <w:instrText xml:space="preserve"> PAGEREF _Toc235559592 \h </w:instrText>
            </w:r>
            <w:r>
              <w:rPr>
                <w:noProof/>
                <w:webHidden/>
              </w:rPr>
            </w:r>
            <w:r>
              <w:rPr>
                <w:noProof/>
                <w:webHidden/>
              </w:rPr>
              <w:fldChar w:fldCharType="separate"/>
            </w:r>
            <w:r>
              <w:rPr>
                <w:noProof/>
                <w:webHidden/>
              </w:rPr>
              <w:t>14</w:t>
            </w:r>
            <w:r>
              <w:rPr>
                <w:noProof/>
                <w:webHidden/>
              </w:rPr>
              <w:fldChar w:fldCharType="end"/>
            </w:r>
          </w:hyperlink>
        </w:p>
        <w:p w14:paraId="0A257D90" w14:textId="0C2A6D7E" w:rsidR="006005E0" w:rsidRDefault="006005E0">
          <w:pPr>
            <w:pStyle w:val="TOC2"/>
            <w:tabs>
              <w:tab w:val="right" w:leader="dot" w:pos="9016"/>
            </w:tabs>
            <w:rPr>
              <w:rFonts w:eastAsiaTheme="minorEastAsia"/>
              <w:b w:val="0"/>
              <w:bCs w:val="0"/>
              <w:smallCaps w:val="0"/>
              <w:noProof/>
              <w:sz w:val="24"/>
              <w:szCs w:val="24"/>
              <w:lang w:eastAsia="en-GB"/>
            </w:rPr>
          </w:pPr>
          <w:hyperlink w:anchor="_Toc235559593" w:history="1">
            <w:r w:rsidRPr="004100D2">
              <w:rPr>
                <w:rStyle w:val="Hyperlink"/>
                <w:rFonts w:ascii="Baskerville Old Face" w:hAnsi="Baskerville Old Face"/>
                <w:noProof/>
              </w:rPr>
              <w:t>Potential Threats</w:t>
            </w:r>
            <w:r>
              <w:rPr>
                <w:noProof/>
                <w:webHidden/>
              </w:rPr>
              <w:tab/>
            </w:r>
            <w:r>
              <w:rPr>
                <w:noProof/>
                <w:webHidden/>
              </w:rPr>
              <w:fldChar w:fldCharType="begin"/>
            </w:r>
            <w:r>
              <w:rPr>
                <w:noProof/>
                <w:webHidden/>
              </w:rPr>
              <w:instrText xml:space="preserve"> PAGEREF _Toc235559593 \h </w:instrText>
            </w:r>
            <w:r>
              <w:rPr>
                <w:noProof/>
                <w:webHidden/>
              </w:rPr>
            </w:r>
            <w:r>
              <w:rPr>
                <w:noProof/>
                <w:webHidden/>
              </w:rPr>
              <w:fldChar w:fldCharType="separate"/>
            </w:r>
            <w:r>
              <w:rPr>
                <w:noProof/>
                <w:webHidden/>
              </w:rPr>
              <w:t>14</w:t>
            </w:r>
            <w:r>
              <w:rPr>
                <w:noProof/>
                <w:webHidden/>
              </w:rPr>
              <w:fldChar w:fldCharType="end"/>
            </w:r>
          </w:hyperlink>
        </w:p>
        <w:p w14:paraId="5B4EB38F" w14:textId="5AD78381" w:rsidR="006005E0" w:rsidRDefault="006005E0">
          <w:pPr>
            <w:pStyle w:val="TOC1"/>
            <w:tabs>
              <w:tab w:val="right" w:leader="dot" w:pos="9016"/>
            </w:tabs>
            <w:rPr>
              <w:rFonts w:eastAsiaTheme="minorEastAsia"/>
              <w:b w:val="0"/>
              <w:bCs w:val="0"/>
              <w:caps w:val="0"/>
              <w:noProof/>
              <w:sz w:val="24"/>
              <w:szCs w:val="24"/>
              <w:u w:val="none"/>
              <w:lang w:eastAsia="en-GB"/>
            </w:rPr>
          </w:pPr>
          <w:hyperlink w:anchor="_Toc235559594" w:history="1">
            <w:r w:rsidRPr="004100D2">
              <w:rPr>
                <w:rStyle w:val="Hyperlink"/>
                <w:rFonts w:ascii="Baskerville Old Face" w:hAnsi="Baskerville Old Face"/>
                <w:noProof/>
              </w:rPr>
              <w:t>WORKING CAPITAL MANAGEMENT Analysis</w:t>
            </w:r>
            <w:r>
              <w:rPr>
                <w:noProof/>
                <w:webHidden/>
              </w:rPr>
              <w:tab/>
            </w:r>
            <w:r>
              <w:rPr>
                <w:noProof/>
                <w:webHidden/>
              </w:rPr>
              <w:fldChar w:fldCharType="begin"/>
            </w:r>
            <w:r>
              <w:rPr>
                <w:noProof/>
                <w:webHidden/>
              </w:rPr>
              <w:instrText xml:space="preserve"> PAGEREF _Toc235559594 \h </w:instrText>
            </w:r>
            <w:r>
              <w:rPr>
                <w:noProof/>
                <w:webHidden/>
              </w:rPr>
            </w:r>
            <w:r>
              <w:rPr>
                <w:noProof/>
                <w:webHidden/>
              </w:rPr>
              <w:fldChar w:fldCharType="separate"/>
            </w:r>
            <w:r>
              <w:rPr>
                <w:noProof/>
                <w:webHidden/>
              </w:rPr>
              <w:t>15</w:t>
            </w:r>
            <w:r>
              <w:rPr>
                <w:noProof/>
                <w:webHidden/>
              </w:rPr>
              <w:fldChar w:fldCharType="end"/>
            </w:r>
          </w:hyperlink>
        </w:p>
        <w:p w14:paraId="754B6244" w14:textId="69D58DD6" w:rsidR="006005E0" w:rsidRDefault="006005E0">
          <w:pPr>
            <w:pStyle w:val="TOC2"/>
            <w:tabs>
              <w:tab w:val="right" w:leader="dot" w:pos="9016"/>
            </w:tabs>
            <w:rPr>
              <w:rFonts w:eastAsiaTheme="minorEastAsia"/>
              <w:b w:val="0"/>
              <w:bCs w:val="0"/>
              <w:smallCaps w:val="0"/>
              <w:noProof/>
              <w:sz w:val="24"/>
              <w:szCs w:val="24"/>
              <w:lang w:eastAsia="en-GB"/>
            </w:rPr>
          </w:pPr>
          <w:hyperlink w:anchor="_Toc235559595" w:history="1">
            <w:r w:rsidRPr="004100D2">
              <w:rPr>
                <w:rStyle w:val="Hyperlink"/>
                <w:rFonts w:ascii="Arial" w:hAnsi="Arial" w:cs="Arial"/>
                <w:noProof/>
              </w:rPr>
              <w:t>Assessing the cash operating cycle</w:t>
            </w:r>
            <w:r>
              <w:rPr>
                <w:noProof/>
                <w:webHidden/>
              </w:rPr>
              <w:tab/>
            </w:r>
            <w:r>
              <w:rPr>
                <w:noProof/>
                <w:webHidden/>
              </w:rPr>
              <w:fldChar w:fldCharType="begin"/>
            </w:r>
            <w:r>
              <w:rPr>
                <w:noProof/>
                <w:webHidden/>
              </w:rPr>
              <w:instrText xml:space="preserve"> PAGEREF _Toc235559595 \h </w:instrText>
            </w:r>
            <w:r>
              <w:rPr>
                <w:noProof/>
                <w:webHidden/>
              </w:rPr>
            </w:r>
            <w:r>
              <w:rPr>
                <w:noProof/>
                <w:webHidden/>
              </w:rPr>
              <w:fldChar w:fldCharType="separate"/>
            </w:r>
            <w:r>
              <w:rPr>
                <w:noProof/>
                <w:webHidden/>
              </w:rPr>
              <w:t>15</w:t>
            </w:r>
            <w:r>
              <w:rPr>
                <w:noProof/>
                <w:webHidden/>
              </w:rPr>
              <w:fldChar w:fldCharType="end"/>
            </w:r>
          </w:hyperlink>
        </w:p>
        <w:p w14:paraId="6805CB6E" w14:textId="1B182E6C" w:rsidR="006005E0" w:rsidRDefault="006005E0">
          <w:pPr>
            <w:pStyle w:val="TOC2"/>
            <w:tabs>
              <w:tab w:val="right" w:leader="dot" w:pos="9016"/>
            </w:tabs>
            <w:rPr>
              <w:rFonts w:eastAsiaTheme="minorEastAsia"/>
              <w:b w:val="0"/>
              <w:bCs w:val="0"/>
              <w:smallCaps w:val="0"/>
              <w:noProof/>
              <w:sz w:val="24"/>
              <w:szCs w:val="24"/>
              <w:lang w:eastAsia="en-GB"/>
            </w:rPr>
          </w:pPr>
          <w:hyperlink w:anchor="_Toc235559596" w:history="1">
            <w:r w:rsidRPr="004100D2">
              <w:rPr>
                <w:rStyle w:val="Hyperlink"/>
                <w:rFonts w:ascii="Baskerville Old Face" w:hAnsi="Baskerville Old Face"/>
                <w:noProof/>
              </w:rPr>
              <w:t>Strategies to improve liquidity through working capital reforms</w:t>
            </w:r>
            <w:r>
              <w:rPr>
                <w:noProof/>
                <w:webHidden/>
              </w:rPr>
              <w:tab/>
            </w:r>
            <w:r>
              <w:rPr>
                <w:noProof/>
                <w:webHidden/>
              </w:rPr>
              <w:fldChar w:fldCharType="begin"/>
            </w:r>
            <w:r>
              <w:rPr>
                <w:noProof/>
                <w:webHidden/>
              </w:rPr>
              <w:instrText xml:space="preserve"> PAGEREF _Toc235559596 \h </w:instrText>
            </w:r>
            <w:r>
              <w:rPr>
                <w:noProof/>
                <w:webHidden/>
              </w:rPr>
            </w:r>
            <w:r>
              <w:rPr>
                <w:noProof/>
                <w:webHidden/>
              </w:rPr>
              <w:fldChar w:fldCharType="separate"/>
            </w:r>
            <w:r>
              <w:rPr>
                <w:noProof/>
                <w:webHidden/>
              </w:rPr>
              <w:t>18</w:t>
            </w:r>
            <w:r>
              <w:rPr>
                <w:noProof/>
                <w:webHidden/>
              </w:rPr>
              <w:fldChar w:fldCharType="end"/>
            </w:r>
          </w:hyperlink>
        </w:p>
        <w:p w14:paraId="415A170C" w14:textId="3337EC5B" w:rsidR="006005E0" w:rsidRDefault="006005E0">
          <w:pPr>
            <w:pStyle w:val="TOC2"/>
            <w:tabs>
              <w:tab w:val="right" w:leader="dot" w:pos="9016"/>
            </w:tabs>
            <w:rPr>
              <w:rFonts w:eastAsiaTheme="minorEastAsia"/>
              <w:b w:val="0"/>
              <w:bCs w:val="0"/>
              <w:smallCaps w:val="0"/>
              <w:noProof/>
              <w:sz w:val="24"/>
              <w:szCs w:val="24"/>
              <w:lang w:eastAsia="en-GB"/>
            </w:rPr>
          </w:pPr>
          <w:hyperlink w:anchor="_Toc235559597" w:history="1">
            <w:r w:rsidRPr="004100D2">
              <w:rPr>
                <w:rStyle w:val="Hyperlink"/>
                <w:rFonts w:ascii="Baskerville Old Face" w:hAnsi="Baskerville Old Face"/>
                <w:noProof/>
              </w:rPr>
              <w:t>short-term vs long-term financing options</w:t>
            </w:r>
            <w:r>
              <w:rPr>
                <w:noProof/>
                <w:webHidden/>
              </w:rPr>
              <w:tab/>
            </w:r>
            <w:r>
              <w:rPr>
                <w:noProof/>
                <w:webHidden/>
              </w:rPr>
              <w:fldChar w:fldCharType="begin"/>
            </w:r>
            <w:r>
              <w:rPr>
                <w:noProof/>
                <w:webHidden/>
              </w:rPr>
              <w:instrText xml:space="preserve"> PAGEREF _Toc235559597 \h </w:instrText>
            </w:r>
            <w:r>
              <w:rPr>
                <w:noProof/>
                <w:webHidden/>
              </w:rPr>
            </w:r>
            <w:r>
              <w:rPr>
                <w:noProof/>
                <w:webHidden/>
              </w:rPr>
              <w:fldChar w:fldCharType="separate"/>
            </w:r>
            <w:r>
              <w:rPr>
                <w:noProof/>
                <w:webHidden/>
              </w:rPr>
              <w:t>19</w:t>
            </w:r>
            <w:r>
              <w:rPr>
                <w:noProof/>
                <w:webHidden/>
              </w:rPr>
              <w:fldChar w:fldCharType="end"/>
            </w:r>
          </w:hyperlink>
        </w:p>
        <w:p w14:paraId="38330A44" w14:textId="73CB3EB6" w:rsidR="006005E0" w:rsidRDefault="006005E0">
          <w:pPr>
            <w:pStyle w:val="TOC1"/>
            <w:tabs>
              <w:tab w:val="right" w:leader="dot" w:pos="9016"/>
            </w:tabs>
            <w:rPr>
              <w:rFonts w:eastAsiaTheme="minorEastAsia"/>
              <w:b w:val="0"/>
              <w:bCs w:val="0"/>
              <w:caps w:val="0"/>
              <w:noProof/>
              <w:sz w:val="24"/>
              <w:szCs w:val="24"/>
              <w:u w:val="none"/>
              <w:lang w:eastAsia="en-GB"/>
            </w:rPr>
          </w:pPr>
          <w:hyperlink w:anchor="_Toc235559598" w:history="1">
            <w:r w:rsidRPr="004100D2">
              <w:rPr>
                <w:rStyle w:val="Hyperlink"/>
                <w:rFonts w:ascii="Baskerville Old Face" w:hAnsi="Baskerville Old Face"/>
                <w:noProof/>
              </w:rPr>
              <w:t>Strategic Financial Restructuring Plan</w:t>
            </w:r>
            <w:r>
              <w:rPr>
                <w:noProof/>
                <w:webHidden/>
              </w:rPr>
              <w:tab/>
            </w:r>
            <w:r>
              <w:rPr>
                <w:noProof/>
                <w:webHidden/>
              </w:rPr>
              <w:fldChar w:fldCharType="begin"/>
            </w:r>
            <w:r>
              <w:rPr>
                <w:noProof/>
                <w:webHidden/>
              </w:rPr>
              <w:instrText xml:space="preserve"> PAGEREF _Toc235559598 \h </w:instrText>
            </w:r>
            <w:r>
              <w:rPr>
                <w:noProof/>
                <w:webHidden/>
              </w:rPr>
            </w:r>
            <w:r>
              <w:rPr>
                <w:noProof/>
                <w:webHidden/>
              </w:rPr>
              <w:fldChar w:fldCharType="separate"/>
            </w:r>
            <w:r>
              <w:rPr>
                <w:noProof/>
                <w:webHidden/>
              </w:rPr>
              <w:t>20</w:t>
            </w:r>
            <w:r>
              <w:rPr>
                <w:noProof/>
                <w:webHidden/>
              </w:rPr>
              <w:fldChar w:fldCharType="end"/>
            </w:r>
          </w:hyperlink>
        </w:p>
        <w:p w14:paraId="191DA38E" w14:textId="297B99F0" w:rsidR="006005E0" w:rsidRDefault="006005E0">
          <w:pPr>
            <w:pStyle w:val="TOC2"/>
            <w:tabs>
              <w:tab w:val="right" w:leader="dot" w:pos="9016"/>
            </w:tabs>
            <w:rPr>
              <w:rFonts w:eastAsiaTheme="minorEastAsia"/>
              <w:b w:val="0"/>
              <w:bCs w:val="0"/>
              <w:smallCaps w:val="0"/>
              <w:noProof/>
              <w:sz w:val="24"/>
              <w:szCs w:val="24"/>
              <w:lang w:eastAsia="en-GB"/>
            </w:rPr>
          </w:pPr>
          <w:hyperlink w:anchor="_Toc235559599" w:history="1">
            <w:r w:rsidRPr="004100D2">
              <w:rPr>
                <w:rStyle w:val="Hyperlink"/>
                <w:rFonts w:ascii="Baskerville Old Face" w:hAnsi="Baskerville Old Face"/>
                <w:noProof/>
              </w:rPr>
              <w:t>Recommended restructuring options</w:t>
            </w:r>
            <w:r>
              <w:rPr>
                <w:noProof/>
                <w:webHidden/>
              </w:rPr>
              <w:tab/>
            </w:r>
            <w:r>
              <w:rPr>
                <w:noProof/>
                <w:webHidden/>
              </w:rPr>
              <w:fldChar w:fldCharType="begin"/>
            </w:r>
            <w:r>
              <w:rPr>
                <w:noProof/>
                <w:webHidden/>
              </w:rPr>
              <w:instrText xml:space="preserve"> PAGEREF _Toc235559599 \h </w:instrText>
            </w:r>
            <w:r>
              <w:rPr>
                <w:noProof/>
                <w:webHidden/>
              </w:rPr>
            </w:r>
            <w:r>
              <w:rPr>
                <w:noProof/>
                <w:webHidden/>
              </w:rPr>
              <w:fldChar w:fldCharType="separate"/>
            </w:r>
            <w:r>
              <w:rPr>
                <w:noProof/>
                <w:webHidden/>
              </w:rPr>
              <w:t>20</w:t>
            </w:r>
            <w:r>
              <w:rPr>
                <w:noProof/>
                <w:webHidden/>
              </w:rPr>
              <w:fldChar w:fldCharType="end"/>
            </w:r>
          </w:hyperlink>
        </w:p>
        <w:p w14:paraId="211831B0" w14:textId="32575D28" w:rsidR="006005E0" w:rsidRDefault="006005E0">
          <w:pPr>
            <w:pStyle w:val="TOC2"/>
            <w:tabs>
              <w:tab w:val="right" w:leader="dot" w:pos="9016"/>
            </w:tabs>
            <w:rPr>
              <w:rFonts w:eastAsiaTheme="minorEastAsia"/>
              <w:b w:val="0"/>
              <w:bCs w:val="0"/>
              <w:smallCaps w:val="0"/>
              <w:noProof/>
              <w:sz w:val="24"/>
              <w:szCs w:val="24"/>
              <w:lang w:eastAsia="en-GB"/>
            </w:rPr>
          </w:pPr>
          <w:hyperlink w:anchor="_Toc235559600" w:history="1">
            <w:r w:rsidRPr="004100D2">
              <w:rPr>
                <w:rStyle w:val="Hyperlink"/>
                <w:rFonts w:ascii="Baskerville Old Face" w:hAnsi="Baskerville Old Face"/>
                <w:noProof/>
              </w:rPr>
              <w:t>Impact on Shareholder value, debt structure and operational flexibility</w:t>
            </w:r>
            <w:r>
              <w:rPr>
                <w:noProof/>
                <w:webHidden/>
              </w:rPr>
              <w:tab/>
            </w:r>
            <w:r>
              <w:rPr>
                <w:noProof/>
                <w:webHidden/>
              </w:rPr>
              <w:fldChar w:fldCharType="begin"/>
            </w:r>
            <w:r>
              <w:rPr>
                <w:noProof/>
                <w:webHidden/>
              </w:rPr>
              <w:instrText xml:space="preserve"> PAGEREF _Toc235559600 \h </w:instrText>
            </w:r>
            <w:r>
              <w:rPr>
                <w:noProof/>
                <w:webHidden/>
              </w:rPr>
            </w:r>
            <w:r>
              <w:rPr>
                <w:noProof/>
                <w:webHidden/>
              </w:rPr>
              <w:fldChar w:fldCharType="separate"/>
            </w:r>
            <w:r>
              <w:rPr>
                <w:noProof/>
                <w:webHidden/>
              </w:rPr>
              <w:t>20</w:t>
            </w:r>
            <w:r>
              <w:rPr>
                <w:noProof/>
                <w:webHidden/>
              </w:rPr>
              <w:fldChar w:fldCharType="end"/>
            </w:r>
          </w:hyperlink>
        </w:p>
        <w:p w14:paraId="38370222" w14:textId="269DA72D" w:rsidR="006005E0" w:rsidRDefault="006005E0">
          <w:pPr>
            <w:pStyle w:val="TOC2"/>
            <w:tabs>
              <w:tab w:val="right" w:leader="dot" w:pos="9016"/>
            </w:tabs>
            <w:rPr>
              <w:rFonts w:eastAsiaTheme="minorEastAsia"/>
              <w:b w:val="0"/>
              <w:bCs w:val="0"/>
              <w:smallCaps w:val="0"/>
              <w:noProof/>
              <w:sz w:val="24"/>
              <w:szCs w:val="24"/>
              <w:lang w:eastAsia="en-GB"/>
            </w:rPr>
          </w:pPr>
          <w:hyperlink w:anchor="_Toc235559601" w:history="1">
            <w:r w:rsidRPr="004100D2">
              <w:rPr>
                <w:rStyle w:val="Hyperlink"/>
                <w:rFonts w:ascii="Baskerville Old Face" w:hAnsi="Baskerville Old Face"/>
                <w:noProof/>
              </w:rPr>
              <w:t>International and ethical considerations</w:t>
            </w:r>
            <w:r>
              <w:rPr>
                <w:noProof/>
                <w:webHidden/>
              </w:rPr>
              <w:tab/>
            </w:r>
            <w:r>
              <w:rPr>
                <w:noProof/>
                <w:webHidden/>
              </w:rPr>
              <w:fldChar w:fldCharType="begin"/>
            </w:r>
            <w:r>
              <w:rPr>
                <w:noProof/>
                <w:webHidden/>
              </w:rPr>
              <w:instrText xml:space="preserve"> PAGEREF _Toc235559601 \h </w:instrText>
            </w:r>
            <w:r>
              <w:rPr>
                <w:noProof/>
                <w:webHidden/>
              </w:rPr>
            </w:r>
            <w:r>
              <w:rPr>
                <w:noProof/>
                <w:webHidden/>
              </w:rPr>
              <w:fldChar w:fldCharType="separate"/>
            </w:r>
            <w:r>
              <w:rPr>
                <w:noProof/>
                <w:webHidden/>
              </w:rPr>
              <w:t>21</w:t>
            </w:r>
            <w:r>
              <w:rPr>
                <w:noProof/>
                <w:webHidden/>
              </w:rPr>
              <w:fldChar w:fldCharType="end"/>
            </w:r>
          </w:hyperlink>
        </w:p>
        <w:p w14:paraId="315999FC" w14:textId="26DE50BE" w:rsidR="006005E0" w:rsidRDefault="006005E0">
          <w:pPr>
            <w:pStyle w:val="TOC1"/>
            <w:tabs>
              <w:tab w:val="right" w:leader="dot" w:pos="9016"/>
            </w:tabs>
            <w:rPr>
              <w:rFonts w:eastAsiaTheme="minorEastAsia"/>
              <w:b w:val="0"/>
              <w:bCs w:val="0"/>
              <w:caps w:val="0"/>
              <w:noProof/>
              <w:sz w:val="24"/>
              <w:szCs w:val="24"/>
              <w:u w:val="none"/>
              <w:lang w:eastAsia="en-GB"/>
            </w:rPr>
          </w:pPr>
          <w:hyperlink w:anchor="_Toc235559602" w:history="1">
            <w:r w:rsidRPr="004100D2">
              <w:rPr>
                <w:rStyle w:val="Hyperlink"/>
                <w:rFonts w:ascii="Baskerville Old Face" w:hAnsi="Baskerville Old Face"/>
                <w:noProof/>
              </w:rPr>
              <w:t>Investment Appraisal and Capital Budgeting</w:t>
            </w:r>
            <w:r>
              <w:rPr>
                <w:noProof/>
                <w:webHidden/>
              </w:rPr>
              <w:tab/>
            </w:r>
            <w:r>
              <w:rPr>
                <w:noProof/>
                <w:webHidden/>
              </w:rPr>
              <w:fldChar w:fldCharType="begin"/>
            </w:r>
            <w:r>
              <w:rPr>
                <w:noProof/>
                <w:webHidden/>
              </w:rPr>
              <w:instrText xml:space="preserve"> PAGEREF _Toc235559602 \h </w:instrText>
            </w:r>
            <w:r>
              <w:rPr>
                <w:noProof/>
                <w:webHidden/>
              </w:rPr>
            </w:r>
            <w:r>
              <w:rPr>
                <w:noProof/>
                <w:webHidden/>
              </w:rPr>
              <w:fldChar w:fldCharType="separate"/>
            </w:r>
            <w:r>
              <w:rPr>
                <w:noProof/>
                <w:webHidden/>
              </w:rPr>
              <w:t>22</w:t>
            </w:r>
            <w:r>
              <w:rPr>
                <w:noProof/>
                <w:webHidden/>
              </w:rPr>
              <w:fldChar w:fldCharType="end"/>
            </w:r>
          </w:hyperlink>
        </w:p>
        <w:p w14:paraId="557524E6" w14:textId="6FC0380D" w:rsidR="006005E0" w:rsidRDefault="006005E0">
          <w:pPr>
            <w:pStyle w:val="TOC1"/>
            <w:tabs>
              <w:tab w:val="right" w:leader="dot" w:pos="9016"/>
            </w:tabs>
            <w:rPr>
              <w:rFonts w:eastAsiaTheme="minorEastAsia"/>
              <w:b w:val="0"/>
              <w:bCs w:val="0"/>
              <w:caps w:val="0"/>
              <w:noProof/>
              <w:sz w:val="24"/>
              <w:szCs w:val="24"/>
              <w:u w:val="none"/>
              <w:lang w:eastAsia="en-GB"/>
            </w:rPr>
          </w:pPr>
          <w:hyperlink w:anchor="_Toc235559603" w:history="1">
            <w:r w:rsidRPr="004100D2">
              <w:rPr>
                <w:rStyle w:val="Hyperlink"/>
                <w:rFonts w:ascii="Baskerville Old Face" w:hAnsi="Baskerville Old Face"/>
                <w:noProof/>
              </w:rPr>
              <w:t>REFERENCE LIST:</w:t>
            </w:r>
            <w:r>
              <w:rPr>
                <w:noProof/>
                <w:webHidden/>
              </w:rPr>
              <w:tab/>
            </w:r>
            <w:r>
              <w:rPr>
                <w:noProof/>
                <w:webHidden/>
              </w:rPr>
              <w:fldChar w:fldCharType="begin"/>
            </w:r>
            <w:r>
              <w:rPr>
                <w:noProof/>
                <w:webHidden/>
              </w:rPr>
              <w:instrText xml:space="preserve"> PAGEREF _Toc235559603 \h </w:instrText>
            </w:r>
            <w:r>
              <w:rPr>
                <w:noProof/>
                <w:webHidden/>
              </w:rPr>
            </w:r>
            <w:r>
              <w:rPr>
                <w:noProof/>
                <w:webHidden/>
              </w:rPr>
              <w:fldChar w:fldCharType="separate"/>
            </w:r>
            <w:r>
              <w:rPr>
                <w:noProof/>
                <w:webHidden/>
              </w:rPr>
              <w:t>24</w:t>
            </w:r>
            <w:r>
              <w:rPr>
                <w:noProof/>
                <w:webHidden/>
              </w:rPr>
              <w:fldChar w:fldCharType="end"/>
            </w:r>
          </w:hyperlink>
        </w:p>
        <w:p w14:paraId="4C4BC239" w14:textId="0A1568EB" w:rsidR="005E73D5" w:rsidRDefault="005E73D5">
          <w:r>
            <w:rPr>
              <w:b/>
              <w:bCs/>
              <w:noProof/>
            </w:rPr>
            <w:fldChar w:fldCharType="end"/>
          </w:r>
        </w:p>
      </w:sdtContent>
    </w:sdt>
    <w:p w14:paraId="216AE058" w14:textId="77777777" w:rsidR="00B01EC5" w:rsidRDefault="00B01EC5"/>
    <w:p w14:paraId="106733BE" w14:textId="77777777" w:rsidR="00B01EC5" w:rsidRDefault="00B01EC5"/>
    <w:p w14:paraId="368FAD0D" w14:textId="11D9A52E" w:rsidR="00B01EC5" w:rsidRDefault="00B01EC5"/>
    <w:p w14:paraId="70515235" w14:textId="77777777" w:rsidR="00B01EC5" w:rsidRDefault="00B01EC5"/>
    <w:p w14:paraId="719BEF03" w14:textId="77777777" w:rsidR="00B01EC5" w:rsidRDefault="00B01EC5"/>
    <w:p w14:paraId="0F481B84" w14:textId="77777777" w:rsidR="00B01EC5" w:rsidRDefault="00B01EC5"/>
    <w:p w14:paraId="52304E59" w14:textId="2E4C805F" w:rsidR="000F0240" w:rsidRPr="000E6EEF" w:rsidRDefault="00A753DE" w:rsidP="000E6EEF">
      <w:r>
        <w:br w:type="page"/>
      </w:r>
      <w:r w:rsidR="000F0240" w:rsidRPr="00DD0433">
        <w:rPr>
          <w:rFonts w:ascii="Baskerville Old Face" w:hAnsi="Baskerville Old Face"/>
          <w:b/>
          <w:bCs/>
          <w:color w:val="000000" w:themeColor="text1"/>
          <w:sz w:val="36"/>
          <w:szCs w:val="36"/>
        </w:rPr>
        <w:lastRenderedPageBreak/>
        <w:t>INTRODUCTION:</w:t>
      </w:r>
    </w:p>
    <w:p w14:paraId="720801FA" w14:textId="1A5C33D9" w:rsidR="0084090F" w:rsidRPr="008A0271" w:rsidRDefault="0084090F" w:rsidP="00022A9F">
      <w:pPr>
        <w:spacing w:line="360" w:lineRule="auto"/>
        <w:jc w:val="both"/>
        <w:rPr>
          <w:rFonts w:ascii="Arial" w:eastAsia="Times New Roman" w:hAnsi="Arial" w:cs="Arial"/>
          <w:color w:val="000000"/>
          <w:kern w:val="0"/>
          <w:lang w:eastAsia="en-GB"/>
          <w14:ligatures w14:val="none"/>
        </w:rPr>
      </w:pPr>
      <w:r w:rsidRPr="008A0271">
        <w:rPr>
          <w:rFonts w:ascii="Arial" w:eastAsia="Times New Roman" w:hAnsi="Arial" w:cs="Arial"/>
          <w:color w:val="000000"/>
          <w:kern w:val="0"/>
          <w:lang w:eastAsia="en-GB"/>
          <w14:ligatures w14:val="none"/>
        </w:rPr>
        <w:t>Accor SA represents a leading global hospitality organisation and the largest hotel group in Europe, operating a multi-brand portfolio that encompasses over 45 brands across diverse market segments. Following the strategic divestment of most of its owned real estate assets through the 2018 AccorInvest transaction</w:t>
      </w:r>
      <w:r w:rsidR="00D57944">
        <w:rPr>
          <w:rFonts w:ascii="Arial" w:eastAsia="Times New Roman" w:hAnsi="Arial" w:cs="Arial"/>
          <w:color w:val="000000"/>
          <w:kern w:val="0"/>
          <w:lang w:eastAsia="en-GB"/>
          <w14:ligatures w14:val="none"/>
        </w:rPr>
        <w:t xml:space="preserve"> (Accor</w:t>
      </w:r>
      <w:r w:rsidR="005F617D">
        <w:rPr>
          <w:rFonts w:ascii="Arial" w:eastAsia="Times New Roman" w:hAnsi="Arial" w:cs="Arial"/>
          <w:color w:val="000000"/>
          <w:kern w:val="0"/>
          <w:lang w:eastAsia="en-GB"/>
          <w14:ligatures w14:val="none"/>
        </w:rPr>
        <w:t>,2018)</w:t>
      </w:r>
      <w:r w:rsidRPr="008A0271">
        <w:rPr>
          <w:rFonts w:ascii="Arial" w:eastAsia="Times New Roman" w:hAnsi="Arial" w:cs="Arial"/>
          <w:color w:val="000000"/>
          <w:kern w:val="0"/>
          <w:lang w:eastAsia="en-GB"/>
          <w14:ligatures w14:val="none"/>
        </w:rPr>
        <w:t>, the company transitioned towards an asset-light operating model centred on franchising and hotel management contracts. This strategic shift has significantly altered Accor’s financial structure by reducing capital expenditure requirements and exposure to property-related risks, while enhancing scalability and return on invested capital. As a result, the company exhibits relatively low fixed-asset intensity and modest working-capital requirements. Nevertheless, its earnings remain strongly dependent on operational performance metrics, particularly Revenue per Available Room (RevPAR), which reflects the combined effects of occupancy rates and average room pricing across its portfolio.</w:t>
      </w:r>
    </w:p>
    <w:p w14:paraId="63A99988" w14:textId="77777777" w:rsidR="008A0271" w:rsidRDefault="008A0271" w:rsidP="00022A9F">
      <w:pPr>
        <w:spacing w:line="360" w:lineRule="auto"/>
        <w:jc w:val="both"/>
        <w:rPr>
          <w:rFonts w:ascii="Arial" w:eastAsia="Times New Roman" w:hAnsi="Arial" w:cs="Arial"/>
          <w:color w:val="000000"/>
          <w:kern w:val="0"/>
          <w:lang w:eastAsia="en-GB"/>
          <w14:ligatures w14:val="none"/>
        </w:rPr>
      </w:pPr>
      <w:r w:rsidRPr="008A0271">
        <w:rPr>
          <w:rFonts w:ascii="Arial" w:eastAsia="Times New Roman" w:hAnsi="Arial" w:cs="Arial"/>
          <w:color w:val="000000"/>
          <w:kern w:val="0"/>
          <w:lang w:eastAsia="en-GB"/>
          <w14:ligatures w14:val="none"/>
        </w:rPr>
        <w:t>This report presents a comprehensive Financial Health Assessment of Accor SA over the five-year period from 2021 to 2025, encompassing the company’s recovery from the disruption caused by the COVID-19 pandemic and its subsequent transition to a post-pandemic operating environment characterised by record profitability, enhanced shareholder returns, and a progressively more leveraged capital structure. Drawing upon data obtained from Accor’s audited annual reports, consolidated financial statements, and reputable financial databases, including Yahoo Finance, MarketScreener, and Macrotrends, the analysis evaluates the company’s financial performance and position through a detailed examination of its financial statements. A comprehensive ratio analysis is undertaken across key dimensions of financial health, including profitability, liquidity, operational efficiency, solvency, investment performance, and cash-flow generation. The report further identifies significant financial trends, assesses the organisation’s principal strengths and vulnerabilities, and benchmarks Accor’s liquidity position against selected publicly listed competitors within the global hospitality sector to provide a broader industry context.</w:t>
      </w:r>
    </w:p>
    <w:p w14:paraId="06D21910" w14:textId="74AA263D" w:rsidR="0084090F" w:rsidRDefault="00526CB8" w:rsidP="00022A9F">
      <w:pPr>
        <w:spacing w:line="360" w:lineRule="auto"/>
        <w:jc w:val="both"/>
      </w:pPr>
      <w:r>
        <w:lastRenderedPageBreak/>
        <w:fldChar w:fldCharType="begin"/>
      </w:r>
      <w:r>
        <w:instrText xml:space="preserve"> INCLUDEPICTURE "/Users/noshmanzo/Library/Group Containers/UBF8T346G9.ms/WebArchiveCopyPasteTempFiles/com.microsoft.Word/cid81A16F6E-C101-4E60-9770-CC788CBD6005" \* MERGEFORMATINET </w:instrText>
      </w:r>
      <w:r>
        <w:fldChar w:fldCharType="separate"/>
      </w:r>
      <w:r>
        <w:rPr>
          <w:noProof/>
        </w:rPr>
        <w:drawing>
          <wp:inline distT="0" distB="0" distL="0" distR="0" wp14:anchorId="47BAF9DE" wp14:editId="3E89F237">
            <wp:extent cx="5728153" cy="2506894"/>
            <wp:effectExtent l="0" t="0" r="0" b="0"/>
            <wp:docPr id="1541194794" name="Picture 1" descr="Snip_My_temp_attach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t;81A16F6E-C101-4E60-9770-CC788CBD6005&gt;" descr="Snip_My_temp_attachment.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85854" cy="2532147"/>
                    </a:xfrm>
                    <a:prstGeom prst="rect">
                      <a:avLst/>
                    </a:prstGeom>
                    <a:noFill/>
                    <a:ln>
                      <a:noFill/>
                    </a:ln>
                  </pic:spPr>
                </pic:pic>
              </a:graphicData>
            </a:graphic>
          </wp:inline>
        </w:drawing>
      </w:r>
      <w:r>
        <w:fldChar w:fldCharType="end"/>
      </w:r>
    </w:p>
    <w:p w14:paraId="4EBBBEA5" w14:textId="1E32C703" w:rsidR="00E95429" w:rsidRPr="00536E51" w:rsidRDefault="0040413A" w:rsidP="00022A9F">
      <w:pPr>
        <w:spacing w:line="360" w:lineRule="auto"/>
        <w:jc w:val="both"/>
        <w:rPr>
          <w:rFonts w:ascii="Arial" w:eastAsia="Times New Roman" w:hAnsi="Arial" w:cs="Arial"/>
          <w:color w:val="000000"/>
          <w:kern w:val="0"/>
          <w:lang w:eastAsia="en-GB"/>
          <w14:ligatures w14:val="none"/>
        </w:rPr>
      </w:pPr>
      <w:r>
        <w:t xml:space="preserve">Figure 1: </w:t>
      </w:r>
      <w:r w:rsidR="00E95429">
        <w:t xml:space="preserve">Accor </w:t>
      </w:r>
      <w:r w:rsidR="006D2580">
        <w:t>Annual Report 2025</w:t>
      </w:r>
    </w:p>
    <w:p w14:paraId="22052A80" w14:textId="364B16F2" w:rsidR="00B0475F" w:rsidRPr="00DD0433" w:rsidRDefault="00CC2822" w:rsidP="00DD0433">
      <w:pPr>
        <w:pStyle w:val="Heading1"/>
        <w:rPr>
          <w:rFonts w:ascii="Baskerville Old Face" w:hAnsi="Baskerville Old Face"/>
          <w:b/>
          <w:bCs/>
          <w:color w:val="000000" w:themeColor="text1"/>
          <w:sz w:val="36"/>
          <w:szCs w:val="36"/>
        </w:rPr>
      </w:pPr>
      <w:bookmarkStart w:id="0" w:name="_Toc235559582"/>
      <w:r w:rsidRPr="00DD0433">
        <w:rPr>
          <w:rFonts w:ascii="Baskerville Old Face" w:hAnsi="Baskerville Old Face"/>
          <w:b/>
          <w:bCs/>
          <w:color w:val="000000" w:themeColor="text1"/>
          <w:sz w:val="36"/>
          <w:szCs w:val="36"/>
        </w:rPr>
        <w:t>FINANCIAL STATEMENT</w:t>
      </w:r>
      <w:r w:rsidR="00A124ED" w:rsidRPr="00DD0433">
        <w:rPr>
          <w:rFonts w:ascii="Baskerville Old Face" w:hAnsi="Baskerville Old Face"/>
          <w:b/>
          <w:bCs/>
          <w:color w:val="000000" w:themeColor="text1"/>
          <w:sz w:val="36"/>
          <w:szCs w:val="36"/>
        </w:rPr>
        <w:t xml:space="preserve"> (Last five years)</w:t>
      </w:r>
      <w:bookmarkEnd w:id="0"/>
    </w:p>
    <w:p w14:paraId="53B8C771" w14:textId="77777777" w:rsidR="000F4C7D" w:rsidRDefault="000F4C7D" w:rsidP="00022A9F">
      <w:pPr>
        <w:spacing w:line="360" w:lineRule="auto"/>
        <w:jc w:val="both"/>
        <w:rPr>
          <w:rFonts w:ascii="Arial" w:eastAsia="Times New Roman" w:hAnsi="Arial" w:cs="Arial"/>
          <w:color w:val="000000"/>
          <w:kern w:val="0"/>
          <w:lang w:eastAsia="en-GB"/>
          <w14:ligatures w14:val="none"/>
        </w:rPr>
      </w:pPr>
      <w:r w:rsidRPr="000F4C7D">
        <w:rPr>
          <w:rFonts w:ascii="Arial" w:eastAsia="Times New Roman" w:hAnsi="Arial" w:cs="Arial"/>
          <w:color w:val="000000"/>
          <w:kern w:val="0"/>
          <w:lang w:eastAsia="en-GB"/>
          <w14:ligatures w14:val="none"/>
        </w:rPr>
        <w:t xml:space="preserve">Accor’s income statement reflects a strong post-pandemic recovery trajectory, </w:t>
      </w:r>
      <w:commentRangeStart w:id="1"/>
      <w:r w:rsidRPr="000F4C7D">
        <w:rPr>
          <w:rFonts w:ascii="Arial" w:eastAsia="Times New Roman" w:hAnsi="Arial" w:cs="Arial"/>
          <w:color w:val="000000"/>
          <w:kern w:val="0"/>
          <w:lang w:eastAsia="en-GB"/>
          <w14:ligatures w14:val="none"/>
        </w:rPr>
        <w:t>followed</w:t>
      </w:r>
      <w:commentRangeEnd w:id="1"/>
      <w:r w:rsidR="006177E9" w:rsidRPr="000F4C7D">
        <w:rPr>
          <w:rStyle w:val="CommentReference"/>
          <w:rFonts w:ascii="Arial" w:eastAsia="Times New Roman" w:hAnsi="Arial" w:cs="Arial"/>
          <w:color w:val="000000"/>
          <w:kern w:val="0"/>
          <w:sz w:val="24"/>
          <w:szCs w:val="24"/>
          <w:lang w:eastAsia="en-GB"/>
          <w14:ligatures w14:val="none"/>
        </w:rPr>
        <w:commentReference w:id="1"/>
      </w:r>
      <w:r w:rsidRPr="000F4C7D">
        <w:rPr>
          <w:rFonts w:ascii="Arial" w:eastAsia="Times New Roman" w:hAnsi="Arial" w:cs="Arial"/>
          <w:color w:val="000000"/>
          <w:kern w:val="0"/>
          <w:lang w:eastAsia="en-GB"/>
          <w14:ligatures w14:val="none"/>
        </w:rPr>
        <w:t xml:space="preserve"> by a period of sustained growth and operational resilience. Group revenue increased significantly from a pandemic-affected €2.204 billion in 2021 to €5.639 billion in 2025, representing growth of more than 150% over the period. Similarly, net profit attributable to shareholders improved substantially, rising from €85 million in 2021 to a peak of €633 million in 2023. Although net earnings subsequently declined to €449 million in 2025, this reduction largely reflects the absence of exceptional gains from asset disposals that had positively influenced reported profits in 2023 and 2024. Notably, Recurring EBITDA—Accor’s primary measure of underlying operational performance—demonstrated consistent year-on-year growth, reaching a record €1.201 billion in 2025, an increase of 13.3% compared with the previous year. This performance highlights the effectiveness of the group’s asset-light business model and the successful recovery of key operating indicators, including occupancy rates and average daily room prices.</w:t>
      </w:r>
    </w:p>
    <w:p w14:paraId="4F15BAB3" w14:textId="4CC3CA70" w:rsidR="006A3EDA" w:rsidRPr="00920BA5" w:rsidRDefault="006A3EDA" w:rsidP="00920BA5">
      <w:pPr>
        <w:pStyle w:val="Heading2"/>
        <w:rPr>
          <w:rFonts w:ascii="Arial" w:hAnsi="Arial" w:cs="Arial"/>
          <w:b/>
          <w:bCs/>
          <w:color w:val="000000" w:themeColor="text1"/>
        </w:rPr>
      </w:pPr>
      <w:bookmarkStart w:id="2" w:name="_Toc235559583"/>
      <w:r w:rsidRPr="00416C71">
        <w:rPr>
          <w:rFonts w:ascii="Arial" w:hAnsi="Arial" w:cs="Arial"/>
          <w:b/>
          <w:bCs/>
          <w:color w:val="000000" w:themeColor="text1"/>
        </w:rPr>
        <w:t>Balance Sheet Analysis (2021- 20</w:t>
      </w:r>
      <w:r w:rsidR="00475F1A" w:rsidRPr="00416C71">
        <w:rPr>
          <w:rFonts w:ascii="Arial" w:hAnsi="Arial" w:cs="Arial"/>
          <w:b/>
          <w:bCs/>
          <w:color w:val="000000" w:themeColor="text1"/>
        </w:rPr>
        <w:t>25</w:t>
      </w:r>
      <w:r w:rsidRPr="00416C71">
        <w:rPr>
          <w:rFonts w:ascii="Arial" w:hAnsi="Arial" w:cs="Arial"/>
          <w:b/>
          <w:bCs/>
          <w:color w:val="000000" w:themeColor="text1"/>
        </w:rPr>
        <w:t>)</w:t>
      </w:r>
      <w:bookmarkEnd w:id="2"/>
      <w:r w:rsidRPr="00C340FB">
        <w:rPr>
          <w:rFonts w:ascii="Arial" w:hAnsi="Arial" w:cs="Arial"/>
          <w:sz w:val="24"/>
          <w:szCs w:val="24"/>
        </w:rPr>
        <w:t xml:space="preserve"> </w:t>
      </w:r>
    </w:p>
    <w:tbl>
      <w:tblPr>
        <w:tblStyle w:val="TableGrid"/>
        <w:tblW w:w="10910" w:type="dxa"/>
        <w:jc w:val="center"/>
        <w:tblLook w:val="04A0" w:firstRow="1" w:lastRow="0" w:firstColumn="1" w:lastColumn="0" w:noHBand="0" w:noVBand="1"/>
      </w:tblPr>
      <w:tblGrid>
        <w:gridCol w:w="2127"/>
        <w:gridCol w:w="1134"/>
        <w:gridCol w:w="992"/>
        <w:gridCol w:w="1276"/>
        <w:gridCol w:w="1134"/>
        <w:gridCol w:w="1276"/>
        <w:gridCol w:w="1275"/>
        <w:gridCol w:w="1696"/>
      </w:tblGrid>
      <w:tr w:rsidR="006A3EDA" w:rsidRPr="0010229D" w14:paraId="577E0344" w14:textId="77777777" w:rsidTr="00B6268A">
        <w:trPr>
          <w:jc w:val="center"/>
        </w:trPr>
        <w:tc>
          <w:tcPr>
            <w:tcW w:w="2127" w:type="dxa"/>
          </w:tcPr>
          <w:p w14:paraId="0FA84BC2" w14:textId="77777777" w:rsidR="006A3EDA" w:rsidRPr="0010229D" w:rsidRDefault="006A3EDA" w:rsidP="00B6268A">
            <w:pPr>
              <w:spacing w:line="360" w:lineRule="auto"/>
              <w:rPr>
                <w:rFonts w:ascii="Arial" w:hAnsi="Arial" w:cs="Arial"/>
              </w:rPr>
            </w:pPr>
            <w:r w:rsidRPr="0010229D">
              <w:rPr>
                <w:rFonts w:ascii="Arial" w:hAnsi="Arial" w:cs="Arial"/>
              </w:rPr>
              <w:t>Item (€m)</w:t>
            </w:r>
          </w:p>
        </w:tc>
        <w:tc>
          <w:tcPr>
            <w:tcW w:w="1134" w:type="dxa"/>
          </w:tcPr>
          <w:p w14:paraId="466F0613" w14:textId="77777777" w:rsidR="006A3EDA" w:rsidRPr="0010229D" w:rsidRDefault="006A3EDA" w:rsidP="00B6268A">
            <w:pPr>
              <w:spacing w:line="360" w:lineRule="auto"/>
              <w:rPr>
                <w:rFonts w:ascii="Arial" w:hAnsi="Arial" w:cs="Arial"/>
              </w:rPr>
            </w:pPr>
            <w:r w:rsidRPr="0010229D">
              <w:rPr>
                <w:rFonts w:ascii="Arial" w:hAnsi="Arial" w:cs="Arial"/>
              </w:rPr>
              <w:t>2021</w:t>
            </w:r>
          </w:p>
        </w:tc>
        <w:tc>
          <w:tcPr>
            <w:tcW w:w="992" w:type="dxa"/>
          </w:tcPr>
          <w:p w14:paraId="2C48F460" w14:textId="77777777" w:rsidR="006A3EDA" w:rsidRPr="0010229D" w:rsidRDefault="006A3EDA" w:rsidP="00B6268A">
            <w:pPr>
              <w:spacing w:line="360" w:lineRule="auto"/>
              <w:rPr>
                <w:rFonts w:ascii="Arial" w:hAnsi="Arial" w:cs="Arial"/>
              </w:rPr>
            </w:pPr>
            <w:r w:rsidRPr="0010229D">
              <w:rPr>
                <w:rFonts w:ascii="Arial" w:hAnsi="Arial" w:cs="Arial"/>
              </w:rPr>
              <w:t>2022</w:t>
            </w:r>
          </w:p>
        </w:tc>
        <w:tc>
          <w:tcPr>
            <w:tcW w:w="1276" w:type="dxa"/>
          </w:tcPr>
          <w:p w14:paraId="05D3C8D1" w14:textId="77777777" w:rsidR="006A3EDA" w:rsidRPr="0010229D" w:rsidRDefault="006A3EDA" w:rsidP="00B6268A">
            <w:pPr>
              <w:spacing w:line="360" w:lineRule="auto"/>
              <w:rPr>
                <w:rFonts w:ascii="Arial" w:hAnsi="Arial" w:cs="Arial"/>
              </w:rPr>
            </w:pPr>
            <w:r w:rsidRPr="0010229D">
              <w:rPr>
                <w:rFonts w:ascii="Arial" w:hAnsi="Arial" w:cs="Arial"/>
              </w:rPr>
              <w:t>Change</w:t>
            </w:r>
          </w:p>
        </w:tc>
        <w:tc>
          <w:tcPr>
            <w:tcW w:w="1134" w:type="dxa"/>
          </w:tcPr>
          <w:p w14:paraId="28CBA769" w14:textId="77777777" w:rsidR="006A3EDA" w:rsidRPr="0010229D" w:rsidRDefault="006A3EDA" w:rsidP="00B6268A">
            <w:pPr>
              <w:spacing w:line="360" w:lineRule="auto"/>
              <w:rPr>
                <w:rFonts w:ascii="Arial" w:hAnsi="Arial" w:cs="Arial"/>
              </w:rPr>
            </w:pPr>
            <w:r w:rsidRPr="0010229D">
              <w:rPr>
                <w:rFonts w:ascii="Arial" w:hAnsi="Arial" w:cs="Arial"/>
              </w:rPr>
              <w:t>2023</w:t>
            </w:r>
          </w:p>
        </w:tc>
        <w:tc>
          <w:tcPr>
            <w:tcW w:w="1276" w:type="dxa"/>
          </w:tcPr>
          <w:p w14:paraId="27E22470" w14:textId="77777777" w:rsidR="006A3EDA" w:rsidRPr="0010229D" w:rsidRDefault="006A3EDA" w:rsidP="00B6268A">
            <w:pPr>
              <w:spacing w:line="360" w:lineRule="auto"/>
              <w:rPr>
                <w:rFonts w:ascii="Arial" w:hAnsi="Arial" w:cs="Arial"/>
              </w:rPr>
            </w:pPr>
            <w:r w:rsidRPr="0010229D">
              <w:rPr>
                <w:rFonts w:ascii="Arial" w:hAnsi="Arial" w:cs="Arial"/>
              </w:rPr>
              <w:t>2024</w:t>
            </w:r>
          </w:p>
        </w:tc>
        <w:tc>
          <w:tcPr>
            <w:tcW w:w="1275" w:type="dxa"/>
          </w:tcPr>
          <w:p w14:paraId="299CA67E" w14:textId="77777777" w:rsidR="006A3EDA" w:rsidRPr="0010229D" w:rsidRDefault="006A3EDA" w:rsidP="00B6268A">
            <w:pPr>
              <w:spacing w:line="360" w:lineRule="auto"/>
              <w:rPr>
                <w:rFonts w:ascii="Arial" w:hAnsi="Arial" w:cs="Arial"/>
              </w:rPr>
            </w:pPr>
            <w:r w:rsidRPr="0010229D">
              <w:rPr>
                <w:rFonts w:ascii="Arial" w:hAnsi="Arial" w:cs="Arial"/>
              </w:rPr>
              <w:t>2025</w:t>
            </w:r>
          </w:p>
        </w:tc>
        <w:tc>
          <w:tcPr>
            <w:tcW w:w="1696" w:type="dxa"/>
          </w:tcPr>
          <w:p w14:paraId="79AC0663" w14:textId="77777777" w:rsidR="006A3EDA" w:rsidRPr="0010229D" w:rsidRDefault="006A3EDA" w:rsidP="00B6268A">
            <w:pPr>
              <w:spacing w:line="360" w:lineRule="auto"/>
              <w:rPr>
                <w:rFonts w:ascii="Arial" w:hAnsi="Arial" w:cs="Arial"/>
              </w:rPr>
            </w:pPr>
            <w:r w:rsidRPr="0010229D">
              <w:rPr>
                <w:rFonts w:ascii="Arial" w:hAnsi="Arial" w:cs="Arial"/>
              </w:rPr>
              <w:t>21-25 change</w:t>
            </w:r>
          </w:p>
        </w:tc>
      </w:tr>
      <w:tr w:rsidR="006A3EDA" w:rsidRPr="0010229D" w14:paraId="044835C5" w14:textId="77777777" w:rsidTr="00B6268A">
        <w:trPr>
          <w:jc w:val="center"/>
        </w:trPr>
        <w:tc>
          <w:tcPr>
            <w:tcW w:w="2127" w:type="dxa"/>
          </w:tcPr>
          <w:p w14:paraId="185038EC" w14:textId="77777777" w:rsidR="006A3EDA" w:rsidRPr="0010229D" w:rsidRDefault="006A3EDA" w:rsidP="00B6268A">
            <w:pPr>
              <w:spacing w:line="360" w:lineRule="auto"/>
              <w:rPr>
                <w:rFonts w:ascii="Arial" w:hAnsi="Arial" w:cs="Arial"/>
              </w:rPr>
            </w:pPr>
            <w:r w:rsidRPr="0010229D">
              <w:rPr>
                <w:rFonts w:ascii="Arial" w:hAnsi="Arial" w:cs="Arial"/>
              </w:rPr>
              <w:t>Total Assets</w:t>
            </w:r>
          </w:p>
        </w:tc>
        <w:tc>
          <w:tcPr>
            <w:tcW w:w="1134" w:type="dxa"/>
          </w:tcPr>
          <w:p w14:paraId="58A47AD1" w14:textId="77777777" w:rsidR="006A3EDA" w:rsidRPr="0010229D" w:rsidRDefault="006A3EDA" w:rsidP="00B6268A">
            <w:pPr>
              <w:spacing w:line="360" w:lineRule="auto"/>
              <w:rPr>
                <w:rFonts w:ascii="Arial" w:hAnsi="Arial" w:cs="Arial"/>
              </w:rPr>
            </w:pPr>
            <w:r w:rsidRPr="0010229D">
              <w:rPr>
                <w:rFonts w:ascii="Arial" w:hAnsi="Arial" w:cs="Arial"/>
              </w:rPr>
              <w:t>10,769</w:t>
            </w:r>
          </w:p>
        </w:tc>
        <w:tc>
          <w:tcPr>
            <w:tcW w:w="992" w:type="dxa"/>
          </w:tcPr>
          <w:p w14:paraId="39088FE6" w14:textId="77777777" w:rsidR="006A3EDA" w:rsidRPr="0010229D" w:rsidRDefault="006A3EDA" w:rsidP="00B6268A">
            <w:pPr>
              <w:spacing w:line="360" w:lineRule="auto"/>
              <w:rPr>
                <w:rFonts w:ascii="Arial" w:hAnsi="Arial" w:cs="Arial"/>
              </w:rPr>
            </w:pPr>
            <w:r w:rsidRPr="0010229D">
              <w:rPr>
                <w:rFonts w:ascii="Arial" w:hAnsi="Arial" w:cs="Arial"/>
              </w:rPr>
              <w:t>11,713</w:t>
            </w:r>
          </w:p>
        </w:tc>
        <w:tc>
          <w:tcPr>
            <w:tcW w:w="1276" w:type="dxa"/>
          </w:tcPr>
          <w:p w14:paraId="18853A95" w14:textId="77777777" w:rsidR="006A3EDA" w:rsidRPr="0010229D" w:rsidRDefault="006A3EDA" w:rsidP="00B6268A">
            <w:pPr>
              <w:spacing w:line="360" w:lineRule="auto"/>
              <w:rPr>
                <w:rFonts w:ascii="Arial" w:hAnsi="Arial" w:cs="Arial"/>
              </w:rPr>
            </w:pPr>
            <w:r w:rsidRPr="0010229D">
              <w:rPr>
                <w:rFonts w:ascii="Arial" w:hAnsi="Arial" w:cs="Arial"/>
              </w:rPr>
              <w:t>+8.8%</w:t>
            </w:r>
          </w:p>
        </w:tc>
        <w:tc>
          <w:tcPr>
            <w:tcW w:w="1134" w:type="dxa"/>
          </w:tcPr>
          <w:p w14:paraId="4A25194E" w14:textId="77777777" w:rsidR="006A3EDA" w:rsidRPr="0010229D" w:rsidRDefault="006A3EDA" w:rsidP="00B6268A">
            <w:pPr>
              <w:spacing w:line="360" w:lineRule="auto"/>
              <w:rPr>
                <w:rFonts w:ascii="Arial" w:hAnsi="Arial" w:cs="Arial"/>
              </w:rPr>
            </w:pPr>
            <w:r w:rsidRPr="0010229D">
              <w:rPr>
                <w:rFonts w:ascii="Arial" w:hAnsi="Arial" w:cs="Arial"/>
              </w:rPr>
              <w:t>11,176</w:t>
            </w:r>
          </w:p>
        </w:tc>
        <w:tc>
          <w:tcPr>
            <w:tcW w:w="1276" w:type="dxa"/>
          </w:tcPr>
          <w:p w14:paraId="0C48A180" w14:textId="77777777" w:rsidR="006A3EDA" w:rsidRPr="0010229D" w:rsidRDefault="006A3EDA" w:rsidP="00B6268A">
            <w:pPr>
              <w:spacing w:line="360" w:lineRule="auto"/>
              <w:rPr>
                <w:rFonts w:ascii="Arial" w:hAnsi="Arial" w:cs="Arial"/>
              </w:rPr>
            </w:pPr>
            <w:r w:rsidRPr="0010229D">
              <w:rPr>
                <w:rFonts w:ascii="Arial" w:hAnsi="Arial" w:cs="Arial"/>
              </w:rPr>
              <w:t>12,057</w:t>
            </w:r>
          </w:p>
        </w:tc>
        <w:tc>
          <w:tcPr>
            <w:tcW w:w="1275" w:type="dxa"/>
          </w:tcPr>
          <w:p w14:paraId="59686F02" w14:textId="77777777" w:rsidR="006A3EDA" w:rsidRPr="0010229D" w:rsidRDefault="006A3EDA" w:rsidP="00B6268A">
            <w:pPr>
              <w:spacing w:line="360" w:lineRule="auto"/>
              <w:rPr>
                <w:rFonts w:ascii="Arial" w:hAnsi="Arial" w:cs="Arial"/>
              </w:rPr>
            </w:pPr>
            <w:r w:rsidRPr="0010229D">
              <w:rPr>
                <w:rFonts w:ascii="Arial" w:hAnsi="Arial" w:cs="Arial"/>
              </w:rPr>
              <w:t>11,744</w:t>
            </w:r>
          </w:p>
        </w:tc>
        <w:tc>
          <w:tcPr>
            <w:tcW w:w="1696" w:type="dxa"/>
          </w:tcPr>
          <w:p w14:paraId="167792D2" w14:textId="77777777" w:rsidR="006A3EDA" w:rsidRPr="0010229D" w:rsidRDefault="006A3EDA" w:rsidP="00B6268A">
            <w:pPr>
              <w:spacing w:line="360" w:lineRule="auto"/>
              <w:rPr>
                <w:rFonts w:ascii="Arial" w:hAnsi="Arial" w:cs="Arial"/>
              </w:rPr>
            </w:pPr>
            <w:r w:rsidRPr="0010229D">
              <w:rPr>
                <w:rFonts w:ascii="Arial" w:hAnsi="Arial" w:cs="Arial"/>
              </w:rPr>
              <w:t>+9.1%</w:t>
            </w:r>
          </w:p>
        </w:tc>
      </w:tr>
      <w:tr w:rsidR="006A3EDA" w:rsidRPr="0010229D" w14:paraId="6BB8F560" w14:textId="77777777" w:rsidTr="00B6268A">
        <w:trPr>
          <w:jc w:val="center"/>
        </w:trPr>
        <w:tc>
          <w:tcPr>
            <w:tcW w:w="2127" w:type="dxa"/>
          </w:tcPr>
          <w:p w14:paraId="614371E0" w14:textId="77777777" w:rsidR="006A3EDA" w:rsidRPr="0010229D" w:rsidRDefault="006A3EDA" w:rsidP="00B6268A">
            <w:pPr>
              <w:spacing w:line="360" w:lineRule="auto"/>
              <w:rPr>
                <w:rFonts w:ascii="Arial" w:hAnsi="Arial" w:cs="Arial"/>
              </w:rPr>
            </w:pPr>
            <w:r w:rsidRPr="0010229D">
              <w:rPr>
                <w:rFonts w:ascii="Arial" w:hAnsi="Arial" w:cs="Arial"/>
              </w:rPr>
              <w:t>Current Assets</w:t>
            </w:r>
          </w:p>
        </w:tc>
        <w:tc>
          <w:tcPr>
            <w:tcW w:w="1134" w:type="dxa"/>
          </w:tcPr>
          <w:p w14:paraId="737477C3" w14:textId="77777777" w:rsidR="006A3EDA" w:rsidRPr="0010229D" w:rsidRDefault="006A3EDA" w:rsidP="00B6268A">
            <w:pPr>
              <w:spacing w:line="360" w:lineRule="auto"/>
              <w:rPr>
                <w:rFonts w:ascii="Arial" w:hAnsi="Arial" w:cs="Arial"/>
              </w:rPr>
            </w:pPr>
            <w:r w:rsidRPr="0010229D">
              <w:rPr>
                <w:rFonts w:ascii="Arial" w:hAnsi="Arial" w:cs="Arial"/>
              </w:rPr>
              <w:t>3,079</w:t>
            </w:r>
          </w:p>
        </w:tc>
        <w:tc>
          <w:tcPr>
            <w:tcW w:w="992" w:type="dxa"/>
          </w:tcPr>
          <w:p w14:paraId="5623686D" w14:textId="77777777" w:rsidR="006A3EDA" w:rsidRPr="0010229D" w:rsidRDefault="006A3EDA" w:rsidP="00B6268A">
            <w:pPr>
              <w:spacing w:line="360" w:lineRule="auto"/>
              <w:rPr>
                <w:rFonts w:ascii="Arial" w:hAnsi="Arial" w:cs="Arial"/>
              </w:rPr>
            </w:pPr>
            <w:r w:rsidRPr="0010229D">
              <w:rPr>
                <w:rFonts w:ascii="Arial" w:hAnsi="Arial" w:cs="Arial"/>
              </w:rPr>
              <w:t>3,584</w:t>
            </w:r>
          </w:p>
        </w:tc>
        <w:tc>
          <w:tcPr>
            <w:tcW w:w="1276" w:type="dxa"/>
          </w:tcPr>
          <w:p w14:paraId="276A0FB7" w14:textId="77777777" w:rsidR="006A3EDA" w:rsidRPr="0010229D" w:rsidRDefault="006A3EDA" w:rsidP="00B6268A">
            <w:pPr>
              <w:spacing w:line="360" w:lineRule="auto"/>
              <w:rPr>
                <w:rFonts w:ascii="Arial" w:hAnsi="Arial" w:cs="Arial"/>
              </w:rPr>
            </w:pPr>
            <w:r w:rsidRPr="0010229D">
              <w:rPr>
                <w:rFonts w:ascii="Arial" w:hAnsi="Arial" w:cs="Arial"/>
              </w:rPr>
              <w:t>+16.4%</w:t>
            </w:r>
          </w:p>
        </w:tc>
        <w:tc>
          <w:tcPr>
            <w:tcW w:w="1134" w:type="dxa"/>
          </w:tcPr>
          <w:p w14:paraId="2AE9AB76" w14:textId="77777777" w:rsidR="006A3EDA" w:rsidRPr="0010229D" w:rsidRDefault="006A3EDA" w:rsidP="00B6268A">
            <w:pPr>
              <w:spacing w:line="360" w:lineRule="auto"/>
              <w:rPr>
                <w:rFonts w:ascii="Arial" w:hAnsi="Arial" w:cs="Arial"/>
              </w:rPr>
            </w:pPr>
            <w:r w:rsidRPr="0010229D">
              <w:rPr>
                <w:rFonts w:ascii="Arial" w:hAnsi="Arial" w:cs="Arial"/>
              </w:rPr>
              <w:t>2,781</w:t>
            </w:r>
          </w:p>
        </w:tc>
        <w:tc>
          <w:tcPr>
            <w:tcW w:w="1276" w:type="dxa"/>
          </w:tcPr>
          <w:p w14:paraId="61638862" w14:textId="77777777" w:rsidR="006A3EDA" w:rsidRPr="0010229D" w:rsidRDefault="006A3EDA" w:rsidP="00B6268A">
            <w:pPr>
              <w:spacing w:line="360" w:lineRule="auto"/>
              <w:rPr>
                <w:rFonts w:ascii="Arial" w:hAnsi="Arial" w:cs="Arial"/>
              </w:rPr>
            </w:pPr>
            <w:r w:rsidRPr="0010229D">
              <w:rPr>
                <w:rFonts w:ascii="Arial" w:hAnsi="Arial" w:cs="Arial"/>
              </w:rPr>
              <w:t>2,970</w:t>
            </w:r>
          </w:p>
        </w:tc>
        <w:tc>
          <w:tcPr>
            <w:tcW w:w="1275" w:type="dxa"/>
          </w:tcPr>
          <w:p w14:paraId="4274127C" w14:textId="77777777" w:rsidR="006A3EDA" w:rsidRPr="0010229D" w:rsidRDefault="006A3EDA" w:rsidP="00B6268A">
            <w:pPr>
              <w:spacing w:line="360" w:lineRule="auto"/>
              <w:rPr>
                <w:rFonts w:ascii="Arial" w:hAnsi="Arial" w:cs="Arial"/>
              </w:rPr>
            </w:pPr>
            <w:r w:rsidRPr="0010229D">
              <w:rPr>
                <w:rFonts w:ascii="Arial" w:hAnsi="Arial" w:cs="Arial"/>
              </w:rPr>
              <w:t>2,905</w:t>
            </w:r>
          </w:p>
        </w:tc>
        <w:tc>
          <w:tcPr>
            <w:tcW w:w="1696" w:type="dxa"/>
          </w:tcPr>
          <w:p w14:paraId="79F5F4B0" w14:textId="77777777" w:rsidR="006A3EDA" w:rsidRPr="0010229D" w:rsidRDefault="006A3EDA" w:rsidP="00B6268A">
            <w:pPr>
              <w:spacing w:line="360" w:lineRule="auto"/>
              <w:rPr>
                <w:rFonts w:ascii="Arial" w:hAnsi="Arial" w:cs="Arial"/>
              </w:rPr>
            </w:pPr>
            <w:r w:rsidRPr="0010229D">
              <w:rPr>
                <w:rFonts w:ascii="Arial" w:hAnsi="Arial" w:cs="Arial"/>
              </w:rPr>
              <w:t>–5.7%</w:t>
            </w:r>
          </w:p>
        </w:tc>
      </w:tr>
      <w:tr w:rsidR="006A3EDA" w:rsidRPr="0010229D" w14:paraId="21620D86" w14:textId="77777777" w:rsidTr="00B6268A">
        <w:trPr>
          <w:jc w:val="center"/>
        </w:trPr>
        <w:tc>
          <w:tcPr>
            <w:tcW w:w="2127" w:type="dxa"/>
          </w:tcPr>
          <w:p w14:paraId="31AA643A" w14:textId="77777777" w:rsidR="006A3EDA" w:rsidRPr="0010229D" w:rsidRDefault="006A3EDA" w:rsidP="00B6268A">
            <w:pPr>
              <w:spacing w:line="360" w:lineRule="auto"/>
              <w:rPr>
                <w:rFonts w:ascii="Arial" w:hAnsi="Arial" w:cs="Arial"/>
              </w:rPr>
            </w:pPr>
            <w:r w:rsidRPr="0010229D">
              <w:rPr>
                <w:rFonts w:ascii="Arial" w:hAnsi="Arial" w:cs="Arial"/>
              </w:rPr>
              <w:t>Non-current Assets</w:t>
            </w:r>
          </w:p>
        </w:tc>
        <w:tc>
          <w:tcPr>
            <w:tcW w:w="1134" w:type="dxa"/>
          </w:tcPr>
          <w:p w14:paraId="70D3E4C0" w14:textId="77777777" w:rsidR="006A3EDA" w:rsidRPr="0010229D" w:rsidRDefault="006A3EDA" w:rsidP="00B6268A">
            <w:pPr>
              <w:spacing w:line="360" w:lineRule="auto"/>
              <w:rPr>
                <w:rFonts w:ascii="Arial" w:hAnsi="Arial" w:cs="Arial"/>
              </w:rPr>
            </w:pPr>
            <w:r w:rsidRPr="0010229D">
              <w:rPr>
                <w:rFonts w:ascii="Arial" w:hAnsi="Arial" w:cs="Arial"/>
              </w:rPr>
              <w:t>7,691</w:t>
            </w:r>
          </w:p>
        </w:tc>
        <w:tc>
          <w:tcPr>
            <w:tcW w:w="992" w:type="dxa"/>
          </w:tcPr>
          <w:p w14:paraId="0BFB983C" w14:textId="77777777" w:rsidR="006A3EDA" w:rsidRPr="0010229D" w:rsidRDefault="006A3EDA" w:rsidP="00B6268A">
            <w:pPr>
              <w:spacing w:line="360" w:lineRule="auto"/>
              <w:rPr>
                <w:rFonts w:ascii="Arial" w:hAnsi="Arial" w:cs="Arial"/>
              </w:rPr>
            </w:pPr>
            <w:r w:rsidRPr="0010229D">
              <w:rPr>
                <w:rFonts w:ascii="Arial" w:hAnsi="Arial" w:cs="Arial"/>
              </w:rPr>
              <w:t>8,129</w:t>
            </w:r>
          </w:p>
        </w:tc>
        <w:tc>
          <w:tcPr>
            <w:tcW w:w="1276" w:type="dxa"/>
          </w:tcPr>
          <w:p w14:paraId="4E0BDA49" w14:textId="77777777" w:rsidR="006A3EDA" w:rsidRPr="0010229D" w:rsidRDefault="006A3EDA" w:rsidP="00B6268A">
            <w:pPr>
              <w:spacing w:line="360" w:lineRule="auto"/>
              <w:rPr>
                <w:rFonts w:ascii="Arial" w:hAnsi="Arial" w:cs="Arial"/>
              </w:rPr>
            </w:pPr>
            <w:r w:rsidRPr="0010229D">
              <w:rPr>
                <w:rFonts w:ascii="Arial" w:hAnsi="Arial" w:cs="Arial"/>
              </w:rPr>
              <w:t>+5.7%</w:t>
            </w:r>
          </w:p>
        </w:tc>
        <w:tc>
          <w:tcPr>
            <w:tcW w:w="1134" w:type="dxa"/>
          </w:tcPr>
          <w:p w14:paraId="37C20DF8" w14:textId="77777777" w:rsidR="006A3EDA" w:rsidRPr="0010229D" w:rsidRDefault="006A3EDA" w:rsidP="00B6268A">
            <w:pPr>
              <w:spacing w:line="360" w:lineRule="auto"/>
              <w:rPr>
                <w:rFonts w:ascii="Arial" w:hAnsi="Arial" w:cs="Arial"/>
              </w:rPr>
            </w:pPr>
            <w:r w:rsidRPr="0010229D">
              <w:rPr>
                <w:rFonts w:ascii="Arial" w:hAnsi="Arial" w:cs="Arial"/>
              </w:rPr>
              <w:t>8,395</w:t>
            </w:r>
          </w:p>
        </w:tc>
        <w:tc>
          <w:tcPr>
            <w:tcW w:w="1276" w:type="dxa"/>
          </w:tcPr>
          <w:p w14:paraId="2A9EA8B4" w14:textId="77777777" w:rsidR="006A3EDA" w:rsidRPr="0010229D" w:rsidRDefault="006A3EDA" w:rsidP="00B6268A">
            <w:pPr>
              <w:spacing w:line="360" w:lineRule="auto"/>
              <w:rPr>
                <w:rFonts w:ascii="Arial" w:hAnsi="Arial" w:cs="Arial"/>
              </w:rPr>
            </w:pPr>
            <w:r w:rsidRPr="0010229D">
              <w:rPr>
                <w:rFonts w:ascii="Arial" w:hAnsi="Arial" w:cs="Arial"/>
              </w:rPr>
              <w:t>9,087</w:t>
            </w:r>
          </w:p>
        </w:tc>
        <w:tc>
          <w:tcPr>
            <w:tcW w:w="1275" w:type="dxa"/>
          </w:tcPr>
          <w:p w14:paraId="23BAD16B" w14:textId="77777777" w:rsidR="006A3EDA" w:rsidRPr="0010229D" w:rsidRDefault="006A3EDA" w:rsidP="00B6268A">
            <w:pPr>
              <w:spacing w:line="360" w:lineRule="auto"/>
              <w:rPr>
                <w:rFonts w:ascii="Arial" w:hAnsi="Arial" w:cs="Arial"/>
              </w:rPr>
            </w:pPr>
            <w:r w:rsidRPr="0010229D">
              <w:rPr>
                <w:rFonts w:ascii="Arial" w:hAnsi="Arial" w:cs="Arial"/>
              </w:rPr>
              <w:t>8,839</w:t>
            </w:r>
          </w:p>
        </w:tc>
        <w:tc>
          <w:tcPr>
            <w:tcW w:w="1696" w:type="dxa"/>
          </w:tcPr>
          <w:p w14:paraId="5100A90C" w14:textId="77777777" w:rsidR="006A3EDA" w:rsidRPr="0010229D" w:rsidRDefault="006A3EDA" w:rsidP="00B6268A">
            <w:pPr>
              <w:spacing w:line="360" w:lineRule="auto"/>
              <w:rPr>
                <w:rFonts w:ascii="Arial" w:hAnsi="Arial" w:cs="Arial"/>
              </w:rPr>
            </w:pPr>
            <w:r w:rsidRPr="0010229D">
              <w:rPr>
                <w:rFonts w:ascii="Arial" w:hAnsi="Arial" w:cs="Arial"/>
              </w:rPr>
              <w:t>+14.9%</w:t>
            </w:r>
          </w:p>
        </w:tc>
      </w:tr>
      <w:tr w:rsidR="006A3EDA" w:rsidRPr="0010229D" w14:paraId="45B5B730" w14:textId="77777777" w:rsidTr="00B6268A">
        <w:trPr>
          <w:jc w:val="center"/>
        </w:trPr>
        <w:tc>
          <w:tcPr>
            <w:tcW w:w="2127" w:type="dxa"/>
          </w:tcPr>
          <w:p w14:paraId="49AD9131" w14:textId="77777777" w:rsidR="006A3EDA" w:rsidRPr="0010229D" w:rsidRDefault="006A3EDA" w:rsidP="00B6268A">
            <w:pPr>
              <w:spacing w:line="360" w:lineRule="auto"/>
              <w:rPr>
                <w:rFonts w:ascii="Arial" w:hAnsi="Arial" w:cs="Arial"/>
              </w:rPr>
            </w:pPr>
            <w:r w:rsidRPr="0010229D">
              <w:rPr>
                <w:rFonts w:ascii="Arial" w:hAnsi="Arial" w:cs="Arial"/>
              </w:rPr>
              <w:lastRenderedPageBreak/>
              <w:t>Total Equity</w:t>
            </w:r>
          </w:p>
        </w:tc>
        <w:tc>
          <w:tcPr>
            <w:tcW w:w="1134" w:type="dxa"/>
          </w:tcPr>
          <w:p w14:paraId="22A7D188" w14:textId="77777777" w:rsidR="006A3EDA" w:rsidRPr="0010229D" w:rsidRDefault="006A3EDA" w:rsidP="00B6268A">
            <w:pPr>
              <w:spacing w:line="360" w:lineRule="auto"/>
              <w:rPr>
                <w:rFonts w:ascii="Arial" w:hAnsi="Arial" w:cs="Arial"/>
              </w:rPr>
            </w:pPr>
            <w:r w:rsidRPr="0010229D">
              <w:rPr>
                <w:rFonts w:ascii="Arial" w:hAnsi="Arial" w:cs="Arial"/>
              </w:rPr>
              <w:t>4,597</w:t>
            </w:r>
          </w:p>
        </w:tc>
        <w:tc>
          <w:tcPr>
            <w:tcW w:w="992" w:type="dxa"/>
          </w:tcPr>
          <w:p w14:paraId="1B1E01E2" w14:textId="77777777" w:rsidR="006A3EDA" w:rsidRPr="0010229D" w:rsidRDefault="006A3EDA" w:rsidP="00B6268A">
            <w:pPr>
              <w:spacing w:line="360" w:lineRule="auto"/>
              <w:rPr>
                <w:rFonts w:ascii="Arial" w:hAnsi="Arial" w:cs="Arial"/>
              </w:rPr>
            </w:pPr>
            <w:r w:rsidRPr="0010229D">
              <w:rPr>
                <w:rFonts w:ascii="Arial" w:hAnsi="Arial" w:cs="Arial"/>
              </w:rPr>
              <w:t>5,456</w:t>
            </w:r>
          </w:p>
        </w:tc>
        <w:tc>
          <w:tcPr>
            <w:tcW w:w="1276" w:type="dxa"/>
          </w:tcPr>
          <w:p w14:paraId="693B0CC5" w14:textId="77777777" w:rsidR="006A3EDA" w:rsidRPr="0010229D" w:rsidRDefault="006A3EDA" w:rsidP="00B6268A">
            <w:pPr>
              <w:spacing w:line="360" w:lineRule="auto"/>
              <w:rPr>
                <w:rFonts w:ascii="Arial" w:hAnsi="Arial" w:cs="Arial"/>
              </w:rPr>
            </w:pPr>
            <w:r w:rsidRPr="0010229D">
              <w:rPr>
                <w:rFonts w:ascii="Arial" w:hAnsi="Arial" w:cs="Arial"/>
              </w:rPr>
              <w:t>+18.7%</w:t>
            </w:r>
          </w:p>
        </w:tc>
        <w:tc>
          <w:tcPr>
            <w:tcW w:w="1134" w:type="dxa"/>
          </w:tcPr>
          <w:p w14:paraId="1965E152" w14:textId="77777777" w:rsidR="006A3EDA" w:rsidRPr="0010229D" w:rsidRDefault="006A3EDA" w:rsidP="00B6268A">
            <w:pPr>
              <w:spacing w:line="360" w:lineRule="auto"/>
              <w:rPr>
                <w:rFonts w:ascii="Arial" w:hAnsi="Arial" w:cs="Arial"/>
              </w:rPr>
            </w:pPr>
            <w:r w:rsidRPr="0010229D">
              <w:rPr>
                <w:rFonts w:ascii="Arial" w:hAnsi="Arial" w:cs="Arial"/>
              </w:rPr>
              <w:t>5,311</w:t>
            </w:r>
          </w:p>
        </w:tc>
        <w:tc>
          <w:tcPr>
            <w:tcW w:w="1276" w:type="dxa"/>
          </w:tcPr>
          <w:p w14:paraId="7481D503" w14:textId="77777777" w:rsidR="006A3EDA" w:rsidRPr="0010229D" w:rsidRDefault="006A3EDA" w:rsidP="00B6268A">
            <w:pPr>
              <w:spacing w:line="360" w:lineRule="auto"/>
              <w:rPr>
                <w:rFonts w:ascii="Arial" w:hAnsi="Arial" w:cs="Arial"/>
              </w:rPr>
            </w:pPr>
            <w:r w:rsidRPr="0010229D">
              <w:rPr>
                <w:rFonts w:ascii="Arial" w:hAnsi="Arial" w:cs="Arial"/>
              </w:rPr>
              <w:t>5,469</w:t>
            </w:r>
          </w:p>
        </w:tc>
        <w:tc>
          <w:tcPr>
            <w:tcW w:w="1275" w:type="dxa"/>
          </w:tcPr>
          <w:p w14:paraId="33D5C635" w14:textId="77777777" w:rsidR="006A3EDA" w:rsidRPr="0010229D" w:rsidRDefault="006A3EDA" w:rsidP="00B6268A">
            <w:pPr>
              <w:spacing w:line="360" w:lineRule="auto"/>
              <w:rPr>
                <w:rFonts w:ascii="Arial" w:hAnsi="Arial" w:cs="Arial"/>
              </w:rPr>
            </w:pPr>
            <w:r w:rsidRPr="0010229D">
              <w:rPr>
                <w:rFonts w:ascii="Arial" w:hAnsi="Arial" w:cs="Arial"/>
              </w:rPr>
              <w:t>4,717</w:t>
            </w:r>
          </w:p>
        </w:tc>
        <w:tc>
          <w:tcPr>
            <w:tcW w:w="1696" w:type="dxa"/>
          </w:tcPr>
          <w:p w14:paraId="2B21AB4F" w14:textId="77777777" w:rsidR="006A3EDA" w:rsidRPr="0010229D" w:rsidRDefault="006A3EDA" w:rsidP="00B6268A">
            <w:pPr>
              <w:spacing w:line="360" w:lineRule="auto"/>
              <w:rPr>
                <w:rFonts w:ascii="Arial" w:hAnsi="Arial" w:cs="Arial"/>
              </w:rPr>
            </w:pPr>
            <w:r w:rsidRPr="0010229D">
              <w:rPr>
                <w:rFonts w:ascii="Arial" w:hAnsi="Arial" w:cs="Arial"/>
              </w:rPr>
              <w:t>+2.6%</w:t>
            </w:r>
          </w:p>
        </w:tc>
      </w:tr>
      <w:tr w:rsidR="006A3EDA" w:rsidRPr="0010229D" w14:paraId="74CE54C0" w14:textId="77777777" w:rsidTr="00B6268A">
        <w:trPr>
          <w:jc w:val="center"/>
        </w:trPr>
        <w:tc>
          <w:tcPr>
            <w:tcW w:w="2127" w:type="dxa"/>
          </w:tcPr>
          <w:p w14:paraId="67417CD5" w14:textId="77777777" w:rsidR="006A3EDA" w:rsidRPr="0010229D" w:rsidRDefault="006A3EDA" w:rsidP="00B6268A">
            <w:pPr>
              <w:spacing w:line="360" w:lineRule="auto"/>
              <w:rPr>
                <w:rFonts w:ascii="Arial" w:hAnsi="Arial" w:cs="Arial"/>
              </w:rPr>
            </w:pPr>
            <w:r w:rsidRPr="0010229D">
              <w:rPr>
                <w:rFonts w:ascii="Arial" w:hAnsi="Arial" w:cs="Arial"/>
              </w:rPr>
              <w:t>Current Liabilities</w:t>
            </w:r>
          </w:p>
        </w:tc>
        <w:tc>
          <w:tcPr>
            <w:tcW w:w="1134" w:type="dxa"/>
          </w:tcPr>
          <w:p w14:paraId="565EF3C2" w14:textId="77777777" w:rsidR="006A3EDA" w:rsidRPr="0010229D" w:rsidRDefault="006A3EDA" w:rsidP="00B6268A">
            <w:pPr>
              <w:spacing w:line="360" w:lineRule="auto"/>
              <w:rPr>
                <w:rFonts w:ascii="Arial" w:hAnsi="Arial" w:cs="Arial"/>
              </w:rPr>
            </w:pPr>
            <w:r w:rsidRPr="0010229D">
              <w:rPr>
                <w:rFonts w:ascii="Arial" w:hAnsi="Arial" w:cs="Arial"/>
              </w:rPr>
              <w:t>2,635</w:t>
            </w:r>
          </w:p>
        </w:tc>
        <w:tc>
          <w:tcPr>
            <w:tcW w:w="992" w:type="dxa"/>
          </w:tcPr>
          <w:p w14:paraId="13BA4766" w14:textId="77777777" w:rsidR="006A3EDA" w:rsidRPr="0010229D" w:rsidRDefault="006A3EDA" w:rsidP="00B6268A">
            <w:pPr>
              <w:spacing w:line="360" w:lineRule="auto"/>
              <w:rPr>
                <w:rFonts w:ascii="Arial" w:hAnsi="Arial" w:cs="Arial"/>
              </w:rPr>
            </w:pPr>
            <w:r w:rsidRPr="0010229D">
              <w:rPr>
                <w:rFonts w:ascii="Arial" w:hAnsi="Arial" w:cs="Arial"/>
              </w:rPr>
              <w:t>2,920</w:t>
            </w:r>
          </w:p>
        </w:tc>
        <w:tc>
          <w:tcPr>
            <w:tcW w:w="1276" w:type="dxa"/>
          </w:tcPr>
          <w:p w14:paraId="6C51D970" w14:textId="77777777" w:rsidR="006A3EDA" w:rsidRPr="0010229D" w:rsidRDefault="006A3EDA" w:rsidP="00B6268A">
            <w:pPr>
              <w:spacing w:line="360" w:lineRule="auto"/>
              <w:rPr>
                <w:rFonts w:ascii="Arial" w:hAnsi="Arial" w:cs="Arial"/>
              </w:rPr>
            </w:pPr>
            <w:r w:rsidRPr="0010229D">
              <w:rPr>
                <w:rFonts w:ascii="Arial" w:hAnsi="Arial" w:cs="Arial"/>
              </w:rPr>
              <w:t>+10.8%</w:t>
            </w:r>
          </w:p>
        </w:tc>
        <w:tc>
          <w:tcPr>
            <w:tcW w:w="1134" w:type="dxa"/>
          </w:tcPr>
          <w:p w14:paraId="1B0F7F2C" w14:textId="77777777" w:rsidR="006A3EDA" w:rsidRPr="0010229D" w:rsidRDefault="006A3EDA" w:rsidP="00B6268A">
            <w:pPr>
              <w:spacing w:line="360" w:lineRule="auto"/>
              <w:rPr>
                <w:rFonts w:ascii="Arial" w:hAnsi="Arial" w:cs="Arial"/>
              </w:rPr>
            </w:pPr>
            <w:r w:rsidRPr="0010229D">
              <w:rPr>
                <w:rFonts w:ascii="Arial" w:hAnsi="Arial" w:cs="Arial"/>
              </w:rPr>
              <w:t>2,821</w:t>
            </w:r>
          </w:p>
        </w:tc>
        <w:tc>
          <w:tcPr>
            <w:tcW w:w="1276" w:type="dxa"/>
          </w:tcPr>
          <w:p w14:paraId="3C8E7A99" w14:textId="77777777" w:rsidR="006A3EDA" w:rsidRPr="0010229D" w:rsidRDefault="006A3EDA" w:rsidP="00B6268A">
            <w:pPr>
              <w:spacing w:line="360" w:lineRule="auto"/>
              <w:rPr>
                <w:rFonts w:ascii="Arial" w:hAnsi="Arial" w:cs="Arial"/>
              </w:rPr>
            </w:pPr>
            <w:r w:rsidRPr="0010229D">
              <w:rPr>
                <w:rFonts w:ascii="Arial" w:hAnsi="Arial" w:cs="Arial"/>
              </w:rPr>
              <w:t>2,819</w:t>
            </w:r>
          </w:p>
        </w:tc>
        <w:tc>
          <w:tcPr>
            <w:tcW w:w="1275" w:type="dxa"/>
          </w:tcPr>
          <w:p w14:paraId="41022197" w14:textId="77777777" w:rsidR="006A3EDA" w:rsidRPr="0010229D" w:rsidRDefault="006A3EDA" w:rsidP="00B6268A">
            <w:pPr>
              <w:spacing w:line="360" w:lineRule="auto"/>
              <w:rPr>
                <w:rFonts w:ascii="Arial" w:hAnsi="Arial" w:cs="Arial"/>
              </w:rPr>
            </w:pPr>
            <w:r w:rsidRPr="0010229D">
              <w:rPr>
                <w:rFonts w:ascii="Arial" w:hAnsi="Arial" w:cs="Arial"/>
              </w:rPr>
              <w:t>2,773</w:t>
            </w:r>
          </w:p>
        </w:tc>
        <w:tc>
          <w:tcPr>
            <w:tcW w:w="1696" w:type="dxa"/>
          </w:tcPr>
          <w:p w14:paraId="09CF67D0" w14:textId="77777777" w:rsidR="006A3EDA" w:rsidRPr="0010229D" w:rsidRDefault="006A3EDA" w:rsidP="00B6268A">
            <w:pPr>
              <w:spacing w:line="360" w:lineRule="auto"/>
              <w:rPr>
                <w:rFonts w:ascii="Arial" w:hAnsi="Arial" w:cs="Arial"/>
              </w:rPr>
            </w:pPr>
            <w:r w:rsidRPr="0010229D">
              <w:rPr>
                <w:rFonts w:ascii="Arial" w:hAnsi="Arial" w:cs="Arial"/>
              </w:rPr>
              <w:t>+5.2%</w:t>
            </w:r>
          </w:p>
        </w:tc>
      </w:tr>
      <w:tr w:rsidR="006A3EDA" w:rsidRPr="0010229D" w14:paraId="7593508A" w14:textId="77777777" w:rsidTr="00B6268A">
        <w:trPr>
          <w:jc w:val="center"/>
        </w:trPr>
        <w:tc>
          <w:tcPr>
            <w:tcW w:w="2127" w:type="dxa"/>
          </w:tcPr>
          <w:p w14:paraId="2A9640D0" w14:textId="77777777" w:rsidR="006A3EDA" w:rsidRPr="0010229D" w:rsidRDefault="006A3EDA" w:rsidP="00B6268A">
            <w:pPr>
              <w:spacing w:line="360" w:lineRule="auto"/>
              <w:rPr>
                <w:rFonts w:ascii="Arial" w:hAnsi="Arial" w:cs="Arial"/>
              </w:rPr>
            </w:pPr>
            <w:r w:rsidRPr="0010229D">
              <w:rPr>
                <w:rFonts w:ascii="Arial" w:hAnsi="Arial" w:cs="Arial"/>
              </w:rPr>
              <w:t>Non-current Liabilities</w:t>
            </w:r>
          </w:p>
        </w:tc>
        <w:tc>
          <w:tcPr>
            <w:tcW w:w="1134" w:type="dxa"/>
          </w:tcPr>
          <w:p w14:paraId="6141372A" w14:textId="77777777" w:rsidR="006A3EDA" w:rsidRPr="0010229D" w:rsidRDefault="006A3EDA" w:rsidP="00B6268A">
            <w:pPr>
              <w:spacing w:line="360" w:lineRule="auto"/>
              <w:rPr>
                <w:rFonts w:ascii="Arial" w:hAnsi="Arial" w:cs="Arial"/>
              </w:rPr>
            </w:pPr>
            <w:r w:rsidRPr="0010229D">
              <w:rPr>
                <w:rFonts w:ascii="Arial" w:hAnsi="Arial" w:cs="Arial"/>
              </w:rPr>
              <w:t>3,537</w:t>
            </w:r>
          </w:p>
        </w:tc>
        <w:tc>
          <w:tcPr>
            <w:tcW w:w="992" w:type="dxa"/>
          </w:tcPr>
          <w:p w14:paraId="1DEE2AAA" w14:textId="77777777" w:rsidR="006A3EDA" w:rsidRPr="0010229D" w:rsidRDefault="006A3EDA" w:rsidP="00B6268A">
            <w:pPr>
              <w:spacing w:line="360" w:lineRule="auto"/>
              <w:rPr>
                <w:rFonts w:ascii="Arial" w:hAnsi="Arial" w:cs="Arial"/>
              </w:rPr>
            </w:pPr>
            <w:r w:rsidRPr="0010229D">
              <w:rPr>
                <w:rFonts w:ascii="Arial" w:hAnsi="Arial" w:cs="Arial"/>
              </w:rPr>
              <w:t>3,337</w:t>
            </w:r>
          </w:p>
        </w:tc>
        <w:tc>
          <w:tcPr>
            <w:tcW w:w="1276" w:type="dxa"/>
          </w:tcPr>
          <w:p w14:paraId="54E77E85" w14:textId="77777777" w:rsidR="006A3EDA" w:rsidRPr="0010229D" w:rsidRDefault="006A3EDA" w:rsidP="00B6268A">
            <w:pPr>
              <w:spacing w:line="360" w:lineRule="auto"/>
              <w:rPr>
                <w:rFonts w:ascii="Arial" w:hAnsi="Arial" w:cs="Arial"/>
              </w:rPr>
            </w:pPr>
            <w:r w:rsidRPr="0010229D">
              <w:rPr>
                <w:rFonts w:ascii="Arial" w:hAnsi="Arial" w:cs="Arial"/>
              </w:rPr>
              <w:t>-5.7%</w:t>
            </w:r>
          </w:p>
        </w:tc>
        <w:tc>
          <w:tcPr>
            <w:tcW w:w="1134" w:type="dxa"/>
          </w:tcPr>
          <w:p w14:paraId="4FED8816" w14:textId="77777777" w:rsidR="006A3EDA" w:rsidRPr="0010229D" w:rsidRDefault="006A3EDA" w:rsidP="00B6268A">
            <w:pPr>
              <w:spacing w:line="360" w:lineRule="auto"/>
              <w:rPr>
                <w:rFonts w:ascii="Arial" w:hAnsi="Arial" w:cs="Arial"/>
              </w:rPr>
            </w:pPr>
            <w:r w:rsidRPr="0010229D">
              <w:rPr>
                <w:rFonts w:ascii="Arial" w:hAnsi="Arial" w:cs="Arial"/>
              </w:rPr>
              <w:t>3,044</w:t>
            </w:r>
          </w:p>
        </w:tc>
        <w:tc>
          <w:tcPr>
            <w:tcW w:w="1276" w:type="dxa"/>
          </w:tcPr>
          <w:p w14:paraId="668A90AD" w14:textId="77777777" w:rsidR="006A3EDA" w:rsidRPr="0010229D" w:rsidRDefault="006A3EDA" w:rsidP="00B6268A">
            <w:pPr>
              <w:spacing w:line="360" w:lineRule="auto"/>
              <w:rPr>
                <w:rFonts w:ascii="Arial" w:hAnsi="Arial" w:cs="Arial"/>
              </w:rPr>
            </w:pPr>
            <w:r w:rsidRPr="0010229D">
              <w:rPr>
                <w:rFonts w:ascii="Arial" w:hAnsi="Arial" w:cs="Arial"/>
              </w:rPr>
              <w:t>3,770</w:t>
            </w:r>
          </w:p>
        </w:tc>
        <w:tc>
          <w:tcPr>
            <w:tcW w:w="1275" w:type="dxa"/>
          </w:tcPr>
          <w:p w14:paraId="6CDD3122" w14:textId="77777777" w:rsidR="006A3EDA" w:rsidRPr="0010229D" w:rsidRDefault="006A3EDA" w:rsidP="00B6268A">
            <w:pPr>
              <w:spacing w:line="360" w:lineRule="auto"/>
              <w:rPr>
                <w:rFonts w:ascii="Arial" w:hAnsi="Arial" w:cs="Arial"/>
              </w:rPr>
            </w:pPr>
            <w:r w:rsidRPr="0010229D">
              <w:rPr>
                <w:rFonts w:ascii="Arial" w:hAnsi="Arial" w:cs="Arial"/>
              </w:rPr>
              <w:t>4,254</w:t>
            </w:r>
          </w:p>
        </w:tc>
        <w:tc>
          <w:tcPr>
            <w:tcW w:w="1696" w:type="dxa"/>
          </w:tcPr>
          <w:p w14:paraId="7CB2E1F4" w14:textId="77777777" w:rsidR="006A3EDA" w:rsidRPr="0010229D" w:rsidRDefault="006A3EDA" w:rsidP="00B6268A">
            <w:pPr>
              <w:spacing w:line="360" w:lineRule="auto"/>
              <w:rPr>
                <w:rFonts w:ascii="Arial" w:hAnsi="Arial" w:cs="Arial"/>
              </w:rPr>
            </w:pPr>
            <w:r w:rsidRPr="0010229D">
              <w:rPr>
                <w:rFonts w:ascii="Arial" w:hAnsi="Arial" w:cs="Arial"/>
              </w:rPr>
              <w:t>+20.3%</w:t>
            </w:r>
          </w:p>
        </w:tc>
      </w:tr>
    </w:tbl>
    <w:p w14:paraId="15F6935F" w14:textId="77777777" w:rsidR="00586ACE" w:rsidRDefault="00586ACE" w:rsidP="00022A9F">
      <w:pPr>
        <w:spacing w:line="360" w:lineRule="auto"/>
        <w:jc w:val="both"/>
        <w:rPr>
          <w:rFonts w:ascii="Arial" w:eastAsia="Times New Roman" w:hAnsi="Arial" w:cs="Arial"/>
          <w:color w:val="000000"/>
          <w:kern w:val="0"/>
          <w:lang w:eastAsia="en-GB"/>
          <w14:ligatures w14:val="none"/>
        </w:rPr>
      </w:pPr>
    </w:p>
    <w:p w14:paraId="1DC453F0" w14:textId="5374C09C" w:rsidR="00CD5C71" w:rsidRDefault="00CD5C71" w:rsidP="00022A9F">
      <w:pPr>
        <w:spacing w:line="360" w:lineRule="auto"/>
        <w:jc w:val="both"/>
        <w:rPr>
          <w:rFonts w:ascii="Arial" w:eastAsia="Times New Roman" w:hAnsi="Arial" w:cs="Arial"/>
          <w:color w:val="000000"/>
          <w:kern w:val="0"/>
          <w:lang w:eastAsia="en-GB"/>
          <w14:ligatures w14:val="none"/>
        </w:rPr>
      </w:pPr>
      <w:r w:rsidRPr="00CD5C71">
        <w:rPr>
          <w:rFonts w:ascii="Arial" w:eastAsia="Times New Roman" w:hAnsi="Arial" w:cs="Arial"/>
          <w:noProof/>
          <w:color w:val="000000"/>
          <w:kern w:val="0"/>
          <w:lang w:eastAsia="en-GB"/>
          <w14:ligatures w14:val="none"/>
        </w:rPr>
        <w:drawing>
          <wp:inline distT="0" distB="0" distL="0" distR="0" wp14:anchorId="410E0719" wp14:editId="666AFC90">
            <wp:extent cx="5731510" cy="2177415"/>
            <wp:effectExtent l="0" t="0" r="0" b="0"/>
            <wp:docPr id="289785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785656" name=""/>
                    <pic:cNvPicPr/>
                  </pic:nvPicPr>
                  <pic:blipFill>
                    <a:blip r:embed="rId12"/>
                    <a:stretch>
                      <a:fillRect/>
                    </a:stretch>
                  </pic:blipFill>
                  <pic:spPr>
                    <a:xfrm>
                      <a:off x="0" y="0"/>
                      <a:ext cx="5731510" cy="2177415"/>
                    </a:xfrm>
                    <a:prstGeom prst="rect">
                      <a:avLst/>
                    </a:prstGeom>
                  </pic:spPr>
                </pic:pic>
              </a:graphicData>
            </a:graphic>
          </wp:inline>
        </w:drawing>
      </w:r>
    </w:p>
    <w:p w14:paraId="394B7F02" w14:textId="3AC6A444" w:rsidR="00B3067F" w:rsidRPr="00CF6EF0" w:rsidRDefault="0040413A" w:rsidP="00022A9F">
      <w:pPr>
        <w:spacing w:line="360" w:lineRule="auto"/>
        <w:jc w:val="both"/>
        <w:rPr>
          <w:rFonts w:ascii="Arial" w:eastAsia="Times New Roman" w:hAnsi="Arial" w:cs="Arial"/>
          <w:i/>
          <w:iCs/>
          <w:color w:val="000000"/>
          <w:kern w:val="0"/>
          <w:lang w:eastAsia="en-GB"/>
          <w14:ligatures w14:val="none"/>
        </w:rPr>
      </w:pPr>
      <w:r w:rsidRPr="00CF6EF0">
        <w:rPr>
          <w:rFonts w:ascii="Arial" w:eastAsia="Times New Roman" w:hAnsi="Arial" w:cs="Arial"/>
          <w:i/>
          <w:iCs/>
          <w:color w:val="000000"/>
          <w:kern w:val="0"/>
          <w:lang w:eastAsia="en-GB"/>
          <w14:ligatures w14:val="none"/>
        </w:rPr>
        <w:t xml:space="preserve">Figure 2: </w:t>
      </w:r>
      <w:r w:rsidR="00655B53" w:rsidRPr="00CF6EF0">
        <w:rPr>
          <w:rFonts w:ascii="Arial" w:eastAsia="Times New Roman" w:hAnsi="Arial" w:cs="Arial"/>
          <w:i/>
          <w:iCs/>
          <w:color w:val="000000"/>
          <w:kern w:val="0"/>
          <w:lang w:eastAsia="en-GB"/>
          <w14:ligatures w14:val="none"/>
        </w:rPr>
        <w:t>Accor annual report 2021;</w:t>
      </w:r>
      <w:r w:rsidR="00DD124F" w:rsidRPr="00CF6EF0">
        <w:rPr>
          <w:rFonts w:ascii="Arial" w:eastAsia="Times New Roman" w:hAnsi="Arial" w:cs="Arial"/>
          <w:i/>
          <w:iCs/>
          <w:color w:val="000000"/>
          <w:kern w:val="0"/>
          <w:lang w:eastAsia="en-GB"/>
          <w14:ligatures w14:val="none"/>
        </w:rPr>
        <w:t xml:space="preserve"> 2022; 2023; 2024; 2025</w:t>
      </w:r>
    </w:p>
    <w:p w14:paraId="5A084B99" w14:textId="1DDC98F6" w:rsidR="00BD4923" w:rsidRPr="00C340FB" w:rsidRDefault="000F4C7D" w:rsidP="00D52780">
      <w:pPr>
        <w:spacing w:line="360" w:lineRule="auto"/>
        <w:jc w:val="both"/>
        <w:rPr>
          <w:rFonts w:ascii="Arial" w:eastAsia="Times New Roman" w:hAnsi="Arial" w:cs="Arial"/>
          <w:color w:val="000000"/>
          <w:kern w:val="0"/>
          <w:lang w:eastAsia="en-GB"/>
          <w14:ligatures w14:val="none"/>
        </w:rPr>
      </w:pPr>
      <w:r w:rsidRPr="00C340FB">
        <w:rPr>
          <w:rFonts w:ascii="Arial" w:eastAsia="Times New Roman" w:hAnsi="Arial" w:cs="Arial"/>
          <w:color w:val="000000"/>
          <w:kern w:val="0"/>
          <w:lang w:eastAsia="en-GB"/>
          <w14:ligatures w14:val="none"/>
        </w:rPr>
        <w:t>An examination of the balance sheet reveals a company that has prioritised shareholder value creation through substantial capital distributions rather than the accumulation of excess cash reserves. Strong cash generation has supported an active capital return strategy, comprising both share repurchases and a progressively increasing dividend. Consequently, total shareholders’ equity declined from approximately €5.46 billion in 2022 to €4.72 billion in 2025</w:t>
      </w:r>
      <w:r w:rsidR="001A4D7D">
        <w:rPr>
          <w:rFonts w:ascii="Arial" w:eastAsia="Times New Roman" w:hAnsi="Arial" w:cs="Arial"/>
          <w:color w:val="000000"/>
          <w:kern w:val="0"/>
          <w:lang w:eastAsia="en-GB"/>
          <w14:ligatures w14:val="none"/>
        </w:rPr>
        <w:t xml:space="preserve"> (Accor 2025)</w:t>
      </w:r>
      <w:r w:rsidRPr="00C340FB">
        <w:rPr>
          <w:rFonts w:ascii="Arial" w:eastAsia="Times New Roman" w:hAnsi="Arial" w:cs="Arial"/>
          <w:color w:val="000000"/>
          <w:kern w:val="0"/>
          <w:lang w:eastAsia="en-GB"/>
          <w14:ligatures w14:val="none"/>
        </w:rPr>
        <w:t>. At the same time, net financial debt increased steadily from €1.844 billion at the end of 2021 to €3.064 billion by 2025. This rise in leverage reflects a combination of strategic financing decisions, including the funding of share buyback programmes, hybrid bond refinancing activities, and the acquisition of Royal Holiday Group, with a significant proportion of these initiatives financed through additional borrowing. While these actions have enhanced shareholder returns and supported strategic expansion, they have also increased the group’s exposure to financial risk through a more leveraged capital structure.</w:t>
      </w:r>
    </w:p>
    <w:tbl>
      <w:tblPr>
        <w:tblStyle w:val="TableGrid"/>
        <w:tblW w:w="9781" w:type="dxa"/>
        <w:tblLook w:val="04A0" w:firstRow="1" w:lastRow="0" w:firstColumn="1" w:lastColumn="0" w:noHBand="0" w:noVBand="1"/>
      </w:tblPr>
      <w:tblGrid>
        <w:gridCol w:w="2694"/>
        <w:gridCol w:w="1276"/>
        <w:gridCol w:w="1559"/>
        <w:gridCol w:w="1417"/>
        <w:gridCol w:w="1418"/>
        <w:gridCol w:w="1417"/>
      </w:tblGrid>
      <w:tr w:rsidR="004F0E92" w:rsidRPr="00840F53" w14:paraId="43383258" w14:textId="77777777" w:rsidTr="00840F53">
        <w:tc>
          <w:tcPr>
            <w:tcW w:w="2694" w:type="dxa"/>
            <w:vAlign w:val="center"/>
          </w:tcPr>
          <w:p w14:paraId="7889F0CF" w14:textId="369B6E4E" w:rsidR="004F0E92" w:rsidRPr="00840F53" w:rsidRDefault="004F0E92" w:rsidP="00840F53">
            <w:pPr>
              <w:spacing w:line="360" w:lineRule="auto"/>
              <w:rPr>
                <w:rFonts w:ascii="Arial" w:hAnsi="Arial" w:cs="Arial"/>
              </w:rPr>
            </w:pPr>
            <w:r w:rsidRPr="00840F53">
              <w:rPr>
                <w:rFonts w:ascii="Arial" w:hAnsi="Arial" w:cs="Arial"/>
                <w:b/>
                <w:bCs/>
              </w:rPr>
              <w:t>€m (FY, Dec year-end)</w:t>
            </w:r>
          </w:p>
        </w:tc>
        <w:tc>
          <w:tcPr>
            <w:tcW w:w="1276" w:type="dxa"/>
            <w:vAlign w:val="center"/>
          </w:tcPr>
          <w:p w14:paraId="5EE830E7" w14:textId="03E3826D" w:rsidR="004F0E92" w:rsidRPr="00840F53" w:rsidRDefault="004F0E92" w:rsidP="00840F53">
            <w:pPr>
              <w:spacing w:line="360" w:lineRule="auto"/>
              <w:rPr>
                <w:rFonts w:ascii="Arial" w:hAnsi="Arial" w:cs="Arial"/>
              </w:rPr>
            </w:pPr>
            <w:r w:rsidRPr="00840F53">
              <w:rPr>
                <w:rFonts w:ascii="Arial" w:hAnsi="Arial" w:cs="Arial"/>
                <w:b/>
                <w:bCs/>
              </w:rPr>
              <w:t>2021</w:t>
            </w:r>
          </w:p>
        </w:tc>
        <w:tc>
          <w:tcPr>
            <w:tcW w:w="1559" w:type="dxa"/>
            <w:vAlign w:val="center"/>
          </w:tcPr>
          <w:p w14:paraId="0CA909EE" w14:textId="4A0F4C24" w:rsidR="004F0E92" w:rsidRPr="00840F53" w:rsidRDefault="004F0E92" w:rsidP="00840F53">
            <w:pPr>
              <w:spacing w:line="360" w:lineRule="auto"/>
              <w:rPr>
                <w:rFonts w:ascii="Arial" w:hAnsi="Arial" w:cs="Arial"/>
              </w:rPr>
            </w:pPr>
            <w:r w:rsidRPr="00840F53">
              <w:rPr>
                <w:rFonts w:ascii="Arial" w:hAnsi="Arial" w:cs="Arial"/>
                <w:b/>
                <w:bCs/>
              </w:rPr>
              <w:t>2022</w:t>
            </w:r>
          </w:p>
        </w:tc>
        <w:tc>
          <w:tcPr>
            <w:tcW w:w="1417" w:type="dxa"/>
            <w:vAlign w:val="center"/>
          </w:tcPr>
          <w:p w14:paraId="4BEE942D" w14:textId="47E8D1ED" w:rsidR="004F0E92" w:rsidRPr="00840F53" w:rsidRDefault="004F0E92" w:rsidP="00840F53">
            <w:pPr>
              <w:spacing w:line="360" w:lineRule="auto"/>
              <w:rPr>
                <w:rFonts w:ascii="Arial" w:hAnsi="Arial" w:cs="Arial"/>
              </w:rPr>
            </w:pPr>
            <w:r w:rsidRPr="00840F53">
              <w:rPr>
                <w:rFonts w:ascii="Arial" w:hAnsi="Arial" w:cs="Arial"/>
                <w:b/>
                <w:bCs/>
              </w:rPr>
              <w:t>2023</w:t>
            </w:r>
          </w:p>
        </w:tc>
        <w:tc>
          <w:tcPr>
            <w:tcW w:w="1418" w:type="dxa"/>
            <w:vAlign w:val="center"/>
          </w:tcPr>
          <w:p w14:paraId="1AB75C57" w14:textId="49CA4A90" w:rsidR="004F0E92" w:rsidRPr="00840F53" w:rsidRDefault="004F0E92" w:rsidP="00840F53">
            <w:pPr>
              <w:spacing w:line="360" w:lineRule="auto"/>
              <w:rPr>
                <w:rFonts w:ascii="Arial" w:hAnsi="Arial" w:cs="Arial"/>
              </w:rPr>
            </w:pPr>
            <w:r w:rsidRPr="00840F53">
              <w:rPr>
                <w:rFonts w:ascii="Arial" w:hAnsi="Arial" w:cs="Arial"/>
                <w:b/>
                <w:bCs/>
              </w:rPr>
              <w:t>2024</w:t>
            </w:r>
          </w:p>
        </w:tc>
        <w:tc>
          <w:tcPr>
            <w:tcW w:w="1417" w:type="dxa"/>
            <w:vAlign w:val="center"/>
          </w:tcPr>
          <w:p w14:paraId="075E2EDB" w14:textId="709B4B81" w:rsidR="004F0E92" w:rsidRPr="00840F53" w:rsidRDefault="004F0E92" w:rsidP="00840F53">
            <w:pPr>
              <w:spacing w:line="360" w:lineRule="auto"/>
              <w:rPr>
                <w:rFonts w:ascii="Arial" w:hAnsi="Arial" w:cs="Arial"/>
              </w:rPr>
            </w:pPr>
            <w:r w:rsidRPr="00840F53">
              <w:rPr>
                <w:rFonts w:ascii="Arial" w:hAnsi="Arial" w:cs="Arial"/>
                <w:b/>
                <w:bCs/>
              </w:rPr>
              <w:t>2025</w:t>
            </w:r>
          </w:p>
        </w:tc>
      </w:tr>
      <w:tr w:rsidR="004B30F7" w:rsidRPr="00840F53" w14:paraId="2A2A7124" w14:textId="77777777" w:rsidTr="00840F53">
        <w:tc>
          <w:tcPr>
            <w:tcW w:w="2694" w:type="dxa"/>
            <w:vAlign w:val="center"/>
          </w:tcPr>
          <w:p w14:paraId="5DF028F1" w14:textId="71EB0883" w:rsidR="004B30F7" w:rsidRPr="00840F53" w:rsidRDefault="004B30F7" w:rsidP="00840F53">
            <w:pPr>
              <w:spacing w:line="360" w:lineRule="auto"/>
              <w:rPr>
                <w:rFonts w:ascii="Arial" w:hAnsi="Arial" w:cs="Arial"/>
              </w:rPr>
            </w:pPr>
            <w:r w:rsidRPr="00840F53">
              <w:rPr>
                <w:rFonts w:ascii="Arial" w:hAnsi="Arial" w:cs="Arial"/>
              </w:rPr>
              <w:t>Revenue</w:t>
            </w:r>
          </w:p>
        </w:tc>
        <w:tc>
          <w:tcPr>
            <w:tcW w:w="1276" w:type="dxa"/>
            <w:vAlign w:val="center"/>
          </w:tcPr>
          <w:p w14:paraId="615F909F" w14:textId="30ECA708" w:rsidR="004B30F7" w:rsidRPr="00840F53" w:rsidRDefault="004B30F7" w:rsidP="00840F53">
            <w:pPr>
              <w:spacing w:line="360" w:lineRule="auto"/>
              <w:rPr>
                <w:rFonts w:ascii="Arial" w:hAnsi="Arial" w:cs="Arial"/>
              </w:rPr>
            </w:pPr>
            <w:r w:rsidRPr="00840F53">
              <w:rPr>
                <w:rFonts w:ascii="Arial" w:hAnsi="Arial" w:cs="Arial"/>
              </w:rPr>
              <w:t>2,204</w:t>
            </w:r>
          </w:p>
        </w:tc>
        <w:tc>
          <w:tcPr>
            <w:tcW w:w="1559" w:type="dxa"/>
            <w:vAlign w:val="center"/>
          </w:tcPr>
          <w:p w14:paraId="2A3C1342" w14:textId="6C205D6D" w:rsidR="004B30F7" w:rsidRPr="00840F53" w:rsidRDefault="004B30F7" w:rsidP="00840F53">
            <w:pPr>
              <w:spacing w:line="360" w:lineRule="auto"/>
              <w:rPr>
                <w:rFonts w:ascii="Arial" w:hAnsi="Arial" w:cs="Arial"/>
              </w:rPr>
            </w:pPr>
            <w:r w:rsidRPr="00840F53">
              <w:rPr>
                <w:rFonts w:ascii="Arial" w:hAnsi="Arial" w:cs="Arial"/>
              </w:rPr>
              <w:t>4,224</w:t>
            </w:r>
          </w:p>
        </w:tc>
        <w:tc>
          <w:tcPr>
            <w:tcW w:w="1417" w:type="dxa"/>
            <w:vAlign w:val="center"/>
          </w:tcPr>
          <w:p w14:paraId="5DBB893E" w14:textId="69EB8B3D" w:rsidR="004B30F7" w:rsidRPr="00840F53" w:rsidRDefault="004B30F7" w:rsidP="00840F53">
            <w:pPr>
              <w:spacing w:line="360" w:lineRule="auto"/>
              <w:rPr>
                <w:rFonts w:ascii="Arial" w:hAnsi="Arial" w:cs="Arial"/>
              </w:rPr>
            </w:pPr>
            <w:r w:rsidRPr="00840F53">
              <w:rPr>
                <w:rFonts w:ascii="Arial" w:hAnsi="Arial" w:cs="Arial"/>
              </w:rPr>
              <w:t>5,056</w:t>
            </w:r>
          </w:p>
        </w:tc>
        <w:tc>
          <w:tcPr>
            <w:tcW w:w="1418" w:type="dxa"/>
            <w:vAlign w:val="center"/>
          </w:tcPr>
          <w:p w14:paraId="7E8CE730" w14:textId="0357BDB7" w:rsidR="004B30F7" w:rsidRPr="00840F53" w:rsidRDefault="004B30F7" w:rsidP="00840F53">
            <w:pPr>
              <w:spacing w:line="360" w:lineRule="auto"/>
              <w:rPr>
                <w:rFonts w:ascii="Arial" w:hAnsi="Arial" w:cs="Arial"/>
              </w:rPr>
            </w:pPr>
            <w:r w:rsidRPr="00840F53">
              <w:rPr>
                <w:rFonts w:ascii="Arial" w:hAnsi="Arial" w:cs="Arial"/>
              </w:rPr>
              <w:t>5,606</w:t>
            </w:r>
          </w:p>
        </w:tc>
        <w:tc>
          <w:tcPr>
            <w:tcW w:w="1417" w:type="dxa"/>
            <w:vAlign w:val="center"/>
          </w:tcPr>
          <w:p w14:paraId="7E8E0A34" w14:textId="37AD71EE" w:rsidR="004B30F7" w:rsidRPr="00840F53" w:rsidRDefault="004B30F7" w:rsidP="00840F53">
            <w:pPr>
              <w:spacing w:line="360" w:lineRule="auto"/>
              <w:rPr>
                <w:rFonts w:ascii="Arial" w:hAnsi="Arial" w:cs="Arial"/>
              </w:rPr>
            </w:pPr>
            <w:r w:rsidRPr="00840F53">
              <w:rPr>
                <w:rFonts w:ascii="Arial" w:hAnsi="Arial" w:cs="Arial"/>
              </w:rPr>
              <w:t>5,639</w:t>
            </w:r>
          </w:p>
        </w:tc>
      </w:tr>
      <w:tr w:rsidR="004B30F7" w:rsidRPr="00840F53" w14:paraId="1B7BA240" w14:textId="77777777" w:rsidTr="00840F53">
        <w:tc>
          <w:tcPr>
            <w:tcW w:w="2694" w:type="dxa"/>
            <w:vAlign w:val="center"/>
          </w:tcPr>
          <w:p w14:paraId="39433C7C" w14:textId="60B2739D" w:rsidR="004B30F7" w:rsidRPr="00840F53" w:rsidRDefault="004B30F7" w:rsidP="00840F53">
            <w:pPr>
              <w:spacing w:line="360" w:lineRule="auto"/>
              <w:rPr>
                <w:rFonts w:ascii="Arial" w:hAnsi="Arial" w:cs="Arial"/>
              </w:rPr>
            </w:pPr>
            <w:r w:rsidRPr="00840F53">
              <w:rPr>
                <w:rFonts w:ascii="Arial" w:hAnsi="Arial" w:cs="Arial"/>
              </w:rPr>
              <w:t>Recurring EBITDA</w:t>
            </w:r>
          </w:p>
        </w:tc>
        <w:tc>
          <w:tcPr>
            <w:tcW w:w="1276" w:type="dxa"/>
            <w:vAlign w:val="center"/>
          </w:tcPr>
          <w:p w14:paraId="637422AF" w14:textId="175375D7" w:rsidR="004B30F7" w:rsidRPr="00840F53" w:rsidRDefault="00F951DA" w:rsidP="00840F53">
            <w:pPr>
              <w:spacing w:line="360" w:lineRule="auto"/>
              <w:rPr>
                <w:rFonts w:ascii="Arial" w:hAnsi="Arial" w:cs="Arial"/>
              </w:rPr>
            </w:pPr>
            <w:r w:rsidRPr="00840F53">
              <w:rPr>
                <w:rFonts w:ascii="Arial" w:hAnsi="Arial" w:cs="Arial"/>
              </w:rPr>
              <w:t>22</w:t>
            </w:r>
          </w:p>
        </w:tc>
        <w:tc>
          <w:tcPr>
            <w:tcW w:w="1559" w:type="dxa"/>
            <w:vAlign w:val="center"/>
          </w:tcPr>
          <w:p w14:paraId="796371E8" w14:textId="55FFD0AA" w:rsidR="004B30F7" w:rsidRPr="00840F53" w:rsidRDefault="00F951DA" w:rsidP="00840F53">
            <w:pPr>
              <w:spacing w:line="360" w:lineRule="auto"/>
              <w:rPr>
                <w:rFonts w:ascii="Arial" w:hAnsi="Arial" w:cs="Arial"/>
              </w:rPr>
            </w:pPr>
            <w:r w:rsidRPr="00840F53">
              <w:rPr>
                <w:rFonts w:ascii="Arial" w:hAnsi="Arial" w:cs="Arial"/>
              </w:rPr>
              <w:t>675</w:t>
            </w:r>
          </w:p>
        </w:tc>
        <w:tc>
          <w:tcPr>
            <w:tcW w:w="1417" w:type="dxa"/>
            <w:vAlign w:val="center"/>
          </w:tcPr>
          <w:p w14:paraId="7715C56B" w14:textId="0C499009" w:rsidR="004B30F7" w:rsidRPr="00840F53" w:rsidRDefault="004B30F7" w:rsidP="00840F53">
            <w:pPr>
              <w:spacing w:line="360" w:lineRule="auto"/>
              <w:rPr>
                <w:rFonts w:ascii="Arial" w:hAnsi="Arial" w:cs="Arial"/>
              </w:rPr>
            </w:pPr>
            <w:r w:rsidRPr="00840F53">
              <w:rPr>
                <w:rFonts w:ascii="Arial" w:hAnsi="Arial" w:cs="Arial"/>
              </w:rPr>
              <w:t>1,003</w:t>
            </w:r>
          </w:p>
        </w:tc>
        <w:tc>
          <w:tcPr>
            <w:tcW w:w="1418" w:type="dxa"/>
            <w:vAlign w:val="center"/>
          </w:tcPr>
          <w:p w14:paraId="1943888B" w14:textId="5815C7E8" w:rsidR="004B30F7" w:rsidRPr="00840F53" w:rsidRDefault="004B30F7" w:rsidP="00840F53">
            <w:pPr>
              <w:spacing w:line="360" w:lineRule="auto"/>
              <w:rPr>
                <w:rFonts w:ascii="Arial" w:hAnsi="Arial" w:cs="Arial"/>
              </w:rPr>
            </w:pPr>
            <w:r w:rsidRPr="00840F53">
              <w:rPr>
                <w:rFonts w:ascii="Arial" w:hAnsi="Arial" w:cs="Arial"/>
              </w:rPr>
              <w:t>1,120</w:t>
            </w:r>
          </w:p>
        </w:tc>
        <w:tc>
          <w:tcPr>
            <w:tcW w:w="1417" w:type="dxa"/>
            <w:vAlign w:val="center"/>
          </w:tcPr>
          <w:p w14:paraId="4ED9FAE9" w14:textId="13F87967" w:rsidR="004B30F7" w:rsidRPr="00840F53" w:rsidRDefault="004B30F7" w:rsidP="00840F53">
            <w:pPr>
              <w:spacing w:line="360" w:lineRule="auto"/>
              <w:rPr>
                <w:rFonts w:ascii="Arial" w:hAnsi="Arial" w:cs="Arial"/>
              </w:rPr>
            </w:pPr>
            <w:r w:rsidRPr="00840F53">
              <w:rPr>
                <w:rFonts w:ascii="Arial" w:hAnsi="Arial" w:cs="Arial"/>
              </w:rPr>
              <w:t>1,201</w:t>
            </w:r>
          </w:p>
        </w:tc>
      </w:tr>
      <w:tr w:rsidR="004B30F7" w:rsidRPr="00840F53" w14:paraId="5E24935F" w14:textId="77777777" w:rsidTr="00840F53">
        <w:tc>
          <w:tcPr>
            <w:tcW w:w="2694" w:type="dxa"/>
            <w:vAlign w:val="center"/>
          </w:tcPr>
          <w:p w14:paraId="4A72CE09" w14:textId="55CB0C7E" w:rsidR="004B30F7" w:rsidRPr="00840F53" w:rsidRDefault="004B30F7" w:rsidP="00840F53">
            <w:pPr>
              <w:spacing w:line="360" w:lineRule="auto"/>
              <w:rPr>
                <w:rFonts w:ascii="Arial" w:hAnsi="Arial" w:cs="Arial"/>
              </w:rPr>
            </w:pPr>
            <w:r w:rsidRPr="00840F53">
              <w:rPr>
                <w:rFonts w:ascii="Arial" w:hAnsi="Arial" w:cs="Arial"/>
              </w:rPr>
              <w:lastRenderedPageBreak/>
              <w:t>Net profit (period)</w:t>
            </w:r>
          </w:p>
        </w:tc>
        <w:tc>
          <w:tcPr>
            <w:tcW w:w="1276" w:type="dxa"/>
            <w:vAlign w:val="center"/>
          </w:tcPr>
          <w:p w14:paraId="315718C5" w14:textId="0EADF31B" w:rsidR="004B30F7" w:rsidRPr="00840F53" w:rsidRDefault="00A3788C" w:rsidP="00840F53">
            <w:pPr>
              <w:spacing w:line="360" w:lineRule="auto"/>
              <w:rPr>
                <w:rFonts w:ascii="Arial" w:hAnsi="Arial" w:cs="Arial"/>
              </w:rPr>
            </w:pPr>
            <w:r>
              <w:rPr>
                <w:rFonts w:ascii="Arial" w:hAnsi="Arial" w:cs="Arial"/>
              </w:rPr>
              <w:t>85</w:t>
            </w:r>
          </w:p>
        </w:tc>
        <w:tc>
          <w:tcPr>
            <w:tcW w:w="1559" w:type="dxa"/>
            <w:vAlign w:val="center"/>
          </w:tcPr>
          <w:p w14:paraId="755E0DD0" w14:textId="11022FA7" w:rsidR="004B30F7" w:rsidRPr="00840F53" w:rsidRDefault="004B30F7" w:rsidP="00840F53">
            <w:pPr>
              <w:spacing w:line="360" w:lineRule="auto"/>
              <w:rPr>
                <w:rFonts w:ascii="Arial" w:hAnsi="Arial" w:cs="Arial"/>
              </w:rPr>
            </w:pPr>
            <w:r w:rsidRPr="00840F53">
              <w:rPr>
                <w:rFonts w:ascii="Arial" w:hAnsi="Arial" w:cs="Arial"/>
              </w:rPr>
              <w:t>426</w:t>
            </w:r>
          </w:p>
        </w:tc>
        <w:tc>
          <w:tcPr>
            <w:tcW w:w="1417" w:type="dxa"/>
            <w:vAlign w:val="center"/>
          </w:tcPr>
          <w:p w14:paraId="3444D302" w14:textId="3218C848" w:rsidR="004B30F7" w:rsidRPr="00840F53" w:rsidRDefault="004B30F7" w:rsidP="00840F53">
            <w:pPr>
              <w:spacing w:line="360" w:lineRule="auto"/>
              <w:rPr>
                <w:rFonts w:ascii="Arial" w:hAnsi="Arial" w:cs="Arial"/>
              </w:rPr>
            </w:pPr>
            <w:r w:rsidRPr="00840F53">
              <w:rPr>
                <w:rFonts w:ascii="Arial" w:hAnsi="Arial" w:cs="Arial"/>
              </w:rPr>
              <w:t>6</w:t>
            </w:r>
            <w:r w:rsidR="00A3788C">
              <w:rPr>
                <w:rFonts w:ascii="Arial" w:hAnsi="Arial" w:cs="Arial"/>
              </w:rPr>
              <w:t>33</w:t>
            </w:r>
          </w:p>
        </w:tc>
        <w:tc>
          <w:tcPr>
            <w:tcW w:w="1418" w:type="dxa"/>
            <w:vAlign w:val="center"/>
          </w:tcPr>
          <w:p w14:paraId="4F5FC386" w14:textId="443D6BC5" w:rsidR="004B30F7" w:rsidRPr="00840F53" w:rsidRDefault="004B30F7" w:rsidP="00840F53">
            <w:pPr>
              <w:spacing w:line="360" w:lineRule="auto"/>
              <w:rPr>
                <w:rFonts w:ascii="Arial" w:hAnsi="Arial" w:cs="Arial"/>
              </w:rPr>
            </w:pPr>
            <w:r w:rsidRPr="00840F53">
              <w:rPr>
                <w:rFonts w:ascii="Arial" w:hAnsi="Arial" w:cs="Arial"/>
              </w:rPr>
              <w:t>657</w:t>
            </w:r>
          </w:p>
        </w:tc>
        <w:tc>
          <w:tcPr>
            <w:tcW w:w="1417" w:type="dxa"/>
            <w:vAlign w:val="center"/>
          </w:tcPr>
          <w:p w14:paraId="27DCD6AE" w14:textId="4B35888C" w:rsidR="004B30F7" w:rsidRPr="00840F53" w:rsidRDefault="004B30F7" w:rsidP="00840F53">
            <w:pPr>
              <w:spacing w:line="360" w:lineRule="auto"/>
              <w:rPr>
                <w:rFonts w:ascii="Arial" w:hAnsi="Arial" w:cs="Arial"/>
              </w:rPr>
            </w:pPr>
            <w:r w:rsidRPr="00840F53">
              <w:rPr>
                <w:rFonts w:ascii="Arial" w:hAnsi="Arial" w:cs="Arial"/>
              </w:rPr>
              <w:t>4</w:t>
            </w:r>
            <w:r w:rsidR="00A3788C">
              <w:rPr>
                <w:rFonts w:ascii="Arial" w:hAnsi="Arial" w:cs="Arial"/>
              </w:rPr>
              <w:t>4</w:t>
            </w:r>
            <w:r w:rsidRPr="00840F53">
              <w:rPr>
                <w:rFonts w:ascii="Arial" w:hAnsi="Arial" w:cs="Arial"/>
              </w:rPr>
              <w:t>9</w:t>
            </w:r>
          </w:p>
        </w:tc>
      </w:tr>
      <w:tr w:rsidR="004B30F7" w:rsidRPr="00840F53" w14:paraId="57E1C4C5" w14:textId="77777777" w:rsidTr="00840F53">
        <w:tc>
          <w:tcPr>
            <w:tcW w:w="2694" w:type="dxa"/>
            <w:vAlign w:val="center"/>
          </w:tcPr>
          <w:p w14:paraId="3C368C43" w14:textId="69AB326F" w:rsidR="004B30F7" w:rsidRPr="00840F53" w:rsidRDefault="004B30F7" w:rsidP="00840F53">
            <w:pPr>
              <w:spacing w:line="360" w:lineRule="auto"/>
              <w:rPr>
                <w:rFonts w:ascii="Arial" w:hAnsi="Arial" w:cs="Arial"/>
              </w:rPr>
            </w:pPr>
            <w:r w:rsidRPr="00840F53">
              <w:rPr>
                <w:rFonts w:ascii="Arial" w:hAnsi="Arial" w:cs="Arial"/>
              </w:rPr>
              <w:t>Basic EPS (€)</w:t>
            </w:r>
          </w:p>
        </w:tc>
        <w:tc>
          <w:tcPr>
            <w:tcW w:w="1276" w:type="dxa"/>
            <w:vAlign w:val="center"/>
          </w:tcPr>
          <w:p w14:paraId="13AFBDA2" w14:textId="02524D06" w:rsidR="004B30F7" w:rsidRPr="00840F53" w:rsidRDefault="004B30F7" w:rsidP="00840F53">
            <w:pPr>
              <w:spacing w:line="360" w:lineRule="auto"/>
              <w:rPr>
                <w:rFonts w:ascii="Arial" w:hAnsi="Arial" w:cs="Arial"/>
              </w:rPr>
            </w:pPr>
            <w:r w:rsidRPr="00840F53">
              <w:rPr>
                <w:rFonts w:ascii="Arial" w:hAnsi="Arial" w:cs="Arial"/>
              </w:rPr>
              <w:t>0.19</w:t>
            </w:r>
          </w:p>
        </w:tc>
        <w:tc>
          <w:tcPr>
            <w:tcW w:w="1559" w:type="dxa"/>
            <w:vAlign w:val="center"/>
          </w:tcPr>
          <w:p w14:paraId="580ABAC7" w14:textId="1BEADF94" w:rsidR="004B30F7" w:rsidRPr="00840F53" w:rsidRDefault="004B30F7" w:rsidP="00840F53">
            <w:pPr>
              <w:spacing w:line="360" w:lineRule="auto"/>
              <w:rPr>
                <w:rFonts w:ascii="Arial" w:hAnsi="Arial" w:cs="Arial"/>
              </w:rPr>
            </w:pPr>
            <w:r w:rsidRPr="00840F53">
              <w:rPr>
                <w:rFonts w:ascii="Arial" w:hAnsi="Arial" w:cs="Arial"/>
              </w:rPr>
              <w:t>1.40</w:t>
            </w:r>
          </w:p>
        </w:tc>
        <w:tc>
          <w:tcPr>
            <w:tcW w:w="1417" w:type="dxa"/>
            <w:vAlign w:val="center"/>
          </w:tcPr>
          <w:p w14:paraId="2EAC56B6" w14:textId="49FC402D" w:rsidR="004B30F7" w:rsidRPr="00840F53" w:rsidRDefault="004B30F7" w:rsidP="00840F53">
            <w:pPr>
              <w:spacing w:line="360" w:lineRule="auto"/>
              <w:rPr>
                <w:rFonts w:ascii="Arial" w:hAnsi="Arial" w:cs="Arial"/>
              </w:rPr>
            </w:pPr>
            <w:r w:rsidRPr="00840F53">
              <w:rPr>
                <w:rFonts w:ascii="Arial" w:hAnsi="Arial" w:cs="Arial"/>
              </w:rPr>
              <w:t>2.23</w:t>
            </w:r>
          </w:p>
        </w:tc>
        <w:tc>
          <w:tcPr>
            <w:tcW w:w="1418" w:type="dxa"/>
            <w:vAlign w:val="center"/>
          </w:tcPr>
          <w:p w14:paraId="2487459B" w14:textId="035C2D8D" w:rsidR="004B30F7" w:rsidRPr="00840F53" w:rsidRDefault="004B30F7" w:rsidP="00840F53">
            <w:pPr>
              <w:spacing w:line="360" w:lineRule="auto"/>
              <w:rPr>
                <w:rFonts w:ascii="Arial" w:hAnsi="Arial" w:cs="Arial"/>
              </w:rPr>
            </w:pPr>
            <w:r w:rsidRPr="00840F53">
              <w:rPr>
                <w:rFonts w:ascii="Arial" w:hAnsi="Arial" w:cs="Arial"/>
              </w:rPr>
              <w:t>2.34</w:t>
            </w:r>
          </w:p>
        </w:tc>
        <w:tc>
          <w:tcPr>
            <w:tcW w:w="1417" w:type="dxa"/>
            <w:vAlign w:val="center"/>
          </w:tcPr>
          <w:p w14:paraId="74861BB4" w14:textId="2DEB496C" w:rsidR="004B30F7" w:rsidRPr="00840F53" w:rsidRDefault="004B30F7" w:rsidP="00840F53">
            <w:pPr>
              <w:spacing w:line="360" w:lineRule="auto"/>
              <w:rPr>
                <w:rFonts w:ascii="Arial" w:hAnsi="Arial" w:cs="Arial"/>
              </w:rPr>
            </w:pPr>
            <w:r w:rsidRPr="00840F53">
              <w:rPr>
                <w:rFonts w:ascii="Arial" w:hAnsi="Arial" w:cs="Arial"/>
              </w:rPr>
              <w:t>1.61</w:t>
            </w:r>
          </w:p>
        </w:tc>
      </w:tr>
      <w:tr w:rsidR="004B30F7" w:rsidRPr="00840F53" w14:paraId="6C3D16CB" w14:textId="77777777" w:rsidTr="00840F53">
        <w:tc>
          <w:tcPr>
            <w:tcW w:w="2694" w:type="dxa"/>
            <w:vAlign w:val="center"/>
          </w:tcPr>
          <w:p w14:paraId="0B46A77D" w14:textId="67BAC568" w:rsidR="004B30F7" w:rsidRPr="00840F53" w:rsidRDefault="004B30F7" w:rsidP="00840F53">
            <w:pPr>
              <w:spacing w:line="360" w:lineRule="auto"/>
              <w:rPr>
                <w:rFonts w:ascii="Arial" w:hAnsi="Arial" w:cs="Arial"/>
              </w:rPr>
            </w:pPr>
            <w:r w:rsidRPr="00840F53">
              <w:rPr>
                <w:rFonts w:ascii="Arial" w:hAnsi="Arial" w:cs="Arial"/>
              </w:rPr>
              <w:t>Total assets</w:t>
            </w:r>
          </w:p>
        </w:tc>
        <w:tc>
          <w:tcPr>
            <w:tcW w:w="1276" w:type="dxa"/>
            <w:vAlign w:val="center"/>
          </w:tcPr>
          <w:p w14:paraId="30942BCC" w14:textId="2A6195BB" w:rsidR="004B30F7" w:rsidRPr="00840F53" w:rsidRDefault="004B30F7" w:rsidP="00840F53">
            <w:pPr>
              <w:spacing w:line="360" w:lineRule="auto"/>
              <w:rPr>
                <w:rFonts w:ascii="Arial" w:hAnsi="Arial" w:cs="Arial"/>
              </w:rPr>
            </w:pPr>
            <w:r w:rsidRPr="00840F53">
              <w:rPr>
                <w:rFonts w:ascii="Arial" w:hAnsi="Arial" w:cs="Arial"/>
              </w:rPr>
              <w:t>10,769</w:t>
            </w:r>
          </w:p>
        </w:tc>
        <w:tc>
          <w:tcPr>
            <w:tcW w:w="1559" w:type="dxa"/>
            <w:vAlign w:val="center"/>
          </w:tcPr>
          <w:p w14:paraId="3F60EC3A" w14:textId="1C8FF64D" w:rsidR="004B30F7" w:rsidRPr="00840F53" w:rsidRDefault="004B30F7" w:rsidP="00840F53">
            <w:pPr>
              <w:spacing w:line="360" w:lineRule="auto"/>
              <w:rPr>
                <w:rFonts w:ascii="Arial" w:hAnsi="Arial" w:cs="Arial"/>
              </w:rPr>
            </w:pPr>
            <w:r w:rsidRPr="00840F53">
              <w:rPr>
                <w:rFonts w:ascii="Arial" w:hAnsi="Arial" w:cs="Arial"/>
              </w:rPr>
              <w:t>11,713</w:t>
            </w:r>
          </w:p>
        </w:tc>
        <w:tc>
          <w:tcPr>
            <w:tcW w:w="1417" w:type="dxa"/>
            <w:vAlign w:val="center"/>
          </w:tcPr>
          <w:p w14:paraId="045352FA" w14:textId="6D36EB4A" w:rsidR="004B30F7" w:rsidRPr="00840F53" w:rsidRDefault="004B30F7" w:rsidP="00840F53">
            <w:pPr>
              <w:spacing w:line="360" w:lineRule="auto"/>
              <w:rPr>
                <w:rFonts w:ascii="Arial" w:hAnsi="Arial" w:cs="Arial"/>
              </w:rPr>
            </w:pPr>
            <w:r w:rsidRPr="00840F53">
              <w:rPr>
                <w:rFonts w:ascii="Arial" w:hAnsi="Arial" w:cs="Arial"/>
              </w:rPr>
              <w:t>11,176</w:t>
            </w:r>
          </w:p>
        </w:tc>
        <w:tc>
          <w:tcPr>
            <w:tcW w:w="1418" w:type="dxa"/>
            <w:vAlign w:val="center"/>
          </w:tcPr>
          <w:p w14:paraId="0BA2F580" w14:textId="024C2A8E" w:rsidR="004B30F7" w:rsidRPr="00840F53" w:rsidRDefault="004B30F7" w:rsidP="00840F53">
            <w:pPr>
              <w:spacing w:line="360" w:lineRule="auto"/>
              <w:rPr>
                <w:rFonts w:ascii="Arial" w:hAnsi="Arial" w:cs="Arial"/>
              </w:rPr>
            </w:pPr>
            <w:r w:rsidRPr="00840F53">
              <w:rPr>
                <w:rFonts w:ascii="Arial" w:hAnsi="Arial" w:cs="Arial"/>
              </w:rPr>
              <w:t>12,057</w:t>
            </w:r>
          </w:p>
        </w:tc>
        <w:tc>
          <w:tcPr>
            <w:tcW w:w="1417" w:type="dxa"/>
            <w:vAlign w:val="center"/>
          </w:tcPr>
          <w:p w14:paraId="05B0D737" w14:textId="366C8ADA" w:rsidR="004B30F7" w:rsidRPr="00840F53" w:rsidRDefault="004B30F7" w:rsidP="00840F53">
            <w:pPr>
              <w:spacing w:line="360" w:lineRule="auto"/>
              <w:rPr>
                <w:rFonts w:ascii="Arial" w:hAnsi="Arial" w:cs="Arial"/>
              </w:rPr>
            </w:pPr>
            <w:r w:rsidRPr="00840F53">
              <w:rPr>
                <w:rFonts w:ascii="Arial" w:hAnsi="Arial" w:cs="Arial"/>
              </w:rPr>
              <w:t>11,744</w:t>
            </w:r>
          </w:p>
        </w:tc>
      </w:tr>
      <w:tr w:rsidR="004B30F7" w:rsidRPr="00840F53" w14:paraId="065E5CC4" w14:textId="77777777" w:rsidTr="00840F53">
        <w:tc>
          <w:tcPr>
            <w:tcW w:w="2694" w:type="dxa"/>
            <w:vAlign w:val="center"/>
          </w:tcPr>
          <w:p w14:paraId="7EA06453" w14:textId="03341501" w:rsidR="004B30F7" w:rsidRPr="00840F53" w:rsidRDefault="004B30F7" w:rsidP="00840F53">
            <w:pPr>
              <w:spacing w:line="360" w:lineRule="auto"/>
              <w:rPr>
                <w:rFonts w:ascii="Arial" w:hAnsi="Arial" w:cs="Arial"/>
              </w:rPr>
            </w:pPr>
            <w:r w:rsidRPr="00840F53">
              <w:rPr>
                <w:rFonts w:ascii="Arial" w:hAnsi="Arial" w:cs="Arial"/>
              </w:rPr>
              <w:t>Total equity</w:t>
            </w:r>
          </w:p>
        </w:tc>
        <w:tc>
          <w:tcPr>
            <w:tcW w:w="1276" w:type="dxa"/>
            <w:vAlign w:val="center"/>
          </w:tcPr>
          <w:p w14:paraId="6A35CAA5" w14:textId="7CB9E366" w:rsidR="004B30F7" w:rsidRPr="00840F53" w:rsidRDefault="004B30F7" w:rsidP="00840F53">
            <w:pPr>
              <w:spacing w:line="360" w:lineRule="auto"/>
              <w:rPr>
                <w:rFonts w:ascii="Arial" w:hAnsi="Arial" w:cs="Arial"/>
              </w:rPr>
            </w:pPr>
            <w:r w:rsidRPr="00840F53">
              <w:rPr>
                <w:rFonts w:ascii="Arial" w:hAnsi="Arial" w:cs="Arial"/>
              </w:rPr>
              <w:t>4,597</w:t>
            </w:r>
          </w:p>
        </w:tc>
        <w:tc>
          <w:tcPr>
            <w:tcW w:w="1559" w:type="dxa"/>
            <w:vAlign w:val="center"/>
          </w:tcPr>
          <w:p w14:paraId="2CAC1DF2" w14:textId="59E8B107" w:rsidR="004B30F7" w:rsidRPr="00840F53" w:rsidRDefault="004B30F7" w:rsidP="00840F53">
            <w:pPr>
              <w:spacing w:line="360" w:lineRule="auto"/>
              <w:rPr>
                <w:rFonts w:ascii="Arial" w:hAnsi="Arial" w:cs="Arial"/>
              </w:rPr>
            </w:pPr>
            <w:r w:rsidRPr="00840F53">
              <w:rPr>
                <w:rFonts w:ascii="Arial" w:hAnsi="Arial" w:cs="Arial"/>
              </w:rPr>
              <w:t>5,456</w:t>
            </w:r>
          </w:p>
        </w:tc>
        <w:tc>
          <w:tcPr>
            <w:tcW w:w="1417" w:type="dxa"/>
            <w:vAlign w:val="center"/>
          </w:tcPr>
          <w:p w14:paraId="62058602" w14:textId="6EED7A21" w:rsidR="004B30F7" w:rsidRPr="00840F53" w:rsidRDefault="004B30F7" w:rsidP="00840F53">
            <w:pPr>
              <w:spacing w:line="360" w:lineRule="auto"/>
              <w:rPr>
                <w:rFonts w:ascii="Arial" w:hAnsi="Arial" w:cs="Arial"/>
              </w:rPr>
            </w:pPr>
            <w:r w:rsidRPr="00840F53">
              <w:rPr>
                <w:rFonts w:ascii="Arial" w:hAnsi="Arial" w:cs="Arial"/>
              </w:rPr>
              <w:t>5,311</w:t>
            </w:r>
          </w:p>
        </w:tc>
        <w:tc>
          <w:tcPr>
            <w:tcW w:w="1418" w:type="dxa"/>
            <w:vAlign w:val="center"/>
          </w:tcPr>
          <w:p w14:paraId="08F2E44E" w14:textId="3F094322" w:rsidR="004B30F7" w:rsidRPr="00840F53" w:rsidRDefault="004B30F7" w:rsidP="00840F53">
            <w:pPr>
              <w:spacing w:line="360" w:lineRule="auto"/>
              <w:rPr>
                <w:rFonts w:ascii="Arial" w:hAnsi="Arial" w:cs="Arial"/>
              </w:rPr>
            </w:pPr>
            <w:r w:rsidRPr="00840F53">
              <w:rPr>
                <w:rFonts w:ascii="Arial" w:hAnsi="Arial" w:cs="Arial"/>
              </w:rPr>
              <w:t>5,469</w:t>
            </w:r>
          </w:p>
        </w:tc>
        <w:tc>
          <w:tcPr>
            <w:tcW w:w="1417" w:type="dxa"/>
            <w:vAlign w:val="center"/>
          </w:tcPr>
          <w:p w14:paraId="692D3530" w14:textId="7D17A622" w:rsidR="004B30F7" w:rsidRPr="00840F53" w:rsidRDefault="004B30F7" w:rsidP="00840F53">
            <w:pPr>
              <w:spacing w:line="360" w:lineRule="auto"/>
              <w:rPr>
                <w:rFonts w:ascii="Arial" w:hAnsi="Arial" w:cs="Arial"/>
              </w:rPr>
            </w:pPr>
            <w:r w:rsidRPr="00840F53">
              <w:rPr>
                <w:rFonts w:ascii="Arial" w:hAnsi="Arial" w:cs="Arial"/>
              </w:rPr>
              <w:t>4,717</w:t>
            </w:r>
          </w:p>
        </w:tc>
      </w:tr>
      <w:tr w:rsidR="004B30F7" w:rsidRPr="00840F53" w14:paraId="03CFCAB0" w14:textId="77777777" w:rsidTr="00840F53">
        <w:tc>
          <w:tcPr>
            <w:tcW w:w="2694" w:type="dxa"/>
            <w:vAlign w:val="center"/>
          </w:tcPr>
          <w:p w14:paraId="6D197503" w14:textId="00168243" w:rsidR="004B30F7" w:rsidRPr="00840F53" w:rsidRDefault="004B30F7" w:rsidP="00840F53">
            <w:pPr>
              <w:spacing w:line="360" w:lineRule="auto"/>
              <w:rPr>
                <w:rFonts w:ascii="Arial" w:hAnsi="Arial" w:cs="Arial"/>
              </w:rPr>
            </w:pPr>
            <w:r w:rsidRPr="00840F53">
              <w:rPr>
                <w:rFonts w:ascii="Arial" w:hAnsi="Arial" w:cs="Arial"/>
              </w:rPr>
              <w:t>Current assets</w:t>
            </w:r>
          </w:p>
        </w:tc>
        <w:tc>
          <w:tcPr>
            <w:tcW w:w="1276" w:type="dxa"/>
            <w:vAlign w:val="center"/>
          </w:tcPr>
          <w:p w14:paraId="04AADB92" w14:textId="0255C74E" w:rsidR="004B30F7" w:rsidRPr="00840F53" w:rsidRDefault="004B30F7" w:rsidP="00840F53">
            <w:pPr>
              <w:spacing w:line="360" w:lineRule="auto"/>
              <w:rPr>
                <w:rFonts w:ascii="Arial" w:hAnsi="Arial" w:cs="Arial"/>
              </w:rPr>
            </w:pPr>
            <w:r w:rsidRPr="00840F53">
              <w:rPr>
                <w:rFonts w:ascii="Arial" w:hAnsi="Arial" w:cs="Arial"/>
              </w:rPr>
              <w:t>3,079</w:t>
            </w:r>
          </w:p>
        </w:tc>
        <w:tc>
          <w:tcPr>
            <w:tcW w:w="1559" w:type="dxa"/>
            <w:vAlign w:val="center"/>
          </w:tcPr>
          <w:p w14:paraId="29B61DAC" w14:textId="4EDC3734" w:rsidR="004B30F7" w:rsidRPr="00840F53" w:rsidRDefault="004B30F7" w:rsidP="00840F53">
            <w:pPr>
              <w:spacing w:line="360" w:lineRule="auto"/>
              <w:rPr>
                <w:rFonts w:ascii="Arial" w:hAnsi="Arial" w:cs="Arial"/>
              </w:rPr>
            </w:pPr>
            <w:r w:rsidRPr="00840F53">
              <w:rPr>
                <w:rFonts w:ascii="Arial" w:hAnsi="Arial" w:cs="Arial"/>
              </w:rPr>
              <w:t>3,584</w:t>
            </w:r>
          </w:p>
        </w:tc>
        <w:tc>
          <w:tcPr>
            <w:tcW w:w="1417" w:type="dxa"/>
            <w:vAlign w:val="center"/>
          </w:tcPr>
          <w:p w14:paraId="4A9D1AB6" w14:textId="277334C2" w:rsidR="004B30F7" w:rsidRPr="00840F53" w:rsidRDefault="004B30F7" w:rsidP="00840F53">
            <w:pPr>
              <w:spacing w:line="360" w:lineRule="auto"/>
              <w:rPr>
                <w:rFonts w:ascii="Arial" w:hAnsi="Arial" w:cs="Arial"/>
              </w:rPr>
            </w:pPr>
            <w:r w:rsidRPr="00840F53">
              <w:rPr>
                <w:rFonts w:ascii="Arial" w:hAnsi="Arial" w:cs="Arial"/>
              </w:rPr>
              <w:t>2,781</w:t>
            </w:r>
          </w:p>
        </w:tc>
        <w:tc>
          <w:tcPr>
            <w:tcW w:w="1418" w:type="dxa"/>
            <w:vAlign w:val="center"/>
          </w:tcPr>
          <w:p w14:paraId="0816A00C" w14:textId="61613602" w:rsidR="004B30F7" w:rsidRPr="00840F53" w:rsidRDefault="004B30F7" w:rsidP="00840F53">
            <w:pPr>
              <w:spacing w:line="360" w:lineRule="auto"/>
              <w:rPr>
                <w:rFonts w:ascii="Arial" w:hAnsi="Arial" w:cs="Arial"/>
              </w:rPr>
            </w:pPr>
            <w:r w:rsidRPr="00840F53">
              <w:rPr>
                <w:rFonts w:ascii="Arial" w:hAnsi="Arial" w:cs="Arial"/>
              </w:rPr>
              <w:t>2,970</w:t>
            </w:r>
          </w:p>
        </w:tc>
        <w:tc>
          <w:tcPr>
            <w:tcW w:w="1417" w:type="dxa"/>
            <w:vAlign w:val="center"/>
          </w:tcPr>
          <w:p w14:paraId="67069D5C" w14:textId="0F4D577F" w:rsidR="004B30F7" w:rsidRPr="00840F53" w:rsidRDefault="004B30F7" w:rsidP="00840F53">
            <w:pPr>
              <w:spacing w:line="360" w:lineRule="auto"/>
              <w:rPr>
                <w:rFonts w:ascii="Arial" w:hAnsi="Arial" w:cs="Arial"/>
              </w:rPr>
            </w:pPr>
            <w:r w:rsidRPr="00840F53">
              <w:rPr>
                <w:rFonts w:ascii="Arial" w:hAnsi="Arial" w:cs="Arial"/>
              </w:rPr>
              <w:t>2,905</w:t>
            </w:r>
          </w:p>
        </w:tc>
      </w:tr>
      <w:tr w:rsidR="004B30F7" w:rsidRPr="00840F53" w14:paraId="2AF0B2FB" w14:textId="77777777" w:rsidTr="00840F53">
        <w:tc>
          <w:tcPr>
            <w:tcW w:w="2694" w:type="dxa"/>
            <w:vAlign w:val="center"/>
          </w:tcPr>
          <w:p w14:paraId="559F6381" w14:textId="7A8FEEF9" w:rsidR="004B30F7" w:rsidRPr="00840F53" w:rsidRDefault="004B30F7" w:rsidP="00840F53">
            <w:pPr>
              <w:spacing w:line="360" w:lineRule="auto"/>
              <w:rPr>
                <w:rFonts w:ascii="Arial" w:hAnsi="Arial" w:cs="Arial"/>
              </w:rPr>
            </w:pPr>
            <w:r w:rsidRPr="00840F53">
              <w:rPr>
                <w:rFonts w:ascii="Arial" w:hAnsi="Arial" w:cs="Arial"/>
              </w:rPr>
              <w:t>Current liabilities</w:t>
            </w:r>
          </w:p>
        </w:tc>
        <w:tc>
          <w:tcPr>
            <w:tcW w:w="1276" w:type="dxa"/>
            <w:vAlign w:val="center"/>
          </w:tcPr>
          <w:p w14:paraId="5EB93416" w14:textId="2FCBA991" w:rsidR="004B30F7" w:rsidRPr="00840F53" w:rsidRDefault="004B30F7" w:rsidP="00840F53">
            <w:pPr>
              <w:spacing w:line="360" w:lineRule="auto"/>
              <w:rPr>
                <w:rFonts w:ascii="Arial" w:hAnsi="Arial" w:cs="Arial"/>
              </w:rPr>
            </w:pPr>
            <w:r w:rsidRPr="00840F53">
              <w:rPr>
                <w:rFonts w:ascii="Arial" w:hAnsi="Arial" w:cs="Arial"/>
              </w:rPr>
              <w:t>2,635</w:t>
            </w:r>
          </w:p>
        </w:tc>
        <w:tc>
          <w:tcPr>
            <w:tcW w:w="1559" w:type="dxa"/>
            <w:vAlign w:val="center"/>
          </w:tcPr>
          <w:p w14:paraId="0210233C" w14:textId="713EA1AD" w:rsidR="004B30F7" w:rsidRPr="00840F53" w:rsidRDefault="004B30F7" w:rsidP="00840F53">
            <w:pPr>
              <w:spacing w:line="360" w:lineRule="auto"/>
              <w:rPr>
                <w:rFonts w:ascii="Arial" w:hAnsi="Arial" w:cs="Arial"/>
              </w:rPr>
            </w:pPr>
            <w:r w:rsidRPr="00840F53">
              <w:rPr>
                <w:rFonts w:ascii="Arial" w:hAnsi="Arial" w:cs="Arial"/>
              </w:rPr>
              <w:t>2,920</w:t>
            </w:r>
          </w:p>
        </w:tc>
        <w:tc>
          <w:tcPr>
            <w:tcW w:w="1417" w:type="dxa"/>
            <w:vAlign w:val="center"/>
          </w:tcPr>
          <w:p w14:paraId="40247636" w14:textId="09BBB831" w:rsidR="004B30F7" w:rsidRPr="00840F53" w:rsidRDefault="004B30F7" w:rsidP="00840F53">
            <w:pPr>
              <w:spacing w:line="360" w:lineRule="auto"/>
              <w:rPr>
                <w:rFonts w:ascii="Arial" w:hAnsi="Arial" w:cs="Arial"/>
              </w:rPr>
            </w:pPr>
            <w:r w:rsidRPr="00840F53">
              <w:rPr>
                <w:rFonts w:ascii="Arial" w:hAnsi="Arial" w:cs="Arial"/>
              </w:rPr>
              <w:t>2,821</w:t>
            </w:r>
          </w:p>
        </w:tc>
        <w:tc>
          <w:tcPr>
            <w:tcW w:w="1418" w:type="dxa"/>
            <w:vAlign w:val="center"/>
          </w:tcPr>
          <w:p w14:paraId="51D7BF0C" w14:textId="6961E695" w:rsidR="004B30F7" w:rsidRPr="00840F53" w:rsidRDefault="004B30F7" w:rsidP="00840F53">
            <w:pPr>
              <w:spacing w:line="360" w:lineRule="auto"/>
              <w:rPr>
                <w:rFonts w:ascii="Arial" w:hAnsi="Arial" w:cs="Arial"/>
              </w:rPr>
            </w:pPr>
            <w:r w:rsidRPr="00840F53">
              <w:rPr>
                <w:rFonts w:ascii="Arial" w:hAnsi="Arial" w:cs="Arial"/>
              </w:rPr>
              <w:t>2,819</w:t>
            </w:r>
          </w:p>
        </w:tc>
        <w:tc>
          <w:tcPr>
            <w:tcW w:w="1417" w:type="dxa"/>
            <w:vAlign w:val="center"/>
          </w:tcPr>
          <w:p w14:paraId="5CC92080" w14:textId="25226141" w:rsidR="004B30F7" w:rsidRPr="00840F53" w:rsidRDefault="004B30F7" w:rsidP="00840F53">
            <w:pPr>
              <w:spacing w:line="360" w:lineRule="auto"/>
              <w:rPr>
                <w:rFonts w:ascii="Arial" w:hAnsi="Arial" w:cs="Arial"/>
              </w:rPr>
            </w:pPr>
            <w:r w:rsidRPr="00840F53">
              <w:rPr>
                <w:rFonts w:ascii="Arial" w:hAnsi="Arial" w:cs="Arial"/>
              </w:rPr>
              <w:t>2,773</w:t>
            </w:r>
          </w:p>
        </w:tc>
      </w:tr>
      <w:tr w:rsidR="004B30F7" w:rsidRPr="00840F53" w14:paraId="677397FD" w14:textId="77777777" w:rsidTr="00840F53">
        <w:tc>
          <w:tcPr>
            <w:tcW w:w="2694" w:type="dxa"/>
            <w:vAlign w:val="center"/>
          </w:tcPr>
          <w:p w14:paraId="6F0F10E9" w14:textId="7ECFC4DA" w:rsidR="004B30F7" w:rsidRPr="00840F53" w:rsidRDefault="004B30F7" w:rsidP="00840F53">
            <w:pPr>
              <w:spacing w:line="360" w:lineRule="auto"/>
              <w:rPr>
                <w:rFonts w:ascii="Arial" w:hAnsi="Arial" w:cs="Arial"/>
              </w:rPr>
            </w:pPr>
            <w:r w:rsidRPr="00840F53">
              <w:rPr>
                <w:rFonts w:ascii="Arial" w:hAnsi="Arial" w:cs="Arial"/>
              </w:rPr>
              <w:t>Cash and equivalents</w:t>
            </w:r>
          </w:p>
        </w:tc>
        <w:tc>
          <w:tcPr>
            <w:tcW w:w="1276" w:type="dxa"/>
            <w:vAlign w:val="center"/>
          </w:tcPr>
          <w:p w14:paraId="3008B0A8" w14:textId="3334FC4A" w:rsidR="004B30F7" w:rsidRPr="00840F53" w:rsidRDefault="004B30F7" w:rsidP="00840F53">
            <w:pPr>
              <w:spacing w:line="360" w:lineRule="auto"/>
              <w:rPr>
                <w:rFonts w:ascii="Arial" w:hAnsi="Arial" w:cs="Arial"/>
              </w:rPr>
            </w:pPr>
            <w:r w:rsidRPr="00840F53">
              <w:rPr>
                <w:rFonts w:ascii="Arial" w:hAnsi="Arial" w:cs="Arial"/>
              </w:rPr>
              <w:t>1,666</w:t>
            </w:r>
          </w:p>
        </w:tc>
        <w:tc>
          <w:tcPr>
            <w:tcW w:w="1559" w:type="dxa"/>
            <w:vAlign w:val="center"/>
          </w:tcPr>
          <w:p w14:paraId="586DFA2A" w14:textId="0ACD573F" w:rsidR="004B30F7" w:rsidRPr="00840F53" w:rsidRDefault="004B30F7" w:rsidP="00840F53">
            <w:pPr>
              <w:spacing w:line="360" w:lineRule="auto"/>
              <w:rPr>
                <w:rFonts w:ascii="Arial" w:hAnsi="Arial" w:cs="Arial"/>
              </w:rPr>
            </w:pPr>
            <w:r w:rsidRPr="00840F53">
              <w:rPr>
                <w:rFonts w:ascii="Arial" w:hAnsi="Arial" w:cs="Arial"/>
              </w:rPr>
              <w:t>1,643</w:t>
            </w:r>
          </w:p>
        </w:tc>
        <w:tc>
          <w:tcPr>
            <w:tcW w:w="1417" w:type="dxa"/>
            <w:vAlign w:val="center"/>
          </w:tcPr>
          <w:p w14:paraId="0E2314FF" w14:textId="0195EEBF" w:rsidR="004B30F7" w:rsidRPr="00840F53" w:rsidRDefault="004B30F7" w:rsidP="00840F53">
            <w:pPr>
              <w:spacing w:line="360" w:lineRule="auto"/>
              <w:rPr>
                <w:rFonts w:ascii="Arial" w:hAnsi="Arial" w:cs="Arial"/>
              </w:rPr>
            </w:pPr>
            <w:r w:rsidRPr="00840F53">
              <w:rPr>
                <w:rFonts w:ascii="Arial" w:hAnsi="Arial" w:cs="Arial"/>
              </w:rPr>
              <w:t>1,279</w:t>
            </w:r>
          </w:p>
        </w:tc>
        <w:tc>
          <w:tcPr>
            <w:tcW w:w="1418" w:type="dxa"/>
            <w:vAlign w:val="center"/>
          </w:tcPr>
          <w:p w14:paraId="72E93826" w14:textId="6BD7C5A2" w:rsidR="004B30F7" w:rsidRPr="00840F53" w:rsidRDefault="004B30F7" w:rsidP="00840F53">
            <w:pPr>
              <w:spacing w:line="360" w:lineRule="auto"/>
              <w:rPr>
                <w:rFonts w:ascii="Arial" w:hAnsi="Arial" w:cs="Arial"/>
              </w:rPr>
            </w:pPr>
            <w:r w:rsidRPr="00840F53">
              <w:rPr>
                <w:rFonts w:ascii="Arial" w:hAnsi="Arial" w:cs="Arial"/>
              </w:rPr>
              <w:t>1,244</w:t>
            </w:r>
          </w:p>
        </w:tc>
        <w:tc>
          <w:tcPr>
            <w:tcW w:w="1417" w:type="dxa"/>
            <w:vAlign w:val="center"/>
          </w:tcPr>
          <w:p w14:paraId="781C0EE0" w14:textId="32F9C458" w:rsidR="004B30F7" w:rsidRPr="00840F53" w:rsidRDefault="004B30F7" w:rsidP="00840F53">
            <w:pPr>
              <w:spacing w:line="360" w:lineRule="auto"/>
              <w:rPr>
                <w:rFonts w:ascii="Arial" w:hAnsi="Arial" w:cs="Arial"/>
              </w:rPr>
            </w:pPr>
            <w:r w:rsidRPr="00840F53">
              <w:rPr>
                <w:rFonts w:ascii="Arial" w:hAnsi="Arial" w:cs="Arial"/>
              </w:rPr>
              <w:t>1,205</w:t>
            </w:r>
          </w:p>
        </w:tc>
      </w:tr>
      <w:tr w:rsidR="004B30F7" w:rsidRPr="00840F53" w14:paraId="037BD8B3" w14:textId="77777777" w:rsidTr="00840F53">
        <w:tc>
          <w:tcPr>
            <w:tcW w:w="2694" w:type="dxa"/>
            <w:vAlign w:val="center"/>
          </w:tcPr>
          <w:p w14:paraId="589AC569" w14:textId="03BFDECD" w:rsidR="004B30F7" w:rsidRPr="00840F53" w:rsidRDefault="004B30F7" w:rsidP="00840F53">
            <w:pPr>
              <w:spacing w:line="360" w:lineRule="auto"/>
              <w:rPr>
                <w:rFonts w:ascii="Arial" w:hAnsi="Arial" w:cs="Arial"/>
              </w:rPr>
            </w:pPr>
            <w:r w:rsidRPr="00840F53">
              <w:rPr>
                <w:rFonts w:ascii="Arial" w:hAnsi="Arial" w:cs="Arial"/>
              </w:rPr>
              <w:t>Net financial debt</w:t>
            </w:r>
          </w:p>
        </w:tc>
        <w:tc>
          <w:tcPr>
            <w:tcW w:w="1276" w:type="dxa"/>
            <w:vAlign w:val="center"/>
          </w:tcPr>
          <w:p w14:paraId="44943AB1" w14:textId="12BF80D9" w:rsidR="004B30F7" w:rsidRPr="00840F53" w:rsidRDefault="004B30F7" w:rsidP="00840F53">
            <w:pPr>
              <w:spacing w:line="360" w:lineRule="auto"/>
              <w:rPr>
                <w:rFonts w:ascii="Arial" w:hAnsi="Arial" w:cs="Arial"/>
              </w:rPr>
            </w:pPr>
            <w:r w:rsidRPr="00840F53">
              <w:rPr>
                <w:rFonts w:ascii="Arial" w:hAnsi="Arial" w:cs="Arial"/>
              </w:rPr>
              <w:t>3,202</w:t>
            </w:r>
          </w:p>
        </w:tc>
        <w:tc>
          <w:tcPr>
            <w:tcW w:w="1559" w:type="dxa"/>
            <w:vAlign w:val="center"/>
          </w:tcPr>
          <w:p w14:paraId="059C6136" w14:textId="0298C6DC" w:rsidR="004B30F7" w:rsidRPr="00840F53" w:rsidRDefault="004B30F7" w:rsidP="00840F53">
            <w:pPr>
              <w:spacing w:line="360" w:lineRule="auto"/>
              <w:rPr>
                <w:rFonts w:ascii="Arial" w:hAnsi="Arial" w:cs="Arial"/>
              </w:rPr>
            </w:pPr>
            <w:r w:rsidRPr="00840F53">
              <w:rPr>
                <w:rFonts w:ascii="Arial" w:hAnsi="Arial" w:cs="Arial"/>
              </w:rPr>
              <w:t>2,869</w:t>
            </w:r>
          </w:p>
        </w:tc>
        <w:tc>
          <w:tcPr>
            <w:tcW w:w="1417" w:type="dxa"/>
            <w:vAlign w:val="center"/>
          </w:tcPr>
          <w:p w14:paraId="5B49FDFA" w14:textId="6FF4B8AD" w:rsidR="004B30F7" w:rsidRPr="00840F53" w:rsidRDefault="004B30F7" w:rsidP="00840F53">
            <w:pPr>
              <w:spacing w:line="360" w:lineRule="auto"/>
              <w:rPr>
                <w:rFonts w:ascii="Arial" w:hAnsi="Arial" w:cs="Arial"/>
              </w:rPr>
            </w:pPr>
            <w:r w:rsidRPr="00840F53">
              <w:rPr>
                <w:rFonts w:ascii="Arial" w:hAnsi="Arial" w:cs="Arial"/>
              </w:rPr>
              <w:t>2,624</w:t>
            </w:r>
          </w:p>
        </w:tc>
        <w:tc>
          <w:tcPr>
            <w:tcW w:w="1418" w:type="dxa"/>
            <w:vAlign w:val="center"/>
          </w:tcPr>
          <w:p w14:paraId="40A143DA" w14:textId="4FC5BA15" w:rsidR="004B30F7" w:rsidRPr="00840F53" w:rsidRDefault="004B30F7" w:rsidP="00840F53">
            <w:pPr>
              <w:spacing w:line="360" w:lineRule="auto"/>
              <w:rPr>
                <w:rFonts w:ascii="Arial" w:hAnsi="Arial" w:cs="Arial"/>
              </w:rPr>
            </w:pPr>
            <w:r w:rsidRPr="00840F53">
              <w:rPr>
                <w:rFonts w:ascii="Arial" w:hAnsi="Arial" w:cs="Arial"/>
              </w:rPr>
              <w:t>3,002</w:t>
            </w:r>
          </w:p>
        </w:tc>
        <w:tc>
          <w:tcPr>
            <w:tcW w:w="1417" w:type="dxa"/>
            <w:vAlign w:val="center"/>
          </w:tcPr>
          <w:p w14:paraId="05B4C87B" w14:textId="32EE339E" w:rsidR="004B30F7" w:rsidRPr="00840F53" w:rsidRDefault="004B30F7" w:rsidP="00840F53">
            <w:pPr>
              <w:spacing w:line="360" w:lineRule="auto"/>
              <w:rPr>
                <w:rFonts w:ascii="Arial" w:hAnsi="Arial" w:cs="Arial"/>
              </w:rPr>
            </w:pPr>
            <w:r w:rsidRPr="00840F53">
              <w:rPr>
                <w:rFonts w:ascii="Arial" w:hAnsi="Arial" w:cs="Arial"/>
              </w:rPr>
              <w:t>3,663</w:t>
            </w:r>
          </w:p>
        </w:tc>
      </w:tr>
    </w:tbl>
    <w:p w14:paraId="4AB67D10" w14:textId="79B5E346" w:rsidR="00F10616" w:rsidRDefault="00A425AB">
      <w:pPr>
        <w:rPr>
          <w:rFonts w:ascii="Arial" w:hAnsi="Arial" w:cs="Arial"/>
          <w:i/>
          <w:iCs/>
        </w:rPr>
      </w:pPr>
      <w:r w:rsidRPr="00C340FB">
        <w:rPr>
          <w:rFonts w:ascii="Arial" w:hAnsi="Arial" w:cs="Arial"/>
          <w:i/>
          <w:iCs/>
        </w:rPr>
        <w:t xml:space="preserve">Table 1: </w:t>
      </w:r>
      <w:r w:rsidR="007E0FFF" w:rsidRPr="00C340FB">
        <w:rPr>
          <w:rFonts w:ascii="Arial" w:hAnsi="Arial" w:cs="Arial"/>
          <w:i/>
          <w:iCs/>
        </w:rPr>
        <w:t>Sources: Accor full-year results press releases (2021–2025); Yahoo Finance</w:t>
      </w:r>
      <w:r w:rsidR="00F330FC" w:rsidRPr="00C340FB">
        <w:rPr>
          <w:rFonts w:ascii="Arial" w:hAnsi="Arial" w:cs="Arial"/>
          <w:i/>
          <w:iCs/>
        </w:rPr>
        <w:t>.</w:t>
      </w:r>
    </w:p>
    <w:p w14:paraId="43C88E57" w14:textId="48EA94AD" w:rsidR="0036287D" w:rsidRDefault="0036287D">
      <w:pPr>
        <w:rPr>
          <w:rFonts w:ascii="Arial" w:hAnsi="Arial" w:cs="Arial"/>
        </w:rPr>
      </w:pPr>
      <w:r w:rsidRPr="0036287D">
        <w:rPr>
          <w:rFonts w:ascii="Arial" w:hAnsi="Arial" w:cs="Arial"/>
          <w:noProof/>
        </w:rPr>
        <w:drawing>
          <wp:inline distT="0" distB="0" distL="0" distR="0" wp14:anchorId="6A568F68" wp14:editId="221E110D">
            <wp:extent cx="5731510" cy="3782695"/>
            <wp:effectExtent l="0" t="0" r="0" b="1905"/>
            <wp:docPr id="727609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609538" name=""/>
                    <pic:cNvPicPr/>
                  </pic:nvPicPr>
                  <pic:blipFill>
                    <a:blip r:embed="rId13"/>
                    <a:stretch>
                      <a:fillRect/>
                    </a:stretch>
                  </pic:blipFill>
                  <pic:spPr>
                    <a:xfrm>
                      <a:off x="0" y="0"/>
                      <a:ext cx="5731510" cy="3782695"/>
                    </a:xfrm>
                    <a:prstGeom prst="rect">
                      <a:avLst/>
                    </a:prstGeom>
                  </pic:spPr>
                </pic:pic>
              </a:graphicData>
            </a:graphic>
          </wp:inline>
        </w:drawing>
      </w:r>
    </w:p>
    <w:p w14:paraId="04216D8A" w14:textId="6704E2E6" w:rsidR="0040413A" w:rsidRPr="00CF6EF0" w:rsidRDefault="0040413A">
      <w:pPr>
        <w:rPr>
          <w:rFonts w:ascii="Arial" w:hAnsi="Arial" w:cs="Arial"/>
          <w:i/>
          <w:iCs/>
        </w:rPr>
      </w:pPr>
      <w:r w:rsidRPr="00CF6EF0">
        <w:rPr>
          <w:rFonts w:ascii="Arial" w:hAnsi="Arial" w:cs="Arial"/>
          <w:i/>
          <w:iCs/>
        </w:rPr>
        <w:t xml:space="preserve">Figure 3: </w:t>
      </w:r>
      <w:r w:rsidR="00CF6EF0" w:rsidRPr="00CF6EF0">
        <w:rPr>
          <w:rFonts w:ascii="Arial" w:hAnsi="Arial" w:cs="Arial"/>
          <w:i/>
          <w:iCs/>
        </w:rPr>
        <w:t>Accor annual report 2021 - 2025</w:t>
      </w:r>
    </w:p>
    <w:p w14:paraId="583DA482" w14:textId="77777777" w:rsidR="00636FE7" w:rsidRDefault="00636FE7">
      <w:pPr>
        <w:rPr>
          <w:rFonts w:ascii="Arial" w:hAnsi="Arial" w:cs="Arial"/>
          <w:sz w:val="22"/>
          <w:szCs w:val="22"/>
        </w:rPr>
      </w:pPr>
    </w:p>
    <w:p w14:paraId="403E35F9" w14:textId="0B4900E1" w:rsidR="00A16840" w:rsidRPr="008603C5" w:rsidRDefault="008453AE" w:rsidP="008603C5">
      <w:pPr>
        <w:pStyle w:val="Heading2"/>
        <w:rPr>
          <w:rFonts w:ascii="Baskerville Old Face" w:hAnsi="Baskerville Old Face"/>
          <w:b/>
          <w:bCs/>
          <w:color w:val="000000" w:themeColor="text1"/>
        </w:rPr>
      </w:pPr>
      <w:bookmarkStart w:id="3" w:name="_Toc235559584"/>
      <w:r w:rsidRPr="008603C5">
        <w:rPr>
          <w:rFonts w:ascii="Baskerville Old Face" w:hAnsi="Baskerville Old Face"/>
          <w:b/>
          <w:bCs/>
          <w:color w:val="000000" w:themeColor="text1"/>
        </w:rPr>
        <w:t xml:space="preserve">Profitability </w:t>
      </w:r>
      <w:r w:rsidR="001F7196" w:rsidRPr="008603C5">
        <w:rPr>
          <w:rFonts w:ascii="Baskerville Old Face" w:hAnsi="Baskerville Old Face"/>
          <w:b/>
          <w:bCs/>
          <w:color w:val="000000" w:themeColor="text1"/>
        </w:rPr>
        <w:t>Ratio Analysis</w:t>
      </w:r>
      <w:bookmarkEnd w:id="3"/>
      <w:r w:rsidR="001F7196" w:rsidRPr="008603C5">
        <w:rPr>
          <w:rFonts w:ascii="Baskerville Old Face" w:hAnsi="Baskerville Old Face"/>
          <w:b/>
          <w:bCs/>
          <w:color w:val="000000" w:themeColor="text1"/>
        </w:rPr>
        <w:t xml:space="preserve"> </w:t>
      </w:r>
    </w:p>
    <w:p w14:paraId="1DAC950C" w14:textId="0065BBFF" w:rsidR="00F23196" w:rsidRDefault="00F23196" w:rsidP="00F23196">
      <w:pPr>
        <w:spacing w:line="360" w:lineRule="auto"/>
        <w:jc w:val="both"/>
        <w:rPr>
          <w:rFonts w:ascii="Arial" w:hAnsi="Arial" w:cs="Arial"/>
        </w:rPr>
      </w:pPr>
      <w:r w:rsidRPr="0017510C">
        <w:rPr>
          <w:rFonts w:ascii="Arial" w:hAnsi="Arial" w:cs="Arial"/>
        </w:rPr>
        <w:t>Accor’s profitability improved significantly during the post-pandemic recovery period, although growth has become less pronounced since 2023. The group’s net profit margin increased from 3.9% in 2021 to a peak of 12.5% in 2023</w:t>
      </w:r>
      <w:r w:rsidR="0056285E">
        <w:rPr>
          <w:rFonts w:ascii="Arial" w:hAnsi="Arial" w:cs="Arial"/>
        </w:rPr>
        <w:t xml:space="preserve"> (Accor 2023)</w:t>
      </w:r>
      <w:r w:rsidRPr="0017510C">
        <w:rPr>
          <w:rFonts w:ascii="Arial" w:hAnsi="Arial" w:cs="Arial"/>
        </w:rPr>
        <w:t xml:space="preserve">, reflecting the strong recovery in global travel demand and improved financial performance. However, the ratio subsequently declined to 10.9% in 2024 and 8.0% in 2025, largely due to the reduced contribution of exceptional gains, particularly those associated with AccorInvest-related asset disposals that had enhanced earnings in </w:t>
      </w:r>
      <w:r w:rsidRPr="0017510C">
        <w:rPr>
          <w:rFonts w:ascii="Arial" w:hAnsi="Arial" w:cs="Arial"/>
        </w:rPr>
        <w:lastRenderedPageBreak/>
        <w:t>previous years. Nevertheless, a more reliable indicator of underlying performance, Recurring EBITDA margin, has shown continuous improvement throughout the period, rising from negligible levels in 2021 to 21.3% in 2025. This consistent upward trend demonstrates the growing effectiveness of Accor’s asset-light business model and highlights its ability to generate sustainable operating profits from increasing occupancy levels and room rates. Consequently, while reported net profitability has moderated following the decline in one-off gains, the company’s core operating performance remains strong and continues to exhibit positive long-term momentum.</w:t>
      </w:r>
    </w:p>
    <w:p w14:paraId="1C4C5C48" w14:textId="77777777" w:rsidR="00395FBA" w:rsidRPr="0017510C" w:rsidRDefault="00395FBA" w:rsidP="00F23196">
      <w:pPr>
        <w:spacing w:line="360" w:lineRule="auto"/>
        <w:jc w:val="both"/>
        <w:rPr>
          <w:rFonts w:ascii="Arial" w:hAnsi="Arial" w:cs="Arial"/>
        </w:rPr>
      </w:pPr>
    </w:p>
    <w:tbl>
      <w:tblPr>
        <w:tblW w:w="9600" w:type="dxa"/>
        <w:tblBorders>
          <w:top w:val="single" w:sz="4" w:space="0" w:color="CCCCCC"/>
          <w:left w:val="single" w:sz="4" w:space="0" w:color="CCCCCC"/>
          <w:bottom w:val="single" w:sz="4" w:space="0" w:color="CCCCCC"/>
          <w:right w:val="single" w:sz="4" w:space="0" w:color="CCCCCC"/>
          <w:insideH w:val="single" w:sz="2" w:space="0" w:color="DDDDDD"/>
          <w:insideV w:val="single" w:sz="2" w:space="0" w:color="DDDDDD"/>
        </w:tblBorders>
        <w:tblCellMar>
          <w:left w:w="10" w:type="dxa"/>
          <w:right w:w="10" w:type="dxa"/>
        </w:tblCellMar>
        <w:tblLook w:val="04A0" w:firstRow="1" w:lastRow="0" w:firstColumn="1" w:lastColumn="0" w:noHBand="0" w:noVBand="1"/>
      </w:tblPr>
      <w:tblGrid>
        <w:gridCol w:w="2600"/>
        <w:gridCol w:w="1400"/>
        <w:gridCol w:w="1400"/>
        <w:gridCol w:w="1400"/>
        <w:gridCol w:w="1400"/>
        <w:gridCol w:w="1400"/>
      </w:tblGrid>
      <w:tr w:rsidR="002E57BB" w14:paraId="5F2E1168" w14:textId="77777777" w:rsidTr="003F605D">
        <w:trPr>
          <w:tblHeader/>
        </w:trPr>
        <w:tc>
          <w:tcPr>
            <w:tcW w:w="2600" w:type="dxa"/>
            <w:shd w:val="clear" w:color="auto" w:fill="0B2545"/>
            <w:tcMar>
              <w:top w:w="60" w:type="dxa"/>
              <w:left w:w="100" w:type="dxa"/>
              <w:bottom w:w="60" w:type="dxa"/>
              <w:right w:w="100" w:type="dxa"/>
            </w:tcMar>
            <w:vAlign w:val="center"/>
          </w:tcPr>
          <w:p w14:paraId="069BBED0" w14:textId="77777777" w:rsidR="002E57BB" w:rsidRPr="00280009" w:rsidRDefault="002E57BB" w:rsidP="00280009">
            <w:pPr>
              <w:spacing w:line="360" w:lineRule="auto"/>
              <w:jc w:val="center"/>
              <w:rPr>
                <w:rFonts w:ascii="Arial" w:hAnsi="Arial" w:cs="Arial"/>
              </w:rPr>
            </w:pPr>
            <w:r w:rsidRPr="00280009">
              <w:rPr>
                <w:rFonts w:ascii="Arial" w:hAnsi="Arial" w:cs="Arial"/>
                <w:b/>
                <w:bCs/>
                <w:color w:val="FFFFFF"/>
              </w:rPr>
              <w:t>Profitability Ratio</w:t>
            </w:r>
          </w:p>
        </w:tc>
        <w:tc>
          <w:tcPr>
            <w:tcW w:w="1400" w:type="dxa"/>
            <w:shd w:val="clear" w:color="auto" w:fill="0B2545"/>
            <w:tcMar>
              <w:top w:w="60" w:type="dxa"/>
              <w:left w:w="100" w:type="dxa"/>
              <w:bottom w:w="60" w:type="dxa"/>
              <w:right w:w="100" w:type="dxa"/>
            </w:tcMar>
            <w:vAlign w:val="center"/>
          </w:tcPr>
          <w:p w14:paraId="1FF3E26B" w14:textId="77777777" w:rsidR="002E57BB" w:rsidRPr="00280009" w:rsidRDefault="002E57BB" w:rsidP="00280009">
            <w:pPr>
              <w:spacing w:line="360" w:lineRule="auto"/>
              <w:jc w:val="center"/>
              <w:rPr>
                <w:rFonts w:ascii="Arial" w:hAnsi="Arial" w:cs="Arial"/>
              </w:rPr>
            </w:pPr>
            <w:r w:rsidRPr="00280009">
              <w:rPr>
                <w:rFonts w:ascii="Arial" w:hAnsi="Arial" w:cs="Arial"/>
                <w:b/>
                <w:bCs/>
                <w:color w:val="FFFFFF"/>
              </w:rPr>
              <w:t>2021</w:t>
            </w:r>
          </w:p>
        </w:tc>
        <w:tc>
          <w:tcPr>
            <w:tcW w:w="1400" w:type="dxa"/>
            <w:shd w:val="clear" w:color="auto" w:fill="0B2545"/>
            <w:tcMar>
              <w:top w:w="60" w:type="dxa"/>
              <w:left w:w="100" w:type="dxa"/>
              <w:bottom w:w="60" w:type="dxa"/>
              <w:right w:w="100" w:type="dxa"/>
            </w:tcMar>
            <w:vAlign w:val="center"/>
          </w:tcPr>
          <w:p w14:paraId="6A41E6D4" w14:textId="77777777" w:rsidR="002E57BB" w:rsidRPr="00280009" w:rsidRDefault="002E57BB" w:rsidP="00280009">
            <w:pPr>
              <w:spacing w:line="360" w:lineRule="auto"/>
              <w:jc w:val="center"/>
              <w:rPr>
                <w:rFonts w:ascii="Arial" w:hAnsi="Arial" w:cs="Arial"/>
              </w:rPr>
            </w:pPr>
            <w:r w:rsidRPr="00280009">
              <w:rPr>
                <w:rFonts w:ascii="Arial" w:hAnsi="Arial" w:cs="Arial"/>
                <w:b/>
                <w:bCs/>
                <w:color w:val="FFFFFF"/>
              </w:rPr>
              <w:t>2022</w:t>
            </w:r>
          </w:p>
        </w:tc>
        <w:tc>
          <w:tcPr>
            <w:tcW w:w="1400" w:type="dxa"/>
            <w:shd w:val="clear" w:color="auto" w:fill="0B2545"/>
            <w:tcMar>
              <w:top w:w="60" w:type="dxa"/>
              <w:left w:w="100" w:type="dxa"/>
              <w:bottom w:w="60" w:type="dxa"/>
              <w:right w:w="100" w:type="dxa"/>
            </w:tcMar>
            <w:vAlign w:val="center"/>
          </w:tcPr>
          <w:p w14:paraId="7D41498C" w14:textId="77777777" w:rsidR="002E57BB" w:rsidRPr="00280009" w:rsidRDefault="002E57BB" w:rsidP="00280009">
            <w:pPr>
              <w:spacing w:line="360" w:lineRule="auto"/>
              <w:jc w:val="center"/>
              <w:rPr>
                <w:rFonts w:ascii="Arial" w:hAnsi="Arial" w:cs="Arial"/>
              </w:rPr>
            </w:pPr>
            <w:r w:rsidRPr="00280009">
              <w:rPr>
                <w:rFonts w:ascii="Arial" w:hAnsi="Arial" w:cs="Arial"/>
                <w:b/>
                <w:bCs/>
                <w:color w:val="FFFFFF"/>
              </w:rPr>
              <w:t>2023</w:t>
            </w:r>
          </w:p>
        </w:tc>
        <w:tc>
          <w:tcPr>
            <w:tcW w:w="1400" w:type="dxa"/>
            <w:shd w:val="clear" w:color="auto" w:fill="0B2545"/>
            <w:tcMar>
              <w:top w:w="60" w:type="dxa"/>
              <w:left w:w="100" w:type="dxa"/>
              <w:bottom w:w="60" w:type="dxa"/>
              <w:right w:w="100" w:type="dxa"/>
            </w:tcMar>
            <w:vAlign w:val="center"/>
          </w:tcPr>
          <w:p w14:paraId="4CAF8DB3" w14:textId="77777777" w:rsidR="002E57BB" w:rsidRPr="00280009" w:rsidRDefault="002E57BB" w:rsidP="00280009">
            <w:pPr>
              <w:spacing w:line="360" w:lineRule="auto"/>
              <w:jc w:val="center"/>
              <w:rPr>
                <w:rFonts w:ascii="Arial" w:hAnsi="Arial" w:cs="Arial"/>
              </w:rPr>
            </w:pPr>
            <w:r w:rsidRPr="00280009">
              <w:rPr>
                <w:rFonts w:ascii="Arial" w:hAnsi="Arial" w:cs="Arial"/>
                <w:b/>
                <w:bCs/>
                <w:color w:val="FFFFFF"/>
              </w:rPr>
              <w:t>2024</w:t>
            </w:r>
          </w:p>
        </w:tc>
        <w:tc>
          <w:tcPr>
            <w:tcW w:w="1400" w:type="dxa"/>
            <w:shd w:val="clear" w:color="auto" w:fill="0B2545"/>
            <w:tcMar>
              <w:top w:w="60" w:type="dxa"/>
              <w:left w:w="100" w:type="dxa"/>
              <w:bottom w:w="60" w:type="dxa"/>
              <w:right w:w="100" w:type="dxa"/>
            </w:tcMar>
            <w:vAlign w:val="center"/>
          </w:tcPr>
          <w:p w14:paraId="05DBE007" w14:textId="77777777" w:rsidR="002E57BB" w:rsidRPr="00280009" w:rsidRDefault="002E57BB" w:rsidP="00280009">
            <w:pPr>
              <w:spacing w:line="360" w:lineRule="auto"/>
              <w:jc w:val="center"/>
              <w:rPr>
                <w:rFonts w:ascii="Arial" w:hAnsi="Arial" w:cs="Arial"/>
              </w:rPr>
            </w:pPr>
            <w:r w:rsidRPr="00280009">
              <w:rPr>
                <w:rFonts w:ascii="Arial" w:hAnsi="Arial" w:cs="Arial"/>
                <w:b/>
                <w:bCs/>
                <w:color w:val="FFFFFF"/>
              </w:rPr>
              <w:t>2025</w:t>
            </w:r>
          </w:p>
        </w:tc>
      </w:tr>
      <w:tr w:rsidR="002E57BB" w14:paraId="0729A0D1" w14:textId="77777777" w:rsidTr="003F605D">
        <w:tc>
          <w:tcPr>
            <w:tcW w:w="2600" w:type="dxa"/>
            <w:shd w:val="clear" w:color="auto" w:fill="F2F2F2"/>
            <w:tcMar>
              <w:top w:w="60" w:type="dxa"/>
              <w:left w:w="100" w:type="dxa"/>
              <w:bottom w:w="60" w:type="dxa"/>
              <w:right w:w="100" w:type="dxa"/>
            </w:tcMar>
            <w:vAlign w:val="center"/>
          </w:tcPr>
          <w:p w14:paraId="055EAAB6" w14:textId="77777777" w:rsidR="002E57BB" w:rsidRPr="00280009" w:rsidRDefault="002E57BB" w:rsidP="00280009">
            <w:pPr>
              <w:spacing w:line="360" w:lineRule="auto"/>
              <w:jc w:val="center"/>
              <w:rPr>
                <w:rFonts w:ascii="Arial" w:hAnsi="Arial" w:cs="Arial"/>
              </w:rPr>
            </w:pPr>
            <w:r w:rsidRPr="00280009">
              <w:rPr>
                <w:rFonts w:ascii="Arial" w:hAnsi="Arial" w:cs="Arial"/>
                <w:color w:val="000000"/>
              </w:rPr>
              <w:t>Recurring EBITDA margin</w:t>
            </w:r>
          </w:p>
        </w:tc>
        <w:tc>
          <w:tcPr>
            <w:tcW w:w="1400" w:type="dxa"/>
            <w:shd w:val="clear" w:color="auto" w:fill="F2F2F2"/>
            <w:tcMar>
              <w:top w:w="60" w:type="dxa"/>
              <w:left w:w="100" w:type="dxa"/>
              <w:bottom w:w="60" w:type="dxa"/>
              <w:right w:w="100" w:type="dxa"/>
            </w:tcMar>
            <w:vAlign w:val="center"/>
          </w:tcPr>
          <w:p w14:paraId="1BC7B91F" w14:textId="77777777" w:rsidR="002E57BB" w:rsidRPr="00280009" w:rsidRDefault="002E57BB" w:rsidP="00280009">
            <w:pPr>
              <w:spacing w:line="360" w:lineRule="auto"/>
              <w:jc w:val="center"/>
              <w:rPr>
                <w:rFonts w:ascii="Arial" w:hAnsi="Arial" w:cs="Arial"/>
              </w:rPr>
            </w:pPr>
            <w:r w:rsidRPr="00280009">
              <w:rPr>
                <w:rFonts w:ascii="Arial" w:hAnsi="Arial" w:cs="Arial"/>
                <w:color w:val="000000"/>
              </w:rPr>
              <w:t>1.0%</w:t>
            </w:r>
          </w:p>
        </w:tc>
        <w:tc>
          <w:tcPr>
            <w:tcW w:w="1400" w:type="dxa"/>
            <w:shd w:val="clear" w:color="auto" w:fill="F2F2F2"/>
            <w:tcMar>
              <w:top w:w="60" w:type="dxa"/>
              <w:left w:w="100" w:type="dxa"/>
              <w:bottom w:w="60" w:type="dxa"/>
              <w:right w:w="100" w:type="dxa"/>
            </w:tcMar>
            <w:vAlign w:val="center"/>
          </w:tcPr>
          <w:p w14:paraId="5815AC28" w14:textId="77777777" w:rsidR="002E57BB" w:rsidRPr="00280009" w:rsidRDefault="002E57BB" w:rsidP="00280009">
            <w:pPr>
              <w:spacing w:line="360" w:lineRule="auto"/>
              <w:jc w:val="center"/>
              <w:rPr>
                <w:rFonts w:ascii="Arial" w:hAnsi="Arial" w:cs="Arial"/>
              </w:rPr>
            </w:pPr>
            <w:r w:rsidRPr="00280009">
              <w:rPr>
                <w:rFonts w:ascii="Arial" w:hAnsi="Arial" w:cs="Arial"/>
                <w:color w:val="000000"/>
              </w:rPr>
              <w:t>16.0%</w:t>
            </w:r>
          </w:p>
        </w:tc>
        <w:tc>
          <w:tcPr>
            <w:tcW w:w="1400" w:type="dxa"/>
            <w:shd w:val="clear" w:color="auto" w:fill="F2F2F2"/>
            <w:tcMar>
              <w:top w:w="60" w:type="dxa"/>
              <w:left w:w="100" w:type="dxa"/>
              <w:bottom w:w="60" w:type="dxa"/>
              <w:right w:w="100" w:type="dxa"/>
            </w:tcMar>
            <w:vAlign w:val="center"/>
          </w:tcPr>
          <w:p w14:paraId="527A68D3" w14:textId="77777777" w:rsidR="002E57BB" w:rsidRPr="00280009" w:rsidRDefault="002E57BB" w:rsidP="00280009">
            <w:pPr>
              <w:spacing w:line="360" w:lineRule="auto"/>
              <w:jc w:val="center"/>
              <w:rPr>
                <w:rFonts w:ascii="Arial" w:hAnsi="Arial" w:cs="Arial"/>
              </w:rPr>
            </w:pPr>
            <w:r w:rsidRPr="00280009">
              <w:rPr>
                <w:rFonts w:ascii="Arial" w:hAnsi="Arial" w:cs="Arial"/>
                <w:color w:val="000000"/>
              </w:rPr>
              <w:t>19.8%</w:t>
            </w:r>
          </w:p>
        </w:tc>
        <w:tc>
          <w:tcPr>
            <w:tcW w:w="1400" w:type="dxa"/>
            <w:shd w:val="clear" w:color="auto" w:fill="F2F2F2"/>
            <w:tcMar>
              <w:top w:w="60" w:type="dxa"/>
              <w:left w:w="100" w:type="dxa"/>
              <w:bottom w:w="60" w:type="dxa"/>
              <w:right w:w="100" w:type="dxa"/>
            </w:tcMar>
            <w:vAlign w:val="center"/>
          </w:tcPr>
          <w:p w14:paraId="3D144EE1" w14:textId="77777777" w:rsidR="002E57BB" w:rsidRPr="00280009" w:rsidRDefault="002E57BB" w:rsidP="00280009">
            <w:pPr>
              <w:spacing w:line="360" w:lineRule="auto"/>
              <w:jc w:val="center"/>
              <w:rPr>
                <w:rFonts w:ascii="Arial" w:hAnsi="Arial" w:cs="Arial"/>
              </w:rPr>
            </w:pPr>
            <w:r w:rsidRPr="00280009">
              <w:rPr>
                <w:rFonts w:ascii="Arial" w:hAnsi="Arial" w:cs="Arial"/>
                <w:color w:val="000000"/>
              </w:rPr>
              <w:t>20.0%</w:t>
            </w:r>
          </w:p>
        </w:tc>
        <w:tc>
          <w:tcPr>
            <w:tcW w:w="1400" w:type="dxa"/>
            <w:shd w:val="clear" w:color="auto" w:fill="F2F2F2"/>
            <w:tcMar>
              <w:top w:w="60" w:type="dxa"/>
              <w:left w:w="100" w:type="dxa"/>
              <w:bottom w:w="60" w:type="dxa"/>
              <w:right w:w="100" w:type="dxa"/>
            </w:tcMar>
            <w:vAlign w:val="center"/>
          </w:tcPr>
          <w:p w14:paraId="4F22DA9D" w14:textId="77777777" w:rsidR="002E57BB" w:rsidRPr="00280009" w:rsidRDefault="002E57BB" w:rsidP="00280009">
            <w:pPr>
              <w:spacing w:line="360" w:lineRule="auto"/>
              <w:jc w:val="center"/>
              <w:rPr>
                <w:rFonts w:ascii="Arial" w:hAnsi="Arial" w:cs="Arial"/>
              </w:rPr>
            </w:pPr>
            <w:r w:rsidRPr="00280009">
              <w:rPr>
                <w:rFonts w:ascii="Arial" w:hAnsi="Arial" w:cs="Arial"/>
                <w:color w:val="000000"/>
              </w:rPr>
              <w:t>21.3%</w:t>
            </w:r>
          </w:p>
        </w:tc>
      </w:tr>
      <w:tr w:rsidR="002E57BB" w14:paraId="1E0FFD7B" w14:textId="77777777" w:rsidTr="003F605D">
        <w:tc>
          <w:tcPr>
            <w:tcW w:w="2600" w:type="dxa"/>
            <w:shd w:val="clear" w:color="auto" w:fill="FFFFFF"/>
            <w:tcMar>
              <w:top w:w="60" w:type="dxa"/>
              <w:left w:w="100" w:type="dxa"/>
              <w:bottom w:w="60" w:type="dxa"/>
              <w:right w:w="100" w:type="dxa"/>
            </w:tcMar>
            <w:vAlign w:val="center"/>
          </w:tcPr>
          <w:p w14:paraId="630B14FE" w14:textId="77777777" w:rsidR="002E57BB" w:rsidRPr="00280009" w:rsidRDefault="002E57BB" w:rsidP="00280009">
            <w:pPr>
              <w:spacing w:line="360" w:lineRule="auto"/>
              <w:jc w:val="center"/>
              <w:rPr>
                <w:rFonts w:ascii="Arial" w:hAnsi="Arial" w:cs="Arial"/>
              </w:rPr>
            </w:pPr>
            <w:r w:rsidRPr="00280009">
              <w:rPr>
                <w:rFonts w:ascii="Arial" w:hAnsi="Arial" w:cs="Arial"/>
                <w:color w:val="000000"/>
              </w:rPr>
              <w:t>Net profit margin</w:t>
            </w:r>
          </w:p>
        </w:tc>
        <w:tc>
          <w:tcPr>
            <w:tcW w:w="1400" w:type="dxa"/>
            <w:shd w:val="clear" w:color="auto" w:fill="FFFFFF"/>
            <w:tcMar>
              <w:top w:w="60" w:type="dxa"/>
              <w:left w:w="100" w:type="dxa"/>
              <w:bottom w:w="60" w:type="dxa"/>
              <w:right w:w="100" w:type="dxa"/>
            </w:tcMar>
            <w:vAlign w:val="center"/>
          </w:tcPr>
          <w:p w14:paraId="3B312E6A" w14:textId="77777777" w:rsidR="002E57BB" w:rsidRPr="00280009" w:rsidRDefault="002E57BB" w:rsidP="00280009">
            <w:pPr>
              <w:spacing w:line="360" w:lineRule="auto"/>
              <w:jc w:val="center"/>
              <w:rPr>
                <w:rFonts w:ascii="Arial" w:hAnsi="Arial" w:cs="Arial"/>
              </w:rPr>
            </w:pPr>
            <w:r w:rsidRPr="00280009">
              <w:rPr>
                <w:rFonts w:ascii="Arial" w:hAnsi="Arial" w:cs="Arial"/>
                <w:color w:val="000000"/>
              </w:rPr>
              <w:t>3.9%</w:t>
            </w:r>
          </w:p>
        </w:tc>
        <w:tc>
          <w:tcPr>
            <w:tcW w:w="1400" w:type="dxa"/>
            <w:shd w:val="clear" w:color="auto" w:fill="FFFFFF"/>
            <w:tcMar>
              <w:top w:w="60" w:type="dxa"/>
              <w:left w:w="100" w:type="dxa"/>
              <w:bottom w:w="60" w:type="dxa"/>
              <w:right w:w="100" w:type="dxa"/>
            </w:tcMar>
            <w:vAlign w:val="center"/>
          </w:tcPr>
          <w:p w14:paraId="68CE5FB0" w14:textId="77777777" w:rsidR="002E57BB" w:rsidRPr="00280009" w:rsidRDefault="002E57BB" w:rsidP="00280009">
            <w:pPr>
              <w:spacing w:line="360" w:lineRule="auto"/>
              <w:jc w:val="center"/>
              <w:rPr>
                <w:rFonts w:ascii="Arial" w:hAnsi="Arial" w:cs="Arial"/>
              </w:rPr>
            </w:pPr>
            <w:r w:rsidRPr="00280009">
              <w:rPr>
                <w:rFonts w:ascii="Arial" w:hAnsi="Arial" w:cs="Arial"/>
                <w:color w:val="000000"/>
              </w:rPr>
              <w:t>9.5%</w:t>
            </w:r>
          </w:p>
        </w:tc>
        <w:tc>
          <w:tcPr>
            <w:tcW w:w="1400" w:type="dxa"/>
            <w:shd w:val="clear" w:color="auto" w:fill="FFFFFF"/>
            <w:tcMar>
              <w:top w:w="60" w:type="dxa"/>
              <w:left w:w="100" w:type="dxa"/>
              <w:bottom w:w="60" w:type="dxa"/>
              <w:right w:w="100" w:type="dxa"/>
            </w:tcMar>
            <w:vAlign w:val="center"/>
          </w:tcPr>
          <w:p w14:paraId="5039D235" w14:textId="77777777" w:rsidR="002E57BB" w:rsidRPr="00280009" w:rsidRDefault="002E57BB" w:rsidP="00280009">
            <w:pPr>
              <w:spacing w:line="360" w:lineRule="auto"/>
              <w:jc w:val="center"/>
              <w:rPr>
                <w:rFonts w:ascii="Arial" w:hAnsi="Arial" w:cs="Arial"/>
              </w:rPr>
            </w:pPr>
            <w:r w:rsidRPr="00280009">
              <w:rPr>
                <w:rFonts w:ascii="Arial" w:hAnsi="Arial" w:cs="Arial"/>
                <w:color w:val="000000"/>
              </w:rPr>
              <w:t>12.5%</w:t>
            </w:r>
          </w:p>
        </w:tc>
        <w:tc>
          <w:tcPr>
            <w:tcW w:w="1400" w:type="dxa"/>
            <w:shd w:val="clear" w:color="auto" w:fill="FFFFFF"/>
            <w:tcMar>
              <w:top w:w="60" w:type="dxa"/>
              <w:left w:w="100" w:type="dxa"/>
              <w:bottom w:w="60" w:type="dxa"/>
              <w:right w:w="100" w:type="dxa"/>
            </w:tcMar>
            <w:vAlign w:val="center"/>
          </w:tcPr>
          <w:p w14:paraId="55420AFA" w14:textId="77777777" w:rsidR="002E57BB" w:rsidRPr="00280009" w:rsidRDefault="002E57BB" w:rsidP="00280009">
            <w:pPr>
              <w:spacing w:line="360" w:lineRule="auto"/>
              <w:jc w:val="center"/>
              <w:rPr>
                <w:rFonts w:ascii="Arial" w:hAnsi="Arial" w:cs="Arial"/>
              </w:rPr>
            </w:pPr>
            <w:r w:rsidRPr="00280009">
              <w:rPr>
                <w:rFonts w:ascii="Arial" w:hAnsi="Arial" w:cs="Arial"/>
                <w:color w:val="000000"/>
              </w:rPr>
              <w:t>10.9%</w:t>
            </w:r>
          </w:p>
        </w:tc>
        <w:tc>
          <w:tcPr>
            <w:tcW w:w="1400" w:type="dxa"/>
            <w:shd w:val="clear" w:color="auto" w:fill="FFFFFF"/>
            <w:tcMar>
              <w:top w:w="60" w:type="dxa"/>
              <w:left w:w="100" w:type="dxa"/>
              <w:bottom w:w="60" w:type="dxa"/>
              <w:right w:w="100" w:type="dxa"/>
            </w:tcMar>
            <w:vAlign w:val="center"/>
          </w:tcPr>
          <w:p w14:paraId="61ABFCD9" w14:textId="77777777" w:rsidR="002E57BB" w:rsidRPr="00280009" w:rsidRDefault="002E57BB" w:rsidP="00280009">
            <w:pPr>
              <w:spacing w:line="360" w:lineRule="auto"/>
              <w:jc w:val="center"/>
              <w:rPr>
                <w:rFonts w:ascii="Arial" w:hAnsi="Arial" w:cs="Arial"/>
              </w:rPr>
            </w:pPr>
            <w:r w:rsidRPr="00280009">
              <w:rPr>
                <w:rFonts w:ascii="Arial" w:hAnsi="Arial" w:cs="Arial"/>
                <w:color w:val="000000"/>
              </w:rPr>
              <w:t>8.0%</w:t>
            </w:r>
          </w:p>
        </w:tc>
      </w:tr>
      <w:tr w:rsidR="002E57BB" w14:paraId="35080D37" w14:textId="77777777" w:rsidTr="003F605D">
        <w:tc>
          <w:tcPr>
            <w:tcW w:w="2600" w:type="dxa"/>
            <w:shd w:val="clear" w:color="auto" w:fill="F2F2F2"/>
            <w:tcMar>
              <w:top w:w="60" w:type="dxa"/>
              <w:left w:w="100" w:type="dxa"/>
              <w:bottom w:w="60" w:type="dxa"/>
              <w:right w:w="100" w:type="dxa"/>
            </w:tcMar>
            <w:vAlign w:val="center"/>
          </w:tcPr>
          <w:p w14:paraId="667C19B2" w14:textId="77777777" w:rsidR="002E57BB" w:rsidRPr="00280009" w:rsidRDefault="002E57BB" w:rsidP="00280009">
            <w:pPr>
              <w:spacing w:line="360" w:lineRule="auto"/>
              <w:jc w:val="center"/>
              <w:rPr>
                <w:rFonts w:ascii="Arial" w:hAnsi="Arial" w:cs="Arial"/>
              </w:rPr>
            </w:pPr>
            <w:r w:rsidRPr="00280009">
              <w:rPr>
                <w:rFonts w:ascii="Arial" w:hAnsi="Arial" w:cs="Arial"/>
                <w:color w:val="000000"/>
              </w:rPr>
              <w:t>Return on Equity (ROE)</w:t>
            </w:r>
          </w:p>
        </w:tc>
        <w:tc>
          <w:tcPr>
            <w:tcW w:w="1400" w:type="dxa"/>
            <w:shd w:val="clear" w:color="auto" w:fill="F2F2F2"/>
            <w:tcMar>
              <w:top w:w="60" w:type="dxa"/>
              <w:left w:w="100" w:type="dxa"/>
              <w:bottom w:w="60" w:type="dxa"/>
              <w:right w:w="100" w:type="dxa"/>
            </w:tcMar>
            <w:vAlign w:val="center"/>
          </w:tcPr>
          <w:p w14:paraId="41F29C7A" w14:textId="4E61CC82" w:rsidR="002E57BB" w:rsidRPr="00280009" w:rsidRDefault="001A326C" w:rsidP="00280009">
            <w:pPr>
              <w:spacing w:line="360" w:lineRule="auto"/>
              <w:jc w:val="center"/>
              <w:rPr>
                <w:rFonts w:ascii="Arial" w:hAnsi="Arial" w:cs="Arial"/>
              </w:rPr>
            </w:pPr>
            <w:r w:rsidRPr="00280009">
              <w:rPr>
                <w:rFonts w:ascii="Arial" w:hAnsi="Arial" w:cs="Arial"/>
              </w:rPr>
              <w:t>1.96%</w:t>
            </w:r>
          </w:p>
        </w:tc>
        <w:tc>
          <w:tcPr>
            <w:tcW w:w="1400" w:type="dxa"/>
            <w:shd w:val="clear" w:color="auto" w:fill="F2F2F2"/>
            <w:tcMar>
              <w:top w:w="60" w:type="dxa"/>
              <w:left w:w="100" w:type="dxa"/>
              <w:bottom w:w="60" w:type="dxa"/>
              <w:right w:w="100" w:type="dxa"/>
            </w:tcMar>
            <w:vAlign w:val="center"/>
          </w:tcPr>
          <w:p w14:paraId="1369D3DB" w14:textId="77777777" w:rsidR="002E57BB" w:rsidRPr="00280009" w:rsidRDefault="002E57BB" w:rsidP="00280009">
            <w:pPr>
              <w:spacing w:line="360" w:lineRule="auto"/>
              <w:jc w:val="center"/>
              <w:rPr>
                <w:rFonts w:ascii="Arial" w:hAnsi="Arial" w:cs="Arial"/>
              </w:rPr>
            </w:pPr>
            <w:r w:rsidRPr="00280009">
              <w:rPr>
                <w:rFonts w:ascii="Arial" w:hAnsi="Arial" w:cs="Arial"/>
                <w:color w:val="000000"/>
              </w:rPr>
              <w:t>7.4%</w:t>
            </w:r>
          </w:p>
        </w:tc>
        <w:tc>
          <w:tcPr>
            <w:tcW w:w="1400" w:type="dxa"/>
            <w:shd w:val="clear" w:color="auto" w:fill="F2F2F2"/>
            <w:tcMar>
              <w:top w:w="60" w:type="dxa"/>
              <w:left w:w="100" w:type="dxa"/>
              <w:bottom w:w="60" w:type="dxa"/>
              <w:right w:w="100" w:type="dxa"/>
            </w:tcMar>
            <w:vAlign w:val="center"/>
          </w:tcPr>
          <w:p w14:paraId="5DF142BC" w14:textId="77777777" w:rsidR="002E57BB" w:rsidRPr="00280009" w:rsidRDefault="002E57BB" w:rsidP="00280009">
            <w:pPr>
              <w:spacing w:line="360" w:lineRule="auto"/>
              <w:jc w:val="center"/>
              <w:rPr>
                <w:rFonts w:ascii="Arial" w:hAnsi="Arial" w:cs="Arial"/>
              </w:rPr>
            </w:pPr>
            <w:r w:rsidRPr="00280009">
              <w:rPr>
                <w:rFonts w:ascii="Arial" w:hAnsi="Arial" w:cs="Arial"/>
                <w:color w:val="000000"/>
              </w:rPr>
              <w:t>11.9%</w:t>
            </w:r>
          </w:p>
        </w:tc>
        <w:tc>
          <w:tcPr>
            <w:tcW w:w="1400" w:type="dxa"/>
            <w:shd w:val="clear" w:color="auto" w:fill="F2F2F2"/>
            <w:tcMar>
              <w:top w:w="60" w:type="dxa"/>
              <w:left w:w="100" w:type="dxa"/>
              <w:bottom w:w="60" w:type="dxa"/>
              <w:right w:w="100" w:type="dxa"/>
            </w:tcMar>
            <w:vAlign w:val="center"/>
          </w:tcPr>
          <w:p w14:paraId="0B9A1FC2" w14:textId="77777777" w:rsidR="002E57BB" w:rsidRPr="00280009" w:rsidRDefault="002E57BB" w:rsidP="00280009">
            <w:pPr>
              <w:spacing w:line="360" w:lineRule="auto"/>
              <w:jc w:val="center"/>
              <w:rPr>
                <w:rFonts w:ascii="Arial" w:hAnsi="Arial" w:cs="Arial"/>
              </w:rPr>
            </w:pPr>
            <w:r w:rsidRPr="00280009">
              <w:rPr>
                <w:rFonts w:ascii="Arial" w:hAnsi="Arial" w:cs="Arial"/>
                <w:color w:val="000000"/>
              </w:rPr>
              <w:t>11.2%</w:t>
            </w:r>
          </w:p>
        </w:tc>
        <w:tc>
          <w:tcPr>
            <w:tcW w:w="1400" w:type="dxa"/>
            <w:shd w:val="clear" w:color="auto" w:fill="F2F2F2"/>
            <w:tcMar>
              <w:top w:w="60" w:type="dxa"/>
              <w:left w:w="100" w:type="dxa"/>
              <w:bottom w:w="60" w:type="dxa"/>
              <w:right w:w="100" w:type="dxa"/>
            </w:tcMar>
            <w:vAlign w:val="center"/>
          </w:tcPr>
          <w:p w14:paraId="32C119D0" w14:textId="77777777" w:rsidR="002E57BB" w:rsidRPr="00280009" w:rsidRDefault="002E57BB" w:rsidP="00280009">
            <w:pPr>
              <w:spacing w:line="360" w:lineRule="auto"/>
              <w:jc w:val="center"/>
              <w:rPr>
                <w:rFonts w:ascii="Arial" w:hAnsi="Arial" w:cs="Arial"/>
              </w:rPr>
            </w:pPr>
            <w:r w:rsidRPr="00280009">
              <w:rPr>
                <w:rFonts w:ascii="Arial" w:hAnsi="Arial" w:cs="Arial"/>
                <w:color w:val="000000"/>
              </w:rPr>
              <w:t>9.5%</w:t>
            </w:r>
          </w:p>
        </w:tc>
      </w:tr>
      <w:tr w:rsidR="002E57BB" w14:paraId="4B793E63" w14:textId="77777777" w:rsidTr="003F605D">
        <w:tc>
          <w:tcPr>
            <w:tcW w:w="2600" w:type="dxa"/>
            <w:shd w:val="clear" w:color="auto" w:fill="FFFFFF"/>
            <w:tcMar>
              <w:top w:w="60" w:type="dxa"/>
              <w:left w:w="100" w:type="dxa"/>
              <w:bottom w:w="60" w:type="dxa"/>
              <w:right w:w="100" w:type="dxa"/>
            </w:tcMar>
            <w:vAlign w:val="center"/>
          </w:tcPr>
          <w:p w14:paraId="10EFC9DB" w14:textId="77777777" w:rsidR="002E57BB" w:rsidRPr="00280009" w:rsidRDefault="002E57BB" w:rsidP="00280009">
            <w:pPr>
              <w:spacing w:line="360" w:lineRule="auto"/>
              <w:jc w:val="center"/>
              <w:rPr>
                <w:rFonts w:ascii="Arial" w:hAnsi="Arial" w:cs="Arial"/>
              </w:rPr>
            </w:pPr>
            <w:r w:rsidRPr="00280009">
              <w:rPr>
                <w:rFonts w:ascii="Arial" w:hAnsi="Arial" w:cs="Arial"/>
                <w:color w:val="000000"/>
              </w:rPr>
              <w:t>Return on Assets (ROA)</w:t>
            </w:r>
          </w:p>
        </w:tc>
        <w:tc>
          <w:tcPr>
            <w:tcW w:w="1400" w:type="dxa"/>
            <w:shd w:val="clear" w:color="auto" w:fill="FFFFFF"/>
            <w:tcMar>
              <w:top w:w="60" w:type="dxa"/>
              <w:left w:w="100" w:type="dxa"/>
              <w:bottom w:w="60" w:type="dxa"/>
              <w:right w:w="100" w:type="dxa"/>
            </w:tcMar>
            <w:vAlign w:val="center"/>
          </w:tcPr>
          <w:p w14:paraId="5A1F85FD" w14:textId="1A5F1158" w:rsidR="002E57BB" w:rsidRPr="00280009" w:rsidRDefault="00FA6FD8" w:rsidP="00280009">
            <w:pPr>
              <w:spacing w:line="360" w:lineRule="auto"/>
              <w:jc w:val="center"/>
              <w:rPr>
                <w:rFonts w:ascii="Arial" w:hAnsi="Arial" w:cs="Arial"/>
              </w:rPr>
            </w:pPr>
            <w:r w:rsidRPr="00280009">
              <w:rPr>
                <w:rFonts w:ascii="Arial" w:hAnsi="Arial" w:cs="Arial"/>
                <w:color w:val="000000"/>
              </w:rPr>
              <w:t>0.84%</w:t>
            </w:r>
          </w:p>
        </w:tc>
        <w:tc>
          <w:tcPr>
            <w:tcW w:w="1400" w:type="dxa"/>
            <w:shd w:val="clear" w:color="auto" w:fill="FFFFFF"/>
            <w:tcMar>
              <w:top w:w="60" w:type="dxa"/>
              <w:left w:w="100" w:type="dxa"/>
              <w:bottom w:w="60" w:type="dxa"/>
              <w:right w:w="100" w:type="dxa"/>
            </w:tcMar>
            <w:vAlign w:val="center"/>
          </w:tcPr>
          <w:p w14:paraId="066413EE" w14:textId="77777777" w:rsidR="002E57BB" w:rsidRPr="00280009" w:rsidRDefault="002E57BB" w:rsidP="00280009">
            <w:pPr>
              <w:spacing w:line="360" w:lineRule="auto"/>
              <w:jc w:val="center"/>
              <w:rPr>
                <w:rFonts w:ascii="Arial" w:hAnsi="Arial" w:cs="Arial"/>
              </w:rPr>
            </w:pPr>
            <w:r w:rsidRPr="00280009">
              <w:rPr>
                <w:rFonts w:ascii="Arial" w:hAnsi="Arial" w:cs="Arial"/>
                <w:color w:val="000000"/>
              </w:rPr>
              <w:t>3.4%</w:t>
            </w:r>
          </w:p>
        </w:tc>
        <w:tc>
          <w:tcPr>
            <w:tcW w:w="1400" w:type="dxa"/>
            <w:shd w:val="clear" w:color="auto" w:fill="FFFFFF"/>
            <w:tcMar>
              <w:top w:w="60" w:type="dxa"/>
              <w:left w:w="100" w:type="dxa"/>
              <w:bottom w:w="60" w:type="dxa"/>
              <w:right w:w="100" w:type="dxa"/>
            </w:tcMar>
            <w:vAlign w:val="center"/>
          </w:tcPr>
          <w:p w14:paraId="485D3CD8" w14:textId="77777777" w:rsidR="002E57BB" w:rsidRPr="00280009" w:rsidRDefault="002E57BB" w:rsidP="00280009">
            <w:pPr>
              <w:spacing w:line="360" w:lineRule="auto"/>
              <w:jc w:val="center"/>
              <w:rPr>
                <w:rFonts w:ascii="Arial" w:hAnsi="Arial" w:cs="Arial"/>
              </w:rPr>
            </w:pPr>
            <w:r w:rsidRPr="00280009">
              <w:rPr>
                <w:rFonts w:ascii="Arial" w:hAnsi="Arial" w:cs="Arial"/>
                <w:color w:val="000000"/>
              </w:rPr>
              <w:t>5.6%</w:t>
            </w:r>
          </w:p>
        </w:tc>
        <w:tc>
          <w:tcPr>
            <w:tcW w:w="1400" w:type="dxa"/>
            <w:shd w:val="clear" w:color="auto" w:fill="FFFFFF"/>
            <w:tcMar>
              <w:top w:w="60" w:type="dxa"/>
              <w:left w:w="100" w:type="dxa"/>
              <w:bottom w:w="60" w:type="dxa"/>
              <w:right w:w="100" w:type="dxa"/>
            </w:tcMar>
            <w:vAlign w:val="center"/>
          </w:tcPr>
          <w:p w14:paraId="3BF40AD4" w14:textId="77777777" w:rsidR="002E57BB" w:rsidRPr="00280009" w:rsidRDefault="002E57BB" w:rsidP="00280009">
            <w:pPr>
              <w:spacing w:line="360" w:lineRule="auto"/>
              <w:jc w:val="center"/>
              <w:rPr>
                <w:rFonts w:ascii="Arial" w:hAnsi="Arial" w:cs="Arial"/>
              </w:rPr>
            </w:pPr>
            <w:r w:rsidRPr="00280009">
              <w:rPr>
                <w:rFonts w:ascii="Arial" w:hAnsi="Arial" w:cs="Arial"/>
                <w:color w:val="000000"/>
              </w:rPr>
              <w:t>5.1%</w:t>
            </w:r>
          </w:p>
        </w:tc>
        <w:tc>
          <w:tcPr>
            <w:tcW w:w="1400" w:type="dxa"/>
            <w:shd w:val="clear" w:color="auto" w:fill="FFFFFF"/>
            <w:tcMar>
              <w:top w:w="60" w:type="dxa"/>
              <w:left w:w="100" w:type="dxa"/>
              <w:bottom w:w="60" w:type="dxa"/>
              <w:right w:w="100" w:type="dxa"/>
            </w:tcMar>
            <w:vAlign w:val="center"/>
          </w:tcPr>
          <w:p w14:paraId="1C50311F" w14:textId="77777777" w:rsidR="002E57BB" w:rsidRPr="00280009" w:rsidRDefault="002E57BB" w:rsidP="00280009">
            <w:pPr>
              <w:spacing w:line="360" w:lineRule="auto"/>
              <w:jc w:val="center"/>
              <w:rPr>
                <w:rFonts w:ascii="Arial" w:hAnsi="Arial" w:cs="Arial"/>
              </w:rPr>
            </w:pPr>
            <w:r w:rsidRPr="00280009">
              <w:rPr>
                <w:rFonts w:ascii="Arial" w:hAnsi="Arial" w:cs="Arial"/>
                <w:color w:val="000000"/>
              </w:rPr>
              <w:t>3.8%</w:t>
            </w:r>
          </w:p>
        </w:tc>
      </w:tr>
    </w:tbl>
    <w:p w14:paraId="2221B7C4" w14:textId="77777777" w:rsidR="00BD4923" w:rsidRDefault="00BD4923" w:rsidP="00EA1249">
      <w:pPr>
        <w:rPr>
          <w:rFonts w:ascii="Arial" w:hAnsi="Arial" w:cs="Arial"/>
          <w:sz w:val="22"/>
          <w:szCs w:val="22"/>
        </w:rPr>
      </w:pPr>
    </w:p>
    <w:p w14:paraId="0AFA230D" w14:textId="1050A7DA" w:rsidR="002E57BB" w:rsidRPr="004C1B6C" w:rsidRDefault="005C2EC6" w:rsidP="00EA1249">
      <w:pPr>
        <w:rPr>
          <w:rFonts w:ascii="Arial" w:hAnsi="Arial" w:cs="Arial"/>
          <w:sz w:val="22"/>
          <w:szCs w:val="22"/>
        </w:rPr>
      </w:pPr>
      <w:r>
        <w:rPr>
          <w:noProof/>
        </w:rPr>
        <w:drawing>
          <wp:inline distT="0" distB="0" distL="0" distR="0" wp14:anchorId="01441896" wp14:editId="23F468C0">
            <wp:extent cx="5731510" cy="3223778"/>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731510" cy="3223778"/>
                    </a:xfrm>
                    <a:prstGeom prst="rect">
                      <a:avLst/>
                    </a:prstGeom>
                  </pic:spPr>
                </pic:pic>
              </a:graphicData>
            </a:graphic>
          </wp:inline>
        </w:drawing>
      </w:r>
    </w:p>
    <w:p w14:paraId="688E1EAC" w14:textId="0D6A7F4A" w:rsidR="004D0D8F" w:rsidRDefault="002F4A95">
      <w:pPr>
        <w:rPr>
          <w:rFonts w:ascii="Arial" w:hAnsi="Arial" w:cs="Arial"/>
          <w:i/>
          <w:iCs/>
          <w:sz w:val="22"/>
          <w:szCs w:val="22"/>
        </w:rPr>
      </w:pPr>
      <w:r w:rsidRPr="00C03196">
        <w:rPr>
          <w:rFonts w:ascii="Arial" w:hAnsi="Arial" w:cs="Arial"/>
          <w:i/>
          <w:iCs/>
          <w:sz w:val="22"/>
          <w:szCs w:val="22"/>
        </w:rPr>
        <w:t>Figure</w:t>
      </w:r>
      <w:r w:rsidR="00CF6EF0">
        <w:rPr>
          <w:rFonts w:ascii="Arial" w:hAnsi="Arial" w:cs="Arial"/>
          <w:i/>
          <w:iCs/>
          <w:sz w:val="22"/>
          <w:szCs w:val="22"/>
        </w:rPr>
        <w:t xml:space="preserve"> 4</w:t>
      </w:r>
      <w:r w:rsidRPr="00C03196">
        <w:rPr>
          <w:rFonts w:ascii="Arial" w:hAnsi="Arial" w:cs="Arial"/>
          <w:i/>
          <w:iCs/>
          <w:sz w:val="22"/>
          <w:szCs w:val="22"/>
        </w:rPr>
        <w:t>: Revenue and net profit, Group share</w:t>
      </w:r>
      <w:r w:rsidR="00C03196" w:rsidRPr="00C03196">
        <w:rPr>
          <w:rFonts w:ascii="Arial" w:hAnsi="Arial" w:cs="Arial"/>
          <w:i/>
          <w:iCs/>
          <w:sz w:val="22"/>
          <w:szCs w:val="22"/>
        </w:rPr>
        <w:t xml:space="preserve">, 2021 </w:t>
      </w:r>
      <w:r w:rsidR="00C03196">
        <w:rPr>
          <w:rFonts w:ascii="Arial" w:hAnsi="Arial" w:cs="Arial"/>
          <w:i/>
          <w:iCs/>
          <w:sz w:val="22"/>
          <w:szCs w:val="22"/>
        </w:rPr>
        <w:t>–</w:t>
      </w:r>
      <w:r w:rsidR="00C03196" w:rsidRPr="00C03196">
        <w:rPr>
          <w:rFonts w:ascii="Arial" w:hAnsi="Arial" w:cs="Arial"/>
          <w:i/>
          <w:iCs/>
          <w:sz w:val="22"/>
          <w:szCs w:val="22"/>
        </w:rPr>
        <w:t xml:space="preserve"> 2025</w:t>
      </w:r>
    </w:p>
    <w:p w14:paraId="1F48400E" w14:textId="77777777" w:rsidR="00396E98" w:rsidRPr="009947B5" w:rsidRDefault="00396E98">
      <w:pPr>
        <w:rPr>
          <w:rFonts w:ascii="Arial" w:hAnsi="Arial" w:cs="Arial"/>
          <w:i/>
          <w:iCs/>
          <w:sz w:val="22"/>
          <w:szCs w:val="22"/>
        </w:rPr>
      </w:pPr>
    </w:p>
    <w:p w14:paraId="40FD4DA1" w14:textId="11824BA0" w:rsidR="009C367C" w:rsidRDefault="009C367C" w:rsidP="0017510C">
      <w:pPr>
        <w:pStyle w:val="Heading2"/>
        <w:spacing w:line="360" w:lineRule="auto"/>
        <w:jc w:val="both"/>
        <w:rPr>
          <w:rFonts w:ascii="Baskerville Old Face" w:hAnsi="Baskerville Old Face"/>
          <w:b/>
          <w:bCs/>
          <w:color w:val="000000" w:themeColor="text1"/>
        </w:rPr>
      </w:pPr>
      <w:bookmarkStart w:id="4" w:name="_Toc235559585"/>
      <w:r w:rsidRPr="001F1DFC">
        <w:rPr>
          <w:rFonts w:ascii="Baskerville Old Face" w:hAnsi="Baskerville Old Face"/>
          <w:b/>
          <w:bCs/>
          <w:color w:val="000000" w:themeColor="text1"/>
        </w:rPr>
        <w:lastRenderedPageBreak/>
        <w:t>Cash Flow Statement</w:t>
      </w:r>
      <w:bookmarkEnd w:id="4"/>
    </w:p>
    <w:tbl>
      <w:tblPr>
        <w:tblStyle w:val="TableGrid"/>
        <w:tblW w:w="10353" w:type="dxa"/>
        <w:tblInd w:w="-572" w:type="dxa"/>
        <w:tblLook w:val="04A0" w:firstRow="1" w:lastRow="0" w:firstColumn="1" w:lastColumn="0" w:noHBand="0" w:noVBand="1"/>
      </w:tblPr>
      <w:tblGrid>
        <w:gridCol w:w="4660"/>
        <w:gridCol w:w="1135"/>
        <w:gridCol w:w="834"/>
        <w:gridCol w:w="1049"/>
        <w:gridCol w:w="834"/>
        <w:gridCol w:w="1841"/>
      </w:tblGrid>
      <w:tr w:rsidR="00FE014E" w:rsidRPr="00395FBA" w14:paraId="38945520" w14:textId="77777777" w:rsidTr="00164A64">
        <w:trPr>
          <w:trHeight w:val="411"/>
        </w:trPr>
        <w:tc>
          <w:tcPr>
            <w:tcW w:w="4660" w:type="dxa"/>
            <w:hideMark/>
          </w:tcPr>
          <w:p w14:paraId="13B63EA2" w14:textId="77777777" w:rsidR="00FE014E" w:rsidRPr="00395FBA" w:rsidRDefault="00FE014E" w:rsidP="00395FBA">
            <w:pPr>
              <w:spacing w:line="360" w:lineRule="auto"/>
              <w:rPr>
                <w:rFonts w:ascii="Arial" w:eastAsia="Times New Roman" w:hAnsi="Arial" w:cs="Arial"/>
                <w:b/>
                <w:bCs/>
                <w:color w:val="000000"/>
                <w:kern w:val="0"/>
                <w:lang w:eastAsia="en-GB"/>
                <w14:ligatures w14:val="none"/>
              </w:rPr>
            </w:pPr>
            <w:r w:rsidRPr="00395FBA">
              <w:rPr>
                <w:rFonts w:ascii="Arial" w:eastAsia="Times New Roman" w:hAnsi="Arial" w:cs="Arial"/>
                <w:b/>
                <w:bCs/>
                <w:color w:val="000000"/>
                <w:kern w:val="0"/>
                <w:lang w:eastAsia="en-GB"/>
                <w14:ligatures w14:val="none"/>
              </w:rPr>
              <w:t>€m (FY, Dec year-end)</w:t>
            </w:r>
          </w:p>
        </w:tc>
        <w:tc>
          <w:tcPr>
            <w:tcW w:w="0" w:type="auto"/>
            <w:hideMark/>
          </w:tcPr>
          <w:p w14:paraId="518D9010" w14:textId="77777777" w:rsidR="00FE014E" w:rsidRPr="00395FBA" w:rsidRDefault="00FE014E" w:rsidP="00395FBA">
            <w:pPr>
              <w:spacing w:line="360" w:lineRule="auto"/>
              <w:rPr>
                <w:rFonts w:ascii="Arial" w:eastAsia="Times New Roman" w:hAnsi="Arial" w:cs="Arial"/>
                <w:b/>
                <w:bCs/>
                <w:color w:val="000000"/>
                <w:kern w:val="0"/>
                <w:lang w:eastAsia="en-GB"/>
                <w14:ligatures w14:val="none"/>
              </w:rPr>
            </w:pPr>
            <w:r w:rsidRPr="00395FBA">
              <w:rPr>
                <w:rFonts w:ascii="Arial" w:eastAsia="Times New Roman" w:hAnsi="Arial" w:cs="Arial"/>
                <w:b/>
                <w:bCs/>
                <w:color w:val="000000"/>
                <w:kern w:val="0"/>
                <w:lang w:eastAsia="en-GB"/>
                <w14:ligatures w14:val="none"/>
              </w:rPr>
              <w:t>2021</w:t>
            </w:r>
          </w:p>
        </w:tc>
        <w:tc>
          <w:tcPr>
            <w:tcW w:w="0" w:type="auto"/>
            <w:hideMark/>
          </w:tcPr>
          <w:p w14:paraId="3EDC8D08" w14:textId="77777777" w:rsidR="00FE014E" w:rsidRPr="00395FBA" w:rsidRDefault="00FE014E" w:rsidP="00395FBA">
            <w:pPr>
              <w:spacing w:line="360" w:lineRule="auto"/>
              <w:rPr>
                <w:rFonts w:ascii="Arial" w:eastAsia="Times New Roman" w:hAnsi="Arial" w:cs="Arial"/>
                <w:b/>
                <w:bCs/>
                <w:color w:val="000000"/>
                <w:kern w:val="0"/>
                <w:lang w:eastAsia="en-GB"/>
                <w14:ligatures w14:val="none"/>
              </w:rPr>
            </w:pPr>
            <w:r w:rsidRPr="00395FBA">
              <w:rPr>
                <w:rFonts w:ascii="Arial" w:eastAsia="Times New Roman" w:hAnsi="Arial" w:cs="Arial"/>
                <w:b/>
                <w:bCs/>
                <w:color w:val="000000"/>
                <w:kern w:val="0"/>
                <w:lang w:eastAsia="en-GB"/>
                <w14:ligatures w14:val="none"/>
              </w:rPr>
              <w:t>2022</w:t>
            </w:r>
          </w:p>
        </w:tc>
        <w:tc>
          <w:tcPr>
            <w:tcW w:w="0" w:type="auto"/>
            <w:hideMark/>
          </w:tcPr>
          <w:p w14:paraId="2E1B2FDE" w14:textId="77777777" w:rsidR="00FE014E" w:rsidRPr="00395FBA" w:rsidRDefault="00FE014E" w:rsidP="00395FBA">
            <w:pPr>
              <w:spacing w:line="360" w:lineRule="auto"/>
              <w:rPr>
                <w:rFonts w:ascii="Arial" w:eastAsia="Times New Roman" w:hAnsi="Arial" w:cs="Arial"/>
                <w:b/>
                <w:bCs/>
                <w:color w:val="000000"/>
                <w:kern w:val="0"/>
                <w:lang w:eastAsia="en-GB"/>
                <w14:ligatures w14:val="none"/>
              </w:rPr>
            </w:pPr>
            <w:r w:rsidRPr="00395FBA">
              <w:rPr>
                <w:rFonts w:ascii="Arial" w:eastAsia="Times New Roman" w:hAnsi="Arial" w:cs="Arial"/>
                <w:b/>
                <w:bCs/>
                <w:color w:val="000000"/>
                <w:kern w:val="0"/>
                <w:lang w:eastAsia="en-GB"/>
                <w14:ligatures w14:val="none"/>
              </w:rPr>
              <w:t>2023</w:t>
            </w:r>
          </w:p>
        </w:tc>
        <w:tc>
          <w:tcPr>
            <w:tcW w:w="0" w:type="auto"/>
            <w:hideMark/>
          </w:tcPr>
          <w:p w14:paraId="640827D2" w14:textId="77777777" w:rsidR="00FE014E" w:rsidRPr="00395FBA" w:rsidRDefault="00FE014E" w:rsidP="00395FBA">
            <w:pPr>
              <w:spacing w:line="360" w:lineRule="auto"/>
              <w:rPr>
                <w:rFonts w:ascii="Arial" w:eastAsia="Times New Roman" w:hAnsi="Arial" w:cs="Arial"/>
                <w:b/>
                <w:bCs/>
                <w:color w:val="000000"/>
                <w:kern w:val="0"/>
                <w:lang w:eastAsia="en-GB"/>
                <w14:ligatures w14:val="none"/>
              </w:rPr>
            </w:pPr>
            <w:r w:rsidRPr="00395FBA">
              <w:rPr>
                <w:rFonts w:ascii="Arial" w:eastAsia="Times New Roman" w:hAnsi="Arial" w:cs="Arial"/>
                <w:b/>
                <w:bCs/>
                <w:color w:val="000000"/>
                <w:kern w:val="0"/>
                <w:lang w:eastAsia="en-GB"/>
                <w14:ligatures w14:val="none"/>
              </w:rPr>
              <w:t>2024</w:t>
            </w:r>
          </w:p>
        </w:tc>
        <w:tc>
          <w:tcPr>
            <w:tcW w:w="1841" w:type="dxa"/>
            <w:hideMark/>
          </w:tcPr>
          <w:p w14:paraId="27EC8AC4" w14:textId="77777777" w:rsidR="00FE014E" w:rsidRPr="00395FBA" w:rsidRDefault="00FE014E" w:rsidP="00395FBA">
            <w:pPr>
              <w:spacing w:line="360" w:lineRule="auto"/>
              <w:rPr>
                <w:rFonts w:ascii="Arial" w:eastAsia="Times New Roman" w:hAnsi="Arial" w:cs="Arial"/>
                <w:b/>
                <w:bCs/>
                <w:color w:val="000000"/>
                <w:kern w:val="0"/>
                <w:lang w:eastAsia="en-GB"/>
                <w14:ligatures w14:val="none"/>
              </w:rPr>
            </w:pPr>
            <w:r w:rsidRPr="00395FBA">
              <w:rPr>
                <w:rFonts w:ascii="Arial" w:eastAsia="Times New Roman" w:hAnsi="Arial" w:cs="Arial"/>
                <w:b/>
                <w:bCs/>
                <w:color w:val="000000"/>
                <w:kern w:val="0"/>
                <w:lang w:eastAsia="en-GB"/>
                <w14:ligatures w14:val="none"/>
              </w:rPr>
              <w:t>2025</w:t>
            </w:r>
          </w:p>
        </w:tc>
      </w:tr>
      <w:tr w:rsidR="00FE014E" w:rsidRPr="00395FBA" w14:paraId="64DDAD62" w14:textId="77777777" w:rsidTr="00164A64">
        <w:trPr>
          <w:trHeight w:val="429"/>
        </w:trPr>
        <w:tc>
          <w:tcPr>
            <w:tcW w:w="4660" w:type="dxa"/>
            <w:hideMark/>
          </w:tcPr>
          <w:p w14:paraId="2D9270E3"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Net cash flow from operating activities</w:t>
            </w:r>
          </w:p>
        </w:tc>
        <w:tc>
          <w:tcPr>
            <w:tcW w:w="0" w:type="auto"/>
            <w:hideMark/>
          </w:tcPr>
          <w:p w14:paraId="66017A25"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(240)</w:t>
            </w:r>
          </w:p>
        </w:tc>
        <w:tc>
          <w:tcPr>
            <w:tcW w:w="0" w:type="auto"/>
            <w:hideMark/>
          </w:tcPr>
          <w:p w14:paraId="61B7DACB"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511</w:t>
            </w:r>
          </w:p>
        </w:tc>
        <w:tc>
          <w:tcPr>
            <w:tcW w:w="0" w:type="auto"/>
            <w:hideMark/>
          </w:tcPr>
          <w:p w14:paraId="65519987"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669</w:t>
            </w:r>
          </w:p>
        </w:tc>
        <w:tc>
          <w:tcPr>
            <w:tcW w:w="0" w:type="auto"/>
            <w:hideMark/>
          </w:tcPr>
          <w:p w14:paraId="067BAC95"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733</w:t>
            </w:r>
          </w:p>
        </w:tc>
        <w:tc>
          <w:tcPr>
            <w:tcW w:w="1841" w:type="dxa"/>
            <w:hideMark/>
          </w:tcPr>
          <w:p w14:paraId="5198901E"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810</w:t>
            </w:r>
          </w:p>
        </w:tc>
      </w:tr>
      <w:tr w:rsidR="00FE014E" w:rsidRPr="00395FBA" w14:paraId="587D3924" w14:textId="77777777" w:rsidTr="00164A64">
        <w:trPr>
          <w:trHeight w:val="411"/>
        </w:trPr>
        <w:tc>
          <w:tcPr>
            <w:tcW w:w="4660" w:type="dxa"/>
            <w:hideMark/>
          </w:tcPr>
          <w:p w14:paraId="27516451"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Capital expenditure</w:t>
            </w:r>
          </w:p>
        </w:tc>
        <w:tc>
          <w:tcPr>
            <w:tcW w:w="0" w:type="auto"/>
            <w:hideMark/>
          </w:tcPr>
          <w:p w14:paraId="7882377D"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(80)</w:t>
            </w:r>
          </w:p>
        </w:tc>
        <w:tc>
          <w:tcPr>
            <w:tcW w:w="0" w:type="auto"/>
            <w:hideMark/>
          </w:tcPr>
          <w:p w14:paraId="36979BDD"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(111)</w:t>
            </w:r>
          </w:p>
        </w:tc>
        <w:tc>
          <w:tcPr>
            <w:tcW w:w="0" w:type="auto"/>
            <w:hideMark/>
          </w:tcPr>
          <w:p w14:paraId="714344E0"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(254)</w:t>
            </w:r>
          </w:p>
        </w:tc>
        <w:tc>
          <w:tcPr>
            <w:tcW w:w="0" w:type="auto"/>
            <w:hideMark/>
          </w:tcPr>
          <w:p w14:paraId="3CB62C2D"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(293)</w:t>
            </w:r>
          </w:p>
        </w:tc>
        <w:tc>
          <w:tcPr>
            <w:tcW w:w="1841" w:type="dxa"/>
            <w:hideMark/>
          </w:tcPr>
          <w:p w14:paraId="33C99C48"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(197)</w:t>
            </w:r>
          </w:p>
        </w:tc>
      </w:tr>
      <w:tr w:rsidR="00FE014E" w:rsidRPr="00395FBA" w14:paraId="30BA68C7" w14:textId="77777777" w:rsidTr="00164A64">
        <w:trPr>
          <w:trHeight w:val="411"/>
        </w:trPr>
        <w:tc>
          <w:tcPr>
            <w:tcW w:w="4660" w:type="dxa"/>
            <w:hideMark/>
          </w:tcPr>
          <w:p w14:paraId="570602C0"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Free cash flow</w:t>
            </w:r>
          </w:p>
        </w:tc>
        <w:tc>
          <w:tcPr>
            <w:tcW w:w="0" w:type="auto"/>
            <w:hideMark/>
          </w:tcPr>
          <w:p w14:paraId="1CA47670"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(320)</w:t>
            </w:r>
          </w:p>
        </w:tc>
        <w:tc>
          <w:tcPr>
            <w:tcW w:w="0" w:type="auto"/>
            <w:hideMark/>
          </w:tcPr>
          <w:p w14:paraId="6C6075BC"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400</w:t>
            </w:r>
          </w:p>
        </w:tc>
        <w:tc>
          <w:tcPr>
            <w:tcW w:w="0" w:type="auto"/>
            <w:hideMark/>
          </w:tcPr>
          <w:p w14:paraId="4B919F56"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415</w:t>
            </w:r>
          </w:p>
        </w:tc>
        <w:tc>
          <w:tcPr>
            <w:tcW w:w="834" w:type="dxa"/>
            <w:hideMark/>
          </w:tcPr>
          <w:p w14:paraId="2C9A919E"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440</w:t>
            </w:r>
          </w:p>
        </w:tc>
        <w:tc>
          <w:tcPr>
            <w:tcW w:w="1841" w:type="dxa"/>
            <w:hideMark/>
          </w:tcPr>
          <w:p w14:paraId="40D1190A"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613</w:t>
            </w:r>
          </w:p>
        </w:tc>
      </w:tr>
      <w:tr w:rsidR="00FE014E" w:rsidRPr="00395FBA" w14:paraId="3CCC158C" w14:textId="77777777" w:rsidTr="00164A64">
        <w:trPr>
          <w:trHeight w:val="429"/>
        </w:trPr>
        <w:tc>
          <w:tcPr>
            <w:tcW w:w="4660" w:type="dxa"/>
            <w:hideMark/>
          </w:tcPr>
          <w:p w14:paraId="7A527374"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Net cash flow from investing activities</w:t>
            </w:r>
          </w:p>
        </w:tc>
        <w:tc>
          <w:tcPr>
            <w:tcW w:w="0" w:type="auto"/>
            <w:hideMark/>
          </w:tcPr>
          <w:p w14:paraId="48242F30"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(99)</w:t>
            </w:r>
          </w:p>
        </w:tc>
        <w:tc>
          <w:tcPr>
            <w:tcW w:w="0" w:type="auto"/>
            <w:hideMark/>
          </w:tcPr>
          <w:p w14:paraId="2F331CA1"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(157)</w:t>
            </w:r>
          </w:p>
        </w:tc>
        <w:tc>
          <w:tcPr>
            <w:tcW w:w="0" w:type="auto"/>
            <w:hideMark/>
          </w:tcPr>
          <w:p w14:paraId="56DE1E4F"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16</w:t>
            </w:r>
          </w:p>
        </w:tc>
        <w:tc>
          <w:tcPr>
            <w:tcW w:w="0" w:type="auto"/>
            <w:hideMark/>
          </w:tcPr>
          <w:p w14:paraId="223DA407"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(358)</w:t>
            </w:r>
          </w:p>
        </w:tc>
        <w:tc>
          <w:tcPr>
            <w:tcW w:w="1841" w:type="dxa"/>
            <w:hideMark/>
          </w:tcPr>
          <w:p w14:paraId="31CA6687"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(331)</w:t>
            </w:r>
          </w:p>
        </w:tc>
      </w:tr>
      <w:tr w:rsidR="00FE014E" w:rsidRPr="00395FBA" w14:paraId="4E2D6300" w14:textId="77777777" w:rsidTr="00164A64">
        <w:trPr>
          <w:trHeight w:val="411"/>
        </w:trPr>
        <w:tc>
          <w:tcPr>
            <w:tcW w:w="4660" w:type="dxa"/>
            <w:hideMark/>
          </w:tcPr>
          <w:p w14:paraId="7C6360CA"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Net cash flow from financing activities</w:t>
            </w:r>
          </w:p>
        </w:tc>
        <w:tc>
          <w:tcPr>
            <w:tcW w:w="0" w:type="auto"/>
            <w:hideMark/>
          </w:tcPr>
          <w:p w14:paraId="0B8529C9"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(466)</w:t>
            </w:r>
          </w:p>
        </w:tc>
        <w:tc>
          <w:tcPr>
            <w:tcW w:w="0" w:type="auto"/>
            <w:hideMark/>
          </w:tcPr>
          <w:p w14:paraId="0EA0B600"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(381)</w:t>
            </w:r>
          </w:p>
        </w:tc>
        <w:tc>
          <w:tcPr>
            <w:tcW w:w="0" w:type="auto"/>
            <w:hideMark/>
          </w:tcPr>
          <w:p w14:paraId="4672D765"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(1,045)</w:t>
            </w:r>
          </w:p>
        </w:tc>
        <w:tc>
          <w:tcPr>
            <w:tcW w:w="0" w:type="auto"/>
            <w:hideMark/>
          </w:tcPr>
          <w:p w14:paraId="3EBE1CC7"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(400)</w:t>
            </w:r>
          </w:p>
        </w:tc>
        <w:tc>
          <w:tcPr>
            <w:tcW w:w="1841" w:type="dxa"/>
            <w:hideMark/>
          </w:tcPr>
          <w:p w14:paraId="1E62C507"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(494)</w:t>
            </w:r>
          </w:p>
        </w:tc>
      </w:tr>
      <w:tr w:rsidR="00FE014E" w:rsidRPr="00395FBA" w14:paraId="6DDA86D3" w14:textId="77777777" w:rsidTr="00164A64">
        <w:trPr>
          <w:trHeight w:val="411"/>
        </w:trPr>
        <w:tc>
          <w:tcPr>
            <w:tcW w:w="4660" w:type="dxa"/>
            <w:hideMark/>
          </w:tcPr>
          <w:p w14:paraId="3E3BDF73"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Net change in cash and equivalents</w:t>
            </w:r>
          </w:p>
        </w:tc>
        <w:tc>
          <w:tcPr>
            <w:tcW w:w="0" w:type="auto"/>
            <w:hideMark/>
          </w:tcPr>
          <w:p w14:paraId="19F82090"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(1,610)</w:t>
            </w:r>
          </w:p>
        </w:tc>
        <w:tc>
          <w:tcPr>
            <w:tcW w:w="0" w:type="auto"/>
            <w:hideMark/>
          </w:tcPr>
          <w:p w14:paraId="5F05E95C"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(54)</w:t>
            </w:r>
          </w:p>
        </w:tc>
        <w:tc>
          <w:tcPr>
            <w:tcW w:w="0" w:type="auto"/>
            <w:hideMark/>
          </w:tcPr>
          <w:p w14:paraId="00D65F58"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(718)</w:t>
            </w:r>
          </w:p>
        </w:tc>
        <w:tc>
          <w:tcPr>
            <w:tcW w:w="0" w:type="auto"/>
            <w:hideMark/>
          </w:tcPr>
          <w:p w14:paraId="3B145C2E"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(50)</w:t>
            </w:r>
          </w:p>
        </w:tc>
        <w:tc>
          <w:tcPr>
            <w:tcW w:w="1841" w:type="dxa"/>
            <w:hideMark/>
          </w:tcPr>
          <w:p w14:paraId="172126CF"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(30)</w:t>
            </w:r>
          </w:p>
        </w:tc>
      </w:tr>
      <w:tr w:rsidR="00FE014E" w:rsidRPr="00395FBA" w14:paraId="74ACCDD0" w14:textId="77777777" w:rsidTr="00164A64">
        <w:trPr>
          <w:trHeight w:val="411"/>
        </w:trPr>
        <w:tc>
          <w:tcPr>
            <w:tcW w:w="4660" w:type="dxa"/>
            <w:hideMark/>
          </w:tcPr>
          <w:p w14:paraId="73732C42"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FCF margin (FCF ÷ Revenue)</w:t>
            </w:r>
          </w:p>
        </w:tc>
        <w:tc>
          <w:tcPr>
            <w:tcW w:w="0" w:type="auto"/>
            <w:hideMark/>
          </w:tcPr>
          <w:p w14:paraId="2475D77D"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(14.5%)</w:t>
            </w:r>
          </w:p>
        </w:tc>
        <w:tc>
          <w:tcPr>
            <w:tcW w:w="0" w:type="auto"/>
            <w:hideMark/>
          </w:tcPr>
          <w:p w14:paraId="57D8A575"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9.5%</w:t>
            </w:r>
          </w:p>
        </w:tc>
        <w:tc>
          <w:tcPr>
            <w:tcW w:w="0" w:type="auto"/>
            <w:hideMark/>
          </w:tcPr>
          <w:p w14:paraId="2D506B8C"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8.2%</w:t>
            </w:r>
          </w:p>
        </w:tc>
        <w:tc>
          <w:tcPr>
            <w:tcW w:w="0" w:type="auto"/>
            <w:hideMark/>
          </w:tcPr>
          <w:p w14:paraId="013A9EDF"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7.9%</w:t>
            </w:r>
          </w:p>
        </w:tc>
        <w:tc>
          <w:tcPr>
            <w:tcW w:w="1841" w:type="dxa"/>
            <w:hideMark/>
          </w:tcPr>
          <w:p w14:paraId="40ED8FA7" w14:textId="77777777" w:rsidR="00FE014E" w:rsidRPr="00395FBA" w:rsidRDefault="00FE014E" w:rsidP="00395FBA">
            <w:pPr>
              <w:spacing w:line="360" w:lineRule="auto"/>
              <w:rPr>
                <w:rFonts w:ascii="Arial" w:eastAsia="Times New Roman" w:hAnsi="Arial" w:cs="Arial"/>
                <w:color w:val="000000"/>
                <w:kern w:val="0"/>
                <w:lang w:eastAsia="en-GB"/>
                <w14:ligatures w14:val="none"/>
              </w:rPr>
            </w:pPr>
            <w:r w:rsidRPr="00395FBA">
              <w:rPr>
                <w:rFonts w:ascii="Arial" w:eastAsia="Times New Roman" w:hAnsi="Arial" w:cs="Arial"/>
                <w:color w:val="000000"/>
                <w:kern w:val="0"/>
                <w:lang w:eastAsia="en-GB"/>
                <w14:ligatures w14:val="none"/>
              </w:rPr>
              <w:t>10.9%</w:t>
            </w:r>
          </w:p>
        </w:tc>
      </w:tr>
    </w:tbl>
    <w:p w14:paraId="57BE9A17" w14:textId="280EEF65" w:rsidR="001D2DE7" w:rsidRPr="00395FBA" w:rsidRDefault="002516B6" w:rsidP="00395FBA">
      <w:pPr>
        <w:spacing w:line="360" w:lineRule="auto"/>
        <w:rPr>
          <w:rFonts w:ascii="Arial" w:hAnsi="Arial" w:cs="Arial"/>
        </w:rPr>
      </w:pPr>
      <w:r w:rsidRPr="00395FBA">
        <w:rPr>
          <w:rFonts w:ascii="Arial" w:hAnsi="Arial" w:cs="Arial"/>
        </w:rPr>
        <w:t xml:space="preserve">Source: Accor </w:t>
      </w:r>
      <w:r w:rsidR="00036E30" w:rsidRPr="00395FBA">
        <w:rPr>
          <w:rFonts w:ascii="Arial" w:hAnsi="Arial" w:cs="Arial"/>
        </w:rPr>
        <w:t>cashflow statement (2021-2025)</w:t>
      </w:r>
    </w:p>
    <w:p w14:paraId="1F90E55C" w14:textId="77777777" w:rsidR="00396E98" w:rsidRPr="00396E98" w:rsidRDefault="00396E98" w:rsidP="0017510C">
      <w:pPr>
        <w:spacing w:line="360" w:lineRule="auto"/>
        <w:jc w:val="both"/>
        <w:rPr>
          <w:rFonts w:ascii="Arial" w:hAnsi="Arial" w:cs="Arial"/>
        </w:rPr>
      </w:pPr>
    </w:p>
    <w:p w14:paraId="27B363F8" w14:textId="232171C8" w:rsidR="00036E30" w:rsidRPr="00396E98" w:rsidRDefault="00A16FC9" w:rsidP="0017510C">
      <w:pPr>
        <w:spacing w:line="360" w:lineRule="auto"/>
        <w:jc w:val="both"/>
        <w:rPr>
          <w:rFonts w:ascii="Arial" w:hAnsi="Arial" w:cs="Arial"/>
        </w:rPr>
      </w:pPr>
      <w:r w:rsidRPr="00396E98">
        <w:rPr>
          <w:rFonts w:ascii="Arial" w:hAnsi="Arial" w:cs="Arial"/>
        </w:rPr>
        <w:t>Due to improved hotel performance and increased occupancy, Accor's operational cash flow recovered from a €240 million outflow to €810 million between 2021 and 2025. Despite increased investment in expansion and technology, free cash flow also improved, rising from -€320 million to €613 million. While financing operations were negative because to dividends, share buybacks, and debt management, investing cash flows varied based on asset sales and purchases. Although shareholders should be aware that the company's reported recurring free cash flow may change significantly owing to adjustments for one-time factors, overall, Accor's better cash generation indicates greater operational recovery.</w:t>
      </w:r>
    </w:p>
    <w:p w14:paraId="7F4D3F40" w14:textId="77777777" w:rsidR="00396E98" w:rsidRDefault="00396E98">
      <w:pPr>
        <w:rPr>
          <w:rFonts w:ascii="Arial" w:hAnsi="Arial" w:cs="Arial"/>
          <w:b/>
          <w:bCs/>
        </w:rPr>
      </w:pPr>
    </w:p>
    <w:p w14:paraId="51A705BE" w14:textId="14BBAFA0" w:rsidR="009C367C" w:rsidRPr="00396E98" w:rsidRDefault="00D24B12" w:rsidP="0017510C">
      <w:pPr>
        <w:spacing w:line="360" w:lineRule="auto"/>
        <w:jc w:val="both"/>
        <w:rPr>
          <w:rFonts w:ascii="Arial" w:hAnsi="Arial" w:cs="Arial"/>
          <w:b/>
          <w:bCs/>
        </w:rPr>
      </w:pPr>
      <w:r w:rsidRPr="00396E98">
        <w:rPr>
          <w:rFonts w:ascii="Arial" w:hAnsi="Arial" w:cs="Arial"/>
          <w:b/>
          <w:bCs/>
        </w:rPr>
        <w:t>Industry Benchmark</w:t>
      </w:r>
    </w:p>
    <w:tbl>
      <w:tblPr>
        <w:tblStyle w:val="TableGrid"/>
        <w:tblW w:w="0" w:type="auto"/>
        <w:tblLook w:val="04A0" w:firstRow="1" w:lastRow="0" w:firstColumn="1" w:lastColumn="0" w:noHBand="0" w:noVBand="1"/>
      </w:tblPr>
      <w:tblGrid>
        <w:gridCol w:w="5098"/>
        <w:gridCol w:w="2268"/>
        <w:gridCol w:w="1650"/>
      </w:tblGrid>
      <w:tr w:rsidR="006B24FE" w:rsidRPr="00396E98" w14:paraId="62514045" w14:textId="77777777" w:rsidTr="004743AD">
        <w:tc>
          <w:tcPr>
            <w:tcW w:w="5098" w:type="dxa"/>
          </w:tcPr>
          <w:p w14:paraId="5B3C99E1" w14:textId="20212F6C" w:rsidR="006B24FE" w:rsidRPr="00396E98" w:rsidRDefault="00CA4A91" w:rsidP="0017510C">
            <w:pPr>
              <w:spacing w:line="360" w:lineRule="auto"/>
              <w:jc w:val="both"/>
              <w:rPr>
                <w:rFonts w:ascii="Arial" w:hAnsi="Arial" w:cs="Arial"/>
              </w:rPr>
            </w:pPr>
            <w:r w:rsidRPr="00396E98">
              <w:rPr>
                <w:rFonts w:ascii="Arial" w:hAnsi="Arial" w:cs="Arial"/>
              </w:rPr>
              <w:t>Cash Flow Item (€</w:t>
            </w:r>
            <w:r w:rsidR="004743AD" w:rsidRPr="00396E98">
              <w:rPr>
                <w:rFonts w:ascii="Arial" w:hAnsi="Arial" w:cs="Arial"/>
              </w:rPr>
              <w:t>m)</w:t>
            </w:r>
          </w:p>
        </w:tc>
        <w:tc>
          <w:tcPr>
            <w:tcW w:w="2268" w:type="dxa"/>
          </w:tcPr>
          <w:p w14:paraId="3EE83377" w14:textId="0CBC9C56" w:rsidR="006B24FE" w:rsidRPr="00396E98" w:rsidRDefault="004743AD" w:rsidP="0017510C">
            <w:pPr>
              <w:spacing w:line="360" w:lineRule="auto"/>
              <w:jc w:val="both"/>
              <w:rPr>
                <w:rFonts w:ascii="Arial" w:hAnsi="Arial" w:cs="Arial"/>
                <w:b/>
                <w:bCs/>
              </w:rPr>
            </w:pPr>
            <w:r w:rsidRPr="00396E98">
              <w:rPr>
                <w:rFonts w:ascii="Arial" w:hAnsi="Arial" w:cs="Arial"/>
                <w:b/>
                <w:bCs/>
              </w:rPr>
              <w:t>2021</w:t>
            </w:r>
          </w:p>
        </w:tc>
        <w:tc>
          <w:tcPr>
            <w:tcW w:w="1650" w:type="dxa"/>
          </w:tcPr>
          <w:p w14:paraId="6D0B3731" w14:textId="1BAE53AF" w:rsidR="006B24FE" w:rsidRPr="00396E98" w:rsidRDefault="004743AD" w:rsidP="0017510C">
            <w:pPr>
              <w:spacing w:line="360" w:lineRule="auto"/>
              <w:jc w:val="both"/>
              <w:rPr>
                <w:rFonts w:ascii="Arial" w:hAnsi="Arial" w:cs="Arial"/>
                <w:b/>
                <w:bCs/>
              </w:rPr>
            </w:pPr>
            <w:r w:rsidRPr="00396E98">
              <w:rPr>
                <w:rFonts w:ascii="Arial" w:hAnsi="Arial" w:cs="Arial"/>
                <w:b/>
                <w:bCs/>
              </w:rPr>
              <w:t>2022</w:t>
            </w:r>
          </w:p>
        </w:tc>
      </w:tr>
      <w:tr w:rsidR="006B24FE" w:rsidRPr="00396E98" w14:paraId="1FF87778" w14:textId="77777777" w:rsidTr="004743AD">
        <w:tc>
          <w:tcPr>
            <w:tcW w:w="5098" w:type="dxa"/>
          </w:tcPr>
          <w:p w14:paraId="621B7F71" w14:textId="147ECAB4" w:rsidR="006B24FE" w:rsidRPr="00396E98" w:rsidRDefault="004743AD" w:rsidP="0017510C">
            <w:pPr>
              <w:spacing w:line="360" w:lineRule="auto"/>
              <w:jc w:val="both"/>
              <w:rPr>
                <w:rFonts w:ascii="Arial" w:hAnsi="Arial" w:cs="Arial"/>
              </w:rPr>
            </w:pPr>
            <w:r w:rsidRPr="00396E98">
              <w:rPr>
                <w:rFonts w:ascii="Arial" w:hAnsi="Arial" w:cs="Arial"/>
              </w:rPr>
              <w:t>Net cash flow operating Activities</w:t>
            </w:r>
          </w:p>
        </w:tc>
        <w:tc>
          <w:tcPr>
            <w:tcW w:w="2268" w:type="dxa"/>
          </w:tcPr>
          <w:p w14:paraId="53F4ECDD" w14:textId="175DD258" w:rsidR="006B24FE" w:rsidRPr="00396E98" w:rsidRDefault="002C3DBE" w:rsidP="0017510C">
            <w:pPr>
              <w:spacing w:line="360" w:lineRule="auto"/>
              <w:jc w:val="both"/>
              <w:rPr>
                <w:rFonts w:ascii="Arial" w:hAnsi="Arial" w:cs="Arial"/>
              </w:rPr>
            </w:pPr>
            <w:r w:rsidRPr="00396E98">
              <w:rPr>
                <w:rFonts w:ascii="Arial" w:hAnsi="Arial" w:cs="Arial"/>
              </w:rPr>
              <w:t>(240)</w:t>
            </w:r>
          </w:p>
        </w:tc>
        <w:tc>
          <w:tcPr>
            <w:tcW w:w="1650" w:type="dxa"/>
          </w:tcPr>
          <w:p w14:paraId="762FB9D1" w14:textId="3AB7DE84" w:rsidR="006B24FE" w:rsidRPr="00396E98" w:rsidRDefault="004B68C1" w:rsidP="0017510C">
            <w:pPr>
              <w:spacing w:line="360" w:lineRule="auto"/>
              <w:jc w:val="both"/>
              <w:rPr>
                <w:rFonts w:ascii="Arial" w:hAnsi="Arial" w:cs="Arial"/>
              </w:rPr>
            </w:pPr>
            <w:r w:rsidRPr="00396E98">
              <w:rPr>
                <w:rFonts w:ascii="Arial" w:hAnsi="Arial" w:cs="Arial"/>
              </w:rPr>
              <w:t>511</w:t>
            </w:r>
          </w:p>
        </w:tc>
      </w:tr>
      <w:tr w:rsidR="006B24FE" w:rsidRPr="00396E98" w14:paraId="5BE91385" w14:textId="77777777" w:rsidTr="004743AD">
        <w:tc>
          <w:tcPr>
            <w:tcW w:w="5098" w:type="dxa"/>
          </w:tcPr>
          <w:p w14:paraId="1A0C09B1" w14:textId="4D737FD0" w:rsidR="006B24FE" w:rsidRPr="00396E98" w:rsidRDefault="004743AD" w:rsidP="0017510C">
            <w:pPr>
              <w:spacing w:line="360" w:lineRule="auto"/>
              <w:jc w:val="both"/>
              <w:rPr>
                <w:rFonts w:ascii="Arial" w:hAnsi="Arial" w:cs="Arial"/>
              </w:rPr>
            </w:pPr>
            <w:r w:rsidRPr="00396E98">
              <w:rPr>
                <w:rFonts w:ascii="Arial" w:hAnsi="Arial" w:cs="Arial"/>
              </w:rPr>
              <w:t>Recurring operating cash flow</w:t>
            </w:r>
          </w:p>
        </w:tc>
        <w:tc>
          <w:tcPr>
            <w:tcW w:w="2268" w:type="dxa"/>
          </w:tcPr>
          <w:p w14:paraId="5ADC8FA2" w14:textId="7A486E8F" w:rsidR="006B24FE" w:rsidRPr="00396E98" w:rsidRDefault="002C3DBE" w:rsidP="0017510C">
            <w:pPr>
              <w:spacing w:line="360" w:lineRule="auto"/>
              <w:jc w:val="both"/>
              <w:rPr>
                <w:rFonts w:ascii="Arial" w:hAnsi="Arial" w:cs="Arial"/>
              </w:rPr>
            </w:pPr>
            <w:r w:rsidRPr="00396E98">
              <w:rPr>
                <w:rFonts w:ascii="Arial" w:hAnsi="Arial" w:cs="Arial"/>
              </w:rPr>
              <w:t>(97)</w:t>
            </w:r>
          </w:p>
        </w:tc>
        <w:tc>
          <w:tcPr>
            <w:tcW w:w="1650" w:type="dxa"/>
          </w:tcPr>
          <w:p w14:paraId="5A7F2CDD" w14:textId="5FA8A886" w:rsidR="006B24FE" w:rsidRPr="00396E98" w:rsidRDefault="004B68C1" w:rsidP="0017510C">
            <w:pPr>
              <w:spacing w:line="360" w:lineRule="auto"/>
              <w:jc w:val="both"/>
              <w:rPr>
                <w:rFonts w:ascii="Arial" w:hAnsi="Arial" w:cs="Arial"/>
              </w:rPr>
            </w:pPr>
            <w:r w:rsidRPr="00396E98">
              <w:rPr>
                <w:rFonts w:ascii="Arial" w:hAnsi="Arial" w:cs="Arial"/>
              </w:rPr>
              <w:t>640</w:t>
            </w:r>
          </w:p>
        </w:tc>
      </w:tr>
      <w:tr w:rsidR="006B24FE" w:rsidRPr="00396E98" w14:paraId="50FCFC6E" w14:textId="77777777" w:rsidTr="004743AD">
        <w:tc>
          <w:tcPr>
            <w:tcW w:w="5098" w:type="dxa"/>
          </w:tcPr>
          <w:p w14:paraId="179EAB1D" w14:textId="227ACDA6" w:rsidR="006B24FE" w:rsidRPr="00396E98" w:rsidRDefault="002C3DBE" w:rsidP="0017510C">
            <w:pPr>
              <w:spacing w:line="360" w:lineRule="auto"/>
              <w:jc w:val="both"/>
              <w:rPr>
                <w:rFonts w:ascii="Arial" w:hAnsi="Arial" w:cs="Arial"/>
              </w:rPr>
            </w:pPr>
            <w:r w:rsidRPr="00396E98">
              <w:rPr>
                <w:rFonts w:ascii="Arial" w:hAnsi="Arial" w:cs="Arial"/>
              </w:rPr>
              <w:t>Funds from operations</w:t>
            </w:r>
          </w:p>
        </w:tc>
        <w:tc>
          <w:tcPr>
            <w:tcW w:w="2268" w:type="dxa"/>
          </w:tcPr>
          <w:p w14:paraId="3D172A30" w14:textId="1F17D49D" w:rsidR="006B24FE" w:rsidRPr="00396E98" w:rsidRDefault="002C3DBE" w:rsidP="0017510C">
            <w:pPr>
              <w:spacing w:line="360" w:lineRule="auto"/>
              <w:jc w:val="both"/>
              <w:rPr>
                <w:rFonts w:ascii="Arial" w:hAnsi="Arial" w:cs="Arial"/>
              </w:rPr>
            </w:pPr>
            <w:r w:rsidRPr="00396E98">
              <w:rPr>
                <w:rFonts w:ascii="Arial" w:hAnsi="Arial" w:cs="Arial"/>
              </w:rPr>
              <w:t>(52)</w:t>
            </w:r>
          </w:p>
        </w:tc>
        <w:tc>
          <w:tcPr>
            <w:tcW w:w="1650" w:type="dxa"/>
          </w:tcPr>
          <w:p w14:paraId="3CBA452F" w14:textId="631D4E96" w:rsidR="006B24FE" w:rsidRPr="00396E98" w:rsidRDefault="004B68C1" w:rsidP="0017510C">
            <w:pPr>
              <w:spacing w:line="360" w:lineRule="auto"/>
              <w:jc w:val="both"/>
              <w:rPr>
                <w:rFonts w:ascii="Arial" w:hAnsi="Arial" w:cs="Arial"/>
              </w:rPr>
            </w:pPr>
            <w:r w:rsidRPr="00396E98">
              <w:rPr>
                <w:rFonts w:ascii="Arial" w:hAnsi="Arial" w:cs="Arial"/>
              </w:rPr>
              <w:t>584</w:t>
            </w:r>
          </w:p>
        </w:tc>
      </w:tr>
    </w:tbl>
    <w:p w14:paraId="37F047F1" w14:textId="2A34E026" w:rsidR="00555081" w:rsidRPr="00396E98" w:rsidRDefault="00D60198" w:rsidP="0017510C">
      <w:pPr>
        <w:spacing w:line="360" w:lineRule="auto"/>
        <w:jc w:val="both"/>
        <w:rPr>
          <w:rFonts w:ascii="Arial" w:hAnsi="Arial" w:cs="Arial"/>
        </w:rPr>
      </w:pPr>
      <w:r w:rsidRPr="00396E98">
        <w:rPr>
          <w:rFonts w:ascii="Arial" w:hAnsi="Arial" w:cs="Arial"/>
        </w:rPr>
        <w:t>From a negative €240 million in 2021 to a positive €511 million in 2022, operating cash flow dramatically increased, indicating a solid improvement in the business's operations. Increased demand for hotels, greater occupancy rates, rising management and franchise fees, enhanced operational effectiveness, and improved working capital management all contributed to this turnaround. Furthermore, funds from operations rose from a €52 million deficit to €584 million, indicating that Accor's primary business was once again producing strong cash flows.</w:t>
      </w:r>
    </w:p>
    <w:p w14:paraId="19F9F202" w14:textId="60F1B32D" w:rsidR="004747A3" w:rsidRPr="00396E98" w:rsidRDefault="004747A3">
      <w:pPr>
        <w:rPr>
          <w:rFonts w:ascii="Arial" w:hAnsi="Arial" w:cs="Arial"/>
        </w:rPr>
      </w:pPr>
      <w:r w:rsidRPr="00396E98">
        <w:rPr>
          <w:rFonts w:ascii="Arial" w:hAnsi="Arial" w:cs="Arial"/>
          <w:noProof/>
        </w:rPr>
        <w:lastRenderedPageBreak/>
        <w:drawing>
          <wp:inline distT="0" distB="0" distL="0" distR="0" wp14:anchorId="3373B571" wp14:editId="499133A8">
            <wp:extent cx="5731510" cy="2177415"/>
            <wp:effectExtent l="0" t="0" r="0" b="0"/>
            <wp:docPr id="300177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77737" name=""/>
                    <pic:cNvPicPr/>
                  </pic:nvPicPr>
                  <pic:blipFill>
                    <a:blip r:embed="rId15"/>
                    <a:stretch>
                      <a:fillRect/>
                    </a:stretch>
                  </pic:blipFill>
                  <pic:spPr>
                    <a:xfrm>
                      <a:off x="0" y="0"/>
                      <a:ext cx="5731510" cy="2177415"/>
                    </a:xfrm>
                    <a:prstGeom prst="rect">
                      <a:avLst/>
                    </a:prstGeom>
                  </pic:spPr>
                </pic:pic>
              </a:graphicData>
            </a:graphic>
          </wp:inline>
        </w:drawing>
      </w:r>
    </w:p>
    <w:p w14:paraId="2E7CB0FC" w14:textId="0CEAF4D5" w:rsidR="005E2E61" w:rsidRPr="00396E98" w:rsidRDefault="005E2E61">
      <w:pPr>
        <w:rPr>
          <w:rFonts w:ascii="Arial" w:hAnsi="Arial" w:cs="Arial"/>
        </w:rPr>
      </w:pPr>
      <w:r w:rsidRPr="00396E98">
        <w:rPr>
          <w:rFonts w:ascii="Arial" w:hAnsi="Arial" w:cs="Arial"/>
          <w:noProof/>
        </w:rPr>
        <w:drawing>
          <wp:inline distT="0" distB="0" distL="0" distR="0" wp14:anchorId="2CBF56B6" wp14:editId="3D3DCFD4">
            <wp:extent cx="5731510" cy="2177415"/>
            <wp:effectExtent l="0" t="0" r="0" b="0"/>
            <wp:docPr id="1419640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640232" name=""/>
                    <pic:cNvPicPr/>
                  </pic:nvPicPr>
                  <pic:blipFill>
                    <a:blip r:embed="rId16"/>
                    <a:stretch>
                      <a:fillRect/>
                    </a:stretch>
                  </pic:blipFill>
                  <pic:spPr>
                    <a:xfrm>
                      <a:off x="0" y="0"/>
                      <a:ext cx="5731510" cy="2177415"/>
                    </a:xfrm>
                    <a:prstGeom prst="rect">
                      <a:avLst/>
                    </a:prstGeom>
                  </pic:spPr>
                </pic:pic>
              </a:graphicData>
            </a:graphic>
          </wp:inline>
        </w:drawing>
      </w:r>
    </w:p>
    <w:p w14:paraId="00775D90" w14:textId="2E3C5395" w:rsidR="0017510C" w:rsidRDefault="001634D6" w:rsidP="0030057C">
      <w:pPr>
        <w:rPr>
          <w:rFonts w:ascii="Arial" w:hAnsi="Arial" w:cs="Arial"/>
        </w:rPr>
      </w:pPr>
      <w:r w:rsidRPr="00396E98">
        <w:rPr>
          <w:rFonts w:ascii="Arial" w:hAnsi="Arial" w:cs="Arial"/>
        </w:rPr>
        <w:t xml:space="preserve">Figure 5: </w:t>
      </w:r>
    </w:p>
    <w:p w14:paraId="705C3DEA" w14:textId="0F47AC90" w:rsidR="0017510C" w:rsidRPr="0017510C" w:rsidRDefault="003F7518" w:rsidP="0017510C">
      <w:pPr>
        <w:spacing w:line="360" w:lineRule="auto"/>
        <w:jc w:val="both"/>
        <w:rPr>
          <w:rFonts w:ascii="Arial" w:hAnsi="Arial" w:cs="Arial"/>
        </w:rPr>
      </w:pPr>
      <w:r w:rsidRPr="00396E98">
        <w:rPr>
          <w:rFonts w:ascii="Arial" w:hAnsi="Arial" w:cs="Arial"/>
        </w:rPr>
        <w:t>Throughout the time, Accor and IHG's liquidity remained comparatively constant, with current and quick ratios staying near the 1.0x benchmark. Marriott, on the other hand, continuously performed below 1.0x, indicating a more aggressive liquidity stance. Over the course of the five years, Hilton's liquidity also gradually decreased. Whitbread saw the most decline, going from having the best liquidity position at the beginning of the period to having the worst by 2025. Overall, the comparison shows that Accor's liquidity position in the hotel sector remained relatively stable and robust.</w:t>
      </w:r>
    </w:p>
    <w:p w14:paraId="1F60BA39" w14:textId="77777777" w:rsidR="006E6C5D" w:rsidRPr="0030057C" w:rsidRDefault="006E6C5D" w:rsidP="0030057C">
      <w:pPr>
        <w:spacing w:line="360" w:lineRule="auto"/>
        <w:jc w:val="both"/>
        <w:rPr>
          <w:rFonts w:ascii="Arial" w:hAnsi="Arial" w:cs="Arial"/>
          <w:b/>
          <w:bCs/>
        </w:rPr>
      </w:pPr>
      <w:r w:rsidRPr="0030057C">
        <w:rPr>
          <w:rFonts w:ascii="Arial" w:hAnsi="Arial" w:cs="Arial"/>
          <w:b/>
          <w:bCs/>
        </w:rPr>
        <w:t>Liquidity</w:t>
      </w:r>
    </w:p>
    <w:tbl>
      <w:tblPr>
        <w:tblStyle w:val="TableGrid"/>
        <w:tblW w:w="10207" w:type="dxa"/>
        <w:tblInd w:w="-147" w:type="dxa"/>
        <w:tblLook w:val="04A0" w:firstRow="1" w:lastRow="0" w:firstColumn="1" w:lastColumn="0" w:noHBand="0" w:noVBand="1"/>
      </w:tblPr>
      <w:tblGrid>
        <w:gridCol w:w="4678"/>
        <w:gridCol w:w="1134"/>
        <w:gridCol w:w="993"/>
        <w:gridCol w:w="992"/>
        <w:gridCol w:w="1134"/>
        <w:gridCol w:w="1276"/>
      </w:tblGrid>
      <w:tr w:rsidR="00196926" w:rsidRPr="0030057C" w14:paraId="3D466074" w14:textId="77777777" w:rsidTr="00196926">
        <w:tc>
          <w:tcPr>
            <w:tcW w:w="4678" w:type="dxa"/>
            <w:hideMark/>
          </w:tcPr>
          <w:p w14:paraId="0337B764" w14:textId="77777777" w:rsidR="00196926" w:rsidRPr="0030057C" w:rsidRDefault="00196926" w:rsidP="0030057C">
            <w:pPr>
              <w:spacing w:line="360" w:lineRule="auto"/>
              <w:jc w:val="both"/>
              <w:rPr>
                <w:rFonts w:ascii="Arial" w:eastAsia="Times New Roman" w:hAnsi="Arial" w:cs="Arial"/>
                <w:b/>
                <w:bCs/>
                <w:color w:val="000000"/>
                <w:kern w:val="0"/>
                <w:lang w:eastAsia="en-GB"/>
                <w14:ligatures w14:val="none"/>
              </w:rPr>
            </w:pPr>
            <w:r w:rsidRPr="0030057C">
              <w:rPr>
                <w:rFonts w:ascii="Arial" w:eastAsia="Times New Roman" w:hAnsi="Arial" w:cs="Arial"/>
                <w:b/>
                <w:bCs/>
                <w:color w:val="000000"/>
                <w:kern w:val="0"/>
                <w:lang w:eastAsia="en-GB"/>
                <w14:ligatures w14:val="none"/>
              </w:rPr>
              <w:t>Liquidity Ratio</w:t>
            </w:r>
          </w:p>
        </w:tc>
        <w:tc>
          <w:tcPr>
            <w:tcW w:w="1134" w:type="dxa"/>
            <w:hideMark/>
          </w:tcPr>
          <w:p w14:paraId="0B831F6B" w14:textId="77777777" w:rsidR="00196926" w:rsidRPr="0030057C" w:rsidRDefault="00196926" w:rsidP="0030057C">
            <w:pPr>
              <w:spacing w:line="360" w:lineRule="auto"/>
              <w:jc w:val="both"/>
              <w:rPr>
                <w:rFonts w:ascii="Arial" w:eastAsia="Times New Roman" w:hAnsi="Arial" w:cs="Arial"/>
                <w:b/>
                <w:bCs/>
                <w:color w:val="000000"/>
                <w:kern w:val="0"/>
                <w:lang w:eastAsia="en-GB"/>
                <w14:ligatures w14:val="none"/>
              </w:rPr>
            </w:pPr>
            <w:r w:rsidRPr="0030057C">
              <w:rPr>
                <w:rFonts w:ascii="Arial" w:eastAsia="Times New Roman" w:hAnsi="Arial" w:cs="Arial"/>
                <w:b/>
                <w:bCs/>
                <w:color w:val="000000"/>
                <w:kern w:val="0"/>
                <w:lang w:eastAsia="en-GB"/>
                <w14:ligatures w14:val="none"/>
              </w:rPr>
              <w:t>2021</w:t>
            </w:r>
          </w:p>
        </w:tc>
        <w:tc>
          <w:tcPr>
            <w:tcW w:w="993" w:type="dxa"/>
            <w:hideMark/>
          </w:tcPr>
          <w:p w14:paraId="4059062B" w14:textId="77777777" w:rsidR="00196926" w:rsidRPr="0030057C" w:rsidRDefault="00196926" w:rsidP="0030057C">
            <w:pPr>
              <w:spacing w:line="360" w:lineRule="auto"/>
              <w:jc w:val="both"/>
              <w:rPr>
                <w:rFonts w:ascii="Arial" w:eastAsia="Times New Roman" w:hAnsi="Arial" w:cs="Arial"/>
                <w:b/>
                <w:bCs/>
                <w:color w:val="000000"/>
                <w:kern w:val="0"/>
                <w:lang w:eastAsia="en-GB"/>
                <w14:ligatures w14:val="none"/>
              </w:rPr>
            </w:pPr>
            <w:r w:rsidRPr="0030057C">
              <w:rPr>
                <w:rFonts w:ascii="Arial" w:eastAsia="Times New Roman" w:hAnsi="Arial" w:cs="Arial"/>
                <w:b/>
                <w:bCs/>
                <w:color w:val="000000"/>
                <w:kern w:val="0"/>
                <w:lang w:eastAsia="en-GB"/>
                <w14:ligatures w14:val="none"/>
              </w:rPr>
              <w:t>2022</w:t>
            </w:r>
          </w:p>
        </w:tc>
        <w:tc>
          <w:tcPr>
            <w:tcW w:w="992" w:type="dxa"/>
            <w:hideMark/>
          </w:tcPr>
          <w:p w14:paraId="324E763B" w14:textId="77777777" w:rsidR="00196926" w:rsidRPr="0030057C" w:rsidRDefault="00196926" w:rsidP="0030057C">
            <w:pPr>
              <w:spacing w:line="360" w:lineRule="auto"/>
              <w:jc w:val="both"/>
              <w:rPr>
                <w:rFonts w:ascii="Arial" w:eastAsia="Times New Roman" w:hAnsi="Arial" w:cs="Arial"/>
                <w:b/>
                <w:bCs/>
                <w:color w:val="000000"/>
                <w:kern w:val="0"/>
                <w:lang w:eastAsia="en-GB"/>
                <w14:ligatures w14:val="none"/>
              </w:rPr>
            </w:pPr>
            <w:r w:rsidRPr="0030057C">
              <w:rPr>
                <w:rFonts w:ascii="Arial" w:eastAsia="Times New Roman" w:hAnsi="Arial" w:cs="Arial"/>
                <w:b/>
                <w:bCs/>
                <w:color w:val="000000"/>
                <w:kern w:val="0"/>
                <w:lang w:eastAsia="en-GB"/>
                <w14:ligatures w14:val="none"/>
              </w:rPr>
              <w:t>2023</w:t>
            </w:r>
          </w:p>
        </w:tc>
        <w:tc>
          <w:tcPr>
            <w:tcW w:w="1134" w:type="dxa"/>
            <w:hideMark/>
          </w:tcPr>
          <w:p w14:paraId="071A7F18" w14:textId="77777777" w:rsidR="00196926" w:rsidRPr="0030057C" w:rsidRDefault="00196926" w:rsidP="0030057C">
            <w:pPr>
              <w:spacing w:line="360" w:lineRule="auto"/>
              <w:jc w:val="both"/>
              <w:rPr>
                <w:rFonts w:ascii="Arial" w:eastAsia="Times New Roman" w:hAnsi="Arial" w:cs="Arial"/>
                <w:b/>
                <w:bCs/>
                <w:color w:val="000000"/>
                <w:kern w:val="0"/>
                <w:lang w:eastAsia="en-GB"/>
                <w14:ligatures w14:val="none"/>
              </w:rPr>
            </w:pPr>
            <w:r w:rsidRPr="0030057C">
              <w:rPr>
                <w:rFonts w:ascii="Arial" w:eastAsia="Times New Roman" w:hAnsi="Arial" w:cs="Arial"/>
                <w:b/>
                <w:bCs/>
                <w:color w:val="000000"/>
                <w:kern w:val="0"/>
                <w:lang w:eastAsia="en-GB"/>
                <w14:ligatures w14:val="none"/>
              </w:rPr>
              <w:t>2024</w:t>
            </w:r>
          </w:p>
        </w:tc>
        <w:tc>
          <w:tcPr>
            <w:tcW w:w="1276" w:type="dxa"/>
            <w:hideMark/>
          </w:tcPr>
          <w:p w14:paraId="1E8A5E0A" w14:textId="77777777" w:rsidR="00196926" w:rsidRPr="0030057C" w:rsidRDefault="00196926" w:rsidP="0030057C">
            <w:pPr>
              <w:spacing w:line="360" w:lineRule="auto"/>
              <w:jc w:val="both"/>
              <w:rPr>
                <w:rFonts w:ascii="Arial" w:eastAsia="Times New Roman" w:hAnsi="Arial" w:cs="Arial"/>
                <w:b/>
                <w:bCs/>
                <w:color w:val="000000"/>
                <w:kern w:val="0"/>
                <w:lang w:eastAsia="en-GB"/>
                <w14:ligatures w14:val="none"/>
              </w:rPr>
            </w:pPr>
            <w:r w:rsidRPr="0030057C">
              <w:rPr>
                <w:rFonts w:ascii="Arial" w:eastAsia="Times New Roman" w:hAnsi="Arial" w:cs="Arial"/>
                <w:b/>
                <w:bCs/>
                <w:color w:val="000000"/>
                <w:kern w:val="0"/>
                <w:lang w:eastAsia="en-GB"/>
                <w14:ligatures w14:val="none"/>
              </w:rPr>
              <w:t>2025</w:t>
            </w:r>
          </w:p>
        </w:tc>
      </w:tr>
      <w:tr w:rsidR="00196926" w:rsidRPr="0030057C" w14:paraId="5C35532A" w14:textId="77777777" w:rsidTr="00196926">
        <w:tc>
          <w:tcPr>
            <w:tcW w:w="4678" w:type="dxa"/>
            <w:hideMark/>
          </w:tcPr>
          <w:p w14:paraId="4FEF0C2B"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Current ratio (Current assets ÷ Current liabilities)</w:t>
            </w:r>
          </w:p>
        </w:tc>
        <w:tc>
          <w:tcPr>
            <w:tcW w:w="1134" w:type="dxa"/>
            <w:hideMark/>
          </w:tcPr>
          <w:p w14:paraId="20B2B925"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1.17x</w:t>
            </w:r>
          </w:p>
        </w:tc>
        <w:tc>
          <w:tcPr>
            <w:tcW w:w="993" w:type="dxa"/>
            <w:hideMark/>
          </w:tcPr>
          <w:p w14:paraId="03758D06"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1.23x</w:t>
            </w:r>
          </w:p>
        </w:tc>
        <w:tc>
          <w:tcPr>
            <w:tcW w:w="992" w:type="dxa"/>
            <w:hideMark/>
          </w:tcPr>
          <w:p w14:paraId="4FAFC4B8"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0.99x</w:t>
            </w:r>
          </w:p>
        </w:tc>
        <w:tc>
          <w:tcPr>
            <w:tcW w:w="1134" w:type="dxa"/>
            <w:hideMark/>
          </w:tcPr>
          <w:p w14:paraId="251AA0C2"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1.05x</w:t>
            </w:r>
          </w:p>
        </w:tc>
        <w:tc>
          <w:tcPr>
            <w:tcW w:w="1276" w:type="dxa"/>
            <w:hideMark/>
          </w:tcPr>
          <w:p w14:paraId="09960B1F"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1.05x</w:t>
            </w:r>
          </w:p>
        </w:tc>
      </w:tr>
      <w:tr w:rsidR="00196926" w:rsidRPr="0030057C" w14:paraId="2473CECE" w14:textId="77777777" w:rsidTr="00196926">
        <w:tc>
          <w:tcPr>
            <w:tcW w:w="4678" w:type="dxa"/>
            <w:hideMark/>
          </w:tcPr>
          <w:p w14:paraId="04C4673A"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Quick ratio ((Current assets − Inventory) ÷ Current liabilities)</w:t>
            </w:r>
          </w:p>
        </w:tc>
        <w:tc>
          <w:tcPr>
            <w:tcW w:w="1134" w:type="dxa"/>
            <w:hideMark/>
          </w:tcPr>
          <w:p w14:paraId="7DB8BDEF"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1.17x</w:t>
            </w:r>
          </w:p>
        </w:tc>
        <w:tc>
          <w:tcPr>
            <w:tcW w:w="993" w:type="dxa"/>
            <w:hideMark/>
          </w:tcPr>
          <w:p w14:paraId="335B7DED"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1.22x</w:t>
            </w:r>
          </w:p>
        </w:tc>
        <w:tc>
          <w:tcPr>
            <w:tcW w:w="992" w:type="dxa"/>
            <w:hideMark/>
          </w:tcPr>
          <w:p w14:paraId="57FAA990"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0.97x</w:t>
            </w:r>
          </w:p>
        </w:tc>
        <w:tc>
          <w:tcPr>
            <w:tcW w:w="1134" w:type="dxa"/>
            <w:hideMark/>
          </w:tcPr>
          <w:p w14:paraId="4647E98E"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1.04x</w:t>
            </w:r>
          </w:p>
        </w:tc>
        <w:tc>
          <w:tcPr>
            <w:tcW w:w="1276" w:type="dxa"/>
            <w:hideMark/>
          </w:tcPr>
          <w:p w14:paraId="4FD7CA2C"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1.04x</w:t>
            </w:r>
          </w:p>
        </w:tc>
      </w:tr>
      <w:tr w:rsidR="00196926" w:rsidRPr="0030057C" w14:paraId="253748BD" w14:textId="77777777" w:rsidTr="00196926">
        <w:tc>
          <w:tcPr>
            <w:tcW w:w="4678" w:type="dxa"/>
            <w:hideMark/>
          </w:tcPr>
          <w:p w14:paraId="09D17FFE"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Cash ratio (Cash &amp; equivalents ÷ Current liabilities)</w:t>
            </w:r>
          </w:p>
        </w:tc>
        <w:tc>
          <w:tcPr>
            <w:tcW w:w="1134" w:type="dxa"/>
            <w:hideMark/>
          </w:tcPr>
          <w:p w14:paraId="4527EDDE"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0.63x</w:t>
            </w:r>
          </w:p>
        </w:tc>
        <w:tc>
          <w:tcPr>
            <w:tcW w:w="993" w:type="dxa"/>
            <w:hideMark/>
          </w:tcPr>
          <w:p w14:paraId="27DD3923"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0.56x</w:t>
            </w:r>
          </w:p>
        </w:tc>
        <w:tc>
          <w:tcPr>
            <w:tcW w:w="992" w:type="dxa"/>
            <w:hideMark/>
          </w:tcPr>
          <w:p w14:paraId="6CE5C53C"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0.45x</w:t>
            </w:r>
          </w:p>
        </w:tc>
        <w:tc>
          <w:tcPr>
            <w:tcW w:w="1134" w:type="dxa"/>
            <w:hideMark/>
          </w:tcPr>
          <w:p w14:paraId="45CC809D"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0.44x</w:t>
            </w:r>
          </w:p>
        </w:tc>
        <w:tc>
          <w:tcPr>
            <w:tcW w:w="1276" w:type="dxa"/>
            <w:hideMark/>
          </w:tcPr>
          <w:p w14:paraId="516EDD94"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0.44x</w:t>
            </w:r>
          </w:p>
        </w:tc>
      </w:tr>
      <w:tr w:rsidR="00196926" w:rsidRPr="0030057C" w14:paraId="506E9211" w14:textId="77777777" w:rsidTr="00196926">
        <w:tc>
          <w:tcPr>
            <w:tcW w:w="4678" w:type="dxa"/>
            <w:hideMark/>
          </w:tcPr>
          <w:p w14:paraId="54EE498F"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Working capital (€m)</w:t>
            </w:r>
          </w:p>
        </w:tc>
        <w:tc>
          <w:tcPr>
            <w:tcW w:w="1134" w:type="dxa"/>
            <w:hideMark/>
          </w:tcPr>
          <w:p w14:paraId="5488D70D"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444</w:t>
            </w:r>
          </w:p>
        </w:tc>
        <w:tc>
          <w:tcPr>
            <w:tcW w:w="993" w:type="dxa"/>
            <w:hideMark/>
          </w:tcPr>
          <w:p w14:paraId="20AF0157"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664</w:t>
            </w:r>
          </w:p>
        </w:tc>
        <w:tc>
          <w:tcPr>
            <w:tcW w:w="992" w:type="dxa"/>
            <w:hideMark/>
          </w:tcPr>
          <w:p w14:paraId="74D3247E"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(40)</w:t>
            </w:r>
          </w:p>
        </w:tc>
        <w:tc>
          <w:tcPr>
            <w:tcW w:w="1134" w:type="dxa"/>
            <w:hideMark/>
          </w:tcPr>
          <w:p w14:paraId="632BF753"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151</w:t>
            </w:r>
          </w:p>
        </w:tc>
        <w:tc>
          <w:tcPr>
            <w:tcW w:w="1276" w:type="dxa"/>
            <w:hideMark/>
          </w:tcPr>
          <w:p w14:paraId="28BC073E"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132</w:t>
            </w:r>
          </w:p>
        </w:tc>
      </w:tr>
      <w:tr w:rsidR="00196926" w:rsidRPr="0030057C" w14:paraId="0CFD764F" w14:textId="77777777" w:rsidTr="00196926">
        <w:tc>
          <w:tcPr>
            <w:tcW w:w="4678" w:type="dxa"/>
            <w:hideMark/>
          </w:tcPr>
          <w:p w14:paraId="3CE66706"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lastRenderedPageBreak/>
              <w:t>Operating cash flow ratio (OCF ÷ Current liabilities)</w:t>
            </w:r>
          </w:p>
        </w:tc>
        <w:tc>
          <w:tcPr>
            <w:tcW w:w="1134" w:type="dxa"/>
            <w:hideMark/>
          </w:tcPr>
          <w:p w14:paraId="6E0B2AA4"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(0.09x)</w:t>
            </w:r>
          </w:p>
        </w:tc>
        <w:tc>
          <w:tcPr>
            <w:tcW w:w="993" w:type="dxa"/>
            <w:hideMark/>
          </w:tcPr>
          <w:p w14:paraId="3D6FD123"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0.18x</w:t>
            </w:r>
          </w:p>
        </w:tc>
        <w:tc>
          <w:tcPr>
            <w:tcW w:w="992" w:type="dxa"/>
            <w:hideMark/>
          </w:tcPr>
          <w:p w14:paraId="05B6F36D"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0.24x</w:t>
            </w:r>
          </w:p>
        </w:tc>
        <w:tc>
          <w:tcPr>
            <w:tcW w:w="1134" w:type="dxa"/>
            <w:hideMark/>
          </w:tcPr>
          <w:p w14:paraId="56A5498E"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0.26x</w:t>
            </w:r>
          </w:p>
        </w:tc>
        <w:tc>
          <w:tcPr>
            <w:tcW w:w="1276" w:type="dxa"/>
            <w:hideMark/>
          </w:tcPr>
          <w:p w14:paraId="1E03A5D4" w14:textId="77777777" w:rsidR="00196926" w:rsidRPr="0030057C" w:rsidRDefault="00196926" w:rsidP="0030057C">
            <w:pPr>
              <w:spacing w:line="360" w:lineRule="auto"/>
              <w:jc w:val="both"/>
              <w:rPr>
                <w:rFonts w:ascii="Arial" w:eastAsia="Times New Roman" w:hAnsi="Arial" w:cs="Arial"/>
                <w:color w:val="000000"/>
                <w:kern w:val="0"/>
                <w:lang w:eastAsia="en-GB"/>
                <w14:ligatures w14:val="none"/>
              </w:rPr>
            </w:pPr>
            <w:r w:rsidRPr="0030057C">
              <w:rPr>
                <w:rFonts w:ascii="Arial" w:eastAsia="Times New Roman" w:hAnsi="Arial" w:cs="Arial"/>
                <w:color w:val="000000"/>
                <w:kern w:val="0"/>
                <w:lang w:eastAsia="en-GB"/>
                <w14:ligatures w14:val="none"/>
              </w:rPr>
              <w:t>0.29x</w:t>
            </w:r>
          </w:p>
        </w:tc>
      </w:tr>
    </w:tbl>
    <w:p w14:paraId="31D1AF6B" w14:textId="77777777" w:rsidR="00666AD1" w:rsidRPr="0030057C" w:rsidRDefault="00666AD1" w:rsidP="0030057C">
      <w:pPr>
        <w:spacing w:line="360" w:lineRule="auto"/>
        <w:jc w:val="both"/>
        <w:rPr>
          <w:rFonts w:ascii="Arial" w:hAnsi="Arial" w:cs="Arial"/>
        </w:rPr>
      </w:pPr>
      <w:r w:rsidRPr="0030057C">
        <w:rPr>
          <w:rFonts w:ascii="Arial" w:hAnsi="Arial" w:cs="Arial"/>
        </w:rPr>
        <w:t>Since 2021, Accor's liquidity situation has steadily deteriorated, with the cash ratio dropping from 0.63x to 0.44x and the current ratio decreasing from 1.17x to around 1.05x in 2025. However, this is not a sign of worse operations, but rather of intentional capital deployment through buybacks and dividends. The quick ratio is nearly the same as the current ratio since Accor has very little inventory.</w:t>
      </w:r>
    </w:p>
    <w:p w14:paraId="044B47CF" w14:textId="544373E9" w:rsidR="009947B5" w:rsidRPr="0030057C" w:rsidRDefault="00666AD1" w:rsidP="0030057C">
      <w:pPr>
        <w:spacing w:line="360" w:lineRule="auto"/>
        <w:jc w:val="both"/>
        <w:rPr>
          <w:rFonts w:ascii="Arial" w:hAnsi="Arial" w:cs="Arial"/>
        </w:rPr>
      </w:pPr>
      <w:r w:rsidRPr="0030057C">
        <w:rPr>
          <w:rFonts w:ascii="Arial" w:hAnsi="Arial" w:cs="Arial"/>
        </w:rPr>
        <w:t>Accor's operational cash flow ratio increased from -0.09x to 0.29x, indicating better cash generation despite decreased balance sheet liquidity. This is in line with its asset-light hotel strategy, which maintains liquidity despite having small cash reserves thanks to quick consumer payments. Because of its high cash conversion and business model, Accor's lower liquidity ratios are therefore less problematic.</w:t>
      </w:r>
    </w:p>
    <w:p w14:paraId="79C3BA24" w14:textId="77777777" w:rsidR="009B024D" w:rsidRPr="0030057C" w:rsidRDefault="009B024D" w:rsidP="0030057C">
      <w:pPr>
        <w:spacing w:line="360" w:lineRule="auto"/>
        <w:jc w:val="both"/>
        <w:rPr>
          <w:rFonts w:ascii="Arial" w:hAnsi="Arial" w:cs="Arial"/>
          <w:b/>
          <w:bCs/>
        </w:rPr>
      </w:pPr>
      <w:r w:rsidRPr="0030057C">
        <w:rPr>
          <w:rFonts w:ascii="Arial" w:hAnsi="Arial" w:cs="Arial"/>
          <w:b/>
          <w:bCs/>
        </w:rPr>
        <w:t>Efficiency</w:t>
      </w:r>
    </w:p>
    <w:p w14:paraId="7BAF5279" w14:textId="4DB96BE9" w:rsidR="00082B79" w:rsidRPr="0030057C" w:rsidRDefault="00E95788" w:rsidP="0030057C">
      <w:pPr>
        <w:spacing w:line="360" w:lineRule="auto"/>
        <w:jc w:val="both"/>
        <w:rPr>
          <w:rFonts w:ascii="Arial" w:hAnsi="Arial" w:cs="Arial"/>
        </w:rPr>
      </w:pPr>
      <w:r w:rsidRPr="0030057C">
        <w:rPr>
          <w:rFonts w:ascii="Arial" w:hAnsi="Arial" w:cs="Arial"/>
        </w:rPr>
        <w:t xml:space="preserve">The asset turnover ratio significantly improved, indicating that the business made better use of its resources to produce income. This shows higher revenue production from current resources and a rebound in hotel occupancy levels, both of which boost overall operational performance. </w:t>
      </w:r>
    </w:p>
    <w:tbl>
      <w:tblPr>
        <w:tblW w:w="10750" w:type="dxa"/>
        <w:jc w:val="center"/>
        <w:tblBorders>
          <w:top w:val="single" w:sz="4" w:space="0" w:color="CCCCCC"/>
          <w:left w:val="single" w:sz="4" w:space="0" w:color="CCCCCC"/>
          <w:bottom w:val="single" w:sz="4" w:space="0" w:color="CCCCCC"/>
          <w:right w:val="single" w:sz="4" w:space="0" w:color="CCCCCC"/>
          <w:insideH w:val="single" w:sz="2" w:space="0" w:color="DDDDDD"/>
          <w:insideV w:val="single" w:sz="2" w:space="0" w:color="DDDDDD"/>
        </w:tblBorders>
        <w:tblCellMar>
          <w:left w:w="10" w:type="dxa"/>
          <w:right w:w="10" w:type="dxa"/>
        </w:tblCellMar>
        <w:tblLook w:val="04A0" w:firstRow="1" w:lastRow="0" w:firstColumn="1" w:lastColumn="0" w:noHBand="0" w:noVBand="1"/>
      </w:tblPr>
      <w:tblGrid>
        <w:gridCol w:w="3000"/>
        <w:gridCol w:w="1550"/>
        <w:gridCol w:w="1550"/>
        <w:gridCol w:w="1550"/>
        <w:gridCol w:w="1550"/>
        <w:gridCol w:w="1550"/>
      </w:tblGrid>
      <w:tr w:rsidR="00537FC0" w:rsidRPr="00993D90" w14:paraId="13DEA7BD" w14:textId="77777777" w:rsidTr="00F46368">
        <w:trPr>
          <w:tblHeader/>
          <w:jc w:val="center"/>
        </w:trPr>
        <w:tc>
          <w:tcPr>
            <w:tcW w:w="3000" w:type="dxa"/>
            <w:shd w:val="clear" w:color="auto" w:fill="0B2545"/>
            <w:tcMar>
              <w:top w:w="60" w:type="dxa"/>
              <w:left w:w="100" w:type="dxa"/>
              <w:bottom w:w="60" w:type="dxa"/>
              <w:right w:w="100" w:type="dxa"/>
            </w:tcMar>
            <w:vAlign w:val="center"/>
          </w:tcPr>
          <w:p w14:paraId="3BD4D349" w14:textId="77777777" w:rsidR="00537FC0" w:rsidRPr="00993D90" w:rsidRDefault="00537FC0" w:rsidP="003F605D">
            <w:pPr>
              <w:jc w:val="center"/>
              <w:rPr>
                <w:rFonts w:ascii="Arial" w:hAnsi="Arial" w:cs="Arial"/>
              </w:rPr>
            </w:pPr>
            <w:r w:rsidRPr="00993D90">
              <w:rPr>
                <w:rFonts w:ascii="Arial" w:hAnsi="Arial" w:cs="Arial"/>
                <w:b/>
                <w:bCs/>
                <w:color w:val="FFFFFF"/>
              </w:rPr>
              <w:t>Efficiency Indicator</w:t>
            </w:r>
          </w:p>
        </w:tc>
        <w:tc>
          <w:tcPr>
            <w:tcW w:w="1550" w:type="dxa"/>
            <w:shd w:val="clear" w:color="auto" w:fill="0B2545"/>
            <w:tcMar>
              <w:top w:w="60" w:type="dxa"/>
              <w:left w:w="100" w:type="dxa"/>
              <w:bottom w:w="60" w:type="dxa"/>
              <w:right w:w="100" w:type="dxa"/>
            </w:tcMar>
            <w:vAlign w:val="center"/>
          </w:tcPr>
          <w:p w14:paraId="6EBA710E" w14:textId="77777777" w:rsidR="00537FC0" w:rsidRPr="00993D90" w:rsidRDefault="00537FC0" w:rsidP="003F605D">
            <w:pPr>
              <w:jc w:val="center"/>
              <w:rPr>
                <w:rFonts w:ascii="Arial" w:hAnsi="Arial" w:cs="Arial"/>
              </w:rPr>
            </w:pPr>
            <w:r w:rsidRPr="00993D90">
              <w:rPr>
                <w:rFonts w:ascii="Arial" w:hAnsi="Arial" w:cs="Arial"/>
                <w:b/>
                <w:bCs/>
                <w:color w:val="FFFFFF"/>
              </w:rPr>
              <w:t>2021</w:t>
            </w:r>
          </w:p>
        </w:tc>
        <w:tc>
          <w:tcPr>
            <w:tcW w:w="1550" w:type="dxa"/>
            <w:shd w:val="clear" w:color="auto" w:fill="0B2545"/>
            <w:tcMar>
              <w:top w:w="60" w:type="dxa"/>
              <w:left w:w="100" w:type="dxa"/>
              <w:bottom w:w="60" w:type="dxa"/>
              <w:right w:w="100" w:type="dxa"/>
            </w:tcMar>
            <w:vAlign w:val="center"/>
          </w:tcPr>
          <w:p w14:paraId="0190289D" w14:textId="77777777" w:rsidR="00537FC0" w:rsidRPr="00993D90" w:rsidRDefault="00537FC0" w:rsidP="003F605D">
            <w:pPr>
              <w:jc w:val="center"/>
              <w:rPr>
                <w:rFonts w:ascii="Arial" w:hAnsi="Arial" w:cs="Arial"/>
              </w:rPr>
            </w:pPr>
            <w:r w:rsidRPr="00993D90">
              <w:rPr>
                <w:rFonts w:ascii="Arial" w:hAnsi="Arial" w:cs="Arial"/>
                <w:b/>
                <w:bCs/>
                <w:color w:val="FFFFFF"/>
              </w:rPr>
              <w:t>2022</w:t>
            </w:r>
          </w:p>
        </w:tc>
        <w:tc>
          <w:tcPr>
            <w:tcW w:w="1550" w:type="dxa"/>
            <w:shd w:val="clear" w:color="auto" w:fill="0B2545"/>
            <w:tcMar>
              <w:top w:w="60" w:type="dxa"/>
              <w:left w:w="100" w:type="dxa"/>
              <w:bottom w:w="60" w:type="dxa"/>
              <w:right w:w="100" w:type="dxa"/>
            </w:tcMar>
            <w:vAlign w:val="center"/>
          </w:tcPr>
          <w:p w14:paraId="1272D28C" w14:textId="77777777" w:rsidR="00537FC0" w:rsidRPr="00993D90" w:rsidRDefault="00537FC0" w:rsidP="003F605D">
            <w:pPr>
              <w:jc w:val="center"/>
              <w:rPr>
                <w:rFonts w:ascii="Arial" w:hAnsi="Arial" w:cs="Arial"/>
              </w:rPr>
            </w:pPr>
            <w:r w:rsidRPr="00993D90">
              <w:rPr>
                <w:rFonts w:ascii="Arial" w:hAnsi="Arial" w:cs="Arial"/>
                <w:b/>
                <w:bCs/>
                <w:color w:val="FFFFFF"/>
              </w:rPr>
              <w:t>2023</w:t>
            </w:r>
          </w:p>
        </w:tc>
        <w:tc>
          <w:tcPr>
            <w:tcW w:w="1550" w:type="dxa"/>
            <w:shd w:val="clear" w:color="auto" w:fill="0B2545"/>
            <w:tcMar>
              <w:top w:w="60" w:type="dxa"/>
              <w:left w:w="100" w:type="dxa"/>
              <w:bottom w:w="60" w:type="dxa"/>
              <w:right w:w="100" w:type="dxa"/>
            </w:tcMar>
            <w:vAlign w:val="center"/>
          </w:tcPr>
          <w:p w14:paraId="5A041196" w14:textId="77777777" w:rsidR="00537FC0" w:rsidRPr="00993D90" w:rsidRDefault="00537FC0" w:rsidP="003F605D">
            <w:pPr>
              <w:jc w:val="center"/>
              <w:rPr>
                <w:rFonts w:ascii="Arial" w:hAnsi="Arial" w:cs="Arial"/>
              </w:rPr>
            </w:pPr>
            <w:r w:rsidRPr="00993D90">
              <w:rPr>
                <w:rFonts w:ascii="Arial" w:hAnsi="Arial" w:cs="Arial"/>
                <w:b/>
                <w:bCs/>
                <w:color w:val="FFFFFF"/>
              </w:rPr>
              <w:t>2024</w:t>
            </w:r>
          </w:p>
        </w:tc>
        <w:tc>
          <w:tcPr>
            <w:tcW w:w="1550" w:type="dxa"/>
            <w:shd w:val="clear" w:color="auto" w:fill="0B2545"/>
            <w:tcMar>
              <w:top w:w="60" w:type="dxa"/>
              <w:left w:w="100" w:type="dxa"/>
              <w:bottom w:w="60" w:type="dxa"/>
              <w:right w:w="100" w:type="dxa"/>
            </w:tcMar>
            <w:vAlign w:val="center"/>
          </w:tcPr>
          <w:p w14:paraId="69238CD5" w14:textId="77777777" w:rsidR="00537FC0" w:rsidRPr="00993D90" w:rsidRDefault="00537FC0" w:rsidP="003F605D">
            <w:pPr>
              <w:jc w:val="center"/>
              <w:rPr>
                <w:rFonts w:ascii="Arial" w:hAnsi="Arial" w:cs="Arial"/>
              </w:rPr>
            </w:pPr>
            <w:r w:rsidRPr="00993D90">
              <w:rPr>
                <w:rFonts w:ascii="Arial" w:hAnsi="Arial" w:cs="Arial"/>
                <w:b/>
                <w:bCs/>
                <w:color w:val="FFFFFF"/>
              </w:rPr>
              <w:t>2025</w:t>
            </w:r>
          </w:p>
        </w:tc>
      </w:tr>
      <w:tr w:rsidR="00537FC0" w:rsidRPr="00993D90" w14:paraId="4547734F" w14:textId="77777777" w:rsidTr="00F46368">
        <w:trPr>
          <w:jc w:val="center"/>
        </w:trPr>
        <w:tc>
          <w:tcPr>
            <w:tcW w:w="3000" w:type="dxa"/>
            <w:shd w:val="clear" w:color="auto" w:fill="F2F2F2"/>
            <w:tcMar>
              <w:top w:w="60" w:type="dxa"/>
              <w:left w:w="100" w:type="dxa"/>
              <w:bottom w:w="60" w:type="dxa"/>
              <w:right w:w="100" w:type="dxa"/>
            </w:tcMar>
            <w:vAlign w:val="center"/>
          </w:tcPr>
          <w:p w14:paraId="5FD5C7C3" w14:textId="77777777" w:rsidR="00537FC0" w:rsidRPr="00993D90" w:rsidRDefault="00537FC0" w:rsidP="003F605D">
            <w:pPr>
              <w:rPr>
                <w:rFonts w:ascii="Arial" w:hAnsi="Arial" w:cs="Arial"/>
              </w:rPr>
            </w:pPr>
            <w:r w:rsidRPr="00993D90">
              <w:rPr>
                <w:rFonts w:ascii="Arial" w:hAnsi="Arial" w:cs="Arial"/>
                <w:color w:val="000000"/>
              </w:rPr>
              <w:t>Asset turnover (Revenue ÷ Total assets)</w:t>
            </w:r>
          </w:p>
        </w:tc>
        <w:tc>
          <w:tcPr>
            <w:tcW w:w="1550" w:type="dxa"/>
            <w:shd w:val="clear" w:color="auto" w:fill="F2F2F2"/>
            <w:tcMar>
              <w:top w:w="60" w:type="dxa"/>
              <w:left w:w="100" w:type="dxa"/>
              <w:bottom w:w="60" w:type="dxa"/>
              <w:right w:w="100" w:type="dxa"/>
            </w:tcMar>
            <w:vAlign w:val="center"/>
          </w:tcPr>
          <w:p w14:paraId="275D7655" w14:textId="27EC223F" w:rsidR="00537FC0" w:rsidRPr="00993D90" w:rsidRDefault="00537FC0" w:rsidP="003F605D">
            <w:pPr>
              <w:jc w:val="center"/>
              <w:rPr>
                <w:rFonts w:ascii="Arial" w:hAnsi="Arial" w:cs="Arial"/>
              </w:rPr>
            </w:pPr>
            <w:r w:rsidRPr="00993D90">
              <w:rPr>
                <w:rFonts w:ascii="Arial" w:hAnsi="Arial" w:cs="Arial"/>
              </w:rPr>
              <w:t>0.20x</w:t>
            </w:r>
          </w:p>
        </w:tc>
        <w:tc>
          <w:tcPr>
            <w:tcW w:w="1550" w:type="dxa"/>
            <w:shd w:val="clear" w:color="auto" w:fill="F2F2F2"/>
            <w:tcMar>
              <w:top w:w="60" w:type="dxa"/>
              <w:left w:w="100" w:type="dxa"/>
              <w:bottom w:w="60" w:type="dxa"/>
              <w:right w:w="100" w:type="dxa"/>
            </w:tcMar>
            <w:vAlign w:val="center"/>
          </w:tcPr>
          <w:p w14:paraId="47916356" w14:textId="77777777" w:rsidR="00537FC0" w:rsidRPr="00993D90" w:rsidRDefault="00537FC0" w:rsidP="003F605D">
            <w:pPr>
              <w:jc w:val="center"/>
              <w:rPr>
                <w:rFonts w:ascii="Arial" w:hAnsi="Arial" w:cs="Arial"/>
              </w:rPr>
            </w:pPr>
            <w:r w:rsidRPr="00993D90">
              <w:rPr>
                <w:rFonts w:ascii="Arial" w:hAnsi="Arial" w:cs="Arial"/>
                <w:color w:val="000000"/>
              </w:rPr>
              <w:t>0.36x</w:t>
            </w:r>
          </w:p>
        </w:tc>
        <w:tc>
          <w:tcPr>
            <w:tcW w:w="1550" w:type="dxa"/>
            <w:shd w:val="clear" w:color="auto" w:fill="F2F2F2"/>
            <w:tcMar>
              <w:top w:w="60" w:type="dxa"/>
              <w:left w:w="100" w:type="dxa"/>
              <w:bottom w:w="60" w:type="dxa"/>
              <w:right w:w="100" w:type="dxa"/>
            </w:tcMar>
            <w:vAlign w:val="center"/>
          </w:tcPr>
          <w:p w14:paraId="2F9CA685" w14:textId="77777777" w:rsidR="00537FC0" w:rsidRPr="00993D90" w:rsidRDefault="00537FC0" w:rsidP="003F605D">
            <w:pPr>
              <w:jc w:val="center"/>
              <w:rPr>
                <w:rFonts w:ascii="Arial" w:hAnsi="Arial" w:cs="Arial"/>
              </w:rPr>
            </w:pPr>
            <w:r w:rsidRPr="00993D90">
              <w:rPr>
                <w:rFonts w:ascii="Arial" w:hAnsi="Arial" w:cs="Arial"/>
                <w:color w:val="000000"/>
              </w:rPr>
              <w:t>0.45x</w:t>
            </w:r>
          </w:p>
        </w:tc>
        <w:tc>
          <w:tcPr>
            <w:tcW w:w="1550" w:type="dxa"/>
            <w:shd w:val="clear" w:color="auto" w:fill="F2F2F2"/>
            <w:tcMar>
              <w:top w:w="60" w:type="dxa"/>
              <w:left w:w="100" w:type="dxa"/>
              <w:bottom w:w="60" w:type="dxa"/>
              <w:right w:w="100" w:type="dxa"/>
            </w:tcMar>
            <w:vAlign w:val="center"/>
          </w:tcPr>
          <w:p w14:paraId="27AD12B6" w14:textId="77777777" w:rsidR="00537FC0" w:rsidRPr="00993D90" w:rsidRDefault="00537FC0" w:rsidP="003F605D">
            <w:pPr>
              <w:jc w:val="center"/>
              <w:rPr>
                <w:rFonts w:ascii="Arial" w:hAnsi="Arial" w:cs="Arial"/>
              </w:rPr>
            </w:pPr>
            <w:r w:rsidRPr="00993D90">
              <w:rPr>
                <w:rFonts w:ascii="Arial" w:hAnsi="Arial" w:cs="Arial"/>
                <w:color w:val="000000"/>
              </w:rPr>
              <w:t>0.46x</w:t>
            </w:r>
          </w:p>
        </w:tc>
        <w:tc>
          <w:tcPr>
            <w:tcW w:w="1550" w:type="dxa"/>
            <w:shd w:val="clear" w:color="auto" w:fill="F2F2F2"/>
            <w:tcMar>
              <w:top w:w="60" w:type="dxa"/>
              <w:left w:w="100" w:type="dxa"/>
              <w:bottom w:w="60" w:type="dxa"/>
              <w:right w:w="100" w:type="dxa"/>
            </w:tcMar>
            <w:vAlign w:val="center"/>
          </w:tcPr>
          <w:p w14:paraId="35B39427" w14:textId="77777777" w:rsidR="00537FC0" w:rsidRPr="00993D90" w:rsidRDefault="00537FC0" w:rsidP="003F605D">
            <w:pPr>
              <w:jc w:val="center"/>
              <w:rPr>
                <w:rFonts w:ascii="Arial" w:hAnsi="Arial" w:cs="Arial"/>
              </w:rPr>
            </w:pPr>
            <w:r w:rsidRPr="00993D90">
              <w:rPr>
                <w:rFonts w:ascii="Arial" w:hAnsi="Arial" w:cs="Arial"/>
                <w:color w:val="000000"/>
              </w:rPr>
              <w:t>0.48x</w:t>
            </w:r>
          </w:p>
        </w:tc>
      </w:tr>
      <w:tr w:rsidR="00537FC0" w:rsidRPr="00993D90" w14:paraId="5B032856" w14:textId="77777777" w:rsidTr="00F46368">
        <w:trPr>
          <w:jc w:val="center"/>
        </w:trPr>
        <w:tc>
          <w:tcPr>
            <w:tcW w:w="3000" w:type="dxa"/>
            <w:shd w:val="clear" w:color="auto" w:fill="FFFFFF"/>
            <w:tcMar>
              <w:top w:w="60" w:type="dxa"/>
              <w:left w:w="100" w:type="dxa"/>
              <w:bottom w:w="60" w:type="dxa"/>
              <w:right w:w="100" w:type="dxa"/>
            </w:tcMar>
            <w:vAlign w:val="center"/>
          </w:tcPr>
          <w:p w14:paraId="611F810D" w14:textId="77777777" w:rsidR="00537FC0" w:rsidRPr="00993D90" w:rsidRDefault="00537FC0" w:rsidP="003F605D">
            <w:pPr>
              <w:rPr>
                <w:rFonts w:ascii="Arial" w:hAnsi="Arial" w:cs="Arial"/>
              </w:rPr>
            </w:pPr>
            <w:r w:rsidRPr="00993D90">
              <w:rPr>
                <w:rFonts w:ascii="Arial" w:hAnsi="Arial" w:cs="Arial"/>
                <w:color w:val="000000"/>
              </w:rPr>
              <w:t>Hotel portfolio (rooms, year-end)</w:t>
            </w:r>
          </w:p>
        </w:tc>
        <w:tc>
          <w:tcPr>
            <w:tcW w:w="1550" w:type="dxa"/>
            <w:shd w:val="clear" w:color="auto" w:fill="FFFFFF"/>
            <w:tcMar>
              <w:top w:w="60" w:type="dxa"/>
              <w:left w:w="100" w:type="dxa"/>
              <w:bottom w:w="60" w:type="dxa"/>
              <w:right w:w="100" w:type="dxa"/>
            </w:tcMar>
            <w:vAlign w:val="center"/>
          </w:tcPr>
          <w:p w14:paraId="10A6CA62" w14:textId="77777777" w:rsidR="00537FC0" w:rsidRPr="00993D90" w:rsidRDefault="00537FC0" w:rsidP="003F605D">
            <w:pPr>
              <w:jc w:val="center"/>
              <w:rPr>
                <w:rFonts w:ascii="Arial" w:hAnsi="Arial" w:cs="Arial"/>
              </w:rPr>
            </w:pPr>
            <w:r w:rsidRPr="00993D90">
              <w:rPr>
                <w:rFonts w:ascii="Arial" w:hAnsi="Arial" w:cs="Arial"/>
                <w:color w:val="000000"/>
              </w:rPr>
              <w:t>777,714</w:t>
            </w:r>
          </w:p>
        </w:tc>
        <w:tc>
          <w:tcPr>
            <w:tcW w:w="1550" w:type="dxa"/>
            <w:shd w:val="clear" w:color="auto" w:fill="FFFFFF"/>
            <w:tcMar>
              <w:top w:w="60" w:type="dxa"/>
              <w:left w:w="100" w:type="dxa"/>
              <w:bottom w:w="60" w:type="dxa"/>
              <w:right w:w="100" w:type="dxa"/>
            </w:tcMar>
            <w:vAlign w:val="center"/>
          </w:tcPr>
          <w:p w14:paraId="69AED256" w14:textId="77777777" w:rsidR="00537FC0" w:rsidRPr="00993D90" w:rsidRDefault="00537FC0" w:rsidP="003F605D">
            <w:pPr>
              <w:jc w:val="center"/>
              <w:rPr>
                <w:rFonts w:ascii="Arial" w:hAnsi="Arial" w:cs="Arial"/>
              </w:rPr>
            </w:pPr>
            <w:r w:rsidRPr="00993D90">
              <w:rPr>
                <w:rFonts w:ascii="Arial" w:hAnsi="Arial" w:cs="Arial"/>
                <w:color w:val="000000"/>
              </w:rPr>
              <w:t>802,269</w:t>
            </w:r>
          </w:p>
        </w:tc>
        <w:tc>
          <w:tcPr>
            <w:tcW w:w="1550" w:type="dxa"/>
            <w:shd w:val="clear" w:color="auto" w:fill="FFFFFF"/>
            <w:tcMar>
              <w:top w:w="60" w:type="dxa"/>
              <w:left w:w="100" w:type="dxa"/>
              <w:bottom w:w="60" w:type="dxa"/>
              <w:right w:w="100" w:type="dxa"/>
            </w:tcMar>
            <w:vAlign w:val="center"/>
          </w:tcPr>
          <w:p w14:paraId="72C82B0B" w14:textId="77777777" w:rsidR="00537FC0" w:rsidRPr="00993D90" w:rsidRDefault="00537FC0" w:rsidP="003F605D">
            <w:pPr>
              <w:jc w:val="center"/>
              <w:rPr>
                <w:rFonts w:ascii="Arial" w:hAnsi="Arial" w:cs="Arial"/>
              </w:rPr>
            </w:pPr>
            <w:r w:rsidRPr="00993D90">
              <w:rPr>
                <w:rFonts w:ascii="Arial" w:hAnsi="Arial" w:cs="Arial"/>
                <w:color w:val="000000"/>
              </w:rPr>
              <w:t>821,518</w:t>
            </w:r>
          </w:p>
        </w:tc>
        <w:tc>
          <w:tcPr>
            <w:tcW w:w="1550" w:type="dxa"/>
            <w:shd w:val="clear" w:color="auto" w:fill="FFFFFF"/>
            <w:tcMar>
              <w:top w:w="60" w:type="dxa"/>
              <w:left w:w="100" w:type="dxa"/>
              <w:bottom w:w="60" w:type="dxa"/>
              <w:right w:w="100" w:type="dxa"/>
            </w:tcMar>
            <w:vAlign w:val="center"/>
          </w:tcPr>
          <w:p w14:paraId="0428443A" w14:textId="77777777" w:rsidR="00537FC0" w:rsidRPr="00993D90" w:rsidRDefault="00537FC0" w:rsidP="003F605D">
            <w:pPr>
              <w:jc w:val="center"/>
              <w:rPr>
                <w:rFonts w:ascii="Arial" w:hAnsi="Arial" w:cs="Arial"/>
              </w:rPr>
            </w:pPr>
            <w:r w:rsidRPr="00993D90">
              <w:rPr>
                <w:rFonts w:ascii="Arial" w:hAnsi="Arial" w:cs="Arial"/>
                <w:color w:val="000000"/>
              </w:rPr>
              <w:t>~850,000</w:t>
            </w:r>
          </w:p>
        </w:tc>
        <w:tc>
          <w:tcPr>
            <w:tcW w:w="1550" w:type="dxa"/>
            <w:shd w:val="clear" w:color="auto" w:fill="FFFFFF"/>
            <w:tcMar>
              <w:top w:w="60" w:type="dxa"/>
              <w:left w:w="100" w:type="dxa"/>
              <w:bottom w:w="60" w:type="dxa"/>
              <w:right w:w="100" w:type="dxa"/>
            </w:tcMar>
            <w:vAlign w:val="center"/>
          </w:tcPr>
          <w:p w14:paraId="17CE28E2" w14:textId="77777777" w:rsidR="00537FC0" w:rsidRPr="00993D90" w:rsidRDefault="00537FC0" w:rsidP="003F605D">
            <w:pPr>
              <w:jc w:val="center"/>
              <w:rPr>
                <w:rFonts w:ascii="Arial" w:hAnsi="Arial" w:cs="Arial"/>
              </w:rPr>
            </w:pPr>
            <w:r w:rsidRPr="00993D90">
              <w:rPr>
                <w:rFonts w:ascii="Arial" w:hAnsi="Arial" w:cs="Arial"/>
                <w:color w:val="000000"/>
              </w:rPr>
              <w:t>881,427</w:t>
            </w:r>
          </w:p>
        </w:tc>
      </w:tr>
      <w:tr w:rsidR="00537FC0" w:rsidRPr="00993D90" w14:paraId="07260467" w14:textId="77777777" w:rsidTr="00F46368">
        <w:trPr>
          <w:jc w:val="center"/>
        </w:trPr>
        <w:tc>
          <w:tcPr>
            <w:tcW w:w="3000" w:type="dxa"/>
            <w:shd w:val="clear" w:color="auto" w:fill="F2F2F2"/>
            <w:tcMar>
              <w:top w:w="60" w:type="dxa"/>
              <w:left w:w="100" w:type="dxa"/>
              <w:bottom w:w="60" w:type="dxa"/>
              <w:right w:w="100" w:type="dxa"/>
            </w:tcMar>
            <w:vAlign w:val="center"/>
          </w:tcPr>
          <w:p w14:paraId="232F5AF6" w14:textId="77777777" w:rsidR="00537FC0" w:rsidRPr="00993D90" w:rsidRDefault="00537FC0" w:rsidP="003F605D">
            <w:pPr>
              <w:rPr>
                <w:rFonts w:ascii="Arial" w:hAnsi="Arial" w:cs="Arial"/>
              </w:rPr>
            </w:pPr>
            <w:r w:rsidRPr="00993D90">
              <w:rPr>
                <w:rFonts w:ascii="Arial" w:hAnsi="Arial" w:cs="Arial"/>
                <w:color w:val="000000"/>
              </w:rPr>
              <w:t>Hotel portfolio (properties, year-end)</w:t>
            </w:r>
          </w:p>
        </w:tc>
        <w:tc>
          <w:tcPr>
            <w:tcW w:w="1550" w:type="dxa"/>
            <w:shd w:val="clear" w:color="auto" w:fill="F2F2F2"/>
            <w:tcMar>
              <w:top w:w="60" w:type="dxa"/>
              <w:left w:w="100" w:type="dxa"/>
              <w:bottom w:w="60" w:type="dxa"/>
              <w:right w:w="100" w:type="dxa"/>
            </w:tcMar>
            <w:vAlign w:val="center"/>
          </w:tcPr>
          <w:p w14:paraId="6AC16289" w14:textId="77777777" w:rsidR="00537FC0" w:rsidRPr="00993D90" w:rsidRDefault="00537FC0" w:rsidP="003F605D">
            <w:pPr>
              <w:jc w:val="center"/>
              <w:rPr>
                <w:rFonts w:ascii="Arial" w:hAnsi="Arial" w:cs="Arial"/>
              </w:rPr>
            </w:pPr>
            <w:r w:rsidRPr="00993D90">
              <w:rPr>
                <w:rFonts w:ascii="Arial" w:hAnsi="Arial" w:cs="Arial"/>
                <w:color w:val="000000"/>
              </w:rPr>
              <w:t>5,298</w:t>
            </w:r>
          </w:p>
        </w:tc>
        <w:tc>
          <w:tcPr>
            <w:tcW w:w="1550" w:type="dxa"/>
            <w:shd w:val="clear" w:color="auto" w:fill="F2F2F2"/>
            <w:tcMar>
              <w:top w:w="60" w:type="dxa"/>
              <w:left w:w="100" w:type="dxa"/>
              <w:bottom w:w="60" w:type="dxa"/>
              <w:right w:w="100" w:type="dxa"/>
            </w:tcMar>
            <w:vAlign w:val="center"/>
          </w:tcPr>
          <w:p w14:paraId="17EE1370" w14:textId="77777777" w:rsidR="00537FC0" w:rsidRPr="00993D90" w:rsidRDefault="00537FC0" w:rsidP="003F605D">
            <w:pPr>
              <w:jc w:val="center"/>
              <w:rPr>
                <w:rFonts w:ascii="Arial" w:hAnsi="Arial" w:cs="Arial"/>
              </w:rPr>
            </w:pPr>
            <w:r w:rsidRPr="00993D90">
              <w:rPr>
                <w:rFonts w:ascii="Arial" w:hAnsi="Arial" w:cs="Arial"/>
                <w:color w:val="000000"/>
              </w:rPr>
              <w:t>5,445</w:t>
            </w:r>
          </w:p>
        </w:tc>
        <w:tc>
          <w:tcPr>
            <w:tcW w:w="1550" w:type="dxa"/>
            <w:shd w:val="clear" w:color="auto" w:fill="F2F2F2"/>
            <w:tcMar>
              <w:top w:w="60" w:type="dxa"/>
              <w:left w:w="100" w:type="dxa"/>
              <w:bottom w:w="60" w:type="dxa"/>
              <w:right w:w="100" w:type="dxa"/>
            </w:tcMar>
            <w:vAlign w:val="center"/>
          </w:tcPr>
          <w:p w14:paraId="236C7838" w14:textId="77777777" w:rsidR="00537FC0" w:rsidRPr="00993D90" w:rsidRDefault="00537FC0" w:rsidP="003F605D">
            <w:pPr>
              <w:jc w:val="center"/>
              <w:rPr>
                <w:rFonts w:ascii="Arial" w:hAnsi="Arial" w:cs="Arial"/>
              </w:rPr>
            </w:pPr>
            <w:r w:rsidRPr="00993D90">
              <w:rPr>
                <w:rFonts w:ascii="Arial" w:hAnsi="Arial" w:cs="Arial"/>
                <w:color w:val="000000"/>
              </w:rPr>
              <w:t>5,584</w:t>
            </w:r>
          </w:p>
        </w:tc>
        <w:tc>
          <w:tcPr>
            <w:tcW w:w="1550" w:type="dxa"/>
            <w:shd w:val="clear" w:color="auto" w:fill="F2F2F2"/>
            <w:tcMar>
              <w:top w:w="60" w:type="dxa"/>
              <w:left w:w="100" w:type="dxa"/>
              <w:bottom w:w="60" w:type="dxa"/>
              <w:right w:w="100" w:type="dxa"/>
            </w:tcMar>
            <w:vAlign w:val="center"/>
          </w:tcPr>
          <w:p w14:paraId="134CCF98" w14:textId="77777777" w:rsidR="00537FC0" w:rsidRPr="00993D90" w:rsidRDefault="00537FC0" w:rsidP="003F605D">
            <w:pPr>
              <w:jc w:val="center"/>
              <w:rPr>
                <w:rFonts w:ascii="Arial" w:hAnsi="Arial" w:cs="Arial"/>
              </w:rPr>
            </w:pPr>
            <w:r w:rsidRPr="00993D90">
              <w:rPr>
                <w:rFonts w:ascii="Arial" w:hAnsi="Arial" w:cs="Arial"/>
                <w:color w:val="000000"/>
              </w:rPr>
              <w:t>~5,700</w:t>
            </w:r>
          </w:p>
        </w:tc>
        <w:tc>
          <w:tcPr>
            <w:tcW w:w="1550" w:type="dxa"/>
            <w:shd w:val="clear" w:color="auto" w:fill="F2F2F2"/>
            <w:tcMar>
              <w:top w:w="60" w:type="dxa"/>
              <w:left w:w="100" w:type="dxa"/>
              <w:bottom w:w="60" w:type="dxa"/>
              <w:right w:w="100" w:type="dxa"/>
            </w:tcMar>
            <w:vAlign w:val="center"/>
          </w:tcPr>
          <w:p w14:paraId="04C4A621" w14:textId="77777777" w:rsidR="00537FC0" w:rsidRPr="00993D90" w:rsidRDefault="00537FC0" w:rsidP="003F605D">
            <w:pPr>
              <w:jc w:val="center"/>
              <w:rPr>
                <w:rFonts w:ascii="Arial" w:hAnsi="Arial" w:cs="Arial"/>
              </w:rPr>
            </w:pPr>
            <w:r w:rsidRPr="00993D90">
              <w:rPr>
                <w:rFonts w:ascii="Arial" w:hAnsi="Arial" w:cs="Arial"/>
                <w:color w:val="000000"/>
              </w:rPr>
              <w:t>5,836</w:t>
            </w:r>
          </w:p>
        </w:tc>
      </w:tr>
    </w:tbl>
    <w:p w14:paraId="40D5A942" w14:textId="77777777" w:rsidR="007B7BDA" w:rsidRPr="00993D90" w:rsidRDefault="007B7BDA">
      <w:pPr>
        <w:rPr>
          <w:rFonts w:ascii="Arial" w:hAnsi="Arial" w:cs="Arial"/>
        </w:rPr>
      </w:pPr>
    </w:p>
    <w:p w14:paraId="44874E31" w14:textId="6CA8404B" w:rsidR="009B024D" w:rsidRPr="008D5D49" w:rsidRDefault="009B024D" w:rsidP="008D5D49">
      <w:pPr>
        <w:pStyle w:val="Heading2"/>
        <w:rPr>
          <w:rFonts w:ascii="Baskerville Old Face" w:hAnsi="Baskerville Old Face"/>
          <w:b/>
          <w:bCs/>
          <w:color w:val="000000" w:themeColor="text1"/>
        </w:rPr>
      </w:pPr>
      <w:bookmarkStart w:id="5" w:name="_Toc235559586"/>
      <w:r w:rsidRPr="008D5D49">
        <w:rPr>
          <w:rFonts w:ascii="Baskerville Old Face" w:hAnsi="Baskerville Old Face"/>
          <w:b/>
          <w:bCs/>
          <w:color w:val="000000" w:themeColor="text1"/>
        </w:rPr>
        <w:t>Gearing</w:t>
      </w:r>
      <w:bookmarkEnd w:id="5"/>
    </w:p>
    <w:p w14:paraId="4EB3E475" w14:textId="77777777" w:rsidR="00D91ED2" w:rsidRDefault="00D91ED2" w:rsidP="00AB7476">
      <w:pPr>
        <w:spacing w:line="360" w:lineRule="auto"/>
        <w:jc w:val="both"/>
        <w:rPr>
          <w:rFonts w:ascii="Arial" w:hAnsi="Arial" w:cs="Arial"/>
        </w:rPr>
      </w:pPr>
      <w:r w:rsidRPr="00D91ED2">
        <w:rPr>
          <w:rFonts w:ascii="Arial" w:hAnsi="Arial" w:cs="Arial"/>
        </w:rPr>
        <w:t xml:space="preserve">Leverage represents the most notable area of weakening financial health during the period under review. Accor’s net financial debt increased consistently across four of the five years, rising from €1.844 billion in 2021 to €3.064 billion in 2025, while the company’s equity base declined as a result of ongoing share repurchase programmes. Consequently, key leverage indicators have deteriorated significantly, with the net debt-to-equity ratio increasing from approximately 30% in 2022 to around 65% by 2025. Likewise, the gross debt-to-equity ratio rose from roughly 61% to more than 90% over the same period. Despite this increase in leverage, the group has benefited from </w:t>
      </w:r>
      <w:r w:rsidRPr="00D91ED2">
        <w:rPr>
          <w:rFonts w:ascii="Arial" w:hAnsi="Arial" w:cs="Arial"/>
        </w:rPr>
        <w:lastRenderedPageBreak/>
        <w:t>a relatively low and stable average borrowing cost of between 2.5% and 3.0%, while maintaining a well-structured debt maturity profile averaging three to four years and with no significant short-term refinancing pressures. These factors help to contain immediate liquidity and refinancing risks. Nevertheless, the overall trend is clear: Accor’s capital structure has become considerably more debt-dependent in 2025 compared with the period immediately following the pandemic, increasing the company’s exposure to financial risk and interest-rate fluctuations in the longer term.</w:t>
      </w:r>
    </w:p>
    <w:p w14:paraId="1738A910" w14:textId="77777777" w:rsidR="00EC702D" w:rsidRPr="00D91ED2" w:rsidRDefault="00EC702D" w:rsidP="00AB7476">
      <w:pPr>
        <w:spacing w:line="360" w:lineRule="auto"/>
        <w:jc w:val="both"/>
        <w:rPr>
          <w:rFonts w:ascii="Arial" w:hAnsi="Arial" w:cs="Arial"/>
        </w:rPr>
      </w:pPr>
    </w:p>
    <w:tbl>
      <w:tblPr>
        <w:tblW w:w="9600" w:type="dxa"/>
        <w:tblBorders>
          <w:top w:val="single" w:sz="4" w:space="0" w:color="CCCCCC"/>
          <w:left w:val="single" w:sz="4" w:space="0" w:color="CCCCCC"/>
          <w:bottom w:val="single" w:sz="4" w:space="0" w:color="CCCCCC"/>
          <w:right w:val="single" w:sz="4" w:space="0" w:color="CCCCCC"/>
          <w:insideH w:val="single" w:sz="2" w:space="0" w:color="DDDDDD"/>
          <w:insideV w:val="single" w:sz="2" w:space="0" w:color="DDDDDD"/>
        </w:tblBorders>
        <w:tblCellMar>
          <w:left w:w="10" w:type="dxa"/>
          <w:right w:w="10" w:type="dxa"/>
        </w:tblCellMar>
        <w:tblLook w:val="04A0" w:firstRow="1" w:lastRow="0" w:firstColumn="1" w:lastColumn="0" w:noHBand="0" w:noVBand="1"/>
      </w:tblPr>
      <w:tblGrid>
        <w:gridCol w:w="2600"/>
        <w:gridCol w:w="1400"/>
        <w:gridCol w:w="1400"/>
        <w:gridCol w:w="1400"/>
        <w:gridCol w:w="1400"/>
        <w:gridCol w:w="1400"/>
      </w:tblGrid>
      <w:tr w:rsidR="008741A1" w:rsidRPr="00EC702D" w14:paraId="7BE92B69" w14:textId="77777777" w:rsidTr="003F605D">
        <w:trPr>
          <w:tblHeader/>
        </w:trPr>
        <w:tc>
          <w:tcPr>
            <w:tcW w:w="2600" w:type="dxa"/>
            <w:shd w:val="clear" w:color="auto" w:fill="0B2545"/>
            <w:tcMar>
              <w:top w:w="60" w:type="dxa"/>
              <w:left w:w="100" w:type="dxa"/>
              <w:bottom w:w="60" w:type="dxa"/>
              <w:right w:w="100" w:type="dxa"/>
            </w:tcMar>
            <w:vAlign w:val="center"/>
          </w:tcPr>
          <w:p w14:paraId="390866B9" w14:textId="77777777" w:rsidR="008741A1" w:rsidRPr="00EC702D" w:rsidRDefault="008741A1" w:rsidP="003F605D">
            <w:pPr>
              <w:jc w:val="center"/>
              <w:rPr>
                <w:sz w:val="22"/>
                <w:szCs w:val="22"/>
              </w:rPr>
            </w:pPr>
            <w:r w:rsidRPr="00EC702D">
              <w:rPr>
                <w:b/>
                <w:bCs/>
                <w:color w:val="FFFFFF"/>
                <w:sz w:val="22"/>
                <w:szCs w:val="22"/>
              </w:rPr>
              <w:t>Gearing Ratio</w:t>
            </w:r>
          </w:p>
        </w:tc>
        <w:tc>
          <w:tcPr>
            <w:tcW w:w="1400" w:type="dxa"/>
            <w:shd w:val="clear" w:color="auto" w:fill="0B2545"/>
            <w:tcMar>
              <w:top w:w="60" w:type="dxa"/>
              <w:left w:w="100" w:type="dxa"/>
              <w:bottom w:w="60" w:type="dxa"/>
              <w:right w:w="100" w:type="dxa"/>
            </w:tcMar>
            <w:vAlign w:val="center"/>
          </w:tcPr>
          <w:p w14:paraId="1259A804" w14:textId="77777777" w:rsidR="008741A1" w:rsidRPr="00EC702D" w:rsidRDefault="008741A1" w:rsidP="003F605D">
            <w:pPr>
              <w:jc w:val="center"/>
              <w:rPr>
                <w:sz w:val="22"/>
                <w:szCs w:val="22"/>
              </w:rPr>
            </w:pPr>
            <w:r w:rsidRPr="00EC702D">
              <w:rPr>
                <w:b/>
                <w:bCs/>
                <w:color w:val="FFFFFF"/>
                <w:sz w:val="22"/>
                <w:szCs w:val="22"/>
              </w:rPr>
              <w:t>2021</w:t>
            </w:r>
          </w:p>
        </w:tc>
        <w:tc>
          <w:tcPr>
            <w:tcW w:w="1400" w:type="dxa"/>
            <w:shd w:val="clear" w:color="auto" w:fill="0B2545"/>
            <w:tcMar>
              <w:top w:w="60" w:type="dxa"/>
              <w:left w:w="100" w:type="dxa"/>
              <w:bottom w:w="60" w:type="dxa"/>
              <w:right w:w="100" w:type="dxa"/>
            </w:tcMar>
            <w:vAlign w:val="center"/>
          </w:tcPr>
          <w:p w14:paraId="148F6F02" w14:textId="77777777" w:rsidR="008741A1" w:rsidRPr="00EC702D" w:rsidRDefault="008741A1" w:rsidP="003F605D">
            <w:pPr>
              <w:jc w:val="center"/>
              <w:rPr>
                <w:sz w:val="22"/>
                <w:szCs w:val="22"/>
              </w:rPr>
            </w:pPr>
            <w:r w:rsidRPr="00EC702D">
              <w:rPr>
                <w:b/>
                <w:bCs/>
                <w:color w:val="FFFFFF"/>
                <w:sz w:val="22"/>
                <w:szCs w:val="22"/>
              </w:rPr>
              <w:t>2022</w:t>
            </w:r>
          </w:p>
        </w:tc>
        <w:tc>
          <w:tcPr>
            <w:tcW w:w="1400" w:type="dxa"/>
            <w:shd w:val="clear" w:color="auto" w:fill="0B2545"/>
            <w:tcMar>
              <w:top w:w="60" w:type="dxa"/>
              <w:left w:w="100" w:type="dxa"/>
              <w:bottom w:w="60" w:type="dxa"/>
              <w:right w:w="100" w:type="dxa"/>
            </w:tcMar>
            <w:vAlign w:val="center"/>
          </w:tcPr>
          <w:p w14:paraId="5DA25320" w14:textId="77777777" w:rsidR="008741A1" w:rsidRPr="00EC702D" w:rsidRDefault="008741A1" w:rsidP="003F605D">
            <w:pPr>
              <w:jc w:val="center"/>
              <w:rPr>
                <w:sz w:val="22"/>
                <w:szCs w:val="22"/>
              </w:rPr>
            </w:pPr>
            <w:r w:rsidRPr="00EC702D">
              <w:rPr>
                <w:b/>
                <w:bCs/>
                <w:color w:val="FFFFFF"/>
                <w:sz w:val="22"/>
                <w:szCs w:val="22"/>
              </w:rPr>
              <w:t>2023</w:t>
            </w:r>
          </w:p>
        </w:tc>
        <w:tc>
          <w:tcPr>
            <w:tcW w:w="1400" w:type="dxa"/>
            <w:shd w:val="clear" w:color="auto" w:fill="0B2545"/>
            <w:tcMar>
              <w:top w:w="60" w:type="dxa"/>
              <w:left w:w="100" w:type="dxa"/>
              <w:bottom w:w="60" w:type="dxa"/>
              <w:right w:w="100" w:type="dxa"/>
            </w:tcMar>
            <w:vAlign w:val="center"/>
          </w:tcPr>
          <w:p w14:paraId="375BE3B1" w14:textId="77777777" w:rsidR="008741A1" w:rsidRPr="00EC702D" w:rsidRDefault="008741A1" w:rsidP="003F605D">
            <w:pPr>
              <w:jc w:val="center"/>
              <w:rPr>
                <w:sz w:val="22"/>
                <w:szCs w:val="22"/>
              </w:rPr>
            </w:pPr>
            <w:r w:rsidRPr="00EC702D">
              <w:rPr>
                <w:b/>
                <w:bCs/>
                <w:color w:val="FFFFFF"/>
                <w:sz w:val="22"/>
                <w:szCs w:val="22"/>
              </w:rPr>
              <w:t>2024</w:t>
            </w:r>
          </w:p>
        </w:tc>
        <w:tc>
          <w:tcPr>
            <w:tcW w:w="1400" w:type="dxa"/>
            <w:shd w:val="clear" w:color="auto" w:fill="0B2545"/>
            <w:tcMar>
              <w:top w:w="60" w:type="dxa"/>
              <w:left w:w="100" w:type="dxa"/>
              <w:bottom w:w="60" w:type="dxa"/>
              <w:right w:w="100" w:type="dxa"/>
            </w:tcMar>
            <w:vAlign w:val="center"/>
          </w:tcPr>
          <w:p w14:paraId="5B3ADACF" w14:textId="77777777" w:rsidR="008741A1" w:rsidRPr="00EC702D" w:rsidRDefault="008741A1" w:rsidP="003F605D">
            <w:pPr>
              <w:jc w:val="center"/>
              <w:rPr>
                <w:sz w:val="22"/>
                <w:szCs w:val="22"/>
              </w:rPr>
            </w:pPr>
            <w:r w:rsidRPr="00EC702D">
              <w:rPr>
                <w:b/>
                <w:bCs/>
                <w:color w:val="FFFFFF"/>
                <w:sz w:val="22"/>
                <w:szCs w:val="22"/>
              </w:rPr>
              <w:t>2025</w:t>
            </w:r>
          </w:p>
        </w:tc>
      </w:tr>
      <w:tr w:rsidR="008741A1" w:rsidRPr="00EC702D" w14:paraId="44DE6E29" w14:textId="77777777" w:rsidTr="003F605D">
        <w:tc>
          <w:tcPr>
            <w:tcW w:w="2600" w:type="dxa"/>
            <w:shd w:val="clear" w:color="auto" w:fill="F2F2F2"/>
            <w:tcMar>
              <w:top w:w="60" w:type="dxa"/>
              <w:left w:w="100" w:type="dxa"/>
              <w:bottom w:w="60" w:type="dxa"/>
              <w:right w:w="100" w:type="dxa"/>
            </w:tcMar>
            <w:vAlign w:val="center"/>
          </w:tcPr>
          <w:p w14:paraId="3B3350C8" w14:textId="77777777" w:rsidR="008741A1" w:rsidRPr="00EC702D" w:rsidRDefault="008741A1" w:rsidP="003F605D">
            <w:pPr>
              <w:rPr>
                <w:sz w:val="22"/>
                <w:szCs w:val="22"/>
              </w:rPr>
            </w:pPr>
            <w:r w:rsidRPr="00EC702D">
              <w:rPr>
                <w:color w:val="000000"/>
                <w:sz w:val="22"/>
                <w:szCs w:val="22"/>
              </w:rPr>
              <w:t>Net financial debt (€m)</w:t>
            </w:r>
          </w:p>
        </w:tc>
        <w:tc>
          <w:tcPr>
            <w:tcW w:w="1400" w:type="dxa"/>
            <w:shd w:val="clear" w:color="auto" w:fill="F2F2F2"/>
            <w:tcMar>
              <w:top w:w="60" w:type="dxa"/>
              <w:left w:w="100" w:type="dxa"/>
              <w:bottom w:w="60" w:type="dxa"/>
              <w:right w:w="100" w:type="dxa"/>
            </w:tcMar>
            <w:vAlign w:val="center"/>
          </w:tcPr>
          <w:p w14:paraId="3AAEE93D" w14:textId="7F153AD7" w:rsidR="008741A1" w:rsidRPr="00EC702D" w:rsidRDefault="004A4112" w:rsidP="003F605D">
            <w:pPr>
              <w:jc w:val="center"/>
              <w:rPr>
                <w:sz w:val="22"/>
                <w:szCs w:val="22"/>
              </w:rPr>
            </w:pPr>
            <w:r>
              <w:rPr>
                <w:sz w:val="22"/>
                <w:szCs w:val="22"/>
              </w:rPr>
              <w:t>3,202</w:t>
            </w:r>
          </w:p>
        </w:tc>
        <w:tc>
          <w:tcPr>
            <w:tcW w:w="1400" w:type="dxa"/>
            <w:shd w:val="clear" w:color="auto" w:fill="F2F2F2"/>
            <w:tcMar>
              <w:top w:w="60" w:type="dxa"/>
              <w:left w:w="100" w:type="dxa"/>
              <w:bottom w:w="60" w:type="dxa"/>
              <w:right w:w="100" w:type="dxa"/>
            </w:tcMar>
            <w:vAlign w:val="center"/>
          </w:tcPr>
          <w:p w14:paraId="6336A82B" w14:textId="77777777" w:rsidR="008741A1" w:rsidRPr="00EC702D" w:rsidRDefault="008741A1" w:rsidP="003F605D">
            <w:pPr>
              <w:jc w:val="center"/>
              <w:rPr>
                <w:sz w:val="22"/>
                <w:szCs w:val="22"/>
              </w:rPr>
            </w:pPr>
            <w:r w:rsidRPr="00EC702D">
              <w:rPr>
                <w:color w:val="000000"/>
                <w:sz w:val="22"/>
                <w:szCs w:val="22"/>
              </w:rPr>
              <w:t>1,658</w:t>
            </w:r>
          </w:p>
        </w:tc>
        <w:tc>
          <w:tcPr>
            <w:tcW w:w="1400" w:type="dxa"/>
            <w:shd w:val="clear" w:color="auto" w:fill="F2F2F2"/>
            <w:tcMar>
              <w:top w:w="60" w:type="dxa"/>
              <w:left w:w="100" w:type="dxa"/>
              <w:bottom w:w="60" w:type="dxa"/>
              <w:right w:w="100" w:type="dxa"/>
            </w:tcMar>
            <w:vAlign w:val="center"/>
          </w:tcPr>
          <w:p w14:paraId="42DE5FC0" w14:textId="77777777" w:rsidR="008741A1" w:rsidRPr="00EC702D" w:rsidRDefault="008741A1" w:rsidP="003F605D">
            <w:pPr>
              <w:jc w:val="center"/>
              <w:rPr>
                <w:sz w:val="22"/>
                <w:szCs w:val="22"/>
              </w:rPr>
            </w:pPr>
            <w:r w:rsidRPr="00EC702D">
              <w:rPr>
                <w:color w:val="000000"/>
                <w:sz w:val="22"/>
                <w:szCs w:val="22"/>
              </w:rPr>
              <w:t>2,074</w:t>
            </w:r>
          </w:p>
        </w:tc>
        <w:tc>
          <w:tcPr>
            <w:tcW w:w="1400" w:type="dxa"/>
            <w:shd w:val="clear" w:color="auto" w:fill="F2F2F2"/>
            <w:tcMar>
              <w:top w:w="60" w:type="dxa"/>
              <w:left w:w="100" w:type="dxa"/>
              <w:bottom w:w="60" w:type="dxa"/>
              <w:right w:w="100" w:type="dxa"/>
            </w:tcMar>
            <w:vAlign w:val="center"/>
          </w:tcPr>
          <w:p w14:paraId="680C1254" w14:textId="77777777" w:rsidR="008741A1" w:rsidRPr="00EC702D" w:rsidRDefault="008741A1" w:rsidP="003F605D">
            <w:pPr>
              <w:jc w:val="center"/>
              <w:rPr>
                <w:sz w:val="22"/>
                <w:szCs w:val="22"/>
              </w:rPr>
            </w:pPr>
            <w:r w:rsidRPr="00EC702D">
              <w:rPr>
                <w:color w:val="000000"/>
                <w:sz w:val="22"/>
                <w:szCs w:val="22"/>
              </w:rPr>
              <w:t>2,495</w:t>
            </w:r>
          </w:p>
        </w:tc>
        <w:tc>
          <w:tcPr>
            <w:tcW w:w="1400" w:type="dxa"/>
            <w:shd w:val="clear" w:color="auto" w:fill="F2F2F2"/>
            <w:tcMar>
              <w:top w:w="60" w:type="dxa"/>
              <w:left w:w="100" w:type="dxa"/>
              <w:bottom w:w="60" w:type="dxa"/>
              <w:right w:w="100" w:type="dxa"/>
            </w:tcMar>
            <w:vAlign w:val="center"/>
          </w:tcPr>
          <w:p w14:paraId="32280898" w14:textId="55E361E4" w:rsidR="008741A1" w:rsidRPr="00EC702D" w:rsidRDefault="008741A1" w:rsidP="003F605D">
            <w:pPr>
              <w:jc w:val="center"/>
              <w:rPr>
                <w:sz w:val="22"/>
                <w:szCs w:val="22"/>
              </w:rPr>
            </w:pPr>
            <w:r w:rsidRPr="00EC702D">
              <w:rPr>
                <w:color w:val="000000"/>
                <w:sz w:val="22"/>
                <w:szCs w:val="22"/>
              </w:rPr>
              <w:t>3,</w:t>
            </w:r>
            <w:r w:rsidR="004A4112">
              <w:rPr>
                <w:color w:val="000000"/>
                <w:sz w:val="22"/>
                <w:szCs w:val="22"/>
              </w:rPr>
              <w:t>663</w:t>
            </w:r>
          </w:p>
        </w:tc>
      </w:tr>
      <w:tr w:rsidR="008741A1" w:rsidRPr="00EC702D" w14:paraId="58018D3E" w14:textId="77777777" w:rsidTr="003F605D">
        <w:tc>
          <w:tcPr>
            <w:tcW w:w="2600" w:type="dxa"/>
            <w:shd w:val="clear" w:color="auto" w:fill="FFFFFF"/>
            <w:tcMar>
              <w:top w:w="60" w:type="dxa"/>
              <w:left w:w="100" w:type="dxa"/>
              <w:bottom w:w="60" w:type="dxa"/>
              <w:right w:w="100" w:type="dxa"/>
            </w:tcMar>
            <w:vAlign w:val="center"/>
          </w:tcPr>
          <w:p w14:paraId="2434E48D" w14:textId="77777777" w:rsidR="008741A1" w:rsidRPr="00EC702D" w:rsidRDefault="008741A1" w:rsidP="003F605D">
            <w:pPr>
              <w:rPr>
                <w:sz w:val="22"/>
                <w:szCs w:val="22"/>
              </w:rPr>
            </w:pPr>
            <w:r w:rsidRPr="00EC702D">
              <w:rPr>
                <w:color w:val="000000"/>
                <w:sz w:val="22"/>
                <w:szCs w:val="22"/>
              </w:rPr>
              <w:t>Net debt / Equity (gearing)</w:t>
            </w:r>
          </w:p>
        </w:tc>
        <w:tc>
          <w:tcPr>
            <w:tcW w:w="1400" w:type="dxa"/>
            <w:shd w:val="clear" w:color="auto" w:fill="FFFFFF"/>
            <w:tcMar>
              <w:top w:w="60" w:type="dxa"/>
              <w:left w:w="100" w:type="dxa"/>
              <w:bottom w:w="60" w:type="dxa"/>
              <w:right w:w="100" w:type="dxa"/>
            </w:tcMar>
            <w:vAlign w:val="center"/>
          </w:tcPr>
          <w:p w14:paraId="1C30BDE8" w14:textId="77777777" w:rsidR="008741A1" w:rsidRPr="00EC702D" w:rsidRDefault="008741A1" w:rsidP="003F605D">
            <w:pPr>
              <w:jc w:val="center"/>
              <w:rPr>
                <w:sz w:val="22"/>
                <w:szCs w:val="22"/>
              </w:rPr>
            </w:pPr>
            <w:r w:rsidRPr="00EC702D">
              <w:rPr>
                <w:color w:val="000000"/>
                <w:sz w:val="22"/>
                <w:szCs w:val="22"/>
              </w:rPr>
              <w:t>n/a</w:t>
            </w:r>
          </w:p>
        </w:tc>
        <w:tc>
          <w:tcPr>
            <w:tcW w:w="1400" w:type="dxa"/>
            <w:shd w:val="clear" w:color="auto" w:fill="FFFFFF"/>
            <w:tcMar>
              <w:top w:w="60" w:type="dxa"/>
              <w:left w:w="100" w:type="dxa"/>
              <w:bottom w:w="60" w:type="dxa"/>
              <w:right w:w="100" w:type="dxa"/>
            </w:tcMar>
            <w:vAlign w:val="center"/>
          </w:tcPr>
          <w:p w14:paraId="14F2281A" w14:textId="77777777" w:rsidR="008741A1" w:rsidRPr="00EC702D" w:rsidRDefault="008741A1" w:rsidP="003F605D">
            <w:pPr>
              <w:jc w:val="center"/>
              <w:rPr>
                <w:sz w:val="22"/>
                <w:szCs w:val="22"/>
              </w:rPr>
            </w:pPr>
            <w:r w:rsidRPr="00EC702D">
              <w:rPr>
                <w:color w:val="000000"/>
                <w:sz w:val="22"/>
                <w:szCs w:val="22"/>
              </w:rPr>
              <w:t>30.4%</w:t>
            </w:r>
          </w:p>
        </w:tc>
        <w:tc>
          <w:tcPr>
            <w:tcW w:w="1400" w:type="dxa"/>
            <w:shd w:val="clear" w:color="auto" w:fill="FFFFFF"/>
            <w:tcMar>
              <w:top w:w="60" w:type="dxa"/>
              <w:left w:w="100" w:type="dxa"/>
              <w:bottom w:w="60" w:type="dxa"/>
              <w:right w:w="100" w:type="dxa"/>
            </w:tcMar>
            <w:vAlign w:val="center"/>
          </w:tcPr>
          <w:p w14:paraId="28F9377A" w14:textId="77777777" w:rsidR="008741A1" w:rsidRPr="00EC702D" w:rsidRDefault="008741A1" w:rsidP="003F605D">
            <w:pPr>
              <w:jc w:val="center"/>
              <w:rPr>
                <w:sz w:val="22"/>
                <w:szCs w:val="22"/>
              </w:rPr>
            </w:pPr>
            <w:r w:rsidRPr="00EC702D">
              <w:rPr>
                <w:color w:val="000000"/>
                <w:sz w:val="22"/>
                <w:szCs w:val="22"/>
              </w:rPr>
              <w:t>39.1%</w:t>
            </w:r>
          </w:p>
        </w:tc>
        <w:tc>
          <w:tcPr>
            <w:tcW w:w="1400" w:type="dxa"/>
            <w:shd w:val="clear" w:color="auto" w:fill="FFFFFF"/>
            <w:tcMar>
              <w:top w:w="60" w:type="dxa"/>
              <w:left w:w="100" w:type="dxa"/>
              <w:bottom w:w="60" w:type="dxa"/>
              <w:right w:w="100" w:type="dxa"/>
            </w:tcMar>
            <w:vAlign w:val="center"/>
          </w:tcPr>
          <w:p w14:paraId="7BD2087A" w14:textId="77777777" w:rsidR="008741A1" w:rsidRPr="00EC702D" w:rsidRDefault="008741A1" w:rsidP="003F605D">
            <w:pPr>
              <w:jc w:val="center"/>
              <w:rPr>
                <w:sz w:val="22"/>
                <w:szCs w:val="22"/>
              </w:rPr>
            </w:pPr>
            <w:r w:rsidRPr="00EC702D">
              <w:rPr>
                <w:color w:val="000000"/>
                <w:sz w:val="22"/>
                <w:szCs w:val="22"/>
              </w:rPr>
              <w:t>45.6%</w:t>
            </w:r>
          </w:p>
        </w:tc>
        <w:tc>
          <w:tcPr>
            <w:tcW w:w="1400" w:type="dxa"/>
            <w:shd w:val="clear" w:color="auto" w:fill="FFFFFF"/>
            <w:tcMar>
              <w:top w:w="60" w:type="dxa"/>
              <w:left w:w="100" w:type="dxa"/>
              <w:bottom w:w="60" w:type="dxa"/>
              <w:right w:w="100" w:type="dxa"/>
            </w:tcMar>
            <w:vAlign w:val="center"/>
          </w:tcPr>
          <w:p w14:paraId="439C2343" w14:textId="77777777" w:rsidR="008741A1" w:rsidRPr="00EC702D" w:rsidRDefault="008741A1" w:rsidP="003F605D">
            <w:pPr>
              <w:jc w:val="center"/>
              <w:rPr>
                <w:sz w:val="22"/>
                <w:szCs w:val="22"/>
              </w:rPr>
            </w:pPr>
            <w:r w:rsidRPr="00EC702D">
              <w:rPr>
                <w:color w:val="000000"/>
                <w:sz w:val="22"/>
                <w:szCs w:val="22"/>
              </w:rPr>
              <w:t>64.9%</w:t>
            </w:r>
          </w:p>
        </w:tc>
      </w:tr>
      <w:tr w:rsidR="008741A1" w:rsidRPr="00EC702D" w14:paraId="6AD7E05F" w14:textId="77777777" w:rsidTr="003F605D">
        <w:tc>
          <w:tcPr>
            <w:tcW w:w="2600" w:type="dxa"/>
            <w:shd w:val="clear" w:color="auto" w:fill="F2F2F2"/>
            <w:tcMar>
              <w:top w:w="60" w:type="dxa"/>
              <w:left w:w="100" w:type="dxa"/>
              <w:bottom w:w="60" w:type="dxa"/>
              <w:right w:w="100" w:type="dxa"/>
            </w:tcMar>
            <w:vAlign w:val="center"/>
          </w:tcPr>
          <w:p w14:paraId="4E945D70" w14:textId="77777777" w:rsidR="008741A1" w:rsidRPr="00EC702D" w:rsidRDefault="008741A1" w:rsidP="003F605D">
            <w:pPr>
              <w:rPr>
                <w:sz w:val="22"/>
                <w:szCs w:val="22"/>
              </w:rPr>
            </w:pPr>
            <w:r w:rsidRPr="00EC702D">
              <w:rPr>
                <w:color w:val="000000"/>
                <w:sz w:val="22"/>
                <w:szCs w:val="22"/>
              </w:rPr>
              <w:t>Gross debt / Equity</w:t>
            </w:r>
          </w:p>
        </w:tc>
        <w:tc>
          <w:tcPr>
            <w:tcW w:w="1400" w:type="dxa"/>
            <w:shd w:val="clear" w:color="auto" w:fill="F2F2F2"/>
            <w:tcMar>
              <w:top w:w="60" w:type="dxa"/>
              <w:left w:w="100" w:type="dxa"/>
              <w:bottom w:w="60" w:type="dxa"/>
              <w:right w:w="100" w:type="dxa"/>
            </w:tcMar>
            <w:vAlign w:val="center"/>
          </w:tcPr>
          <w:p w14:paraId="2CD16A54" w14:textId="77777777" w:rsidR="008741A1" w:rsidRPr="00EC702D" w:rsidRDefault="008741A1" w:rsidP="003F605D">
            <w:pPr>
              <w:jc w:val="center"/>
              <w:rPr>
                <w:sz w:val="22"/>
                <w:szCs w:val="22"/>
              </w:rPr>
            </w:pPr>
            <w:r w:rsidRPr="00EC702D">
              <w:rPr>
                <w:color w:val="000000"/>
                <w:sz w:val="22"/>
                <w:szCs w:val="22"/>
              </w:rPr>
              <w:t>n/a</w:t>
            </w:r>
          </w:p>
        </w:tc>
        <w:tc>
          <w:tcPr>
            <w:tcW w:w="1400" w:type="dxa"/>
            <w:shd w:val="clear" w:color="auto" w:fill="F2F2F2"/>
            <w:tcMar>
              <w:top w:w="60" w:type="dxa"/>
              <w:left w:w="100" w:type="dxa"/>
              <w:bottom w:w="60" w:type="dxa"/>
              <w:right w:w="100" w:type="dxa"/>
            </w:tcMar>
            <w:vAlign w:val="center"/>
          </w:tcPr>
          <w:p w14:paraId="78E8EDC8" w14:textId="77777777" w:rsidR="008741A1" w:rsidRPr="00EC702D" w:rsidRDefault="008741A1" w:rsidP="003F605D">
            <w:pPr>
              <w:jc w:val="center"/>
              <w:rPr>
                <w:sz w:val="22"/>
                <w:szCs w:val="22"/>
              </w:rPr>
            </w:pPr>
            <w:r w:rsidRPr="00EC702D">
              <w:rPr>
                <w:color w:val="000000"/>
                <w:sz w:val="22"/>
                <w:szCs w:val="22"/>
              </w:rPr>
              <w:t>60.8%</w:t>
            </w:r>
          </w:p>
        </w:tc>
        <w:tc>
          <w:tcPr>
            <w:tcW w:w="1400" w:type="dxa"/>
            <w:shd w:val="clear" w:color="auto" w:fill="F2F2F2"/>
            <w:tcMar>
              <w:top w:w="60" w:type="dxa"/>
              <w:left w:w="100" w:type="dxa"/>
              <w:bottom w:w="60" w:type="dxa"/>
              <w:right w:w="100" w:type="dxa"/>
            </w:tcMar>
            <w:vAlign w:val="center"/>
          </w:tcPr>
          <w:p w14:paraId="1AF7069F" w14:textId="77777777" w:rsidR="008741A1" w:rsidRPr="00EC702D" w:rsidRDefault="008741A1" w:rsidP="003F605D">
            <w:pPr>
              <w:jc w:val="center"/>
              <w:rPr>
                <w:sz w:val="22"/>
                <w:szCs w:val="22"/>
              </w:rPr>
            </w:pPr>
            <w:r w:rsidRPr="00EC702D">
              <w:rPr>
                <w:color w:val="000000"/>
                <w:sz w:val="22"/>
                <w:szCs w:val="22"/>
              </w:rPr>
              <w:t>63.5%</w:t>
            </w:r>
          </w:p>
        </w:tc>
        <w:tc>
          <w:tcPr>
            <w:tcW w:w="1400" w:type="dxa"/>
            <w:shd w:val="clear" w:color="auto" w:fill="F2F2F2"/>
            <w:tcMar>
              <w:top w:w="60" w:type="dxa"/>
              <w:left w:w="100" w:type="dxa"/>
              <w:bottom w:w="60" w:type="dxa"/>
              <w:right w:w="100" w:type="dxa"/>
            </w:tcMar>
            <w:vAlign w:val="center"/>
          </w:tcPr>
          <w:p w14:paraId="11C5CA12" w14:textId="77777777" w:rsidR="008741A1" w:rsidRPr="00EC702D" w:rsidRDefault="008741A1" w:rsidP="003F605D">
            <w:pPr>
              <w:jc w:val="center"/>
              <w:rPr>
                <w:sz w:val="22"/>
                <w:szCs w:val="22"/>
              </w:rPr>
            </w:pPr>
            <w:r w:rsidRPr="00EC702D">
              <w:rPr>
                <w:color w:val="000000"/>
                <w:sz w:val="22"/>
                <w:szCs w:val="22"/>
              </w:rPr>
              <w:t>68.4%</w:t>
            </w:r>
          </w:p>
        </w:tc>
        <w:tc>
          <w:tcPr>
            <w:tcW w:w="1400" w:type="dxa"/>
            <w:shd w:val="clear" w:color="auto" w:fill="F2F2F2"/>
            <w:tcMar>
              <w:top w:w="60" w:type="dxa"/>
              <w:left w:w="100" w:type="dxa"/>
              <w:bottom w:w="60" w:type="dxa"/>
              <w:right w:w="100" w:type="dxa"/>
            </w:tcMar>
            <w:vAlign w:val="center"/>
          </w:tcPr>
          <w:p w14:paraId="6BE5D2E1" w14:textId="77777777" w:rsidR="008741A1" w:rsidRPr="00EC702D" w:rsidRDefault="008741A1" w:rsidP="003F605D">
            <w:pPr>
              <w:jc w:val="center"/>
              <w:rPr>
                <w:sz w:val="22"/>
                <w:szCs w:val="22"/>
              </w:rPr>
            </w:pPr>
            <w:r w:rsidRPr="00EC702D">
              <w:rPr>
                <w:color w:val="000000"/>
                <w:sz w:val="22"/>
                <w:szCs w:val="22"/>
              </w:rPr>
              <w:t>91.1%</w:t>
            </w:r>
          </w:p>
        </w:tc>
      </w:tr>
      <w:tr w:rsidR="008741A1" w:rsidRPr="00EC702D" w14:paraId="466EF20E" w14:textId="77777777" w:rsidTr="003F605D">
        <w:tc>
          <w:tcPr>
            <w:tcW w:w="2600" w:type="dxa"/>
            <w:shd w:val="clear" w:color="auto" w:fill="FFFFFF"/>
            <w:tcMar>
              <w:top w:w="60" w:type="dxa"/>
              <w:left w:w="100" w:type="dxa"/>
              <w:bottom w:w="60" w:type="dxa"/>
              <w:right w:w="100" w:type="dxa"/>
            </w:tcMar>
            <w:vAlign w:val="center"/>
          </w:tcPr>
          <w:p w14:paraId="76C7863C" w14:textId="77777777" w:rsidR="008741A1" w:rsidRPr="00EC702D" w:rsidRDefault="008741A1" w:rsidP="003F605D">
            <w:pPr>
              <w:rPr>
                <w:sz w:val="22"/>
                <w:szCs w:val="22"/>
              </w:rPr>
            </w:pPr>
            <w:r w:rsidRPr="00EC702D">
              <w:rPr>
                <w:color w:val="000000"/>
                <w:sz w:val="22"/>
                <w:szCs w:val="22"/>
              </w:rPr>
              <w:t>Average cost of debt</w:t>
            </w:r>
          </w:p>
        </w:tc>
        <w:tc>
          <w:tcPr>
            <w:tcW w:w="1400" w:type="dxa"/>
            <w:shd w:val="clear" w:color="auto" w:fill="FFFFFF"/>
            <w:tcMar>
              <w:top w:w="60" w:type="dxa"/>
              <w:left w:w="100" w:type="dxa"/>
              <w:bottom w:w="60" w:type="dxa"/>
              <w:right w:w="100" w:type="dxa"/>
            </w:tcMar>
            <w:vAlign w:val="center"/>
          </w:tcPr>
          <w:p w14:paraId="5F759106" w14:textId="77777777" w:rsidR="008741A1" w:rsidRPr="00EC702D" w:rsidRDefault="008741A1" w:rsidP="003F605D">
            <w:pPr>
              <w:jc w:val="center"/>
              <w:rPr>
                <w:sz w:val="22"/>
                <w:szCs w:val="22"/>
              </w:rPr>
            </w:pPr>
            <w:r w:rsidRPr="00EC702D">
              <w:rPr>
                <w:color w:val="000000"/>
                <w:sz w:val="22"/>
                <w:szCs w:val="22"/>
              </w:rPr>
              <w:t>n/a</w:t>
            </w:r>
          </w:p>
        </w:tc>
        <w:tc>
          <w:tcPr>
            <w:tcW w:w="1400" w:type="dxa"/>
            <w:shd w:val="clear" w:color="auto" w:fill="FFFFFF"/>
            <w:tcMar>
              <w:top w:w="60" w:type="dxa"/>
              <w:left w:w="100" w:type="dxa"/>
              <w:bottom w:w="60" w:type="dxa"/>
              <w:right w:w="100" w:type="dxa"/>
            </w:tcMar>
            <w:vAlign w:val="center"/>
          </w:tcPr>
          <w:p w14:paraId="3C497C4E" w14:textId="77777777" w:rsidR="008741A1" w:rsidRPr="00EC702D" w:rsidRDefault="008741A1" w:rsidP="003F605D">
            <w:pPr>
              <w:jc w:val="center"/>
              <w:rPr>
                <w:sz w:val="22"/>
                <w:szCs w:val="22"/>
              </w:rPr>
            </w:pPr>
            <w:r w:rsidRPr="00EC702D">
              <w:rPr>
                <w:color w:val="000000"/>
                <w:sz w:val="22"/>
                <w:szCs w:val="22"/>
              </w:rPr>
              <w:t>~1.9-2.5%</w:t>
            </w:r>
          </w:p>
        </w:tc>
        <w:tc>
          <w:tcPr>
            <w:tcW w:w="1400" w:type="dxa"/>
            <w:shd w:val="clear" w:color="auto" w:fill="FFFFFF"/>
            <w:tcMar>
              <w:top w:w="60" w:type="dxa"/>
              <w:left w:w="100" w:type="dxa"/>
              <w:bottom w:w="60" w:type="dxa"/>
              <w:right w:w="100" w:type="dxa"/>
            </w:tcMar>
            <w:vAlign w:val="center"/>
          </w:tcPr>
          <w:p w14:paraId="6A32901B" w14:textId="77777777" w:rsidR="008741A1" w:rsidRPr="00EC702D" w:rsidRDefault="008741A1" w:rsidP="003F605D">
            <w:pPr>
              <w:jc w:val="center"/>
              <w:rPr>
                <w:sz w:val="22"/>
                <w:szCs w:val="22"/>
              </w:rPr>
            </w:pPr>
            <w:r w:rsidRPr="00EC702D">
              <w:rPr>
                <w:color w:val="000000"/>
                <w:sz w:val="22"/>
                <w:szCs w:val="22"/>
              </w:rPr>
              <w:t>2.5%</w:t>
            </w:r>
          </w:p>
        </w:tc>
        <w:tc>
          <w:tcPr>
            <w:tcW w:w="1400" w:type="dxa"/>
            <w:shd w:val="clear" w:color="auto" w:fill="FFFFFF"/>
            <w:tcMar>
              <w:top w:w="60" w:type="dxa"/>
              <w:left w:w="100" w:type="dxa"/>
              <w:bottom w:w="60" w:type="dxa"/>
              <w:right w:w="100" w:type="dxa"/>
            </w:tcMar>
            <w:vAlign w:val="center"/>
          </w:tcPr>
          <w:p w14:paraId="30CF387F" w14:textId="77777777" w:rsidR="008741A1" w:rsidRPr="00EC702D" w:rsidRDefault="008741A1" w:rsidP="003F605D">
            <w:pPr>
              <w:jc w:val="center"/>
              <w:rPr>
                <w:sz w:val="22"/>
                <w:szCs w:val="22"/>
              </w:rPr>
            </w:pPr>
            <w:r w:rsidRPr="00EC702D">
              <w:rPr>
                <w:color w:val="000000"/>
                <w:sz w:val="22"/>
                <w:szCs w:val="22"/>
              </w:rPr>
              <w:t>2.5%</w:t>
            </w:r>
          </w:p>
        </w:tc>
        <w:tc>
          <w:tcPr>
            <w:tcW w:w="1400" w:type="dxa"/>
            <w:shd w:val="clear" w:color="auto" w:fill="FFFFFF"/>
            <w:tcMar>
              <w:top w:w="60" w:type="dxa"/>
              <w:left w:w="100" w:type="dxa"/>
              <w:bottom w:w="60" w:type="dxa"/>
              <w:right w:w="100" w:type="dxa"/>
            </w:tcMar>
            <w:vAlign w:val="center"/>
          </w:tcPr>
          <w:p w14:paraId="18B72E11" w14:textId="77777777" w:rsidR="008741A1" w:rsidRPr="00EC702D" w:rsidRDefault="008741A1" w:rsidP="003F605D">
            <w:pPr>
              <w:jc w:val="center"/>
              <w:rPr>
                <w:sz w:val="22"/>
                <w:szCs w:val="22"/>
              </w:rPr>
            </w:pPr>
            <w:r w:rsidRPr="00EC702D">
              <w:rPr>
                <w:color w:val="000000"/>
                <w:sz w:val="22"/>
                <w:szCs w:val="22"/>
              </w:rPr>
              <w:t>2.97%</w:t>
            </w:r>
          </w:p>
        </w:tc>
      </w:tr>
    </w:tbl>
    <w:p w14:paraId="57E0DE6B" w14:textId="77777777" w:rsidR="00D91ED2" w:rsidRDefault="00D91ED2">
      <w:pPr>
        <w:rPr>
          <w:rFonts w:ascii="Baskerville Old Face" w:hAnsi="Baskerville Old Face" w:cs="Arial"/>
          <w:b/>
          <w:bCs/>
          <w:sz w:val="28"/>
          <w:szCs w:val="28"/>
        </w:rPr>
      </w:pPr>
    </w:p>
    <w:p w14:paraId="67B083FA" w14:textId="3DF473F1" w:rsidR="002C3F7F" w:rsidRDefault="002C3F7F">
      <w:pPr>
        <w:rPr>
          <w:rFonts w:ascii="Baskerville Old Face" w:hAnsi="Baskerville Old Face" w:cs="Arial"/>
          <w:b/>
          <w:bCs/>
          <w:sz w:val="28"/>
          <w:szCs w:val="28"/>
        </w:rPr>
      </w:pPr>
      <w:r>
        <w:rPr>
          <w:noProof/>
        </w:rPr>
        <w:drawing>
          <wp:inline distT="0" distB="0" distL="0" distR="0" wp14:anchorId="6C3C08D2" wp14:editId="0B46F107">
            <wp:extent cx="5942208" cy="2960370"/>
            <wp:effectExtent l="0" t="0" r="1905" b="0"/>
            <wp:docPr id="1081847897" name="Picture 1081847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6022687" cy="3000464"/>
                    </a:xfrm>
                    <a:prstGeom prst="rect">
                      <a:avLst/>
                    </a:prstGeom>
                  </pic:spPr>
                </pic:pic>
              </a:graphicData>
            </a:graphic>
          </wp:inline>
        </w:drawing>
      </w:r>
    </w:p>
    <w:p w14:paraId="4C5D0956" w14:textId="2A16EB10" w:rsidR="00106B2B" w:rsidRPr="00936483" w:rsidRDefault="00CB094B" w:rsidP="00936483">
      <w:pPr>
        <w:spacing w:line="360" w:lineRule="auto"/>
        <w:jc w:val="both"/>
        <w:rPr>
          <w:rFonts w:ascii="Arial" w:hAnsi="Arial" w:cs="Arial"/>
        </w:rPr>
      </w:pPr>
      <w:r w:rsidRPr="00936483">
        <w:rPr>
          <w:rFonts w:ascii="Arial" w:hAnsi="Arial" w:cs="Arial"/>
        </w:rPr>
        <w:t>One of the most important problems found in the five-year financial review is the dramatic rise in the debt-to-equity ratio. A decrease in shareholders' equity, an increase in non-current borrowings, and the effect of share repurchase programs, which decreased equity, were the main causes of this increase. The corporation is therefore more vulnerable to financing risk, higher borrowing costs, and more vulnerability to future interest rate increases due to the larger debt-to-equity ratio, which indicates increasing financial leverage.</w:t>
      </w:r>
    </w:p>
    <w:p w14:paraId="0FFFED87" w14:textId="77777777" w:rsidR="009B024D" w:rsidRPr="00936483" w:rsidRDefault="009B024D" w:rsidP="00936483">
      <w:pPr>
        <w:pStyle w:val="Heading2"/>
        <w:spacing w:line="360" w:lineRule="auto"/>
        <w:jc w:val="both"/>
        <w:rPr>
          <w:rFonts w:ascii="Arial" w:hAnsi="Arial" w:cs="Arial"/>
          <w:b/>
          <w:bCs/>
          <w:color w:val="000000" w:themeColor="text1"/>
          <w:sz w:val="24"/>
          <w:szCs w:val="24"/>
        </w:rPr>
      </w:pPr>
      <w:bookmarkStart w:id="6" w:name="_Toc235559587"/>
      <w:r w:rsidRPr="00936483">
        <w:rPr>
          <w:rFonts w:ascii="Arial" w:hAnsi="Arial" w:cs="Arial"/>
          <w:b/>
          <w:bCs/>
          <w:color w:val="000000" w:themeColor="text1"/>
          <w:sz w:val="24"/>
          <w:szCs w:val="24"/>
        </w:rPr>
        <w:lastRenderedPageBreak/>
        <w:t>Investment</w:t>
      </w:r>
      <w:bookmarkEnd w:id="6"/>
    </w:p>
    <w:p w14:paraId="1BB7F3F3" w14:textId="2A737236" w:rsidR="006E487D" w:rsidRPr="00127947" w:rsidRDefault="00127947">
      <w:pPr>
        <w:rPr>
          <w:rFonts w:ascii="Baskerville Old Face" w:hAnsi="Baskerville Old Face" w:cs="Arial"/>
          <w:sz w:val="28"/>
          <w:szCs w:val="28"/>
        </w:rPr>
      </w:pPr>
      <w:r w:rsidRPr="00127947">
        <w:rPr>
          <w:rFonts w:ascii="Baskerville Old Face" w:hAnsi="Baskerville Old Face" w:cs="Arial"/>
          <w:sz w:val="28"/>
          <w:szCs w:val="28"/>
        </w:rPr>
        <w:t>Earnings Per Share (EPS)</w:t>
      </w:r>
    </w:p>
    <w:tbl>
      <w:tblPr>
        <w:tblStyle w:val="TableGrid"/>
        <w:tblW w:w="0" w:type="auto"/>
        <w:tblLook w:val="04A0" w:firstRow="1" w:lastRow="0" w:firstColumn="1" w:lastColumn="0" w:noHBand="0" w:noVBand="1"/>
      </w:tblPr>
      <w:tblGrid>
        <w:gridCol w:w="1738"/>
        <w:gridCol w:w="1550"/>
        <w:gridCol w:w="1458"/>
        <w:gridCol w:w="1550"/>
        <w:gridCol w:w="1288"/>
        <w:gridCol w:w="1432"/>
      </w:tblGrid>
      <w:tr w:rsidR="000145E6" w14:paraId="4149251C" w14:textId="32C1B78B" w:rsidTr="000145E6">
        <w:tc>
          <w:tcPr>
            <w:tcW w:w="1738" w:type="dxa"/>
          </w:tcPr>
          <w:p w14:paraId="5A500043" w14:textId="38F2E98F" w:rsidR="000145E6" w:rsidRDefault="000145E6" w:rsidP="000145E6">
            <w:pPr>
              <w:rPr>
                <w:rFonts w:ascii="Baskerville Old Face" w:hAnsi="Baskerville Old Face" w:cs="Arial"/>
                <w:b/>
                <w:bCs/>
                <w:sz w:val="28"/>
                <w:szCs w:val="28"/>
              </w:rPr>
            </w:pPr>
            <w:r>
              <w:rPr>
                <w:rFonts w:ascii="Baskerville Old Face" w:hAnsi="Baskerville Old Face" w:cs="Arial"/>
                <w:b/>
                <w:bCs/>
                <w:sz w:val="28"/>
                <w:szCs w:val="28"/>
              </w:rPr>
              <w:t>EPS (€)</w:t>
            </w:r>
          </w:p>
        </w:tc>
        <w:tc>
          <w:tcPr>
            <w:tcW w:w="1550" w:type="dxa"/>
          </w:tcPr>
          <w:p w14:paraId="4A26F749" w14:textId="35C17DD3" w:rsidR="000145E6" w:rsidRDefault="000145E6" w:rsidP="000145E6">
            <w:pPr>
              <w:rPr>
                <w:rFonts w:ascii="Baskerville Old Face" w:hAnsi="Baskerville Old Face" w:cs="Arial"/>
                <w:b/>
                <w:bCs/>
                <w:sz w:val="28"/>
                <w:szCs w:val="28"/>
              </w:rPr>
            </w:pPr>
            <w:r>
              <w:rPr>
                <w:rFonts w:ascii="Baskerville Old Face" w:hAnsi="Baskerville Old Face" w:cs="Arial"/>
                <w:b/>
                <w:bCs/>
                <w:sz w:val="28"/>
                <w:szCs w:val="28"/>
              </w:rPr>
              <w:t>2021</w:t>
            </w:r>
          </w:p>
        </w:tc>
        <w:tc>
          <w:tcPr>
            <w:tcW w:w="1458" w:type="dxa"/>
          </w:tcPr>
          <w:p w14:paraId="3A8ABE72" w14:textId="78958FD9" w:rsidR="000145E6" w:rsidRDefault="000145E6" w:rsidP="000145E6">
            <w:pPr>
              <w:rPr>
                <w:rFonts w:ascii="Baskerville Old Face" w:hAnsi="Baskerville Old Face" w:cs="Arial"/>
                <w:b/>
                <w:bCs/>
                <w:sz w:val="28"/>
                <w:szCs w:val="28"/>
              </w:rPr>
            </w:pPr>
            <w:r>
              <w:rPr>
                <w:rFonts w:ascii="Baskerville Old Face" w:hAnsi="Baskerville Old Face" w:cs="Arial"/>
                <w:b/>
                <w:bCs/>
                <w:sz w:val="28"/>
                <w:szCs w:val="28"/>
              </w:rPr>
              <w:t>2022</w:t>
            </w:r>
          </w:p>
        </w:tc>
        <w:tc>
          <w:tcPr>
            <w:tcW w:w="1550" w:type="dxa"/>
          </w:tcPr>
          <w:p w14:paraId="53E98967" w14:textId="24724BA6" w:rsidR="000145E6" w:rsidRDefault="000145E6" w:rsidP="000145E6">
            <w:pPr>
              <w:rPr>
                <w:rFonts w:ascii="Baskerville Old Face" w:hAnsi="Baskerville Old Face" w:cs="Arial"/>
                <w:b/>
                <w:bCs/>
                <w:sz w:val="28"/>
                <w:szCs w:val="28"/>
              </w:rPr>
            </w:pPr>
            <w:r>
              <w:rPr>
                <w:rFonts w:ascii="Baskerville Old Face" w:hAnsi="Baskerville Old Face" w:cs="Arial"/>
                <w:b/>
                <w:bCs/>
                <w:sz w:val="28"/>
                <w:szCs w:val="28"/>
              </w:rPr>
              <w:t>2023</w:t>
            </w:r>
          </w:p>
        </w:tc>
        <w:tc>
          <w:tcPr>
            <w:tcW w:w="1288" w:type="dxa"/>
          </w:tcPr>
          <w:p w14:paraId="7827818A" w14:textId="59C5D6CF" w:rsidR="000145E6" w:rsidRDefault="000145E6" w:rsidP="000145E6">
            <w:pPr>
              <w:rPr>
                <w:rFonts w:ascii="Baskerville Old Face" w:hAnsi="Baskerville Old Face" w:cs="Arial"/>
                <w:b/>
                <w:bCs/>
                <w:sz w:val="28"/>
                <w:szCs w:val="28"/>
              </w:rPr>
            </w:pPr>
            <w:r>
              <w:rPr>
                <w:rFonts w:ascii="Baskerville Old Face" w:hAnsi="Baskerville Old Face" w:cs="Arial"/>
                <w:b/>
                <w:bCs/>
                <w:sz w:val="28"/>
                <w:szCs w:val="28"/>
              </w:rPr>
              <w:t>2024</w:t>
            </w:r>
          </w:p>
        </w:tc>
        <w:tc>
          <w:tcPr>
            <w:tcW w:w="1432" w:type="dxa"/>
          </w:tcPr>
          <w:p w14:paraId="4CAB0FC9" w14:textId="3E094038" w:rsidR="000145E6" w:rsidRDefault="000145E6" w:rsidP="000145E6">
            <w:pPr>
              <w:rPr>
                <w:rFonts w:ascii="Baskerville Old Face" w:hAnsi="Baskerville Old Face" w:cs="Arial"/>
                <w:b/>
                <w:bCs/>
                <w:sz w:val="28"/>
                <w:szCs w:val="28"/>
              </w:rPr>
            </w:pPr>
            <w:r>
              <w:rPr>
                <w:rFonts w:ascii="Baskerville Old Face" w:hAnsi="Baskerville Old Face" w:cs="Arial"/>
                <w:b/>
                <w:bCs/>
                <w:sz w:val="28"/>
                <w:szCs w:val="28"/>
              </w:rPr>
              <w:t>2025</w:t>
            </w:r>
          </w:p>
        </w:tc>
      </w:tr>
      <w:tr w:rsidR="000145E6" w14:paraId="50961820" w14:textId="430B6523" w:rsidTr="000145E6">
        <w:tc>
          <w:tcPr>
            <w:tcW w:w="1738" w:type="dxa"/>
          </w:tcPr>
          <w:p w14:paraId="2E218435" w14:textId="634BC00D" w:rsidR="000145E6" w:rsidRPr="00506DBF" w:rsidRDefault="000145E6" w:rsidP="000145E6">
            <w:pPr>
              <w:rPr>
                <w:rFonts w:ascii="Baskerville Old Face" w:hAnsi="Baskerville Old Face" w:cs="Arial"/>
                <w:sz w:val="28"/>
                <w:szCs w:val="28"/>
              </w:rPr>
            </w:pPr>
            <w:r>
              <w:rPr>
                <w:rFonts w:ascii="Baskerville Old Face" w:hAnsi="Baskerville Old Face" w:cs="Arial"/>
                <w:sz w:val="28"/>
                <w:szCs w:val="28"/>
              </w:rPr>
              <w:t>Basic EPS</w:t>
            </w:r>
          </w:p>
        </w:tc>
        <w:tc>
          <w:tcPr>
            <w:tcW w:w="1550" w:type="dxa"/>
          </w:tcPr>
          <w:p w14:paraId="56D9A158" w14:textId="30244E25" w:rsidR="000145E6" w:rsidRPr="00647E74" w:rsidRDefault="000145E6" w:rsidP="000145E6">
            <w:pPr>
              <w:rPr>
                <w:rFonts w:ascii="Baskerville Old Face" w:hAnsi="Baskerville Old Face" w:cs="Arial"/>
                <w:sz w:val="28"/>
                <w:szCs w:val="28"/>
              </w:rPr>
            </w:pPr>
            <w:r w:rsidRPr="00647E74">
              <w:rPr>
                <w:rFonts w:ascii="Baskerville Old Face" w:hAnsi="Baskerville Old Face" w:cs="Arial"/>
                <w:sz w:val="28"/>
                <w:szCs w:val="28"/>
              </w:rPr>
              <w:t>0.19</w:t>
            </w:r>
          </w:p>
        </w:tc>
        <w:tc>
          <w:tcPr>
            <w:tcW w:w="1458" w:type="dxa"/>
          </w:tcPr>
          <w:p w14:paraId="381023BB" w14:textId="0FB66575" w:rsidR="000145E6" w:rsidRPr="00647E74" w:rsidRDefault="000145E6" w:rsidP="000145E6">
            <w:pPr>
              <w:rPr>
                <w:rFonts w:ascii="Baskerville Old Face" w:hAnsi="Baskerville Old Face" w:cs="Arial"/>
                <w:sz w:val="28"/>
                <w:szCs w:val="28"/>
              </w:rPr>
            </w:pPr>
            <w:r>
              <w:rPr>
                <w:rFonts w:ascii="Baskerville Old Face" w:hAnsi="Baskerville Old Face" w:cs="Arial"/>
                <w:sz w:val="28"/>
                <w:szCs w:val="28"/>
              </w:rPr>
              <w:t>1.40</w:t>
            </w:r>
          </w:p>
        </w:tc>
        <w:tc>
          <w:tcPr>
            <w:tcW w:w="1550" w:type="dxa"/>
          </w:tcPr>
          <w:p w14:paraId="760FA0BB" w14:textId="5180EE5F" w:rsidR="000145E6" w:rsidRPr="00647E74" w:rsidRDefault="000145E6" w:rsidP="000145E6">
            <w:pPr>
              <w:rPr>
                <w:rFonts w:ascii="Baskerville Old Face" w:hAnsi="Baskerville Old Face" w:cs="Arial"/>
                <w:sz w:val="28"/>
                <w:szCs w:val="28"/>
              </w:rPr>
            </w:pPr>
            <w:r>
              <w:rPr>
                <w:rFonts w:ascii="Baskerville Old Face" w:hAnsi="Baskerville Old Face" w:cs="Arial"/>
                <w:sz w:val="28"/>
                <w:szCs w:val="28"/>
              </w:rPr>
              <w:t>2.23</w:t>
            </w:r>
          </w:p>
        </w:tc>
        <w:tc>
          <w:tcPr>
            <w:tcW w:w="1288" w:type="dxa"/>
          </w:tcPr>
          <w:p w14:paraId="2C9C8FF3" w14:textId="15CE994B" w:rsidR="000145E6" w:rsidRDefault="000145E6" w:rsidP="000145E6">
            <w:pPr>
              <w:rPr>
                <w:rFonts w:ascii="Baskerville Old Face" w:hAnsi="Baskerville Old Face" w:cs="Arial"/>
                <w:sz w:val="28"/>
                <w:szCs w:val="28"/>
              </w:rPr>
            </w:pPr>
            <w:r>
              <w:rPr>
                <w:rFonts w:ascii="Baskerville Old Face" w:hAnsi="Baskerville Old Face" w:cs="Arial"/>
                <w:sz w:val="28"/>
                <w:szCs w:val="28"/>
              </w:rPr>
              <w:t>2.34</w:t>
            </w:r>
          </w:p>
        </w:tc>
        <w:tc>
          <w:tcPr>
            <w:tcW w:w="1432" w:type="dxa"/>
          </w:tcPr>
          <w:p w14:paraId="2733C715" w14:textId="7C45FEB3" w:rsidR="000145E6" w:rsidRDefault="000145E6" w:rsidP="000145E6">
            <w:pPr>
              <w:rPr>
                <w:rFonts w:ascii="Baskerville Old Face" w:hAnsi="Baskerville Old Face" w:cs="Arial"/>
                <w:sz w:val="28"/>
                <w:szCs w:val="28"/>
              </w:rPr>
            </w:pPr>
            <w:r>
              <w:rPr>
                <w:rFonts w:ascii="Baskerville Old Face" w:hAnsi="Baskerville Old Face" w:cs="Arial"/>
                <w:sz w:val="28"/>
                <w:szCs w:val="28"/>
              </w:rPr>
              <w:t>1.61</w:t>
            </w:r>
          </w:p>
        </w:tc>
      </w:tr>
      <w:tr w:rsidR="000145E6" w14:paraId="1AA43446" w14:textId="6ADAC4AE" w:rsidTr="000145E6">
        <w:tc>
          <w:tcPr>
            <w:tcW w:w="1738" w:type="dxa"/>
          </w:tcPr>
          <w:p w14:paraId="29285693" w14:textId="6E325E12" w:rsidR="000145E6" w:rsidRPr="00506DBF" w:rsidRDefault="000145E6" w:rsidP="000145E6">
            <w:pPr>
              <w:rPr>
                <w:rFonts w:ascii="Baskerville Old Face" w:hAnsi="Baskerville Old Face" w:cs="Arial"/>
                <w:sz w:val="28"/>
                <w:szCs w:val="28"/>
              </w:rPr>
            </w:pPr>
            <w:r w:rsidRPr="00506DBF">
              <w:rPr>
                <w:rFonts w:ascii="Baskerville Old Face" w:hAnsi="Baskerville Old Face" w:cs="Arial"/>
                <w:sz w:val="28"/>
                <w:szCs w:val="28"/>
              </w:rPr>
              <w:t>Diluted EPS</w:t>
            </w:r>
          </w:p>
        </w:tc>
        <w:tc>
          <w:tcPr>
            <w:tcW w:w="1550" w:type="dxa"/>
          </w:tcPr>
          <w:p w14:paraId="0B8DFBCE" w14:textId="3F69CC0B" w:rsidR="000145E6" w:rsidRPr="00647E74" w:rsidRDefault="000145E6" w:rsidP="000145E6">
            <w:pPr>
              <w:rPr>
                <w:rFonts w:ascii="Baskerville Old Face" w:hAnsi="Baskerville Old Face" w:cs="Arial"/>
                <w:sz w:val="28"/>
                <w:szCs w:val="28"/>
              </w:rPr>
            </w:pPr>
            <w:r w:rsidRPr="00647E74">
              <w:rPr>
                <w:rFonts w:ascii="Baskerville Old Face" w:hAnsi="Baskerville Old Face" w:cs="Arial"/>
                <w:sz w:val="28"/>
                <w:szCs w:val="28"/>
              </w:rPr>
              <w:t>0.19</w:t>
            </w:r>
          </w:p>
        </w:tc>
        <w:tc>
          <w:tcPr>
            <w:tcW w:w="1458" w:type="dxa"/>
          </w:tcPr>
          <w:p w14:paraId="203B9496" w14:textId="5DE250ED" w:rsidR="000145E6" w:rsidRPr="00647E74" w:rsidRDefault="000145E6" w:rsidP="000145E6">
            <w:pPr>
              <w:rPr>
                <w:rFonts w:ascii="Baskerville Old Face" w:hAnsi="Baskerville Old Face" w:cs="Arial"/>
                <w:sz w:val="28"/>
                <w:szCs w:val="28"/>
              </w:rPr>
            </w:pPr>
            <w:r>
              <w:rPr>
                <w:rFonts w:ascii="Baskerville Old Face" w:hAnsi="Baskerville Old Face" w:cs="Arial"/>
                <w:sz w:val="28"/>
                <w:szCs w:val="28"/>
              </w:rPr>
              <w:t>1.39</w:t>
            </w:r>
          </w:p>
        </w:tc>
        <w:tc>
          <w:tcPr>
            <w:tcW w:w="1550" w:type="dxa"/>
          </w:tcPr>
          <w:p w14:paraId="6101BC5D" w14:textId="12DFB1DF" w:rsidR="000145E6" w:rsidRPr="00647E74" w:rsidRDefault="000145E6" w:rsidP="000145E6">
            <w:pPr>
              <w:rPr>
                <w:rFonts w:ascii="Baskerville Old Face" w:hAnsi="Baskerville Old Face" w:cs="Arial"/>
                <w:sz w:val="28"/>
                <w:szCs w:val="28"/>
              </w:rPr>
            </w:pPr>
            <w:r>
              <w:rPr>
                <w:rFonts w:ascii="Baskerville Old Face" w:hAnsi="Baskerville Old Face" w:cs="Arial"/>
                <w:sz w:val="28"/>
                <w:szCs w:val="28"/>
              </w:rPr>
              <w:t>2.22</w:t>
            </w:r>
          </w:p>
        </w:tc>
        <w:tc>
          <w:tcPr>
            <w:tcW w:w="1288" w:type="dxa"/>
          </w:tcPr>
          <w:p w14:paraId="588D8260" w14:textId="768DD183" w:rsidR="000145E6" w:rsidRDefault="00B6633A" w:rsidP="000145E6">
            <w:pPr>
              <w:rPr>
                <w:rFonts w:ascii="Baskerville Old Face" w:hAnsi="Baskerville Old Face" w:cs="Arial"/>
                <w:sz w:val="28"/>
                <w:szCs w:val="28"/>
              </w:rPr>
            </w:pPr>
            <w:r>
              <w:rPr>
                <w:rFonts w:ascii="Baskerville Old Face" w:hAnsi="Baskerville Old Face" w:cs="Arial"/>
                <w:sz w:val="28"/>
                <w:szCs w:val="28"/>
              </w:rPr>
              <w:t>2.</w:t>
            </w:r>
            <w:r w:rsidR="00F02D63">
              <w:rPr>
                <w:rFonts w:ascii="Baskerville Old Face" w:hAnsi="Baskerville Old Face" w:cs="Arial"/>
                <w:sz w:val="28"/>
                <w:szCs w:val="28"/>
              </w:rPr>
              <w:t>33</w:t>
            </w:r>
          </w:p>
        </w:tc>
        <w:tc>
          <w:tcPr>
            <w:tcW w:w="1432" w:type="dxa"/>
          </w:tcPr>
          <w:p w14:paraId="65B83A73" w14:textId="144C2344" w:rsidR="000145E6" w:rsidRDefault="00F02D63" w:rsidP="000145E6">
            <w:pPr>
              <w:rPr>
                <w:rFonts w:ascii="Baskerville Old Face" w:hAnsi="Baskerville Old Face" w:cs="Arial"/>
                <w:sz w:val="28"/>
                <w:szCs w:val="28"/>
              </w:rPr>
            </w:pPr>
            <w:r>
              <w:rPr>
                <w:rFonts w:ascii="Baskerville Old Face" w:hAnsi="Baskerville Old Face" w:cs="Arial"/>
                <w:sz w:val="28"/>
                <w:szCs w:val="28"/>
              </w:rPr>
              <w:t>1.61</w:t>
            </w:r>
          </w:p>
        </w:tc>
      </w:tr>
    </w:tbl>
    <w:p w14:paraId="00E0DFEC" w14:textId="702D5840" w:rsidR="00B56B54" w:rsidRDefault="00C15037" w:rsidP="00314AF2">
      <w:pPr>
        <w:pStyle w:val="Heading1"/>
        <w:rPr>
          <w:rFonts w:ascii="Arial" w:hAnsi="Arial" w:cs="Arial"/>
          <w:b/>
          <w:bCs/>
          <w:color w:val="000000" w:themeColor="text1"/>
          <w:sz w:val="24"/>
          <w:szCs w:val="24"/>
        </w:rPr>
      </w:pPr>
      <w:bookmarkStart w:id="7" w:name="_Toc235559588"/>
      <w:r>
        <w:rPr>
          <w:rFonts w:ascii="Arial" w:hAnsi="Arial" w:cs="Arial"/>
          <w:b/>
          <w:bCs/>
          <w:color w:val="000000" w:themeColor="text1"/>
          <w:sz w:val="24"/>
          <w:szCs w:val="24"/>
        </w:rPr>
        <w:t>Dividends</w:t>
      </w:r>
      <w:r w:rsidR="00B56B54">
        <w:rPr>
          <w:rFonts w:ascii="Arial" w:hAnsi="Arial" w:cs="Arial"/>
          <w:b/>
          <w:bCs/>
          <w:color w:val="000000" w:themeColor="text1"/>
          <w:sz w:val="24"/>
          <w:szCs w:val="24"/>
        </w:rPr>
        <w:t xml:space="preserve"> and Shareholder Returns</w:t>
      </w:r>
      <w:bookmarkEnd w:id="7"/>
    </w:p>
    <w:p w14:paraId="7EF0558B" w14:textId="40DD62E4" w:rsidR="00B56B54" w:rsidRDefault="00C15037" w:rsidP="00B56B54">
      <w:r>
        <w:fldChar w:fldCharType="begin"/>
      </w:r>
      <w:r>
        <w:instrText xml:space="preserve"> INCLUDEPICTURE "/Users/noshmanzo/Library/Group Containers/UBF8T346G9.ms/WebArchiveCopyPasteTempFiles/com.microsoft.Word/cid4F783B2E-CA60-4E20-9705-A40DCE51FB45" \* MERGEFORMATINET </w:instrText>
      </w:r>
      <w:r>
        <w:fldChar w:fldCharType="separate"/>
      </w:r>
      <w:r>
        <w:rPr>
          <w:noProof/>
        </w:rPr>
        <w:drawing>
          <wp:inline distT="0" distB="0" distL="0" distR="0" wp14:anchorId="07390C7D" wp14:editId="0EC47B5E">
            <wp:extent cx="5731129" cy="2455333"/>
            <wp:effectExtent l="0" t="0" r="0" b="0"/>
            <wp:docPr id="2010072888" name="Picture 1" descr="Snip_My_temp_attach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t;4F783B2E-CA60-4E20-9705-A40DCE51FB45&gt;" descr="Snip_My_temp_attachment.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7960" cy="2466828"/>
                    </a:xfrm>
                    <a:prstGeom prst="rect">
                      <a:avLst/>
                    </a:prstGeom>
                    <a:noFill/>
                    <a:ln>
                      <a:noFill/>
                    </a:ln>
                  </pic:spPr>
                </pic:pic>
              </a:graphicData>
            </a:graphic>
          </wp:inline>
        </w:drawing>
      </w:r>
      <w:r>
        <w:fldChar w:fldCharType="end"/>
      </w:r>
    </w:p>
    <w:p w14:paraId="405437FF" w14:textId="21DBC447" w:rsidR="00C15037" w:rsidRPr="004130C1" w:rsidRDefault="004130C1" w:rsidP="00936483">
      <w:pPr>
        <w:spacing w:line="360" w:lineRule="auto"/>
        <w:jc w:val="both"/>
        <w:rPr>
          <w:rFonts w:ascii="Arial" w:hAnsi="Arial" w:cs="Arial"/>
        </w:rPr>
      </w:pPr>
      <w:r w:rsidRPr="004130C1">
        <w:rPr>
          <w:rFonts w:ascii="Arial" w:hAnsi="Arial" w:cs="Arial"/>
        </w:rPr>
        <w:t>Despite a drop in reported earnings, Accor has raised shareholder payouts; total cash returned climbed from €743 million in 2023 to €843 million in 2025. This shows an emphasis on cash-flow-driven returns, which are partially backed by increased borrowing. The P/E ratio increased from 13.6x to 29.2x indicates that despite short-term earnings pressure, investors are still optimistic about Accor's long-term EBITDA growth.</w:t>
      </w:r>
    </w:p>
    <w:p w14:paraId="3CB6DFBB" w14:textId="31A42309" w:rsidR="00A468FF" w:rsidRPr="00314AF2" w:rsidRDefault="00A60998" w:rsidP="00314AF2">
      <w:pPr>
        <w:pStyle w:val="Heading1"/>
        <w:rPr>
          <w:rFonts w:ascii="Baskerville Old Face" w:hAnsi="Baskerville Old Face"/>
          <w:b/>
          <w:bCs/>
          <w:color w:val="000000" w:themeColor="text1"/>
          <w:sz w:val="36"/>
          <w:szCs w:val="36"/>
        </w:rPr>
      </w:pPr>
      <w:bookmarkStart w:id="8" w:name="_Toc235559589"/>
      <w:r w:rsidRPr="0010727E">
        <w:rPr>
          <w:rFonts w:ascii="Baskerville Old Face" w:hAnsi="Baskerville Old Face"/>
          <w:b/>
          <w:bCs/>
          <w:color w:val="000000" w:themeColor="text1"/>
          <w:sz w:val="36"/>
          <w:szCs w:val="36"/>
        </w:rPr>
        <w:t>Identify trends, strengths and potential threats</w:t>
      </w:r>
      <w:bookmarkEnd w:id="8"/>
    </w:p>
    <w:p w14:paraId="7410A2C2" w14:textId="0822CC57" w:rsidR="00A468FF" w:rsidRPr="0010727E" w:rsidRDefault="00E75A19" w:rsidP="0010727E">
      <w:pPr>
        <w:pStyle w:val="Heading2"/>
        <w:rPr>
          <w:rFonts w:ascii="Baskerville Old Face" w:hAnsi="Baskerville Old Face"/>
          <w:b/>
          <w:bCs/>
          <w:color w:val="000000" w:themeColor="text1"/>
        </w:rPr>
      </w:pPr>
      <w:bookmarkStart w:id="9" w:name="_Toc235559590"/>
      <w:r w:rsidRPr="00302109">
        <w:rPr>
          <w:rFonts w:ascii="Baskerville Old Face" w:hAnsi="Baskerville Old Face"/>
          <w:b/>
          <w:bCs/>
          <w:color w:val="000000" w:themeColor="text1"/>
        </w:rPr>
        <w:t>Five-Year Financial Trend Summary</w:t>
      </w:r>
      <w:bookmarkEnd w:id="9"/>
    </w:p>
    <w:tbl>
      <w:tblPr>
        <w:tblStyle w:val="TableGrid"/>
        <w:tblW w:w="9498" w:type="dxa"/>
        <w:tblLook w:val="04A0" w:firstRow="1" w:lastRow="0" w:firstColumn="1" w:lastColumn="0" w:noHBand="0" w:noVBand="1"/>
      </w:tblPr>
      <w:tblGrid>
        <w:gridCol w:w="2694"/>
        <w:gridCol w:w="1276"/>
        <w:gridCol w:w="1417"/>
        <w:gridCol w:w="1276"/>
        <w:gridCol w:w="1276"/>
        <w:gridCol w:w="1559"/>
      </w:tblGrid>
      <w:tr w:rsidR="00B3356C" w:rsidRPr="00B873DF" w14:paraId="3F4CB5C9" w14:textId="77777777" w:rsidTr="00B873DF">
        <w:tc>
          <w:tcPr>
            <w:tcW w:w="2694" w:type="dxa"/>
          </w:tcPr>
          <w:p w14:paraId="43C18BBF" w14:textId="6B2F3EA2" w:rsidR="00B3356C" w:rsidRPr="00B873DF" w:rsidRDefault="00B3356C" w:rsidP="00B873DF">
            <w:pPr>
              <w:spacing w:line="360" w:lineRule="auto"/>
              <w:rPr>
                <w:rFonts w:ascii="Arial" w:hAnsi="Arial" w:cs="Arial"/>
                <w:b/>
                <w:bCs/>
                <w:color w:val="000000" w:themeColor="text1"/>
              </w:rPr>
            </w:pPr>
            <w:r w:rsidRPr="00B873DF">
              <w:rPr>
                <w:rFonts w:ascii="Arial" w:hAnsi="Arial" w:cs="Arial"/>
                <w:b/>
                <w:bCs/>
                <w:color w:val="000000" w:themeColor="text1"/>
              </w:rPr>
              <w:t>Indicator</w:t>
            </w:r>
            <w:r w:rsidR="0091701E" w:rsidRPr="00B873DF">
              <w:rPr>
                <w:rFonts w:ascii="Arial" w:hAnsi="Arial" w:cs="Arial"/>
                <w:b/>
                <w:bCs/>
                <w:color w:val="000000" w:themeColor="text1"/>
              </w:rPr>
              <w:t xml:space="preserve"> (€m)</w:t>
            </w:r>
          </w:p>
        </w:tc>
        <w:tc>
          <w:tcPr>
            <w:tcW w:w="1276" w:type="dxa"/>
          </w:tcPr>
          <w:p w14:paraId="731AFBF8" w14:textId="0F76BE9A" w:rsidR="00B3356C" w:rsidRPr="00B873DF" w:rsidRDefault="00B3356C" w:rsidP="00B873DF">
            <w:pPr>
              <w:spacing w:line="360" w:lineRule="auto"/>
              <w:rPr>
                <w:rFonts w:ascii="Arial" w:hAnsi="Arial" w:cs="Arial"/>
                <w:b/>
                <w:bCs/>
                <w:color w:val="000000" w:themeColor="text1"/>
              </w:rPr>
            </w:pPr>
            <w:r w:rsidRPr="00B873DF">
              <w:rPr>
                <w:rFonts w:ascii="Arial" w:hAnsi="Arial" w:cs="Arial"/>
                <w:b/>
                <w:bCs/>
                <w:color w:val="000000" w:themeColor="text1"/>
              </w:rPr>
              <w:t>2021</w:t>
            </w:r>
          </w:p>
        </w:tc>
        <w:tc>
          <w:tcPr>
            <w:tcW w:w="1417" w:type="dxa"/>
          </w:tcPr>
          <w:p w14:paraId="6D415446" w14:textId="31C39AB6" w:rsidR="00B3356C" w:rsidRPr="00B873DF" w:rsidRDefault="00B3356C" w:rsidP="00B873DF">
            <w:pPr>
              <w:spacing w:line="360" w:lineRule="auto"/>
              <w:rPr>
                <w:rFonts w:ascii="Arial" w:hAnsi="Arial" w:cs="Arial"/>
                <w:b/>
                <w:bCs/>
                <w:color w:val="000000" w:themeColor="text1"/>
              </w:rPr>
            </w:pPr>
            <w:r w:rsidRPr="00B873DF">
              <w:rPr>
                <w:rFonts w:ascii="Arial" w:hAnsi="Arial" w:cs="Arial"/>
                <w:b/>
                <w:bCs/>
                <w:color w:val="000000" w:themeColor="text1"/>
              </w:rPr>
              <w:t>2022</w:t>
            </w:r>
          </w:p>
        </w:tc>
        <w:tc>
          <w:tcPr>
            <w:tcW w:w="1276" w:type="dxa"/>
          </w:tcPr>
          <w:p w14:paraId="7E4AF2F1" w14:textId="38B0EF94" w:rsidR="00B3356C" w:rsidRPr="00B873DF" w:rsidRDefault="00B3356C" w:rsidP="00B873DF">
            <w:pPr>
              <w:spacing w:line="360" w:lineRule="auto"/>
              <w:rPr>
                <w:rFonts w:ascii="Arial" w:hAnsi="Arial" w:cs="Arial"/>
                <w:b/>
                <w:bCs/>
                <w:color w:val="000000" w:themeColor="text1"/>
              </w:rPr>
            </w:pPr>
            <w:r w:rsidRPr="00B873DF">
              <w:rPr>
                <w:rFonts w:ascii="Arial" w:hAnsi="Arial" w:cs="Arial"/>
                <w:b/>
                <w:bCs/>
                <w:color w:val="000000" w:themeColor="text1"/>
              </w:rPr>
              <w:t>2023</w:t>
            </w:r>
          </w:p>
        </w:tc>
        <w:tc>
          <w:tcPr>
            <w:tcW w:w="1276" w:type="dxa"/>
          </w:tcPr>
          <w:p w14:paraId="1C570EF3" w14:textId="738DD5AD" w:rsidR="00B3356C" w:rsidRPr="00B873DF" w:rsidRDefault="00B3356C" w:rsidP="00B873DF">
            <w:pPr>
              <w:spacing w:line="360" w:lineRule="auto"/>
              <w:rPr>
                <w:rFonts w:ascii="Arial" w:hAnsi="Arial" w:cs="Arial"/>
                <w:b/>
                <w:bCs/>
                <w:color w:val="000000" w:themeColor="text1"/>
              </w:rPr>
            </w:pPr>
            <w:r w:rsidRPr="00B873DF">
              <w:rPr>
                <w:rFonts w:ascii="Arial" w:hAnsi="Arial" w:cs="Arial"/>
                <w:b/>
                <w:bCs/>
                <w:color w:val="000000" w:themeColor="text1"/>
              </w:rPr>
              <w:t>2024</w:t>
            </w:r>
          </w:p>
        </w:tc>
        <w:tc>
          <w:tcPr>
            <w:tcW w:w="1559" w:type="dxa"/>
          </w:tcPr>
          <w:p w14:paraId="52E53C72" w14:textId="513E85EB" w:rsidR="00B3356C" w:rsidRPr="00B873DF" w:rsidRDefault="00B3356C" w:rsidP="00B873DF">
            <w:pPr>
              <w:spacing w:line="360" w:lineRule="auto"/>
              <w:rPr>
                <w:rFonts w:ascii="Arial" w:hAnsi="Arial" w:cs="Arial"/>
                <w:b/>
                <w:bCs/>
                <w:color w:val="000000" w:themeColor="text1"/>
              </w:rPr>
            </w:pPr>
            <w:r w:rsidRPr="00B873DF">
              <w:rPr>
                <w:rFonts w:ascii="Arial" w:hAnsi="Arial" w:cs="Arial"/>
                <w:b/>
                <w:bCs/>
                <w:color w:val="000000" w:themeColor="text1"/>
              </w:rPr>
              <w:t>2025</w:t>
            </w:r>
          </w:p>
        </w:tc>
      </w:tr>
      <w:tr w:rsidR="00B3356C" w:rsidRPr="00B873DF" w14:paraId="5B0C495A" w14:textId="77777777" w:rsidTr="00B873DF">
        <w:trPr>
          <w:trHeight w:val="349"/>
        </w:trPr>
        <w:tc>
          <w:tcPr>
            <w:tcW w:w="2694" w:type="dxa"/>
          </w:tcPr>
          <w:p w14:paraId="7CE6A7B9" w14:textId="13880251" w:rsidR="00B3356C" w:rsidRPr="00B873DF" w:rsidRDefault="00462D62" w:rsidP="00B873DF">
            <w:pPr>
              <w:spacing w:line="360" w:lineRule="auto"/>
              <w:rPr>
                <w:rFonts w:ascii="Arial" w:hAnsi="Arial" w:cs="Arial"/>
              </w:rPr>
            </w:pPr>
            <w:r w:rsidRPr="00B873DF">
              <w:rPr>
                <w:rFonts w:ascii="Arial" w:hAnsi="Arial" w:cs="Arial"/>
              </w:rPr>
              <w:t xml:space="preserve">Revenue </w:t>
            </w:r>
          </w:p>
        </w:tc>
        <w:tc>
          <w:tcPr>
            <w:tcW w:w="1276" w:type="dxa"/>
          </w:tcPr>
          <w:p w14:paraId="37BD5DE4" w14:textId="339D1A6F" w:rsidR="00B3356C" w:rsidRPr="00B873DF" w:rsidRDefault="00434CD5" w:rsidP="00B873DF">
            <w:pPr>
              <w:spacing w:line="360" w:lineRule="auto"/>
              <w:rPr>
                <w:rFonts w:ascii="Arial" w:hAnsi="Arial" w:cs="Arial"/>
              </w:rPr>
            </w:pPr>
            <w:r w:rsidRPr="00B873DF">
              <w:rPr>
                <w:rFonts w:ascii="Arial" w:hAnsi="Arial" w:cs="Arial"/>
              </w:rPr>
              <w:t>2,204</w:t>
            </w:r>
          </w:p>
        </w:tc>
        <w:tc>
          <w:tcPr>
            <w:tcW w:w="1417" w:type="dxa"/>
          </w:tcPr>
          <w:p w14:paraId="76C7CD11" w14:textId="32F4892C" w:rsidR="00B3356C" w:rsidRPr="00B873DF" w:rsidRDefault="000F311D" w:rsidP="00B873DF">
            <w:pPr>
              <w:spacing w:line="360" w:lineRule="auto"/>
              <w:rPr>
                <w:rFonts w:ascii="Arial" w:hAnsi="Arial" w:cs="Arial"/>
              </w:rPr>
            </w:pPr>
            <w:r w:rsidRPr="00B873DF">
              <w:rPr>
                <w:rFonts w:ascii="Arial" w:hAnsi="Arial" w:cs="Arial"/>
              </w:rPr>
              <w:t>4,224</w:t>
            </w:r>
          </w:p>
        </w:tc>
        <w:tc>
          <w:tcPr>
            <w:tcW w:w="1276" w:type="dxa"/>
          </w:tcPr>
          <w:p w14:paraId="6A12EBD3" w14:textId="114EF1EE" w:rsidR="00B3356C" w:rsidRPr="00B873DF" w:rsidRDefault="00C428E8" w:rsidP="00B873DF">
            <w:pPr>
              <w:spacing w:line="360" w:lineRule="auto"/>
              <w:rPr>
                <w:rFonts w:ascii="Arial" w:hAnsi="Arial" w:cs="Arial"/>
              </w:rPr>
            </w:pPr>
            <w:r w:rsidRPr="00B873DF">
              <w:rPr>
                <w:rFonts w:ascii="Arial" w:hAnsi="Arial" w:cs="Arial"/>
              </w:rPr>
              <w:t>5,056</w:t>
            </w:r>
          </w:p>
        </w:tc>
        <w:tc>
          <w:tcPr>
            <w:tcW w:w="1276" w:type="dxa"/>
          </w:tcPr>
          <w:p w14:paraId="72EDF802" w14:textId="019AA6F0" w:rsidR="00B3356C" w:rsidRPr="00B873DF" w:rsidRDefault="00273C48" w:rsidP="00B873DF">
            <w:pPr>
              <w:spacing w:line="360" w:lineRule="auto"/>
              <w:rPr>
                <w:rFonts w:ascii="Arial" w:hAnsi="Arial" w:cs="Arial"/>
              </w:rPr>
            </w:pPr>
            <w:r w:rsidRPr="00B873DF">
              <w:rPr>
                <w:rFonts w:ascii="Arial" w:hAnsi="Arial" w:cs="Arial"/>
              </w:rPr>
              <w:t>5,606</w:t>
            </w:r>
          </w:p>
        </w:tc>
        <w:tc>
          <w:tcPr>
            <w:tcW w:w="1559" w:type="dxa"/>
          </w:tcPr>
          <w:p w14:paraId="2E505652" w14:textId="75253D8F" w:rsidR="00B3356C" w:rsidRPr="00B873DF" w:rsidRDefault="00627BA8" w:rsidP="00B873DF">
            <w:pPr>
              <w:spacing w:line="360" w:lineRule="auto"/>
              <w:rPr>
                <w:rFonts w:ascii="Arial" w:hAnsi="Arial" w:cs="Arial"/>
              </w:rPr>
            </w:pPr>
            <w:r w:rsidRPr="00B873DF">
              <w:rPr>
                <w:rFonts w:ascii="Arial" w:hAnsi="Arial" w:cs="Arial"/>
              </w:rPr>
              <w:t>5,639</w:t>
            </w:r>
          </w:p>
        </w:tc>
      </w:tr>
      <w:tr w:rsidR="00B3356C" w:rsidRPr="00B873DF" w14:paraId="3659F28D" w14:textId="77777777" w:rsidTr="00B873DF">
        <w:tc>
          <w:tcPr>
            <w:tcW w:w="2694" w:type="dxa"/>
          </w:tcPr>
          <w:p w14:paraId="0166D911" w14:textId="52F76EEB" w:rsidR="00B3356C" w:rsidRPr="00B873DF" w:rsidRDefault="00462D62" w:rsidP="00B873DF">
            <w:pPr>
              <w:spacing w:line="360" w:lineRule="auto"/>
              <w:rPr>
                <w:rFonts w:ascii="Arial" w:hAnsi="Arial" w:cs="Arial"/>
              </w:rPr>
            </w:pPr>
            <w:r w:rsidRPr="00B873DF">
              <w:rPr>
                <w:rFonts w:ascii="Arial" w:hAnsi="Arial" w:cs="Arial"/>
              </w:rPr>
              <w:t>Net Profit</w:t>
            </w:r>
          </w:p>
        </w:tc>
        <w:tc>
          <w:tcPr>
            <w:tcW w:w="1276" w:type="dxa"/>
          </w:tcPr>
          <w:p w14:paraId="61A20CB5" w14:textId="3B63FA73" w:rsidR="00B3356C" w:rsidRPr="00B873DF" w:rsidRDefault="00C55BED" w:rsidP="00B873DF">
            <w:pPr>
              <w:spacing w:line="360" w:lineRule="auto"/>
              <w:rPr>
                <w:rFonts w:ascii="Arial" w:hAnsi="Arial" w:cs="Arial"/>
              </w:rPr>
            </w:pPr>
            <w:r>
              <w:rPr>
                <w:rFonts w:ascii="Arial" w:hAnsi="Arial" w:cs="Arial"/>
              </w:rPr>
              <w:t>85</w:t>
            </w:r>
          </w:p>
        </w:tc>
        <w:tc>
          <w:tcPr>
            <w:tcW w:w="1417" w:type="dxa"/>
          </w:tcPr>
          <w:p w14:paraId="20CE6A0D" w14:textId="605876E7" w:rsidR="00B3356C" w:rsidRPr="00B873DF" w:rsidRDefault="000F311D" w:rsidP="00B873DF">
            <w:pPr>
              <w:spacing w:line="360" w:lineRule="auto"/>
              <w:rPr>
                <w:rFonts w:ascii="Arial" w:hAnsi="Arial" w:cs="Arial"/>
              </w:rPr>
            </w:pPr>
            <w:r w:rsidRPr="00B873DF">
              <w:rPr>
                <w:rFonts w:ascii="Arial" w:hAnsi="Arial" w:cs="Arial"/>
              </w:rPr>
              <w:t>426</w:t>
            </w:r>
          </w:p>
        </w:tc>
        <w:tc>
          <w:tcPr>
            <w:tcW w:w="1276" w:type="dxa"/>
          </w:tcPr>
          <w:p w14:paraId="29C7420D" w14:textId="15EFEBCD" w:rsidR="00B3356C" w:rsidRPr="00B873DF" w:rsidRDefault="00C428E8" w:rsidP="00B873DF">
            <w:pPr>
              <w:spacing w:line="360" w:lineRule="auto"/>
              <w:rPr>
                <w:rFonts w:ascii="Arial" w:hAnsi="Arial" w:cs="Arial"/>
              </w:rPr>
            </w:pPr>
            <w:r w:rsidRPr="00B873DF">
              <w:rPr>
                <w:rFonts w:ascii="Arial" w:hAnsi="Arial" w:cs="Arial"/>
              </w:rPr>
              <w:t>6</w:t>
            </w:r>
            <w:r w:rsidR="001924E0">
              <w:rPr>
                <w:rFonts w:ascii="Arial" w:hAnsi="Arial" w:cs="Arial"/>
              </w:rPr>
              <w:t>33</w:t>
            </w:r>
          </w:p>
        </w:tc>
        <w:tc>
          <w:tcPr>
            <w:tcW w:w="1276" w:type="dxa"/>
          </w:tcPr>
          <w:p w14:paraId="5C3DB195" w14:textId="05B847A1" w:rsidR="00B3356C" w:rsidRPr="00B873DF" w:rsidRDefault="00273C48" w:rsidP="00B873DF">
            <w:pPr>
              <w:spacing w:line="360" w:lineRule="auto"/>
              <w:rPr>
                <w:rFonts w:ascii="Arial" w:hAnsi="Arial" w:cs="Arial"/>
              </w:rPr>
            </w:pPr>
            <w:r w:rsidRPr="00B873DF">
              <w:rPr>
                <w:rFonts w:ascii="Arial" w:hAnsi="Arial" w:cs="Arial"/>
              </w:rPr>
              <w:t>657</w:t>
            </w:r>
          </w:p>
        </w:tc>
        <w:tc>
          <w:tcPr>
            <w:tcW w:w="1559" w:type="dxa"/>
          </w:tcPr>
          <w:p w14:paraId="45D27832" w14:textId="1ED68E7D" w:rsidR="00B3356C" w:rsidRPr="00B873DF" w:rsidRDefault="00273C48" w:rsidP="00B873DF">
            <w:pPr>
              <w:spacing w:line="360" w:lineRule="auto"/>
              <w:rPr>
                <w:rFonts w:ascii="Arial" w:hAnsi="Arial" w:cs="Arial"/>
              </w:rPr>
            </w:pPr>
            <w:r w:rsidRPr="00B873DF">
              <w:rPr>
                <w:rFonts w:ascii="Arial" w:hAnsi="Arial" w:cs="Arial"/>
              </w:rPr>
              <w:t>4</w:t>
            </w:r>
            <w:r w:rsidR="001924E0">
              <w:rPr>
                <w:rFonts w:ascii="Arial" w:hAnsi="Arial" w:cs="Arial"/>
              </w:rPr>
              <w:t>4</w:t>
            </w:r>
            <w:r w:rsidRPr="00B873DF">
              <w:rPr>
                <w:rFonts w:ascii="Arial" w:hAnsi="Arial" w:cs="Arial"/>
              </w:rPr>
              <w:t>9</w:t>
            </w:r>
          </w:p>
        </w:tc>
      </w:tr>
      <w:tr w:rsidR="00B3356C" w:rsidRPr="00B873DF" w14:paraId="203C8DC4" w14:textId="77777777" w:rsidTr="00B873DF">
        <w:tc>
          <w:tcPr>
            <w:tcW w:w="2694" w:type="dxa"/>
          </w:tcPr>
          <w:p w14:paraId="33BAE3A4" w14:textId="4357A853" w:rsidR="00B3356C" w:rsidRPr="00B873DF" w:rsidRDefault="0091701E" w:rsidP="00B873DF">
            <w:pPr>
              <w:spacing w:line="360" w:lineRule="auto"/>
              <w:rPr>
                <w:rFonts w:ascii="Arial" w:hAnsi="Arial" w:cs="Arial"/>
              </w:rPr>
            </w:pPr>
            <w:r w:rsidRPr="00B873DF">
              <w:rPr>
                <w:rFonts w:ascii="Arial" w:hAnsi="Arial" w:cs="Arial"/>
              </w:rPr>
              <w:t>Total Equity</w:t>
            </w:r>
          </w:p>
        </w:tc>
        <w:tc>
          <w:tcPr>
            <w:tcW w:w="1276" w:type="dxa"/>
          </w:tcPr>
          <w:p w14:paraId="23BBCAF2" w14:textId="70E00921" w:rsidR="00B3356C" w:rsidRPr="00B873DF" w:rsidRDefault="00434CD5" w:rsidP="00B873DF">
            <w:pPr>
              <w:spacing w:line="360" w:lineRule="auto"/>
              <w:rPr>
                <w:rFonts w:ascii="Arial" w:hAnsi="Arial" w:cs="Arial"/>
              </w:rPr>
            </w:pPr>
            <w:r w:rsidRPr="00B873DF">
              <w:rPr>
                <w:rFonts w:ascii="Arial" w:hAnsi="Arial" w:cs="Arial"/>
              </w:rPr>
              <w:t>4,5</w:t>
            </w:r>
            <w:r w:rsidR="00A350B6">
              <w:rPr>
                <w:rFonts w:ascii="Arial" w:hAnsi="Arial" w:cs="Arial"/>
              </w:rPr>
              <w:t>97</w:t>
            </w:r>
          </w:p>
        </w:tc>
        <w:tc>
          <w:tcPr>
            <w:tcW w:w="1417" w:type="dxa"/>
          </w:tcPr>
          <w:p w14:paraId="76655A83" w14:textId="397F9D66" w:rsidR="00B3356C" w:rsidRPr="00B873DF" w:rsidRDefault="000F311D" w:rsidP="00B873DF">
            <w:pPr>
              <w:spacing w:line="360" w:lineRule="auto"/>
              <w:rPr>
                <w:rFonts w:ascii="Arial" w:hAnsi="Arial" w:cs="Arial"/>
              </w:rPr>
            </w:pPr>
            <w:r w:rsidRPr="00B873DF">
              <w:rPr>
                <w:rFonts w:ascii="Arial" w:hAnsi="Arial" w:cs="Arial"/>
              </w:rPr>
              <w:t>5,456</w:t>
            </w:r>
          </w:p>
        </w:tc>
        <w:tc>
          <w:tcPr>
            <w:tcW w:w="1276" w:type="dxa"/>
          </w:tcPr>
          <w:p w14:paraId="294E4110" w14:textId="7A6E9DA6" w:rsidR="00B3356C" w:rsidRPr="00B873DF" w:rsidRDefault="00C428E8" w:rsidP="00B873DF">
            <w:pPr>
              <w:spacing w:line="360" w:lineRule="auto"/>
              <w:rPr>
                <w:rFonts w:ascii="Arial" w:hAnsi="Arial" w:cs="Arial"/>
              </w:rPr>
            </w:pPr>
            <w:r w:rsidRPr="00B873DF">
              <w:rPr>
                <w:rFonts w:ascii="Arial" w:hAnsi="Arial" w:cs="Arial"/>
              </w:rPr>
              <w:t>5,311</w:t>
            </w:r>
          </w:p>
        </w:tc>
        <w:tc>
          <w:tcPr>
            <w:tcW w:w="1276" w:type="dxa"/>
          </w:tcPr>
          <w:p w14:paraId="3A22C4D3" w14:textId="49610935" w:rsidR="00B3356C" w:rsidRPr="00B873DF" w:rsidRDefault="00273C48" w:rsidP="00B873DF">
            <w:pPr>
              <w:spacing w:line="360" w:lineRule="auto"/>
              <w:rPr>
                <w:rFonts w:ascii="Arial" w:hAnsi="Arial" w:cs="Arial"/>
              </w:rPr>
            </w:pPr>
            <w:r w:rsidRPr="00B873DF">
              <w:rPr>
                <w:rFonts w:ascii="Arial" w:hAnsi="Arial" w:cs="Arial"/>
              </w:rPr>
              <w:t>5,469</w:t>
            </w:r>
          </w:p>
        </w:tc>
        <w:tc>
          <w:tcPr>
            <w:tcW w:w="1559" w:type="dxa"/>
          </w:tcPr>
          <w:p w14:paraId="62E5AD77" w14:textId="7C1B037B" w:rsidR="00B3356C" w:rsidRPr="00B873DF" w:rsidRDefault="00273C48" w:rsidP="00B873DF">
            <w:pPr>
              <w:spacing w:line="360" w:lineRule="auto"/>
              <w:rPr>
                <w:rFonts w:ascii="Arial" w:hAnsi="Arial" w:cs="Arial"/>
              </w:rPr>
            </w:pPr>
            <w:r w:rsidRPr="00B873DF">
              <w:rPr>
                <w:rFonts w:ascii="Arial" w:hAnsi="Arial" w:cs="Arial"/>
              </w:rPr>
              <w:t>4,717</w:t>
            </w:r>
          </w:p>
        </w:tc>
      </w:tr>
      <w:tr w:rsidR="00B3356C" w:rsidRPr="00B873DF" w14:paraId="608C3B09" w14:textId="77777777" w:rsidTr="00B873DF">
        <w:tc>
          <w:tcPr>
            <w:tcW w:w="2694" w:type="dxa"/>
          </w:tcPr>
          <w:p w14:paraId="4E176262" w14:textId="59331D55" w:rsidR="00B3356C" w:rsidRPr="00B873DF" w:rsidRDefault="00052F65" w:rsidP="00B873DF">
            <w:pPr>
              <w:spacing w:line="360" w:lineRule="auto"/>
              <w:rPr>
                <w:rFonts w:ascii="Arial" w:hAnsi="Arial" w:cs="Arial"/>
              </w:rPr>
            </w:pPr>
            <w:r w:rsidRPr="00B873DF">
              <w:rPr>
                <w:rFonts w:ascii="Arial" w:hAnsi="Arial" w:cs="Arial"/>
              </w:rPr>
              <w:t>Operating Cash Flow</w:t>
            </w:r>
          </w:p>
        </w:tc>
        <w:tc>
          <w:tcPr>
            <w:tcW w:w="1276" w:type="dxa"/>
          </w:tcPr>
          <w:p w14:paraId="72261CB2" w14:textId="6E611C54" w:rsidR="00B3356C" w:rsidRPr="00B873DF" w:rsidRDefault="00434CD5" w:rsidP="00B873DF">
            <w:pPr>
              <w:spacing w:line="360" w:lineRule="auto"/>
              <w:rPr>
                <w:rFonts w:ascii="Arial" w:hAnsi="Arial" w:cs="Arial"/>
              </w:rPr>
            </w:pPr>
            <w:r w:rsidRPr="00B873DF">
              <w:rPr>
                <w:rFonts w:ascii="Arial" w:hAnsi="Arial" w:cs="Arial"/>
              </w:rPr>
              <w:t>(240)</w:t>
            </w:r>
          </w:p>
        </w:tc>
        <w:tc>
          <w:tcPr>
            <w:tcW w:w="1417" w:type="dxa"/>
          </w:tcPr>
          <w:p w14:paraId="3B27C35D" w14:textId="33ADE62B" w:rsidR="00B3356C" w:rsidRPr="00B873DF" w:rsidRDefault="000F311D" w:rsidP="00B873DF">
            <w:pPr>
              <w:spacing w:line="360" w:lineRule="auto"/>
              <w:rPr>
                <w:rFonts w:ascii="Arial" w:hAnsi="Arial" w:cs="Arial"/>
              </w:rPr>
            </w:pPr>
            <w:r w:rsidRPr="00B873DF">
              <w:rPr>
                <w:rFonts w:ascii="Arial" w:hAnsi="Arial" w:cs="Arial"/>
              </w:rPr>
              <w:t>511</w:t>
            </w:r>
          </w:p>
        </w:tc>
        <w:tc>
          <w:tcPr>
            <w:tcW w:w="1276" w:type="dxa"/>
          </w:tcPr>
          <w:p w14:paraId="7F7E936F" w14:textId="3BC262EC" w:rsidR="00B3356C" w:rsidRPr="00B873DF" w:rsidRDefault="00C428E8" w:rsidP="00B873DF">
            <w:pPr>
              <w:spacing w:line="360" w:lineRule="auto"/>
              <w:rPr>
                <w:rFonts w:ascii="Arial" w:hAnsi="Arial" w:cs="Arial"/>
              </w:rPr>
            </w:pPr>
            <w:r w:rsidRPr="00B873DF">
              <w:rPr>
                <w:rFonts w:ascii="Arial" w:hAnsi="Arial" w:cs="Arial"/>
              </w:rPr>
              <w:t>669</w:t>
            </w:r>
          </w:p>
        </w:tc>
        <w:tc>
          <w:tcPr>
            <w:tcW w:w="1276" w:type="dxa"/>
          </w:tcPr>
          <w:p w14:paraId="35EB028F" w14:textId="5FAF21E0" w:rsidR="00B3356C" w:rsidRPr="00B873DF" w:rsidRDefault="00273C48" w:rsidP="00B873DF">
            <w:pPr>
              <w:spacing w:line="360" w:lineRule="auto"/>
              <w:rPr>
                <w:rFonts w:ascii="Arial" w:hAnsi="Arial" w:cs="Arial"/>
              </w:rPr>
            </w:pPr>
            <w:r w:rsidRPr="00B873DF">
              <w:rPr>
                <w:rFonts w:ascii="Arial" w:hAnsi="Arial" w:cs="Arial"/>
              </w:rPr>
              <w:t>733</w:t>
            </w:r>
          </w:p>
        </w:tc>
        <w:tc>
          <w:tcPr>
            <w:tcW w:w="1559" w:type="dxa"/>
          </w:tcPr>
          <w:p w14:paraId="13CDFDBF" w14:textId="661DB2DC" w:rsidR="00B3356C" w:rsidRPr="00B873DF" w:rsidRDefault="00273C48" w:rsidP="00B873DF">
            <w:pPr>
              <w:spacing w:line="360" w:lineRule="auto"/>
              <w:rPr>
                <w:rFonts w:ascii="Arial" w:hAnsi="Arial" w:cs="Arial"/>
              </w:rPr>
            </w:pPr>
            <w:r w:rsidRPr="00B873DF">
              <w:rPr>
                <w:rFonts w:ascii="Arial" w:hAnsi="Arial" w:cs="Arial"/>
              </w:rPr>
              <w:t>810</w:t>
            </w:r>
          </w:p>
        </w:tc>
      </w:tr>
      <w:tr w:rsidR="00B3356C" w:rsidRPr="00B873DF" w14:paraId="25BDDB62" w14:textId="77777777" w:rsidTr="00B873DF">
        <w:tc>
          <w:tcPr>
            <w:tcW w:w="2694" w:type="dxa"/>
          </w:tcPr>
          <w:p w14:paraId="7EC1C060" w14:textId="5CBDB210" w:rsidR="00B3356C" w:rsidRPr="00B873DF" w:rsidRDefault="00BF6B1E" w:rsidP="00B873DF">
            <w:pPr>
              <w:spacing w:line="360" w:lineRule="auto"/>
              <w:rPr>
                <w:rFonts w:ascii="Arial" w:hAnsi="Arial" w:cs="Arial"/>
              </w:rPr>
            </w:pPr>
            <w:r w:rsidRPr="00B873DF">
              <w:rPr>
                <w:rFonts w:ascii="Arial" w:hAnsi="Arial" w:cs="Arial"/>
              </w:rPr>
              <w:t>Cash Balance</w:t>
            </w:r>
          </w:p>
        </w:tc>
        <w:tc>
          <w:tcPr>
            <w:tcW w:w="1276" w:type="dxa"/>
          </w:tcPr>
          <w:p w14:paraId="69FE2998" w14:textId="3DFD1555" w:rsidR="00B3356C" w:rsidRPr="00B873DF" w:rsidRDefault="000F311D" w:rsidP="00B873DF">
            <w:pPr>
              <w:spacing w:line="360" w:lineRule="auto"/>
              <w:rPr>
                <w:rFonts w:ascii="Arial" w:hAnsi="Arial" w:cs="Arial"/>
              </w:rPr>
            </w:pPr>
            <w:r w:rsidRPr="00B873DF">
              <w:rPr>
                <w:rFonts w:ascii="Arial" w:hAnsi="Arial" w:cs="Arial"/>
              </w:rPr>
              <w:t>1,6</w:t>
            </w:r>
            <w:r w:rsidR="00AF6258">
              <w:rPr>
                <w:rFonts w:ascii="Arial" w:hAnsi="Arial" w:cs="Arial"/>
              </w:rPr>
              <w:t>66</w:t>
            </w:r>
          </w:p>
        </w:tc>
        <w:tc>
          <w:tcPr>
            <w:tcW w:w="1417" w:type="dxa"/>
          </w:tcPr>
          <w:p w14:paraId="568E9CAF" w14:textId="0E4BD7E0" w:rsidR="00B3356C" w:rsidRPr="00B873DF" w:rsidRDefault="000F311D" w:rsidP="00B873DF">
            <w:pPr>
              <w:spacing w:line="360" w:lineRule="auto"/>
              <w:rPr>
                <w:rFonts w:ascii="Arial" w:hAnsi="Arial" w:cs="Arial"/>
              </w:rPr>
            </w:pPr>
            <w:r w:rsidRPr="00B873DF">
              <w:rPr>
                <w:rFonts w:ascii="Arial" w:hAnsi="Arial" w:cs="Arial"/>
              </w:rPr>
              <w:t>1,6</w:t>
            </w:r>
            <w:r w:rsidR="00AF6258">
              <w:rPr>
                <w:rFonts w:ascii="Arial" w:hAnsi="Arial" w:cs="Arial"/>
              </w:rPr>
              <w:t>43</w:t>
            </w:r>
          </w:p>
        </w:tc>
        <w:tc>
          <w:tcPr>
            <w:tcW w:w="1276" w:type="dxa"/>
          </w:tcPr>
          <w:p w14:paraId="381DD811" w14:textId="0CF40694" w:rsidR="00B3356C" w:rsidRPr="00B873DF" w:rsidRDefault="000F311D" w:rsidP="00B873DF">
            <w:pPr>
              <w:spacing w:line="360" w:lineRule="auto"/>
              <w:rPr>
                <w:rFonts w:ascii="Arial" w:hAnsi="Arial" w:cs="Arial"/>
              </w:rPr>
            </w:pPr>
            <w:r w:rsidRPr="00B873DF">
              <w:rPr>
                <w:rFonts w:ascii="Arial" w:hAnsi="Arial" w:cs="Arial"/>
              </w:rPr>
              <w:t>1,2</w:t>
            </w:r>
            <w:r w:rsidR="00C428E8" w:rsidRPr="00B873DF">
              <w:rPr>
                <w:rFonts w:ascii="Arial" w:hAnsi="Arial" w:cs="Arial"/>
              </w:rPr>
              <w:t>79</w:t>
            </w:r>
          </w:p>
        </w:tc>
        <w:tc>
          <w:tcPr>
            <w:tcW w:w="1276" w:type="dxa"/>
          </w:tcPr>
          <w:p w14:paraId="6BF6CCA1" w14:textId="346CD504" w:rsidR="00B3356C" w:rsidRPr="00B873DF" w:rsidRDefault="00273C48" w:rsidP="00B873DF">
            <w:pPr>
              <w:spacing w:line="360" w:lineRule="auto"/>
              <w:rPr>
                <w:rFonts w:ascii="Arial" w:hAnsi="Arial" w:cs="Arial"/>
              </w:rPr>
            </w:pPr>
            <w:r w:rsidRPr="00B873DF">
              <w:rPr>
                <w:rFonts w:ascii="Arial" w:hAnsi="Arial" w:cs="Arial"/>
              </w:rPr>
              <w:t>1,2</w:t>
            </w:r>
            <w:r w:rsidR="00AF6258">
              <w:rPr>
                <w:rFonts w:ascii="Arial" w:hAnsi="Arial" w:cs="Arial"/>
              </w:rPr>
              <w:t>44</w:t>
            </w:r>
          </w:p>
        </w:tc>
        <w:tc>
          <w:tcPr>
            <w:tcW w:w="1559" w:type="dxa"/>
          </w:tcPr>
          <w:p w14:paraId="76152F20" w14:textId="1A251909" w:rsidR="00B3356C" w:rsidRPr="00B873DF" w:rsidRDefault="00273C48" w:rsidP="00B873DF">
            <w:pPr>
              <w:spacing w:line="360" w:lineRule="auto"/>
              <w:rPr>
                <w:rFonts w:ascii="Arial" w:hAnsi="Arial" w:cs="Arial"/>
              </w:rPr>
            </w:pPr>
            <w:r w:rsidRPr="00B873DF">
              <w:rPr>
                <w:rFonts w:ascii="Arial" w:hAnsi="Arial" w:cs="Arial"/>
              </w:rPr>
              <w:t>1,</w:t>
            </w:r>
            <w:r w:rsidR="009A0712">
              <w:rPr>
                <w:rFonts w:ascii="Arial" w:hAnsi="Arial" w:cs="Arial"/>
              </w:rPr>
              <w:t>205</w:t>
            </w:r>
          </w:p>
        </w:tc>
      </w:tr>
      <w:tr w:rsidR="00C05C64" w:rsidRPr="00B873DF" w14:paraId="32D782EE" w14:textId="77777777" w:rsidTr="00B873DF">
        <w:tc>
          <w:tcPr>
            <w:tcW w:w="2694" w:type="dxa"/>
          </w:tcPr>
          <w:p w14:paraId="0320D05B" w14:textId="2E681BE3" w:rsidR="00C05C64" w:rsidRPr="00B873DF" w:rsidRDefault="00091E92" w:rsidP="00B873DF">
            <w:pPr>
              <w:spacing w:line="360" w:lineRule="auto"/>
              <w:rPr>
                <w:rFonts w:ascii="Arial" w:hAnsi="Arial" w:cs="Arial"/>
              </w:rPr>
            </w:pPr>
            <w:r w:rsidRPr="00B873DF">
              <w:rPr>
                <w:rFonts w:ascii="Arial" w:hAnsi="Arial" w:cs="Arial"/>
              </w:rPr>
              <w:t>Basic EPS</w:t>
            </w:r>
          </w:p>
        </w:tc>
        <w:tc>
          <w:tcPr>
            <w:tcW w:w="1276" w:type="dxa"/>
          </w:tcPr>
          <w:p w14:paraId="1CE5F2AD" w14:textId="56604310" w:rsidR="00C05C64" w:rsidRPr="00B873DF" w:rsidRDefault="00091E92" w:rsidP="00B873DF">
            <w:pPr>
              <w:spacing w:line="360" w:lineRule="auto"/>
              <w:rPr>
                <w:rFonts w:ascii="Arial" w:hAnsi="Arial" w:cs="Arial"/>
              </w:rPr>
            </w:pPr>
            <w:r w:rsidRPr="00B873DF">
              <w:rPr>
                <w:rFonts w:ascii="Arial" w:hAnsi="Arial" w:cs="Arial"/>
              </w:rPr>
              <w:t>0.19</w:t>
            </w:r>
          </w:p>
        </w:tc>
        <w:tc>
          <w:tcPr>
            <w:tcW w:w="1417" w:type="dxa"/>
          </w:tcPr>
          <w:p w14:paraId="3C9B927E" w14:textId="6F22EF03" w:rsidR="00C05C64" w:rsidRPr="00B873DF" w:rsidRDefault="00FF372C" w:rsidP="00B873DF">
            <w:pPr>
              <w:spacing w:line="360" w:lineRule="auto"/>
              <w:rPr>
                <w:rFonts w:ascii="Arial" w:hAnsi="Arial" w:cs="Arial"/>
              </w:rPr>
            </w:pPr>
            <w:r w:rsidRPr="00B873DF">
              <w:rPr>
                <w:rFonts w:ascii="Arial" w:hAnsi="Arial" w:cs="Arial"/>
              </w:rPr>
              <w:t>1.40</w:t>
            </w:r>
          </w:p>
        </w:tc>
        <w:tc>
          <w:tcPr>
            <w:tcW w:w="1276" w:type="dxa"/>
          </w:tcPr>
          <w:p w14:paraId="374FCCBB" w14:textId="136665E1" w:rsidR="00C05C64" w:rsidRPr="00B873DF" w:rsidRDefault="00FF372C" w:rsidP="00B873DF">
            <w:pPr>
              <w:spacing w:line="360" w:lineRule="auto"/>
              <w:rPr>
                <w:rFonts w:ascii="Arial" w:hAnsi="Arial" w:cs="Arial"/>
              </w:rPr>
            </w:pPr>
            <w:r w:rsidRPr="00B873DF">
              <w:rPr>
                <w:rFonts w:ascii="Arial" w:hAnsi="Arial" w:cs="Arial"/>
              </w:rPr>
              <w:t>2.23</w:t>
            </w:r>
          </w:p>
        </w:tc>
        <w:tc>
          <w:tcPr>
            <w:tcW w:w="1276" w:type="dxa"/>
          </w:tcPr>
          <w:p w14:paraId="0B6DFD6D" w14:textId="38858F54" w:rsidR="00C05C64" w:rsidRPr="00B873DF" w:rsidRDefault="00FF372C" w:rsidP="00B873DF">
            <w:pPr>
              <w:spacing w:line="360" w:lineRule="auto"/>
              <w:rPr>
                <w:rFonts w:ascii="Arial" w:hAnsi="Arial" w:cs="Arial"/>
              </w:rPr>
            </w:pPr>
            <w:r w:rsidRPr="00B873DF">
              <w:rPr>
                <w:rFonts w:ascii="Arial" w:hAnsi="Arial" w:cs="Arial"/>
              </w:rPr>
              <w:t>2.34</w:t>
            </w:r>
          </w:p>
        </w:tc>
        <w:tc>
          <w:tcPr>
            <w:tcW w:w="1559" w:type="dxa"/>
          </w:tcPr>
          <w:p w14:paraId="159FE9C2" w14:textId="21E11008" w:rsidR="00C05C64" w:rsidRPr="00B873DF" w:rsidRDefault="00FF372C" w:rsidP="00B873DF">
            <w:pPr>
              <w:spacing w:line="360" w:lineRule="auto"/>
              <w:rPr>
                <w:rFonts w:ascii="Arial" w:hAnsi="Arial" w:cs="Arial"/>
              </w:rPr>
            </w:pPr>
            <w:r w:rsidRPr="00B873DF">
              <w:rPr>
                <w:rFonts w:ascii="Arial" w:hAnsi="Arial" w:cs="Arial"/>
              </w:rPr>
              <w:t>1.61</w:t>
            </w:r>
          </w:p>
        </w:tc>
      </w:tr>
      <w:tr w:rsidR="00FF372C" w:rsidRPr="00B873DF" w14:paraId="4E5D72E4" w14:textId="77777777" w:rsidTr="00B873DF">
        <w:tc>
          <w:tcPr>
            <w:tcW w:w="2694" w:type="dxa"/>
          </w:tcPr>
          <w:p w14:paraId="1F92F3CD" w14:textId="33A3AF0A" w:rsidR="00FF372C" w:rsidRPr="00B873DF" w:rsidRDefault="00FF372C" w:rsidP="00B873DF">
            <w:pPr>
              <w:spacing w:line="360" w:lineRule="auto"/>
              <w:rPr>
                <w:rFonts w:ascii="Arial" w:hAnsi="Arial" w:cs="Arial"/>
              </w:rPr>
            </w:pPr>
            <w:r w:rsidRPr="00B873DF">
              <w:rPr>
                <w:rFonts w:ascii="Arial" w:hAnsi="Arial" w:cs="Arial"/>
              </w:rPr>
              <w:t>ROE</w:t>
            </w:r>
          </w:p>
        </w:tc>
        <w:tc>
          <w:tcPr>
            <w:tcW w:w="1276" w:type="dxa"/>
          </w:tcPr>
          <w:p w14:paraId="639FD171" w14:textId="73DF62CA" w:rsidR="00FF372C" w:rsidRPr="00B873DF" w:rsidRDefault="00FF372C" w:rsidP="00B873DF">
            <w:pPr>
              <w:spacing w:line="360" w:lineRule="auto"/>
              <w:rPr>
                <w:rFonts w:ascii="Arial" w:hAnsi="Arial" w:cs="Arial"/>
              </w:rPr>
            </w:pPr>
            <w:r w:rsidRPr="00B873DF">
              <w:rPr>
                <w:rFonts w:ascii="Arial" w:hAnsi="Arial" w:cs="Arial"/>
              </w:rPr>
              <w:t>2.0%</w:t>
            </w:r>
          </w:p>
        </w:tc>
        <w:tc>
          <w:tcPr>
            <w:tcW w:w="1417" w:type="dxa"/>
          </w:tcPr>
          <w:p w14:paraId="0532D151" w14:textId="5FE7FAF3" w:rsidR="00FF372C" w:rsidRPr="00B873DF" w:rsidRDefault="00FF372C" w:rsidP="00B873DF">
            <w:pPr>
              <w:spacing w:line="360" w:lineRule="auto"/>
              <w:rPr>
                <w:rFonts w:ascii="Arial" w:hAnsi="Arial" w:cs="Arial"/>
              </w:rPr>
            </w:pPr>
            <w:r w:rsidRPr="00B873DF">
              <w:rPr>
                <w:rFonts w:ascii="Arial" w:hAnsi="Arial" w:cs="Arial"/>
              </w:rPr>
              <w:t>7.8%</w:t>
            </w:r>
          </w:p>
        </w:tc>
        <w:tc>
          <w:tcPr>
            <w:tcW w:w="1276" w:type="dxa"/>
          </w:tcPr>
          <w:p w14:paraId="0994CE2C" w14:textId="78EB3A6B" w:rsidR="00FF372C" w:rsidRPr="00B873DF" w:rsidRDefault="00FF372C" w:rsidP="00B873DF">
            <w:pPr>
              <w:spacing w:line="360" w:lineRule="auto"/>
              <w:rPr>
                <w:rFonts w:ascii="Arial" w:hAnsi="Arial" w:cs="Arial"/>
              </w:rPr>
            </w:pPr>
            <w:r w:rsidRPr="00B873DF">
              <w:rPr>
                <w:rFonts w:ascii="Arial" w:hAnsi="Arial" w:cs="Arial"/>
              </w:rPr>
              <w:t>12.2%</w:t>
            </w:r>
          </w:p>
        </w:tc>
        <w:tc>
          <w:tcPr>
            <w:tcW w:w="1276" w:type="dxa"/>
          </w:tcPr>
          <w:p w14:paraId="2CB614E0" w14:textId="2C0F87D5" w:rsidR="00FF372C" w:rsidRPr="00B873DF" w:rsidRDefault="00FF372C" w:rsidP="00B873DF">
            <w:pPr>
              <w:spacing w:line="360" w:lineRule="auto"/>
              <w:rPr>
                <w:rFonts w:ascii="Arial" w:hAnsi="Arial" w:cs="Arial"/>
              </w:rPr>
            </w:pPr>
            <w:r w:rsidRPr="00B873DF">
              <w:rPr>
                <w:rFonts w:ascii="Arial" w:hAnsi="Arial" w:cs="Arial"/>
              </w:rPr>
              <w:t>1</w:t>
            </w:r>
            <w:r w:rsidR="00100410" w:rsidRPr="00B873DF">
              <w:rPr>
                <w:rFonts w:ascii="Arial" w:hAnsi="Arial" w:cs="Arial"/>
              </w:rPr>
              <w:t>2.0</w:t>
            </w:r>
            <w:r w:rsidRPr="00B873DF">
              <w:rPr>
                <w:rFonts w:ascii="Arial" w:hAnsi="Arial" w:cs="Arial"/>
              </w:rPr>
              <w:t>%</w:t>
            </w:r>
          </w:p>
        </w:tc>
        <w:tc>
          <w:tcPr>
            <w:tcW w:w="1559" w:type="dxa"/>
          </w:tcPr>
          <w:p w14:paraId="604B9344" w14:textId="24E00EDA" w:rsidR="00FF372C" w:rsidRPr="00B873DF" w:rsidRDefault="009A0712" w:rsidP="00B873DF">
            <w:pPr>
              <w:spacing w:line="360" w:lineRule="auto"/>
              <w:rPr>
                <w:rFonts w:ascii="Arial" w:hAnsi="Arial" w:cs="Arial"/>
              </w:rPr>
            </w:pPr>
            <w:r>
              <w:rPr>
                <w:rFonts w:ascii="Arial" w:hAnsi="Arial" w:cs="Arial"/>
              </w:rPr>
              <w:t>9.5</w:t>
            </w:r>
            <w:r w:rsidR="00100410" w:rsidRPr="00B873DF">
              <w:rPr>
                <w:rFonts w:ascii="Arial" w:hAnsi="Arial" w:cs="Arial"/>
              </w:rPr>
              <w:t>%</w:t>
            </w:r>
          </w:p>
        </w:tc>
      </w:tr>
      <w:tr w:rsidR="00277F70" w:rsidRPr="00B873DF" w14:paraId="62EC7BC9" w14:textId="77777777" w:rsidTr="00B873DF">
        <w:tc>
          <w:tcPr>
            <w:tcW w:w="2694" w:type="dxa"/>
          </w:tcPr>
          <w:p w14:paraId="7812AEC2" w14:textId="75E77323" w:rsidR="00277F70" w:rsidRPr="00B873DF" w:rsidRDefault="00277F70" w:rsidP="00B873DF">
            <w:pPr>
              <w:spacing w:line="360" w:lineRule="auto"/>
              <w:rPr>
                <w:rFonts w:ascii="Arial" w:hAnsi="Arial" w:cs="Arial"/>
              </w:rPr>
            </w:pPr>
            <w:r w:rsidRPr="00B873DF">
              <w:rPr>
                <w:rFonts w:ascii="Arial" w:hAnsi="Arial" w:cs="Arial"/>
              </w:rPr>
              <w:lastRenderedPageBreak/>
              <w:t>ROA</w:t>
            </w:r>
          </w:p>
        </w:tc>
        <w:tc>
          <w:tcPr>
            <w:tcW w:w="1276" w:type="dxa"/>
          </w:tcPr>
          <w:p w14:paraId="7FC751E4" w14:textId="5D93695D" w:rsidR="00277F70" w:rsidRPr="00B873DF" w:rsidRDefault="00FE6669" w:rsidP="00B873DF">
            <w:pPr>
              <w:spacing w:line="360" w:lineRule="auto"/>
              <w:rPr>
                <w:rFonts w:ascii="Arial" w:hAnsi="Arial" w:cs="Arial"/>
              </w:rPr>
            </w:pPr>
            <w:r w:rsidRPr="00B873DF">
              <w:rPr>
                <w:rFonts w:ascii="Arial" w:hAnsi="Arial" w:cs="Arial"/>
              </w:rPr>
              <w:t>0.8%</w:t>
            </w:r>
          </w:p>
        </w:tc>
        <w:tc>
          <w:tcPr>
            <w:tcW w:w="1417" w:type="dxa"/>
          </w:tcPr>
          <w:p w14:paraId="1C9D9CFA" w14:textId="173EC930" w:rsidR="00277F70" w:rsidRPr="00B873DF" w:rsidRDefault="00FE6669" w:rsidP="00B873DF">
            <w:pPr>
              <w:spacing w:line="360" w:lineRule="auto"/>
              <w:rPr>
                <w:rFonts w:ascii="Arial" w:hAnsi="Arial" w:cs="Arial"/>
              </w:rPr>
            </w:pPr>
            <w:r w:rsidRPr="00B873DF">
              <w:rPr>
                <w:rFonts w:ascii="Arial" w:hAnsi="Arial" w:cs="Arial"/>
              </w:rPr>
              <w:t>3.6%</w:t>
            </w:r>
          </w:p>
        </w:tc>
        <w:tc>
          <w:tcPr>
            <w:tcW w:w="1276" w:type="dxa"/>
          </w:tcPr>
          <w:p w14:paraId="659BF41E" w14:textId="7600FCE9" w:rsidR="00277F70" w:rsidRPr="00B873DF" w:rsidRDefault="00FE6669" w:rsidP="00B873DF">
            <w:pPr>
              <w:spacing w:line="360" w:lineRule="auto"/>
              <w:rPr>
                <w:rFonts w:ascii="Arial" w:hAnsi="Arial" w:cs="Arial"/>
              </w:rPr>
            </w:pPr>
            <w:r w:rsidRPr="00B873DF">
              <w:rPr>
                <w:rFonts w:ascii="Arial" w:hAnsi="Arial" w:cs="Arial"/>
              </w:rPr>
              <w:t>5.8%</w:t>
            </w:r>
          </w:p>
        </w:tc>
        <w:tc>
          <w:tcPr>
            <w:tcW w:w="1276" w:type="dxa"/>
          </w:tcPr>
          <w:p w14:paraId="2AF0FFD0" w14:textId="4687095E" w:rsidR="00277F70" w:rsidRPr="00B873DF" w:rsidRDefault="00FE6669" w:rsidP="00B873DF">
            <w:pPr>
              <w:spacing w:line="360" w:lineRule="auto"/>
              <w:rPr>
                <w:rFonts w:ascii="Arial" w:hAnsi="Arial" w:cs="Arial"/>
              </w:rPr>
            </w:pPr>
            <w:r w:rsidRPr="00B873DF">
              <w:rPr>
                <w:rFonts w:ascii="Arial" w:hAnsi="Arial" w:cs="Arial"/>
              </w:rPr>
              <w:t>5.5%</w:t>
            </w:r>
          </w:p>
        </w:tc>
        <w:tc>
          <w:tcPr>
            <w:tcW w:w="1559" w:type="dxa"/>
          </w:tcPr>
          <w:p w14:paraId="7A928B07" w14:textId="35583642" w:rsidR="00277F70" w:rsidRPr="00B873DF" w:rsidRDefault="00FE6669" w:rsidP="00B873DF">
            <w:pPr>
              <w:spacing w:line="360" w:lineRule="auto"/>
              <w:rPr>
                <w:rFonts w:ascii="Arial" w:hAnsi="Arial" w:cs="Arial"/>
              </w:rPr>
            </w:pPr>
            <w:r w:rsidRPr="00B873DF">
              <w:rPr>
                <w:rFonts w:ascii="Arial" w:hAnsi="Arial" w:cs="Arial"/>
              </w:rPr>
              <w:t>4.3%</w:t>
            </w:r>
          </w:p>
        </w:tc>
      </w:tr>
      <w:tr w:rsidR="00100410" w:rsidRPr="00B873DF" w14:paraId="0535D592" w14:textId="77777777" w:rsidTr="00B873DF">
        <w:tc>
          <w:tcPr>
            <w:tcW w:w="2694" w:type="dxa"/>
          </w:tcPr>
          <w:p w14:paraId="610D7FE0" w14:textId="0D9C3B44" w:rsidR="00100410" w:rsidRPr="00B873DF" w:rsidRDefault="00100410" w:rsidP="00B873DF">
            <w:pPr>
              <w:spacing w:line="360" w:lineRule="auto"/>
              <w:rPr>
                <w:rFonts w:ascii="Arial" w:hAnsi="Arial" w:cs="Arial"/>
              </w:rPr>
            </w:pPr>
            <w:r w:rsidRPr="00B873DF">
              <w:rPr>
                <w:rFonts w:ascii="Arial" w:hAnsi="Arial" w:cs="Arial"/>
              </w:rPr>
              <w:t>Net Profit Margin</w:t>
            </w:r>
          </w:p>
        </w:tc>
        <w:tc>
          <w:tcPr>
            <w:tcW w:w="1276" w:type="dxa"/>
          </w:tcPr>
          <w:p w14:paraId="5DEFA285" w14:textId="6253DABC" w:rsidR="00100410" w:rsidRPr="00B873DF" w:rsidRDefault="00FD1BFB" w:rsidP="00B873DF">
            <w:pPr>
              <w:spacing w:line="360" w:lineRule="auto"/>
              <w:rPr>
                <w:rFonts w:ascii="Arial" w:hAnsi="Arial" w:cs="Arial"/>
              </w:rPr>
            </w:pPr>
            <w:r w:rsidRPr="00B873DF">
              <w:rPr>
                <w:rFonts w:ascii="Arial" w:hAnsi="Arial" w:cs="Arial"/>
              </w:rPr>
              <w:t>4.1%</w:t>
            </w:r>
          </w:p>
        </w:tc>
        <w:tc>
          <w:tcPr>
            <w:tcW w:w="1417" w:type="dxa"/>
          </w:tcPr>
          <w:p w14:paraId="4D3AA29B" w14:textId="0F33BBE0" w:rsidR="00100410" w:rsidRPr="00B873DF" w:rsidRDefault="00FD1BFB" w:rsidP="00B873DF">
            <w:pPr>
              <w:spacing w:line="360" w:lineRule="auto"/>
              <w:rPr>
                <w:rFonts w:ascii="Arial" w:hAnsi="Arial" w:cs="Arial"/>
              </w:rPr>
            </w:pPr>
            <w:r w:rsidRPr="00B873DF">
              <w:rPr>
                <w:rFonts w:ascii="Arial" w:hAnsi="Arial" w:cs="Arial"/>
              </w:rPr>
              <w:t>10.1%</w:t>
            </w:r>
          </w:p>
        </w:tc>
        <w:tc>
          <w:tcPr>
            <w:tcW w:w="1276" w:type="dxa"/>
          </w:tcPr>
          <w:p w14:paraId="5D7CE96D" w14:textId="594E03EE" w:rsidR="00100410" w:rsidRPr="00B873DF" w:rsidRDefault="00FD1BFB" w:rsidP="00B873DF">
            <w:pPr>
              <w:spacing w:line="360" w:lineRule="auto"/>
              <w:rPr>
                <w:rFonts w:ascii="Arial" w:hAnsi="Arial" w:cs="Arial"/>
              </w:rPr>
            </w:pPr>
            <w:r w:rsidRPr="00B873DF">
              <w:rPr>
                <w:rFonts w:ascii="Arial" w:hAnsi="Arial" w:cs="Arial"/>
              </w:rPr>
              <w:t>12.9%</w:t>
            </w:r>
          </w:p>
        </w:tc>
        <w:tc>
          <w:tcPr>
            <w:tcW w:w="1276" w:type="dxa"/>
          </w:tcPr>
          <w:p w14:paraId="1C13E1A0" w14:textId="39073834" w:rsidR="00100410" w:rsidRPr="00B873DF" w:rsidRDefault="00FD1BFB" w:rsidP="00B873DF">
            <w:pPr>
              <w:spacing w:line="360" w:lineRule="auto"/>
              <w:rPr>
                <w:rFonts w:ascii="Arial" w:hAnsi="Arial" w:cs="Arial"/>
              </w:rPr>
            </w:pPr>
            <w:r w:rsidRPr="00B873DF">
              <w:rPr>
                <w:rFonts w:ascii="Arial" w:hAnsi="Arial" w:cs="Arial"/>
              </w:rPr>
              <w:t>11.7%</w:t>
            </w:r>
          </w:p>
        </w:tc>
        <w:tc>
          <w:tcPr>
            <w:tcW w:w="1559" w:type="dxa"/>
          </w:tcPr>
          <w:p w14:paraId="41C38799" w14:textId="0843CBBC" w:rsidR="00100410" w:rsidRPr="00B873DF" w:rsidRDefault="00FD1BFB" w:rsidP="00B873DF">
            <w:pPr>
              <w:spacing w:line="360" w:lineRule="auto"/>
              <w:rPr>
                <w:rFonts w:ascii="Arial" w:hAnsi="Arial" w:cs="Arial"/>
              </w:rPr>
            </w:pPr>
            <w:r w:rsidRPr="00B873DF">
              <w:rPr>
                <w:rFonts w:ascii="Arial" w:hAnsi="Arial" w:cs="Arial"/>
              </w:rPr>
              <w:t>8.</w:t>
            </w:r>
            <w:r w:rsidR="009A0712">
              <w:rPr>
                <w:rFonts w:ascii="Arial" w:hAnsi="Arial" w:cs="Arial"/>
              </w:rPr>
              <w:t>0</w:t>
            </w:r>
            <w:r w:rsidRPr="00B873DF">
              <w:rPr>
                <w:rFonts w:ascii="Arial" w:hAnsi="Arial" w:cs="Arial"/>
              </w:rPr>
              <w:t>%</w:t>
            </w:r>
          </w:p>
        </w:tc>
      </w:tr>
      <w:tr w:rsidR="00A43305" w:rsidRPr="00B873DF" w14:paraId="0ADF0B02" w14:textId="77777777" w:rsidTr="00B873DF">
        <w:tc>
          <w:tcPr>
            <w:tcW w:w="2694" w:type="dxa"/>
          </w:tcPr>
          <w:p w14:paraId="7E744A3D" w14:textId="5EA26267" w:rsidR="00A43305" w:rsidRPr="00B873DF" w:rsidRDefault="00A43305" w:rsidP="00B873DF">
            <w:pPr>
              <w:spacing w:line="360" w:lineRule="auto"/>
              <w:rPr>
                <w:rFonts w:ascii="Arial" w:hAnsi="Arial" w:cs="Arial"/>
              </w:rPr>
            </w:pPr>
            <w:r w:rsidRPr="00B873DF">
              <w:rPr>
                <w:rFonts w:ascii="Arial" w:hAnsi="Arial" w:cs="Arial"/>
              </w:rPr>
              <w:t>Operating Margin</w:t>
            </w:r>
          </w:p>
        </w:tc>
        <w:tc>
          <w:tcPr>
            <w:tcW w:w="1276" w:type="dxa"/>
          </w:tcPr>
          <w:p w14:paraId="4E51040A" w14:textId="19C1BB14" w:rsidR="00A43305" w:rsidRPr="00B873DF" w:rsidRDefault="00316CB0" w:rsidP="00B873DF">
            <w:pPr>
              <w:spacing w:line="360" w:lineRule="auto"/>
              <w:rPr>
                <w:rFonts w:ascii="Arial" w:hAnsi="Arial" w:cs="Arial"/>
              </w:rPr>
            </w:pPr>
            <w:r w:rsidRPr="00B873DF">
              <w:rPr>
                <w:rFonts w:ascii="Arial" w:hAnsi="Arial" w:cs="Arial"/>
              </w:rPr>
              <w:t>2.4%</w:t>
            </w:r>
          </w:p>
        </w:tc>
        <w:tc>
          <w:tcPr>
            <w:tcW w:w="1417" w:type="dxa"/>
          </w:tcPr>
          <w:p w14:paraId="1514D378" w14:textId="09C63682" w:rsidR="00A43305" w:rsidRPr="00B873DF" w:rsidRDefault="00316CB0" w:rsidP="00B873DF">
            <w:pPr>
              <w:spacing w:line="360" w:lineRule="auto"/>
              <w:rPr>
                <w:rFonts w:ascii="Arial" w:hAnsi="Arial" w:cs="Arial"/>
              </w:rPr>
            </w:pPr>
            <w:r w:rsidRPr="00B873DF">
              <w:rPr>
                <w:rFonts w:ascii="Arial" w:hAnsi="Arial" w:cs="Arial"/>
              </w:rPr>
              <w:t>12.9%</w:t>
            </w:r>
          </w:p>
        </w:tc>
        <w:tc>
          <w:tcPr>
            <w:tcW w:w="1276" w:type="dxa"/>
          </w:tcPr>
          <w:p w14:paraId="5B016248" w14:textId="25201B35" w:rsidR="00A43305" w:rsidRPr="00B873DF" w:rsidRDefault="00316CB0" w:rsidP="00B873DF">
            <w:pPr>
              <w:spacing w:line="360" w:lineRule="auto"/>
              <w:rPr>
                <w:rFonts w:ascii="Arial" w:hAnsi="Arial" w:cs="Arial"/>
              </w:rPr>
            </w:pPr>
            <w:r w:rsidRPr="00B873DF">
              <w:rPr>
                <w:rFonts w:ascii="Arial" w:hAnsi="Arial" w:cs="Arial"/>
              </w:rPr>
              <w:t>15.4%</w:t>
            </w:r>
          </w:p>
        </w:tc>
        <w:tc>
          <w:tcPr>
            <w:tcW w:w="1276" w:type="dxa"/>
          </w:tcPr>
          <w:p w14:paraId="5F244D21" w14:textId="0D7AA134" w:rsidR="00A43305" w:rsidRPr="00B873DF" w:rsidRDefault="00316CB0" w:rsidP="00B873DF">
            <w:pPr>
              <w:spacing w:line="360" w:lineRule="auto"/>
              <w:rPr>
                <w:rFonts w:ascii="Arial" w:hAnsi="Arial" w:cs="Arial"/>
              </w:rPr>
            </w:pPr>
            <w:r w:rsidRPr="00B873DF">
              <w:rPr>
                <w:rFonts w:ascii="Arial" w:hAnsi="Arial" w:cs="Arial"/>
              </w:rPr>
              <w:t>14.0%</w:t>
            </w:r>
          </w:p>
        </w:tc>
        <w:tc>
          <w:tcPr>
            <w:tcW w:w="1559" w:type="dxa"/>
          </w:tcPr>
          <w:p w14:paraId="0EAFD730" w14:textId="3DF1F547" w:rsidR="00A43305" w:rsidRPr="00B873DF" w:rsidRDefault="00316CB0" w:rsidP="00B873DF">
            <w:pPr>
              <w:spacing w:line="360" w:lineRule="auto"/>
              <w:rPr>
                <w:rFonts w:ascii="Arial" w:hAnsi="Arial" w:cs="Arial"/>
              </w:rPr>
            </w:pPr>
            <w:r w:rsidRPr="00B873DF">
              <w:rPr>
                <w:rFonts w:ascii="Arial" w:hAnsi="Arial" w:cs="Arial"/>
              </w:rPr>
              <w:t>14.</w:t>
            </w:r>
            <w:r w:rsidR="00277F70" w:rsidRPr="00B873DF">
              <w:rPr>
                <w:rFonts w:ascii="Arial" w:hAnsi="Arial" w:cs="Arial"/>
              </w:rPr>
              <w:t>3%</w:t>
            </w:r>
          </w:p>
        </w:tc>
      </w:tr>
    </w:tbl>
    <w:p w14:paraId="0C015C57" w14:textId="77777777" w:rsidR="00E75A19" w:rsidRDefault="00E75A19" w:rsidP="00A468FF">
      <w:pPr>
        <w:rPr>
          <w:rFonts w:ascii="Baskerville Old Face" w:hAnsi="Baskerville Old Face" w:cs="Arial"/>
          <w:b/>
          <w:bCs/>
          <w:sz w:val="28"/>
          <w:szCs w:val="28"/>
        </w:rPr>
      </w:pPr>
    </w:p>
    <w:p w14:paraId="19974CE2" w14:textId="66E01B7C" w:rsidR="000F4DB4" w:rsidRPr="00A468FF" w:rsidRDefault="000F4DB4" w:rsidP="00A468FF">
      <w:pPr>
        <w:rPr>
          <w:rFonts w:ascii="Baskerville Old Face" w:hAnsi="Baskerville Old Face" w:cs="Arial"/>
          <w:b/>
          <w:bCs/>
          <w:sz w:val="28"/>
          <w:szCs w:val="28"/>
        </w:rPr>
      </w:pPr>
      <w:r w:rsidRPr="000F4DB4">
        <w:rPr>
          <w:rFonts w:ascii="Baskerville Old Face" w:hAnsi="Baskerville Old Face" w:cs="Arial"/>
          <w:b/>
          <w:bCs/>
          <w:noProof/>
          <w:sz w:val="28"/>
          <w:szCs w:val="28"/>
        </w:rPr>
        <w:drawing>
          <wp:inline distT="0" distB="0" distL="0" distR="0" wp14:anchorId="3E8B5D05" wp14:editId="3E4AF778">
            <wp:extent cx="5731510" cy="3491230"/>
            <wp:effectExtent l="0" t="0" r="0" b="1270"/>
            <wp:docPr id="2143185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185169" name=""/>
                    <pic:cNvPicPr/>
                  </pic:nvPicPr>
                  <pic:blipFill>
                    <a:blip r:embed="rId19"/>
                    <a:stretch>
                      <a:fillRect/>
                    </a:stretch>
                  </pic:blipFill>
                  <pic:spPr>
                    <a:xfrm>
                      <a:off x="0" y="0"/>
                      <a:ext cx="5731510" cy="3491230"/>
                    </a:xfrm>
                    <a:prstGeom prst="rect">
                      <a:avLst/>
                    </a:prstGeom>
                  </pic:spPr>
                </pic:pic>
              </a:graphicData>
            </a:graphic>
          </wp:inline>
        </w:drawing>
      </w:r>
    </w:p>
    <w:p w14:paraId="54E73A4A" w14:textId="77777777" w:rsidR="00FF7468" w:rsidRPr="0030530E" w:rsidRDefault="00FF7468" w:rsidP="0030530E">
      <w:pPr>
        <w:pStyle w:val="Heading2"/>
        <w:rPr>
          <w:rFonts w:ascii="Baskerville Old Face" w:hAnsi="Baskerville Old Face"/>
          <w:b/>
          <w:bCs/>
          <w:color w:val="000000" w:themeColor="text1"/>
        </w:rPr>
      </w:pPr>
      <w:bookmarkStart w:id="10" w:name="_Toc235559591"/>
      <w:r w:rsidRPr="0030530E">
        <w:rPr>
          <w:rFonts w:ascii="Baskerville Old Face" w:hAnsi="Baskerville Old Face"/>
          <w:b/>
          <w:bCs/>
          <w:color w:val="000000" w:themeColor="text1"/>
        </w:rPr>
        <w:t>Key Trends</w:t>
      </w:r>
      <w:bookmarkEnd w:id="10"/>
    </w:p>
    <w:p w14:paraId="45B41C33" w14:textId="77777777" w:rsidR="00FF7468" w:rsidRPr="00FF7468" w:rsidRDefault="00FF7468" w:rsidP="00341F3B">
      <w:pPr>
        <w:numPr>
          <w:ilvl w:val="0"/>
          <w:numId w:val="3"/>
        </w:numPr>
        <w:spacing w:line="360" w:lineRule="auto"/>
        <w:jc w:val="both"/>
        <w:rPr>
          <w:rFonts w:ascii="Arial" w:hAnsi="Arial" w:cs="Arial"/>
        </w:rPr>
      </w:pPr>
      <w:r w:rsidRPr="00FF7468">
        <w:rPr>
          <w:rFonts w:ascii="Arial" w:hAnsi="Arial" w:cs="Arial"/>
          <w:b/>
          <w:bCs/>
        </w:rPr>
        <w:t>Sustained operational recovery and growth:</w:t>
      </w:r>
      <w:r w:rsidRPr="00FF7468">
        <w:rPr>
          <w:rFonts w:ascii="Arial" w:hAnsi="Arial" w:cs="Arial"/>
        </w:rPr>
        <w:t> Since 2021, Accor has delivered consistent year-on-year increases in both revenue and recurring EBITDA, reflecting the continued recovery of global travel demand. This improvement has also translated into significantly stronger operating efficiency, with the EBITDA margin almost doubling compared with 2022 levels.</w:t>
      </w:r>
    </w:p>
    <w:p w14:paraId="29AA98E9" w14:textId="77777777" w:rsidR="00FF7468" w:rsidRPr="00FF7468" w:rsidRDefault="00FF7468" w:rsidP="00341F3B">
      <w:pPr>
        <w:numPr>
          <w:ilvl w:val="0"/>
          <w:numId w:val="3"/>
        </w:numPr>
        <w:spacing w:line="360" w:lineRule="auto"/>
        <w:jc w:val="both"/>
        <w:rPr>
          <w:rFonts w:ascii="Arial" w:hAnsi="Arial" w:cs="Arial"/>
        </w:rPr>
      </w:pPr>
      <w:r w:rsidRPr="00FF7468">
        <w:rPr>
          <w:rFonts w:ascii="Arial" w:hAnsi="Arial" w:cs="Arial"/>
          <w:b/>
          <w:bCs/>
        </w:rPr>
        <w:t>Greater volatility in bottom-line performance:</w:t>
      </w:r>
      <w:r w:rsidRPr="00FF7468">
        <w:rPr>
          <w:rFonts w:ascii="Arial" w:hAnsi="Arial" w:cs="Arial"/>
        </w:rPr>
        <w:t> While underlying operating earnings have shown steady improvement, net profit has experienced greater fluctuations. This volatility can largely be attributed to the reduced impact of exceptional and non-recurring items that contributed substantially to earnings in the years following the 2023 peak.</w:t>
      </w:r>
    </w:p>
    <w:p w14:paraId="10B8E7F5" w14:textId="77777777" w:rsidR="00FF7468" w:rsidRPr="00FF7468" w:rsidRDefault="00FF7468" w:rsidP="00341F3B">
      <w:pPr>
        <w:numPr>
          <w:ilvl w:val="0"/>
          <w:numId w:val="3"/>
        </w:numPr>
        <w:spacing w:line="360" w:lineRule="auto"/>
        <w:jc w:val="both"/>
        <w:rPr>
          <w:rFonts w:ascii="Arial" w:hAnsi="Arial" w:cs="Arial"/>
        </w:rPr>
      </w:pPr>
      <w:r w:rsidRPr="00FF7468">
        <w:rPr>
          <w:rFonts w:ascii="Arial" w:hAnsi="Arial" w:cs="Arial"/>
          <w:b/>
          <w:bCs/>
        </w:rPr>
        <w:t>Progressive increase in financial leverage:</w:t>
      </w:r>
      <w:r w:rsidRPr="00FF7468">
        <w:rPr>
          <w:rFonts w:ascii="Arial" w:hAnsi="Arial" w:cs="Arial"/>
        </w:rPr>
        <w:t> The group's leverage position has strengthened over the period, with debt levels rising steadily. This trend has been driven primarily by strategic shareholder distribution initiatives, including share repurchase programmes and dividend payments, rather than by weaknesses in operating performance.</w:t>
      </w:r>
    </w:p>
    <w:p w14:paraId="20A75628" w14:textId="54B5A404" w:rsidR="00FF7468" w:rsidRPr="00FF7468" w:rsidRDefault="00FF7468" w:rsidP="00341F3B">
      <w:pPr>
        <w:numPr>
          <w:ilvl w:val="0"/>
          <w:numId w:val="3"/>
        </w:numPr>
        <w:spacing w:line="360" w:lineRule="auto"/>
        <w:jc w:val="both"/>
        <w:rPr>
          <w:rFonts w:ascii="Arial" w:hAnsi="Arial" w:cs="Arial"/>
        </w:rPr>
      </w:pPr>
      <w:r w:rsidRPr="00FF7468">
        <w:rPr>
          <w:rFonts w:ascii="Arial" w:hAnsi="Arial" w:cs="Arial"/>
          <w:b/>
          <w:bCs/>
        </w:rPr>
        <w:lastRenderedPageBreak/>
        <w:t>Tightly managed liquidity position:</w:t>
      </w:r>
      <w:r w:rsidRPr="00FF7468">
        <w:rPr>
          <w:rFonts w:ascii="Arial" w:hAnsi="Arial" w:cs="Arial"/>
        </w:rPr>
        <w:t xml:space="preserve"> Although liquidity ratios remain relatively low by traditional benchmarks, </w:t>
      </w:r>
      <w:r w:rsidR="00111FE0">
        <w:rPr>
          <w:rFonts w:ascii="Arial" w:hAnsi="Arial" w:cs="Arial"/>
        </w:rPr>
        <w:t xml:space="preserve">According to </w:t>
      </w:r>
      <w:r w:rsidR="001476B0">
        <w:rPr>
          <w:rFonts w:ascii="Arial" w:hAnsi="Arial" w:cs="Arial"/>
        </w:rPr>
        <w:t xml:space="preserve">Sikveland et al., (2022) </w:t>
      </w:r>
      <w:r w:rsidRPr="00FF7468">
        <w:rPr>
          <w:rFonts w:ascii="Arial" w:hAnsi="Arial" w:cs="Arial"/>
        </w:rPr>
        <w:t>Accor continues to maintain adequate financial flexibility through active cash management and access to committed credit facilities. This approach is consistent with the practices commonly adopted across the asset-light hospitality sector.</w:t>
      </w:r>
    </w:p>
    <w:p w14:paraId="1985673B" w14:textId="77777777" w:rsidR="003C2750" w:rsidRPr="0030530E" w:rsidRDefault="003C2750" w:rsidP="0030530E">
      <w:pPr>
        <w:pStyle w:val="Heading2"/>
        <w:rPr>
          <w:rFonts w:ascii="Baskerville Old Face" w:hAnsi="Baskerville Old Face"/>
          <w:b/>
          <w:bCs/>
          <w:color w:val="000000" w:themeColor="text1"/>
        </w:rPr>
      </w:pPr>
      <w:bookmarkStart w:id="11" w:name="_Toc235559592"/>
      <w:r w:rsidRPr="0030530E">
        <w:rPr>
          <w:rFonts w:ascii="Baskerville Old Face" w:hAnsi="Baskerville Old Face"/>
          <w:b/>
          <w:bCs/>
          <w:color w:val="000000" w:themeColor="text1"/>
        </w:rPr>
        <w:t>Strengths</w:t>
      </w:r>
      <w:bookmarkEnd w:id="11"/>
    </w:p>
    <w:p w14:paraId="2DD6033F" w14:textId="10C74F14" w:rsidR="003C2750" w:rsidRPr="003C2750" w:rsidRDefault="003C2750" w:rsidP="00341F3B">
      <w:pPr>
        <w:numPr>
          <w:ilvl w:val="0"/>
          <w:numId w:val="4"/>
        </w:numPr>
        <w:spacing w:line="360" w:lineRule="auto"/>
        <w:jc w:val="both"/>
        <w:rPr>
          <w:rFonts w:ascii="Arial" w:hAnsi="Arial" w:cs="Arial"/>
        </w:rPr>
      </w:pPr>
      <w:r w:rsidRPr="003C2750">
        <w:rPr>
          <w:rFonts w:ascii="Arial" w:hAnsi="Arial" w:cs="Arial"/>
          <w:b/>
          <w:bCs/>
        </w:rPr>
        <w:t>Scalable asset-light business model:</w:t>
      </w:r>
      <w:r w:rsidRPr="003C2750">
        <w:rPr>
          <w:rFonts w:ascii="Arial" w:hAnsi="Arial" w:cs="Arial"/>
        </w:rPr>
        <w:t> </w:t>
      </w:r>
      <w:r w:rsidR="00377A47">
        <w:rPr>
          <w:rFonts w:ascii="Arial" w:hAnsi="Arial" w:cs="Arial"/>
        </w:rPr>
        <w:t>According to Blal and Bia</w:t>
      </w:r>
      <w:r w:rsidR="00C954E4">
        <w:rPr>
          <w:rFonts w:ascii="Arial" w:hAnsi="Arial" w:cs="Arial"/>
        </w:rPr>
        <w:t>nchi (20</w:t>
      </w:r>
      <w:r w:rsidR="00901435">
        <w:rPr>
          <w:rFonts w:ascii="Arial" w:hAnsi="Arial" w:cs="Arial"/>
        </w:rPr>
        <w:t>19</w:t>
      </w:r>
      <w:r w:rsidR="00C954E4">
        <w:rPr>
          <w:rFonts w:ascii="Arial" w:hAnsi="Arial" w:cs="Arial"/>
        </w:rPr>
        <w:t xml:space="preserve">) </w:t>
      </w:r>
      <w:r w:rsidRPr="003C2750">
        <w:rPr>
          <w:rFonts w:ascii="Arial" w:hAnsi="Arial" w:cs="Arial"/>
        </w:rPr>
        <w:t>Accor’s reliance on management and franchise fees enables the company to benefit from strong operational leverage as RevPAR improves, while requiring relatively limited capital investment and reinvestment compared with revenue growth.</w:t>
      </w:r>
    </w:p>
    <w:p w14:paraId="0647664D" w14:textId="17A808AA" w:rsidR="003C2750" w:rsidRPr="003C2750" w:rsidRDefault="003C2750" w:rsidP="00341F3B">
      <w:pPr>
        <w:numPr>
          <w:ilvl w:val="0"/>
          <w:numId w:val="4"/>
        </w:numPr>
        <w:spacing w:line="360" w:lineRule="auto"/>
        <w:jc w:val="both"/>
        <w:rPr>
          <w:rFonts w:ascii="Arial" w:hAnsi="Arial" w:cs="Arial"/>
        </w:rPr>
      </w:pPr>
      <w:r w:rsidRPr="003C2750">
        <w:rPr>
          <w:rFonts w:ascii="Arial" w:hAnsi="Arial" w:cs="Arial"/>
          <w:b/>
          <w:bCs/>
        </w:rPr>
        <w:t>Well-diversified portfolio and market presence:</w:t>
      </w:r>
      <w:r w:rsidRPr="003C2750">
        <w:rPr>
          <w:rFonts w:ascii="Arial" w:hAnsi="Arial" w:cs="Arial"/>
        </w:rPr>
        <w:t> </w:t>
      </w:r>
      <w:r w:rsidR="002E3F26">
        <w:rPr>
          <w:rFonts w:ascii="Arial" w:hAnsi="Arial" w:cs="Arial"/>
        </w:rPr>
        <w:t>According to Marklin and Bianchi</w:t>
      </w:r>
      <w:r w:rsidR="002A26BB">
        <w:rPr>
          <w:rFonts w:ascii="Arial" w:hAnsi="Arial" w:cs="Arial"/>
        </w:rPr>
        <w:t xml:space="preserve"> (2022) </w:t>
      </w:r>
      <w:r w:rsidR="002E3F26">
        <w:rPr>
          <w:rFonts w:ascii="Arial" w:hAnsi="Arial" w:cs="Arial"/>
        </w:rPr>
        <w:t>t</w:t>
      </w:r>
      <w:r w:rsidRPr="003C2750">
        <w:rPr>
          <w:rFonts w:ascii="Arial" w:hAnsi="Arial" w:cs="Arial"/>
        </w:rPr>
        <w:t>he group’s extensive range of brands, spanning economy to luxury segments, combined with its broad international footprint, reduces dependence on individual markets and customer segments. In particular, the Luxury &amp; Lifestyle division has emerged as the company’s strongest growth driver and most profitable business segment.</w:t>
      </w:r>
    </w:p>
    <w:p w14:paraId="7C2C465A" w14:textId="77777777" w:rsidR="003C2750" w:rsidRPr="003C2750" w:rsidRDefault="003C2750" w:rsidP="00341F3B">
      <w:pPr>
        <w:numPr>
          <w:ilvl w:val="0"/>
          <w:numId w:val="4"/>
        </w:numPr>
        <w:spacing w:line="360" w:lineRule="auto"/>
        <w:jc w:val="both"/>
        <w:rPr>
          <w:rFonts w:ascii="Arial" w:hAnsi="Arial" w:cs="Arial"/>
        </w:rPr>
      </w:pPr>
      <w:r w:rsidRPr="003C2750">
        <w:rPr>
          <w:rFonts w:ascii="Arial" w:hAnsi="Arial" w:cs="Arial"/>
          <w:b/>
          <w:bCs/>
        </w:rPr>
        <w:t>Demonstrated operational execution:</w:t>
      </w:r>
      <w:r w:rsidRPr="003C2750">
        <w:rPr>
          <w:rFonts w:ascii="Arial" w:hAnsi="Arial" w:cs="Arial"/>
        </w:rPr>
        <w:t> Between 2023 and 2025, Accor consistently met or surpassed its EBITDA growth targets, reflecting effective strategic execution, disciplined cost management, and management’s ability to deliver on market expectations.</w:t>
      </w:r>
    </w:p>
    <w:p w14:paraId="4993D53E" w14:textId="77777777" w:rsidR="003C2750" w:rsidRPr="003C2750" w:rsidRDefault="003C2750" w:rsidP="00341F3B">
      <w:pPr>
        <w:numPr>
          <w:ilvl w:val="0"/>
          <w:numId w:val="4"/>
        </w:numPr>
        <w:spacing w:line="360" w:lineRule="auto"/>
        <w:jc w:val="both"/>
        <w:rPr>
          <w:rFonts w:ascii="Arial" w:hAnsi="Arial" w:cs="Arial"/>
        </w:rPr>
      </w:pPr>
      <w:r w:rsidRPr="003C2750">
        <w:rPr>
          <w:rFonts w:ascii="Arial" w:hAnsi="Arial" w:cs="Arial"/>
          <w:b/>
          <w:bCs/>
        </w:rPr>
        <w:t>Prudent debt management:</w:t>
      </w:r>
      <w:r w:rsidRPr="003C2750">
        <w:rPr>
          <w:rFonts w:ascii="Arial" w:hAnsi="Arial" w:cs="Arial"/>
        </w:rPr>
        <w:t> The company benefits from a relatively low and stable cost of borrowing, averaging approximately 2.5–3.0%, alongside a diversified debt maturity structure. This reduces short-term refinancing pressures and enhances financial flexibility despite higher leverage levels.</w:t>
      </w:r>
    </w:p>
    <w:p w14:paraId="28D74C88" w14:textId="77777777" w:rsidR="0009781C" w:rsidRPr="0030530E" w:rsidRDefault="0009781C" w:rsidP="0030530E">
      <w:pPr>
        <w:pStyle w:val="Heading2"/>
        <w:rPr>
          <w:rFonts w:ascii="Baskerville Old Face" w:hAnsi="Baskerville Old Face"/>
          <w:b/>
          <w:bCs/>
          <w:color w:val="000000" w:themeColor="text1"/>
        </w:rPr>
      </w:pPr>
      <w:bookmarkStart w:id="12" w:name="_Toc235559593"/>
      <w:r w:rsidRPr="0030530E">
        <w:rPr>
          <w:rFonts w:ascii="Baskerville Old Face" w:hAnsi="Baskerville Old Face"/>
          <w:b/>
          <w:bCs/>
          <w:color w:val="000000" w:themeColor="text1"/>
        </w:rPr>
        <w:t>Potential Threats</w:t>
      </w:r>
      <w:bookmarkEnd w:id="12"/>
    </w:p>
    <w:p w14:paraId="669FD8E4" w14:textId="1E91D963" w:rsidR="0009781C" w:rsidRPr="0009781C" w:rsidRDefault="0009781C" w:rsidP="00341F3B">
      <w:pPr>
        <w:numPr>
          <w:ilvl w:val="0"/>
          <w:numId w:val="5"/>
        </w:numPr>
        <w:spacing w:line="360" w:lineRule="auto"/>
        <w:jc w:val="both"/>
        <w:rPr>
          <w:rFonts w:ascii="Arial" w:hAnsi="Arial" w:cs="Arial"/>
        </w:rPr>
      </w:pPr>
      <w:r w:rsidRPr="0009781C">
        <w:rPr>
          <w:rFonts w:ascii="Arial" w:hAnsi="Arial" w:cs="Arial"/>
          <w:b/>
          <w:bCs/>
        </w:rPr>
        <w:t>Increasing financial leverage and reduced balance-sheet flexibility:</w:t>
      </w:r>
      <w:r w:rsidRPr="0009781C">
        <w:rPr>
          <w:rFonts w:ascii="Arial" w:hAnsi="Arial" w:cs="Arial"/>
        </w:rPr>
        <w:t> The steady rise in gearing has weakened Accor’s financial headroom, potentially limiting its capacity to pursue future acquisitions or withstand adverse economic conditions.</w:t>
      </w:r>
      <w:r w:rsidR="00F71536">
        <w:rPr>
          <w:rFonts w:ascii="Arial" w:hAnsi="Arial" w:cs="Arial"/>
        </w:rPr>
        <w:t xml:space="preserve"> According to </w:t>
      </w:r>
      <w:r w:rsidR="00DC41D0">
        <w:rPr>
          <w:rFonts w:ascii="Arial" w:hAnsi="Arial" w:cs="Arial"/>
        </w:rPr>
        <w:t xml:space="preserve">Garcia-Gomez et al., (2021) </w:t>
      </w:r>
      <w:r w:rsidRPr="0009781C">
        <w:rPr>
          <w:rFonts w:ascii="Arial" w:hAnsi="Arial" w:cs="Arial"/>
        </w:rPr>
        <w:t>If leverage continues to increase, the group may also face heightened scrutiny from creditors and rating agencies, with potential implications for its creditworthiness.</w:t>
      </w:r>
    </w:p>
    <w:p w14:paraId="1D509AB7" w14:textId="77777777" w:rsidR="0009781C" w:rsidRPr="0009781C" w:rsidRDefault="0009781C" w:rsidP="00341F3B">
      <w:pPr>
        <w:numPr>
          <w:ilvl w:val="0"/>
          <w:numId w:val="5"/>
        </w:numPr>
        <w:spacing w:line="360" w:lineRule="auto"/>
        <w:jc w:val="both"/>
        <w:rPr>
          <w:rFonts w:ascii="Arial" w:hAnsi="Arial" w:cs="Arial"/>
        </w:rPr>
      </w:pPr>
      <w:r w:rsidRPr="0009781C">
        <w:rPr>
          <w:rFonts w:ascii="Arial" w:hAnsi="Arial" w:cs="Arial"/>
          <w:b/>
          <w:bCs/>
        </w:rPr>
        <w:lastRenderedPageBreak/>
        <w:t>Pressure on shareholder perceptions:</w:t>
      </w:r>
      <w:r w:rsidRPr="0009781C">
        <w:rPr>
          <w:rFonts w:ascii="Arial" w:hAnsi="Arial" w:cs="Arial"/>
        </w:rPr>
        <w:t> Since reaching its peak in 2023, both net profit margin and earnings per share (EPS) have declined. Although this trend is largely attributable to the reduced contribution of exceptional gains rather than a weakening of core operations, inadequate communication of this distinction could negatively affect investor confidence and market sentiment.</w:t>
      </w:r>
    </w:p>
    <w:p w14:paraId="384C29EF" w14:textId="77777777" w:rsidR="0009781C" w:rsidRPr="0009781C" w:rsidRDefault="0009781C" w:rsidP="00341F3B">
      <w:pPr>
        <w:numPr>
          <w:ilvl w:val="0"/>
          <w:numId w:val="5"/>
        </w:numPr>
        <w:spacing w:line="360" w:lineRule="auto"/>
        <w:jc w:val="both"/>
        <w:rPr>
          <w:rFonts w:ascii="Arial" w:hAnsi="Arial" w:cs="Arial"/>
        </w:rPr>
      </w:pPr>
      <w:r w:rsidRPr="0009781C">
        <w:rPr>
          <w:rFonts w:ascii="Arial" w:hAnsi="Arial" w:cs="Arial"/>
          <w:b/>
          <w:bCs/>
        </w:rPr>
        <w:t>Exposure to external economic and geopolitical risks:</w:t>
      </w:r>
      <w:r w:rsidRPr="0009781C">
        <w:rPr>
          <w:rFonts w:ascii="Arial" w:hAnsi="Arial" w:cs="Arial"/>
        </w:rPr>
        <w:t> As Accor’s earnings are heavily dependent on RevPAR performance, the company remains vulnerable to fluctuations in global travel demand arising from economic slowdowns, geopolitical instability, or currency volatility. This risk is particularly relevant in key markets such as Brazil, Turkey, and Egypt, where exchange-rate movements have already had an adverse impact on reported financial results.</w:t>
      </w:r>
    </w:p>
    <w:p w14:paraId="0C625A75" w14:textId="6C8A6A7A" w:rsidR="00106915" w:rsidRPr="0009781C" w:rsidRDefault="0009781C" w:rsidP="00341F3B">
      <w:pPr>
        <w:numPr>
          <w:ilvl w:val="0"/>
          <w:numId w:val="5"/>
        </w:numPr>
        <w:spacing w:line="360" w:lineRule="auto"/>
        <w:jc w:val="both"/>
        <w:rPr>
          <w:rFonts w:ascii="Arial" w:hAnsi="Arial" w:cs="Arial"/>
        </w:rPr>
      </w:pPr>
      <w:r w:rsidRPr="0009781C">
        <w:rPr>
          <w:rFonts w:ascii="Arial" w:hAnsi="Arial" w:cs="Arial"/>
          <w:b/>
          <w:bCs/>
        </w:rPr>
        <w:t>Greater dependence on debt-financed capital returns:</w:t>
      </w:r>
      <w:r w:rsidRPr="0009781C">
        <w:rPr>
          <w:rFonts w:ascii="Arial" w:hAnsi="Arial" w:cs="Arial"/>
        </w:rPr>
        <w:t> </w:t>
      </w:r>
      <w:r w:rsidR="002857FC">
        <w:rPr>
          <w:rFonts w:ascii="Arial" w:hAnsi="Arial" w:cs="Arial"/>
        </w:rPr>
        <w:t xml:space="preserve">According to </w:t>
      </w:r>
      <w:r w:rsidR="0082141E">
        <w:rPr>
          <w:rFonts w:ascii="Arial" w:hAnsi="Arial" w:cs="Arial"/>
        </w:rPr>
        <w:t>Bourke et al., (2020) t</w:t>
      </w:r>
      <w:r w:rsidRPr="0009781C">
        <w:rPr>
          <w:rFonts w:ascii="Arial" w:hAnsi="Arial" w:cs="Arial"/>
        </w:rPr>
        <w:t>he continued use of borrowing to support shareholder distributions, including dividends and share repurchases, increases the group’s financial risk profile. Should growth in recurring free cash flow weaken, maintaining these capital-return programmes could place additional pressure on liquidity and leverage metrics, potentially constraining future strategic flexibility.</w:t>
      </w:r>
    </w:p>
    <w:p w14:paraId="49937ACC" w14:textId="0DF2DC15" w:rsidR="00106915" w:rsidRPr="00341F3B" w:rsidRDefault="00106915" w:rsidP="00341F3B">
      <w:pPr>
        <w:pStyle w:val="Heading1"/>
        <w:rPr>
          <w:rFonts w:ascii="Baskerville Old Face" w:hAnsi="Baskerville Old Face"/>
          <w:b/>
          <w:bCs/>
          <w:color w:val="000000" w:themeColor="text1"/>
          <w:sz w:val="36"/>
          <w:szCs w:val="36"/>
        </w:rPr>
      </w:pPr>
      <w:bookmarkStart w:id="13" w:name="_Toc235559594"/>
      <w:r w:rsidRPr="00341F3B">
        <w:rPr>
          <w:rFonts w:ascii="Baskerville Old Face" w:hAnsi="Baskerville Old Face"/>
          <w:b/>
          <w:bCs/>
          <w:color w:val="000000" w:themeColor="text1"/>
          <w:sz w:val="36"/>
          <w:szCs w:val="36"/>
        </w:rPr>
        <w:t>WORKING CAPITAL MANAGEMENT</w:t>
      </w:r>
      <w:r w:rsidR="00F34FA0" w:rsidRPr="00341F3B">
        <w:rPr>
          <w:rFonts w:ascii="Baskerville Old Face" w:hAnsi="Baskerville Old Face"/>
          <w:b/>
          <w:bCs/>
          <w:color w:val="000000" w:themeColor="text1"/>
          <w:sz w:val="36"/>
          <w:szCs w:val="36"/>
        </w:rPr>
        <w:t xml:space="preserve"> Analysis</w:t>
      </w:r>
      <w:bookmarkEnd w:id="13"/>
    </w:p>
    <w:p w14:paraId="3B8325C0" w14:textId="26EA5033" w:rsidR="00A72141" w:rsidRPr="00B873DF" w:rsidRDefault="009560B5" w:rsidP="00B873DF">
      <w:pPr>
        <w:pStyle w:val="Heading2"/>
        <w:spacing w:line="360" w:lineRule="auto"/>
        <w:jc w:val="both"/>
        <w:rPr>
          <w:rFonts w:ascii="Arial" w:hAnsi="Arial" w:cs="Arial"/>
          <w:b/>
          <w:bCs/>
          <w:color w:val="000000" w:themeColor="text1"/>
          <w:sz w:val="24"/>
          <w:szCs w:val="24"/>
        </w:rPr>
      </w:pPr>
      <w:r w:rsidRPr="00B873DF">
        <w:rPr>
          <w:rFonts w:ascii="Arial" w:hAnsi="Arial" w:cs="Arial"/>
          <w:b/>
          <w:bCs/>
          <w:color w:val="000000" w:themeColor="text1"/>
          <w:sz w:val="24"/>
          <w:szCs w:val="24"/>
        </w:rPr>
        <w:t xml:space="preserve"> </w:t>
      </w:r>
      <w:bookmarkStart w:id="14" w:name="_Toc235559595"/>
      <w:r w:rsidR="00302E44" w:rsidRPr="00B873DF">
        <w:rPr>
          <w:rFonts w:ascii="Arial" w:hAnsi="Arial" w:cs="Arial"/>
          <w:b/>
          <w:bCs/>
          <w:color w:val="000000" w:themeColor="text1"/>
          <w:sz w:val="24"/>
          <w:szCs w:val="24"/>
        </w:rPr>
        <w:t>Assessing the cash operating cycle</w:t>
      </w:r>
      <w:bookmarkEnd w:id="14"/>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1240"/>
        <w:gridCol w:w="1240"/>
        <w:gridCol w:w="1240"/>
        <w:gridCol w:w="1240"/>
        <w:gridCol w:w="1240"/>
      </w:tblGrid>
      <w:tr w:rsidR="00F71A40" w:rsidRPr="00B873DF" w14:paraId="1DF6D3DB" w14:textId="77777777" w:rsidTr="003F605D">
        <w:trPr>
          <w:tblHeader/>
        </w:trPr>
        <w:tc>
          <w:tcPr>
            <w:tcW w:w="3200" w:type="dxa"/>
            <w:shd w:val="clear" w:color="auto" w:fill="1F3864"/>
            <w:tcMar>
              <w:top w:w="60" w:type="dxa"/>
              <w:left w:w="100" w:type="dxa"/>
              <w:bottom w:w="60" w:type="dxa"/>
              <w:right w:w="100" w:type="dxa"/>
            </w:tcMar>
          </w:tcPr>
          <w:p w14:paraId="3CED98F0" w14:textId="77777777" w:rsidR="00F71A40" w:rsidRPr="00B873DF" w:rsidRDefault="00F71A40" w:rsidP="00B873DF">
            <w:pPr>
              <w:spacing w:line="360" w:lineRule="auto"/>
              <w:jc w:val="both"/>
              <w:rPr>
                <w:rFonts w:ascii="Arial" w:hAnsi="Arial" w:cs="Arial"/>
              </w:rPr>
            </w:pPr>
            <w:r w:rsidRPr="00B873DF">
              <w:rPr>
                <w:rFonts w:ascii="Arial" w:hAnsi="Arial" w:cs="Arial"/>
                <w:b/>
                <w:bCs/>
              </w:rPr>
              <w:t>€m, Dec year-end</w:t>
            </w:r>
          </w:p>
        </w:tc>
        <w:tc>
          <w:tcPr>
            <w:tcW w:w="1240" w:type="dxa"/>
            <w:shd w:val="clear" w:color="auto" w:fill="1F3864"/>
            <w:tcMar>
              <w:top w:w="60" w:type="dxa"/>
              <w:left w:w="100" w:type="dxa"/>
              <w:bottom w:w="60" w:type="dxa"/>
              <w:right w:w="100" w:type="dxa"/>
            </w:tcMar>
          </w:tcPr>
          <w:p w14:paraId="02110848" w14:textId="77777777" w:rsidR="00F71A40" w:rsidRPr="00B873DF" w:rsidRDefault="00F71A40" w:rsidP="00B873DF">
            <w:pPr>
              <w:spacing w:line="360" w:lineRule="auto"/>
              <w:jc w:val="both"/>
              <w:rPr>
                <w:rFonts w:ascii="Arial" w:hAnsi="Arial" w:cs="Arial"/>
              </w:rPr>
            </w:pPr>
            <w:r w:rsidRPr="00B873DF">
              <w:rPr>
                <w:rFonts w:ascii="Arial" w:hAnsi="Arial" w:cs="Arial"/>
                <w:b/>
                <w:bCs/>
              </w:rPr>
              <w:t>2021</w:t>
            </w:r>
          </w:p>
        </w:tc>
        <w:tc>
          <w:tcPr>
            <w:tcW w:w="1240" w:type="dxa"/>
            <w:shd w:val="clear" w:color="auto" w:fill="1F3864"/>
            <w:tcMar>
              <w:top w:w="60" w:type="dxa"/>
              <w:left w:w="100" w:type="dxa"/>
              <w:bottom w:w="60" w:type="dxa"/>
              <w:right w:w="100" w:type="dxa"/>
            </w:tcMar>
          </w:tcPr>
          <w:p w14:paraId="62776482" w14:textId="77777777" w:rsidR="00F71A40" w:rsidRPr="00B873DF" w:rsidRDefault="00F71A40" w:rsidP="00B873DF">
            <w:pPr>
              <w:spacing w:line="360" w:lineRule="auto"/>
              <w:jc w:val="both"/>
              <w:rPr>
                <w:rFonts w:ascii="Arial" w:hAnsi="Arial" w:cs="Arial"/>
              </w:rPr>
            </w:pPr>
            <w:r w:rsidRPr="00B873DF">
              <w:rPr>
                <w:rFonts w:ascii="Arial" w:hAnsi="Arial" w:cs="Arial"/>
                <w:b/>
                <w:bCs/>
              </w:rPr>
              <w:t>2022</w:t>
            </w:r>
          </w:p>
        </w:tc>
        <w:tc>
          <w:tcPr>
            <w:tcW w:w="1240" w:type="dxa"/>
            <w:shd w:val="clear" w:color="auto" w:fill="1F3864"/>
            <w:tcMar>
              <w:top w:w="60" w:type="dxa"/>
              <w:left w:w="100" w:type="dxa"/>
              <w:bottom w:w="60" w:type="dxa"/>
              <w:right w:w="100" w:type="dxa"/>
            </w:tcMar>
          </w:tcPr>
          <w:p w14:paraId="1957AB78" w14:textId="77777777" w:rsidR="00F71A40" w:rsidRPr="00B873DF" w:rsidRDefault="00F71A40" w:rsidP="00B873DF">
            <w:pPr>
              <w:spacing w:line="360" w:lineRule="auto"/>
              <w:jc w:val="both"/>
              <w:rPr>
                <w:rFonts w:ascii="Arial" w:hAnsi="Arial" w:cs="Arial"/>
              </w:rPr>
            </w:pPr>
            <w:r w:rsidRPr="00B873DF">
              <w:rPr>
                <w:rFonts w:ascii="Arial" w:hAnsi="Arial" w:cs="Arial"/>
                <w:b/>
                <w:bCs/>
              </w:rPr>
              <w:t>2023</w:t>
            </w:r>
          </w:p>
        </w:tc>
        <w:tc>
          <w:tcPr>
            <w:tcW w:w="1240" w:type="dxa"/>
            <w:shd w:val="clear" w:color="auto" w:fill="1F3864"/>
            <w:tcMar>
              <w:top w:w="60" w:type="dxa"/>
              <w:left w:w="100" w:type="dxa"/>
              <w:bottom w:w="60" w:type="dxa"/>
              <w:right w:w="100" w:type="dxa"/>
            </w:tcMar>
          </w:tcPr>
          <w:p w14:paraId="5359D5B6" w14:textId="77777777" w:rsidR="00F71A40" w:rsidRPr="00B873DF" w:rsidRDefault="00F71A40" w:rsidP="00B873DF">
            <w:pPr>
              <w:spacing w:line="360" w:lineRule="auto"/>
              <w:jc w:val="both"/>
              <w:rPr>
                <w:rFonts w:ascii="Arial" w:hAnsi="Arial" w:cs="Arial"/>
              </w:rPr>
            </w:pPr>
            <w:r w:rsidRPr="00B873DF">
              <w:rPr>
                <w:rFonts w:ascii="Arial" w:hAnsi="Arial" w:cs="Arial"/>
                <w:b/>
                <w:bCs/>
              </w:rPr>
              <w:t>2024</w:t>
            </w:r>
          </w:p>
        </w:tc>
        <w:tc>
          <w:tcPr>
            <w:tcW w:w="1240" w:type="dxa"/>
            <w:shd w:val="clear" w:color="auto" w:fill="1F3864"/>
            <w:tcMar>
              <w:top w:w="60" w:type="dxa"/>
              <w:left w:w="100" w:type="dxa"/>
              <w:bottom w:w="60" w:type="dxa"/>
              <w:right w:w="100" w:type="dxa"/>
            </w:tcMar>
          </w:tcPr>
          <w:p w14:paraId="38688D05" w14:textId="77777777" w:rsidR="00F71A40" w:rsidRPr="00B873DF" w:rsidRDefault="00F71A40" w:rsidP="00B873DF">
            <w:pPr>
              <w:spacing w:line="360" w:lineRule="auto"/>
              <w:jc w:val="both"/>
              <w:rPr>
                <w:rFonts w:ascii="Arial" w:hAnsi="Arial" w:cs="Arial"/>
              </w:rPr>
            </w:pPr>
            <w:r w:rsidRPr="00B873DF">
              <w:rPr>
                <w:rFonts w:ascii="Arial" w:hAnsi="Arial" w:cs="Arial"/>
                <w:b/>
                <w:bCs/>
              </w:rPr>
              <w:t>2025</w:t>
            </w:r>
          </w:p>
        </w:tc>
      </w:tr>
      <w:tr w:rsidR="00F71A40" w:rsidRPr="00B873DF" w14:paraId="557285D9" w14:textId="77777777" w:rsidTr="003F605D">
        <w:tc>
          <w:tcPr>
            <w:tcW w:w="3200" w:type="dxa"/>
            <w:shd w:val="clear" w:color="auto" w:fill="F2F2F2"/>
            <w:tcMar>
              <w:top w:w="60" w:type="dxa"/>
              <w:left w:w="100" w:type="dxa"/>
              <w:bottom w:w="60" w:type="dxa"/>
              <w:right w:w="100" w:type="dxa"/>
            </w:tcMar>
          </w:tcPr>
          <w:p w14:paraId="212A46A3" w14:textId="77777777" w:rsidR="00F71A40" w:rsidRPr="00B873DF" w:rsidRDefault="00F71A40" w:rsidP="00B873DF">
            <w:pPr>
              <w:spacing w:line="360" w:lineRule="auto"/>
              <w:jc w:val="both"/>
              <w:rPr>
                <w:rFonts w:ascii="Arial" w:hAnsi="Arial" w:cs="Arial"/>
              </w:rPr>
            </w:pPr>
            <w:r w:rsidRPr="00B873DF">
              <w:rPr>
                <w:rFonts w:ascii="Arial" w:hAnsi="Arial" w:cs="Arial"/>
              </w:rPr>
              <w:t>Inventories</w:t>
            </w:r>
          </w:p>
        </w:tc>
        <w:tc>
          <w:tcPr>
            <w:tcW w:w="1240" w:type="dxa"/>
            <w:shd w:val="clear" w:color="auto" w:fill="F2F2F2"/>
            <w:tcMar>
              <w:top w:w="60" w:type="dxa"/>
              <w:left w:w="100" w:type="dxa"/>
              <w:bottom w:w="60" w:type="dxa"/>
              <w:right w:w="100" w:type="dxa"/>
            </w:tcMar>
          </w:tcPr>
          <w:p w14:paraId="6DE49907" w14:textId="77777777" w:rsidR="00F71A40" w:rsidRPr="00B873DF" w:rsidRDefault="00F71A40" w:rsidP="00B873DF">
            <w:pPr>
              <w:spacing w:line="360" w:lineRule="auto"/>
              <w:jc w:val="both"/>
              <w:rPr>
                <w:rFonts w:ascii="Arial" w:hAnsi="Arial" w:cs="Arial"/>
              </w:rPr>
            </w:pPr>
            <w:r w:rsidRPr="00B873DF">
              <w:rPr>
                <w:rFonts w:ascii="Arial" w:hAnsi="Arial" w:cs="Arial"/>
              </w:rPr>
              <w:t>9</w:t>
            </w:r>
          </w:p>
        </w:tc>
        <w:tc>
          <w:tcPr>
            <w:tcW w:w="1240" w:type="dxa"/>
            <w:shd w:val="clear" w:color="auto" w:fill="F2F2F2"/>
            <w:tcMar>
              <w:top w:w="60" w:type="dxa"/>
              <w:left w:w="100" w:type="dxa"/>
              <w:bottom w:w="60" w:type="dxa"/>
              <w:right w:w="100" w:type="dxa"/>
            </w:tcMar>
          </w:tcPr>
          <w:p w14:paraId="75CF9C1F" w14:textId="77777777" w:rsidR="00F71A40" w:rsidRPr="00B873DF" w:rsidRDefault="00F71A40" w:rsidP="00B873DF">
            <w:pPr>
              <w:spacing w:line="360" w:lineRule="auto"/>
              <w:jc w:val="both"/>
              <w:rPr>
                <w:rFonts w:ascii="Arial" w:hAnsi="Arial" w:cs="Arial"/>
              </w:rPr>
            </w:pPr>
            <w:r w:rsidRPr="00B873DF">
              <w:rPr>
                <w:rFonts w:ascii="Arial" w:hAnsi="Arial" w:cs="Arial"/>
              </w:rPr>
              <w:t>19</w:t>
            </w:r>
          </w:p>
        </w:tc>
        <w:tc>
          <w:tcPr>
            <w:tcW w:w="1240" w:type="dxa"/>
            <w:shd w:val="clear" w:color="auto" w:fill="F2F2F2"/>
            <w:tcMar>
              <w:top w:w="60" w:type="dxa"/>
              <w:left w:w="100" w:type="dxa"/>
              <w:bottom w:w="60" w:type="dxa"/>
              <w:right w:w="100" w:type="dxa"/>
            </w:tcMar>
          </w:tcPr>
          <w:p w14:paraId="38A557C2" w14:textId="77777777" w:rsidR="00F71A40" w:rsidRPr="00B873DF" w:rsidRDefault="00F71A40" w:rsidP="00B873DF">
            <w:pPr>
              <w:spacing w:line="360" w:lineRule="auto"/>
              <w:jc w:val="both"/>
              <w:rPr>
                <w:rFonts w:ascii="Arial" w:hAnsi="Arial" w:cs="Arial"/>
              </w:rPr>
            </w:pPr>
            <w:r w:rsidRPr="00B873DF">
              <w:rPr>
                <w:rFonts w:ascii="Arial" w:hAnsi="Arial" w:cs="Arial"/>
              </w:rPr>
              <w:t>36</w:t>
            </w:r>
          </w:p>
        </w:tc>
        <w:tc>
          <w:tcPr>
            <w:tcW w:w="1240" w:type="dxa"/>
            <w:shd w:val="clear" w:color="auto" w:fill="F2F2F2"/>
            <w:tcMar>
              <w:top w:w="60" w:type="dxa"/>
              <w:left w:w="100" w:type="dxa"/>
              <w:bottom w:w="60" w:type="dxa"/>
              <w:right w:w="100" w:type="dxa"/>
            </w:tcMar>
          </w:tcPr>
          <w:p w14:paraId="3A24891D" w14:textId="77777777" w:rsidR="00F71A40" w:rsidRPr="00B873DF" w:rsidRDefault="00F71A40" w:rsidP="00B873DF">
            <w:pPr>
              <w:spacing w:line="360" w:lineRule="auto"/>
              <w:jc w:val="both"/>
              <w:rPr>
                <w:rFonts w:ascii="Arial" w:hAnsi="Arial" w:cs="Arial"/>
              </w:rPr>
            </w:pPr>
            <w:r w:rsidRPr="00B873DF">
              <w:rPr>
                <w:rFonts w:ascii="Arial" w:hAnsi="Arial" w:cs="Arial"/>
              </w:rPr>
              <w:t>39</w:t>
            </w:r>
          </w:p>
        </w:tc>
        <w:tc>
          <w:tcPr>
            <w:tcW w:w="1240" w:type="dxa"/>
            <w:shd w:val="clear" w:color="auto" w:fill="F2F2F2"/>
            <w:tcMar>
              <w:top w:w="60" w:type="dxa"/>
              <w:left w:w="100" w:type="dxa"/>
              <w:bottom w:w="60" w:type="dxa"/>
              <w:right w:w="100" w:type="dxa"/>
            </w:tcMar>
          </w:tcPr>
          <w:p w14:paraId="26ACFCFF" w14:textId="77777777" w:rsidR="00F71A40" w:rsidRPr="00B873DF" w:rsidRDefault="00F71A40" w:rsidP="00B873DF">
            <w:pPr>
              <w:spacing w:line="360" w:lineRule="auto"/>
              <w:jc w:val="both"/>
              <w:rPr>
                <w:rFonts w:ascii="Arial" w:hAnsi="Arial" w:cs="Arial"/>
              </w:rPr>
            </w:pPr>
            <w:r w:rsidRPr="00B873DF">
              <w:rPr>
                <w:rFonts w:ascii="Arial" w:hAnsi="Arial" w:cs="Arial"/>
              </w:rPr>
              <w:t>34</w:t>
            </w:r>
          </w:p>
        </w:tc>
      </w:tr>
      <w:tr w:rsidR="00F71A40" w:rsidRPr="00B873DF" w14:paraId="7522AAA2" w14:textId="77777777" w:rsidTr="003F605D">
        <w:tc>
          <w:tcPr>
            <w:tcW w:w="3200" w:type="dxa"/>
            <w:shd w:val="clear" w:color="auto" w:fill="FFFFFF"/>
            <w:tcMar>
              <w:top w:w="60" w:type="dxa"/>
              <w:left w:w="100" w:type="dxa"/>
              <w:bottom w:w="60" w:type="dxa"/>
              <w:right w:w="100" w:type="dxa"/>
            </w:tcMar>
          </w:tcPr>
          <w:p w14:paraId="2585AD0D" w14:textId="77777777" w:rsidR="00F71A40" w:rsidRPr="00B873DF" w:rsidRDefault="00F71A40" w:rsidP="00B873DF">
            <w:pPr>
              <w:spacing w:line="360" w:lineRule="auto"/>
              <w:jc w:val="both"/>
              <w:rPr>
                <w:rFonts w:ascii="Arial" w:hAnsi="Arial" w:cs="Arial"/>
              </w:rPr>
            </w:pPr>
            <w:r w:rsidRPr="00B873DF">
              <w:rPr>
                <w:rFonts w:ascii="Arial" w:hAnsi="Arial" w:cs="Arial"/>
              </w:rPr>
              <w:t>Trade receivables</w:t>
            </w:r>
          </w:p>
        </w:tc>
        <w:tc>
          <w:tcPr>
            <w:tcW w:w="1240" w:type="dxa"/>
            <w:shd w:val="clear" w:color="auto" w:fill="FFFFFF"/>
            <w:tcMar>
              <w:top w:w="60" w:type="dxa"/>
              <w:left w:w="100" w:type="dxa"/>
              <w:bottom w:w="60" w:type="dxa"/>
              <w:right w:w="100" w:type="dxa"/>
            </w:tcMar>
          </w:tcPr>
          <w:p w14:paraId="144C8FB0" w14:textId="77777777" w:rsidR="00F71A40" w:rsidRPr="00B873DF" w:rsidRDefault="00F71A40" w:rsidP="00B873DF">
            <w:pPr>
              <w:spacing w:line="360" w:lineRule="auto"/>
              <w:jc w:val="both"/>
              <w:rPr>
                <w:rFonts w:ascii="Arial" w:hAnsi="Arial" w:cs="Arial"/>
              </w:rPr>
            </w:pPr>
            <w:r w:rsidRPr="00B873DF">
              <w:rPr>
                <w:rFonts w:ascii="Arial" w:hAnsi="Arial" w:cs="Arial"/>
              </w:rPr>
              <w:t>631</w:t>
            </w:r>
          </w:p>
        </w:tc>
        <w:tc>
          <w:tcPr>
            <w:tcW w:w="1240" w:type="dxa"/>
            <w:shd w:val="clear" w:color="auto" w:fill="FFFFFF"/>
            <w:tcMar>
              <w:top w:w="60" w:type="dxa"/>
              <w:left w:w="100" w:type="dxa"/>
              <w:bottom w:w="60" w:type="dxa"/>
              <w:right w:w="100" w:type="dxa"/>
            </w:tcMar>
          </w:tcPr>
          <w:p w14:paraId="5830FCBF" w14:textId="77777777" w:rsidR="00F71A40" w:rsidRPr="00B873DF" w:rsidRDefault="00F71A40" w:rsidP="00B873DF">
            <w:pPr>
              <w:spacing w:line="360" w:lineRule="auto"/>
              <w:jc w:val="both"/>
              <w:rPr>
                <w:rFonts w:ascii="Arial" w:hAnsi="Arial" w:cs="Arial"/>
              </w:rPr>
            </w:pPr>
            <w:r w:rsidRPr="00B873DF">
              <w:rPr>
                <w:rFonts w:ascii="Arial" w:hAnsi="Arial" w:cs="Arial"/>
              </w:rPr>
              <w:t>794</w:t>
            </w:r>
          </w:p>
        </w:tc>
        <w:tc>
          <w:tcPr>
            <w:tcW w:w="1240" w:type="dxa"/>
            <w:shd w:val="clear" w:color="auto" w:fill="FFFFFF"/>
            <w:tcMar>
              <w:top w:w="60" w:type="dxa"/>
              <w:left w:w="100" w:type="dxa"/>
              <w:bottom w:w="60" w:type="dxa"/>
              <w:right w:w="100" w:type="dxa"/>
            </w:tcMar>
          </w:tcPr>
          <w:p w14:paraId="6A5D12DC" w14:textId="77777777" w:rsidR="00F71A40" w:rsidRPr="00B873DF" w:rsidRDefault="00F71A40" w:rsidP="00B873DF">
            <w:pPr>
              <w:spacing w:line="360" w:lineRule="auto"/>
              <w:jc w:val="both"/>
              <w:rPr>
                <w:rFonts w:ascii="Arial" w:hAnsi="Arial" w:cs="Arial"/>
              </w:rPr>
            </w:pPr>
            <w:r w:rsidRPr="00B873DF">
              <w:rPr>
                <w:rFonts w:ascii="Arial" w:hAnsi="Arial" w:cs="Arial"/>
              </w:rPr>
              <w:t>824</w:t>
            </w:r>
          </w:p>
        </w:tc>
        <w:tc>
          <w:tcPr>
            <w:tcW w:w="1240" w:type="dxa"/>
            <w:shd w:val="clear" w:color="auto" w:fill="FFFFFF"/>
            <w:tcMar>
              <w:top w:w="60" w:type="dxa"/>
              <w:left w:w="100" w:type="dxa"/>
              <w:bottom w:w="60" w:type="dxa"/>
              <w:right w:w="100" w:type="dxa"/>
            </w:tcMar>
          </w:tcPr>
          <w:p w14:paraId="0FA97C35" w14:textId="77777777" w:rsidR="00F71A40" w:rsidRPr="00B873DF" w:rsidRDefault="00F71A40" w:rsidP="00B873DF">
            <w:pPr>
              <w:spacing w:line="360" w:lineRule="auto"/>
              <w:jc w:val="both"/>
              <w:rPr>
                <w:rFonts w:ascii="Arial" w:hAnsi="Arial" w:cs="Arial"/>
              </w:rPr>
            </w:pPr>
            <w:r w:rsidRPr="00B873DF">
              <w:rPr>
                <w:rFonts w:ascii="Arial" w:hAnsi="Arial" w:cs="Arial"/>
              </w:rPr>
              <w:t>803</w:t>
            </w:r>
          </w:p>
        </w:tc>
        <w:tc>
          <w:tcPr>
            <w:tcW w:w="1240" w:type="dxa"/>
            <w:shd w:val="clear" w:color="auto" w:fill="FFFFFF"/>
            <w:tcMar>
              <w:top w:w="60" w:type="dxa"/>
              <w:left w:w="100" w:type="dxa"/>
              <w:bottom w:w="60" w:type="dxa"/>
              <w:right w:w="100" w:type="dxa"/>
            </w:tcMar>
          </w:tcPr>
          <w:p w14:paraId="740EC183" w14:textId="77777777" w:rsidR="00F71A40" w:rsidRPr="00B873DF" w:rsidRDefault="00F71A40" w:rsidP="00B873DF">
            <w:pPr>
              <w:spacing w:line="360" w:lineRule="auto"/>
              <w:jc w:val="both"/>
              <w:rPr>
                <w:rFonts w:ascii="Arial" w:hAnsi="Arial" w:cs="Arial"/>
              </w:rPr>
            </w:pPr>
            <w:r w:rsidRPr="00B873DF">
              <w:rPr>
                <w:rFonts w:ascii="Arial" w:hAnsi="Arial" w:cs="Arial"/>
              </w:rPr>
              <w:t>829</w:t>
            </w:r>
          </w:p>
        </w:tc>
      </w:tr>
      <w:tr w:rsidR="00F71A40" w:rsidRPr="00B873DF" w14:paraId="001807BB" w14:textId="77777777" w:rsidTr="003F605D">
        <w:tc>
          <w:tcPr>
            <w:tcW w:w="3200" w:type="dxa"/>
            <w:shd w:val="clear" w:color="auto" w:fill="F2F2F2"/>
            <w:tcMar>
              <w:top w:w="60" w:type="dxa"/>
              <w:left w:w="100" w:type="dxa"/>
              <w:bottom w:w="60" w:type="dxa"/>
              <w:right w:w="100" w:type="dxa"/>
            </w:tcMar>
          </w:tcPr>
          <w:p w14:paraId="4DF90635" w14:textId="77777777" w:rsidR="00F71A40" w:rsidRPr="00B873DF" w:rsidRDefault="00F71A40" w:rsidP="00B873DF">
            <w:pPr>
              <w:spacing w:line="360" w:lineRule="auto"/>
              <w:jc w:val="both"/>
              <w:rPr>
                <w:rFonts w:ascii="Arial" w:hAnsi="Arial" w:cs="Arial"/>
              </w:rPr>
            </w:pPr>
            <w:r w:rsidRPr="00B873DF">
              <w:rPr>
                <w:rFonts w:ascii="Arial" w:hAnsi="Arial" w:cs="Arial"/>
              </w:rPr>
              <w:t>Other current assets</w:t>
            </w:r>
          </w:p>
        </w:tc>
        <w:tc>
          <w:tcPr>
            <w:tcW w:w="1240" w:type="dxa"/>
            <w:shd w:val="clear" w:color="auto" w:fill="F2F2F2"/>
            <w:tcMar>
              <w:top w:w="60" w:type="dxa"/>
              <w:left w:w="100" w:type="dxa"/>
              <w:bottom w:w="60" w:type="dxa"/>
              <w:right w:w="100" w:type="dxa"/>
            </w:tcMar>
          </w:tcPr>
          <w:p w14:paraId="656FF4BF" w14:textId="77777777" w:rsidR="00F71A40" w:rsidRPr="00B873DF" w:rsidRDefault="00F71A40" w:rsidP="00B873DF">
            <w:pPr>
              <w:spacing w:line="360" w:lineRule="auto"/>
              <w:jc w:val="both"/>
              <w:rPr>
                <w:rFonts w:ascii="Arial" w:hAnsi="Arial" w:cs="Arial"/>
              </w:rPr>
            </w:pPr>
            <w:r w:rsidRPr="00B873DF">
              <w:rPr>
                <w:rFonts w:ascii="Arial" w:hAnsi="Arial" w:cs="Arial"/>
              </w:rPr>
              <w:t>322</w:t>
            </w:r>
          </w:p>
        </w:tc>
        <w:tc>
          <w:tcPr>
            <w:tcW w:w="1240" w:type="dxa"/>
            <w:shd w:val="clear" w:color="auto" w:fill="F2F2F2"/>
            <w:tcMar>
              <w:top w:w="60" w:type="dxa"/>
              <w:left w:w="100" w:type="dxa"/>
              <w:bottom w:w="60" w:type="dxa"/>
              <w:right w:w="100" w:type="dxa"/>
            </w:tcMar>
          </w:tcPr>
          <w:p w14:paraId="130D26E5" w14:textId="77777777" w:rsidR="00F71A40" w:rsidRPr="00B873DF" w:rsidRDefault="00F71A40" w:rsidP="00B873DF">
            <w:pPr>
              <w:spacing w:line="360" w:lineRule="auto"/>
              <w:jc w:val="both"/>
              <w:rPr>
                <w:rFonts w:ascii="Arial" w:hAnsi="Arial" w:cs="Arial"/>
              </w:rPr>
            </w:pPr>
            <w:r w:rsidRPr="00B873DF">
              <w:rPr>
                <w:rFonts w:ascii="Arial" w:hAnsi="Arial" w:cs="Arial"/>
              </w:rPr>
              <w:t>403</w:t>
            </w:r>
          </w:p>
        </w:tc>
        <w:tc>
          <w:tcPr>
            <w:tcW w:w="1240" w:type="dxa"/>
            <w:shd w:val="clear" w:color="auto" w:fill="F2F2F2"/>
            <w:tcMar>
              <w:top w:w="60" w:type="dxa"/>
              <w:left w:w="100" w:type="dxa"/>
              <w:bottom w:w="60" w:type="dxa"/>
              <w:right w:w="100" w:type="dxa"/>
            </w:tcMar>
          </w:tcPr>
          <w:p w14:paraId="7A99DB0E" w14:textId="77777777" w:rsidR="00F71A40" w:rsidRPr="00B873DF" w:rsidRDefault="00F71A40" w:rsidP="00B873DF">
            <w:pPr>
              <w:spacing w:line="360" w:lineRule="auto"/>
              <w:jc w:val="both"/>
              <w:rPr>
                <w:rFonts w:ascii="Arial" w:hAnsi="Arial" w:cs="Arial"/>
              </w:rPr>
            </w:pPr>
            <w:r w:rsidRPr="00B873DF">
              <w:rPr>
                <w:rFonts w:ascii="Arial" w:hAnsi="Arial" w:cs="Arial"/>
              </w:rPr>
              <w:t>434</w:t>
            </w:r>
          </w:p>
        </w:tc>
        <w:tc>
          <w:tcPr>
            <w:tcW w:w="1240" w:type="dxa"/>
            <w:shd w:val="clear" w:color="auto" w:fill="F2F2F2"/>
            <w:tcMar>
              <w:top w:w="60" w:type="dxa"/>
              <w:left w:w="100" w:type="dxa"/>
              <w:bottom w:w="60" w:type="dxa"/>
              <w:right w:w="100" w:type="dxa"/>
            </w:tcMar>
          </w:tcPr>
          <w:p w14:paraId="7B75AD4E" w14:textId="77777777" w:rsidR="00F71A40" w:rsidRPr="00B873DF" w:rsidRDefault="00F71A40" w:rsidP="00B873DF">
            <w:pPr>
              <w:spacing w:line="360" w:lineRule="auto"/>
              <w:jc w:val="both"/>
              <w:rPr>
                <w:rFonts w:ascii="Arial" w:hAnsi="Arial" w:cs="Arial"/>
              </w:rPr>
            </w:pPr>
            <w:r w:rsidRPr="00B873DF">
              <w:rPr>
                <w:rFonts w:ascii="Arial" w:hAnsi="Arial" w:cs="Arial"/>
              </w:rPr>
              <w:t>504</w:t>
            </w:r>
          </w:p>
        </w:tc>
        <w:tc>
          <w:tcPr>
            <w:tcW w:w="1240" w:type="dxa"/>
            <w:shd w:val="clear" w:color="auto" w:fill="F2F2F2"/>
            <w:tcMar>
              <w:top w:w="60" w:type="dxa"/>
              <w:left w:w="100" w:type="dxa"/>
              <w:bottom w:w="60" w:type="dxa"/>
              <w:right w:w="100" w:type="dxa"/>
            </w:tcMar>
          </w:tcPr>
          <w:p w14:paraId="6C8687E3" w14:textId="77777777" w:rsidR="00F71A40" w:rsidRPr="00B873DF" w:rsidRDefault="00F71A40" w:rsidP="00B873DF">
            <w:pPr>
              <w:spacing w:line="360" w:lineRule="auto"/>
              <w:jc w:val="both"/>
              <w:rPr>
                <w:rFonts w:ascii="Arial" w:hAnsi="Arial" w:cs="Arial"/>
              </w:rPr>
            </w:pPr>
            <w:r w:rsidRPr="00B873DF">
              <w:rPr>
                <w:rFonts w:ascii="Arial" w:hAnsi="Arial" w:cs="Arial"/>
              </w:rPr>
              <w:t>478</w:t>
            </w:r>
          </w:p>
        </w:tc>
      </w:tr>
      <w:tr w:rsidR="00F71A40" w:rsidRPr="00B873DF" w14:paraId="1E325EC5" w14:textId="77777777" w:rsidTr="003F605D">
        <w:tc>
          <w:tcPr>
            <w:tcW w:w="3200" w:type="dxa"/>
            <w:shd w:val="clear" w:color="auto" w:fill="FFFFFF"/>
            <w:tcMar>
              <w:top w:w="60" w:type="dxa"/>
              <w:left w:w="100" w:type="dxa"/>
              <w:bottom w:w="60" w:type="dxa"/>
              <w:right w:w="100" w:type="dxa"/>
            </w:tcMar>
          </w:tcPr>
          <w:p w14:paraId="34ED3294" w14:textId="77777777" w:rsidR="00F71A40" w:rsidRPr="00B873DF" w:rsidRDefault="00F71A40" w:rsidP="00B873DF">
            <w:pPr>
              <w:spacing w:line="360" w:lineRule="auto"/>
              <w:jc w:val="both"/>
              <w:rPr>
                <w:rFonts w:ascii="Arial" w:hAnsi="Arial" w:cs="Arial"/>
              </w:rPr>
            </w:pPr>
            <w:r w:rsidRPr="00B873DF">
              <w:rPr>
                <w:rFonts w:ascii="Arial" w:hAnsi="Arial" w:cs="Arial"/>
              </w:rPr>
              <w:t>Operating current assets</w:t>
            </w:r>
          </w:p>
        </w:tc>
        <w:tc>
          <w:tcPr>
            <w:tcW w:w="1240" w:type="dxa"/>
            <w:shd w:val="clear" w:color="auto" w:fill="FFFFFF"/>
            <w:tcMar>
              <w:top w:w="60" w:type="dxa"/>
              <w:left w:w="100" w:type="dxa"/>
              <w:bottom w:w="60" w:type="dxa"/>
              <w:right w:w="100" w:type="dxa"/>
            </w:tcMar>
          </w:tcPr>
          <w:p w14:paraId="0ABA209A" w14:textId="77777777" w:rsidR="00F71A40" w:rsidRPr="00B873DF" w:rsidRDefault="00F71A40" w:rsidP="00B873DF">
            <w:pPr>
              <w:spacing w:line="360" w:lineRule="auto"/>
              <w:jc w:val="both"/>
              <w:rPr>
                <w:rFonts w:ascii="Arial" w:hAnsi="Arial" w:cs="Arial"/>
              </w:rPr>
            </w:pPr>
            <w:r w:rsidRPr="00B873DF">
              <w:rPr>
                <w:rFonts w:ascii="Arial" w:hAnsi="Arial" w:cs="Arial"/>
              </w:rPr>
              <w:t>962</w:t>
            </w:r>
          </w:p>
        </w:tc>
        <w:tc>
          <w:tcPr>
            <w:tcW w:w="1240" w:type="dxa"/>
            <w:shd w:val="clear" w:color="auto" w:fill="FFFFFF"/>
            <w:tcMar>
              <w:top w:w="60" w:type="dxa"/>
              <w:left w:w="100" w:type="dxa"/>
              <w:bottom w:w="60" w:type="dxa"/>
              <w:right w:w="100" w:type="dxa"/>
            </w:tcMar>
          </w:tcPr>
          <w:p w14:paraId="218163FA" w14:textId="77777777" w:rsidR="00F71A40" w:rsidRPr="00B873DF" w:rsidRDefault="00F71A40" w:rsidP="00B873DF">
            <w:pPr>
              <w:spacing w:line="360" w:lineRule="auto"/>
              <w:jc w:val="both"/>
              <w:rPr>
                <w:rFonts w:ascii="Arial" w:hAnsi="Arial" w:cs="Arial"/>
              </w:rPr>
            </w:pPr>
            <w:r w:rsidRPr="00B873DF">
              <w:rPr>
                <w:rFonts w:ascii="Arial" w:hAnsi="Arial" w:cs="Arial"/>
              </w:rPr>
              <w:t>1,216</w:t>
            </w:r>
          </w:p>
        </w:tc>
        <w:tc>
          <w:tcPr>
            <w:tcW w:w="1240" w:type="dxa"/>
            <w:shd w:val="clear" w:color="auto" w:fill="FFFFFF"/>
            <w:tcMar>
              <w:top w:w="60" w:type="dxa"/>
              <w:left w:w="100" w:type="dxa"/>
              <w:bottom w:w="60" w:type="dxa"/>
              <w:right w:w="100" w:type="dxa"/>
            </w:tcMar>
          </w:tcPr>
          <w:p w14:paraId="7BE531DA" w14:textId="77777777" w:rsidR="00F71A40" w:rsidRPr="00B873DF" w:rsidRDefault="00F71A40" w:rsidP="00B873DF">
            <w:pPr>
              <w:spacing w:line="360" w:lineRule="auto"/>
              <w:jc w:val="both"/>
              <w:rPr>
                <w:rFonts w:ascii="Arial" w:hAnsi="Arial" w:cs="Arial"/>
              </w:rPr>
            </w:pPr>
            <w:r w:rsidRPr="00B873DF">
              <w:rPr>
                <w:rFonts w:ascii="Arial" w:hAnsi="Arial" w:cs="Arial"/>
              </w:rPr>
              <w:t>1,294</w:t>
            </w:r>
          </w:p>
        </w:tc>
        <w:tc>
          <w:tcPr>
            <w:tcW w:w="1240" w:type="dxa"/>
            <w:shd w:val="clear" w:color="auto" w:fill="FFFFFF"/>
            <w:tcMar>
              <w:top w:w="60" w:type="dxa"/>
              <w:left w:w="100" w:type="dxa"/>
              <w:bottom w:w="60" w:type="dxa"/>
              <w:right w:w="100" w:type="dxa"/>
            </w:tcMar>
          </w:tcPr>
          <w:p w14:paraId="22B675B4" w14:textId="77777777" w:rsidR="00F71A40" w:rsidRPr="00B873DF" w:rsidRDefault="00F71A40" w:rsidP="00B873DF">
            <w:pPr>
              <w:spacing w:line="360" w:lineRule="auto"/>
              <w:jc w:val="both"/>
              <w:rPr>
                <w:rFonts w:ascii="Arial" w:hAnsi="Arial" w:cs="Arial"/>
              </w:rPr>
            </w:pPr>
            <w:r w:rsidRPr="00B873DF">
              <w:rPr>
                <w:rFonts w:ascii="Arial" w:hAnsi="Arial" w:cs="Arial"/>
              </w:rPr>
              <w:t>1,346</w:t>
            </w:r>
          </w:p>
        </w:tc>
        <w:tc>
          <w:tcPr>
            <w:tcW w:w="1240" w:type="dxa"/>
            <w:shd w:val="clear" w:color="auto" w:fill="FFFFFF"/>
            <w:tcMar>
              <w:top w:w="60" w:type="dxa"/>
              <w:left w:w="100" w:type="dxa"/>
              <w:bottom w:w="60" w:type="dxa"/>
              <w:right w:w="100" w:type="dxa"/>
            </w:tcMar>
          </w:tcPr>
          <w:p w14:paraId="4CCE3775" w14:textId="77777777" w:rsidR="00F71A40" w:rsidRPr="00B873DF" w:rsidRDefault="00F71A40" w:rsidP="00B873DF">
            <w:pPr>
              <w:spacing w:line="360" w:lineRule="auto"/>
              <w:jc w:val="both"/>
              <w:rPr>
                <w:rFonts w:ascii="Arial" w:hAnsi="Arial" w:cs="Arial"/>
              </w:rPr>
            </w:pPr>
            <w:r w:rsidRPr="00B873DF">
              <w:rPr>
                <w:rFonts w:ascii="Arial" w:hAnsi="Arial" w:cs="Arial"/>
              </w:rPr>
              <w:t>1,341</w:t>
            </w:r>
          </w:p>
        </w:tc>
      </w:tr>
      <w:tr w:rsidR="00F71A40" w:rsidRPr="00B873DF" w14:paraId="3509D32A" w14:textId="77777777" w:rsidTr="003F605D">
        <w:tc>
          <w:tcPr>
            <w:tcW w:w="3200" w:type="dxa"/>
            <w:shd w:val="clear" w:color="auto" w:fill="F2F2F2"/>
            <w:tcMar>
              <w:top w:w="60" w:type="dxa"/>
              <w:left w:w="100" w:type="dxa"/>
              <w:bottom w:w="60" w:type="dxa"/>
              <w:right w:w="100" w:type="dxa"/>
            </w:tcMar>
          </w:tcPr>
          <w:p w14:paraId="0D6A6830" w14:textId="77777777" w:rsidR="00F71A40" w:rsidRPr="00B873DF" w:rsidRDefault="00F71A40" w:rsidP="00B873DF">
            <w:pPr>
              <w:spacing w:line="360" w:lineRule="auto"/>
              <w:jc w:val="both"/>
              <w:rPr>
                <w:rFonts w:ascii="Arial" w:hAnsi="Arial" w:cs="Arial"/>
              </w:rPr>
            </w:pPr>
            <w:r w:rsidRPr="00B873DF">
              <w:rPr>
                <w:rFonts w:ascii="Arial" w:hAnsi="Arial" w:cs="Arial"/>
              </w:rPr>
              <w:t>Trade payables</w:t>
            </w:r>
          </w:p>
        </w:tc>
        <w:tc>
          <w:tcPr>
            <w:tcW w:w="1240" w:type="dxa"/>
            <w:shd w:val="clear" w:color="auto" w:fill="F2F2F2"/>
            <w:tcMar>
              <w:top w:w="60" w:type="dxa"/>
              <w:left w:w="100" w:type="dxa"/>
              <w:bottom w:w="60" w:type="dxa"/>
              <w:right w:w="100" w:type="dxa"/>
            </w:tcMar>
          </w:tcPr>
          <w:p w14:paraId="462BAAE4" w14:textId="77777777" w:rsidR="00F71A40" w:rsidRPr="00B873DF" w:rsidRDefault="00F71A40" w:rsidP="00B873DF">
            <w:pPr>
              <w:spacing w:line="360" w:lineRule="auto"/>
              <w:jc w:val="both"/>
              <w:rPr>
                <w:rFonts w:ascii="Arial" w:hAnsi="Arial" w:cs="Arial"/>
              </w:rPr>
            </w:pPr>
            <w:r w:rsidRPr="00B873DF">
              <w:rPr>
                <w:rFonts w:ascii="Arial" w:hAnsi="Arial" w:cs="Arial"/>
              </w:rPr>
              <w:t>391</w:t>
            </w:r>
          </w:p>
        </w:tc>
        <w:tc>
          <w:tcPr>
            <w:tcW w:w="1240" w:type="dxa"/>
            <w:shd w:val="clear" w:color="auto" w:fill="F2F2F2"/>
            <w:tcMar>
              <w:top w:w="60" w:type="dxa"/>
              <w:left w:w="100" w:type="dxa"/>
              <w:bottom w:w="60" w:type="dxa"/>
              <w:right w:w="100" w:type="dxa"/>
            </w:tcMar>
          </w:tcPr>
          <w:p w14:paraId="1447C22D" w14:textId="77777777" w:rsidR="00F71A40" w:rsidRPr="00B873DF" w:rsidRDefault="00F71A40" w:rsidP="00B873DF">
            <w:pPr>
              <w:spacing w:line="360" w:lineRule="auto"/>
              <w:jc w:val="both"/>
              <w:rPr>
                <w:rFonts w:ascii="Arial" w:hAnsi="Arial" w:cs="Arial"/>
              </w:rPr>
            </w:pPr>
            <w:r w:rsidRPr="00B873DF">
              <w:rPr>
                <w:rFonts w:ascii="Arial" w:hAnsi="Arial" w:cs="Arial"/>
              </w:rPr>
              <w:t>489</w:t>
            </w:r>
          </w:p>
        </w:tc>
        <w:tc>
          <w:tcPr>
            <w:tcW w:w="1240" w:type="dxa"/>
            <w:shd w:val="clear" w:color="auto" w:fill="F2F2F2"/>
            <w:tcMar>
              <w:top w:w="60" w:type="dxa"/>
              <w:left w:w="100" w:type="dxa"/>
              <w:bottom w:w="60" w:type="dxa"/>
              <w:right w:w="100" w:type="dxa"/>
            </w:tcMar>
          </w:tcPr>
          <w:p w14:paraId="1FF0E78E" w14:textId="77777777" w:rsidR="00F71A40" w:rsidRPr="00B873DF" w:rsidRDefault="00F71A40" w:rsidP="00B873DF">
            <w:pPr>
              <w:spacing w:line="360" w:lineRule="auto"/>
              <w:jc w:val="both"/>
              <w:rPr>
                <w:rFonts w:ascii="Arial" w:hAnsi="Arial" w:cs="Arial"/>
              </w:rPr>
            </w:pPr>
            <w:r w:rsidRPr="00B873DF">
              <w:rPr>
                <w:rFonts w:ascii="Arial" w:hAnsi="Arial" w:cs="Arial"/>
              </w:rPr>
              <w:t>515</w:t>
            </w:r>
          </w:p>
        </w:tc>
        <w:tc>
          <w:tcPr>
            <w:tcW w:w="1240" w:type="dxa"/>
            <w:shd w:val="clear" w:color="auto" w:fill="F2F2F2"/>
            <w:tcMar>
              <w:top w:w="60" w:type="dxa"/>
              <w:left w:w="100" w:type="dxa"/>
              <w:bottom w:w="60" w:type="dxa"/>
              <w:right w:w="100" w:type="dxa"/>
            </w:tcMar>
          </w:tcPr>
          <w:p w14:paraId="77EFF6B1" w14:textId="77777777" w:rsidR="00F71A40" w:rsidRPr="00B873DF" w:rsidRDefault="00F71A40" w:rsidP="00B873DF">
            <w:pPr>
              <w:spacing w:line="360" w:lineRule="auto"/>
              <w:jc w:val="both"/>
              <w:rPr>
                <w:rFonts w:ascii="Arial" w:hAnsi="Arial" w:cs="Arial"/>
              </w:rPr>
            </w:pPr>
            <w:r w:rsidRPr="00B873DF">
              <w:rPr>
                <w:rFonts w:ascii="Arial" w:hAnsi="Arial" w:cs="Arial"/>
              </w:rPr>
              <w:t>557</w:t>
            </w:r>
          </w:p>
        </w:tc>
        <w:tc>
          <w:tcPr>
            <w:tcW w:w="1240" w:type="dxa"/>
            <w:shd w:val="clear" w:color="auto" w:fill="F2F2F2"/>
            <w:tcMar>
              <w:top w:w="60" w:type="dxa"/>
              <w:left w:w="100" w:type="dxa"/>
              <w:bottom w:w="60" w:type="dxa"/>
              <w:right w:w="100" w:type="dxa"/>
            </w:tcMar>
          </w:tcPr>
          <w:p w14:paraId="4BD7E8C6" w14:textId="77777777" w:rsidR="00F71A40" w:rsidRPr="00B873DF" w:rsidRDefault="00F71A40" w:rsidP="00B873DF">
            <w:pPr>
              <w:spacing w:line="360" w:lineRule="auto"/>
              <w:jc w:val="both"/>
              <w:rPr>
                <w:rFonts w:ascii="Arial" w:hAnsi="Arial" w:cs="Arial"/>
              </w:rPr>
            </w:pPr>
            <w:r w:rsidRPr="00B873DF">
              <w:rPr>
                <w:rFonts w:ascii="Arial" w:hAnsi="Arial" w:cs="Arial"/>
              </w:rPr>
              <w:t>526</w:t>
            </w:r>
          </w:p>
        </w:tc>
      </w:tr>
      <w:tr w:rsidR="00F71A40" w:rsidRPr="00B873DF" w14:paraId="46267C08" w14:textId="77777777" w:rsidTr="003F605D">
        <w:tc>
          <w:tcPr>
            <w:tcW w:w="3200" w:type="dxa"/>
            <w:shd w:val="clear" w:color="auto" w:fill="FFFFFF"/>
            <w:tcMar>
              <w:top w:w="60" w:type="dxa"/>
              <w:left w:w="100" w:type="dxa"/>
              <w:bottom w:w="60" w:type="dxa"/>
              <w:right w:w="100" w:type="dxa"/>
            </w:tcMar>
          </w:tcPr>
          <w:p w14:paraId="54F6C6ED" w14:textId="77777777" w:rsidR="00F71A40" w:rsidRPr="00B873DF" w:rsidRDefault="00F71A40" w:rsidP="00B873DF">
            <w:pPr>
              <w:spacing w:line="360" w:lineRule="auto"/>
              <w:jc w:val="both"/>
              <w:rPr>
                <w:rFonts w:ascii="Arial" w:hAnsi="Arial" w:cs="Arial"/>
              </w:rPr>
            </w:pPr>
            <w:r w:rsidRPr="00B873DF">
              <w:rPr>
                <w:rFonts w:ascii="Arial" w:hAnsi="Arial" w:cs="Arial"/>
              </w:rPr>
              <w:t>Other current liabilities</w:t>
            </w:r>
          </w:p>
        </w:tc>
        <w:tc>
          <w:tcPr>
            <w:tcW w:w="1240" w:type="dxa"/>
            <w:shd w:val="clear" w:color="auto" w:fill="FFFFFF"/>
            <w:tcMar>
              <w:top w:w="60" w:type="dxa"/>
              <w:left w:w="100" w:type="dxa"/>
              <w:bottom w:w="60" w:type="dxa"/>
              <w:right w:w="100" w:type="dxa"/>
            </w:tcMar>
          </w:tcPr>
          <w:p w14:paraId="1A3A55AE" w14:textId="77777777" w:rsidR="00F71A40" w:rsidRPr="00B873DF" w:rsidRDefault="00F71A40" w:rsidP="00B873DF">
            <w:pPr>
              <w:spacing w:line="360" w:lineRule="auto"/>
              <w:jc w:val="both"/>
              <w:rPr>
                <w:rFonts w:ascii="Arial" w:hAnsi="Arial" w:cs="Arial"/>
              </w:rPr>
            </w:pPr>
            <w:r w:rsidRPr="00B873DF">
              <w:rPr>
                <w:rFonts w:ascii="Arial" w:hAnsi="Arial" w:cs="Arial"/>
              </w:rPr>
              <w:t>609</w:t>
            </w:r>
          </w:p>
        </w:tc>
        <w:tc>
          <w:tcPr>
            <w:tcW w:w="1240" w:type="dxa"/>
            <w:shd w:val="clear" w:color="auto" w:fill="FFFFFF"/>
            <w:tcMar>
              <w:top w:w="60" w:type="dxa"/>
              <w:left w:w="100" w:type="dxa"/>
              <w:bottom w:w="60" w:type="dxa"/>
              <w:right w:w="100" w:type="dxa"/>
            </w:tcMar>
          </w:tcPr>
          <w:p w14:paraId="4AF5B70C" w14:textId="77777777" w:rsidR="00F71A40" w:rsidRPr="00B873DF" w:rsidRDefault="00F71A40" w:rsidP="00B873DF">
            <w:pPr>
              <w:spacing w:line="360" w:lineRule="auto"/>
              <w:jc w:val="both"/>
              <w:rPr>
                <w:rFonts w:ascii="Arial" w:hAnsi="Arial" w:cs="Arial"/>
              </w:rPr>
            </w:pPr>
            <w:r w:rsidRPr="00B873DF">
              <w:rPr>
                <w:rFonts w:ascii="Arial" w:hAnsi="Arial" w:cs="Arial"/>
              </w:rPr>
              <w:t>859</w:t>
            </w:r>
          </w:p>
        </w:tc>
        <w:tc>
          <w:tcPr>
            <w:tcW w:w="1240" w:type="dxa"/>
            <w:shd w:val="clear" w:color="auto" w:fill="FFFFFF"/>
            <w:tcMar>
              <w:top w:w="60" w:type="dxa"/>
              <w:left w:w="100" w:type="dxa"/>
              <w:bottom w:w="60" w:type="dxa"/>
              <w:right w:w="100" w:type="dxa"/>
            </w:tcMar>
          </w:tcPr>
          <w:p w14:paraId="4F7C2219" w14:textId="77777777" w:rsidR="00F71A40" w:rsidRPr="00B873DF" w:rsidRDefault="00F71A40" w:rsidP="00B873DF">
            <w:pPr>
              <w:spacing w:line="360" w:lineRule="auto"/>
              <w:jc w:val="both"/>
              <w:rPr>
                <w:rFonts w:ascii="Arial" w:hAnsi="Arial" w:cs="Arial"/>
              </w:rPr>
            </w:pPr>
            <w:r w:rsidRPr="00B873DF">
              <w:rPr>
                <w:rFonts w:ascii="Arial" w:hAnsi="Arial" w:cs="Arial"/>
              </w:rPr>
              <w:t>887</w:t>
            </w:r>
          </w:p>
        </w:tc>
        <w:tc>
          <w:tcPr>
            <w:tcW w:w="1240" w:type="dxa"/>
            <w:shd w:val="clear" w:color="auto" w:fill="FFFFFF"/>
            <w:tcMar>
              <w:top w:w="60" w:type="dxa"/>
              <w:left w:w="100" w:type="dxa"/>
              <w:bottom w:w="60" w:type="dxa"/>
              <w:right w:w="100" w:type="dxa"/>
            </w:tcMar>
          </w:tcPr>
          <w:p w14:paraId="6834F1A5" w14:textId="77777777" w:rsidR="00F71A40" w:rsidRPr="00B873DF" w:rsidRDefault="00F71A40" w:rsidP="00B873DF">
            <w:pPr>
              <w:spacing w:line="360" w:lineRule="auto"/>
              <w:jc w:val="both"/>
              <w:rPr>
                <w:rFonts w:ascii="Arial" w:hAnsi="Arial" w:cs="Arial"/>
              </w:rPr>
            </w:pPr>
            <w:r w:rsidRPr="00B873DF">
              <w:rPr>
                <w:rFonts w:ascii="Arial" w:hAnsi="Arial" w:cs="Arial"/>
              </w:rPr>
              <w:t>847</w:t>
            </w:r>
          </w:p>
        </w:tc>
        <w:tc>
          <w:tcPr>
            <w:tcW w:w="1240" w:type="dxa"/>
            <w:shd w:val="clear" w:color="auto" w:fill="FFFFFF"/>
            <w:tcMar>
              <w:top w:w="60" w:type="dxa"/>
              <w:left w:w="100" w:type="dxa"/>
              <w:bottom w:w="60" w:type="dxa"/>
              <w:right w:w="100" w:type="dxa"/>
            </w:tcMar>
          </w:tcPr>
          <w:p w14:paraId="52273B9B" w14:textId="77777777" w:rsidR="00F71A40" w:rsidRPr="00B873DF" w:rsidRDefault="00F71A40" w:rsidP="00B873DF">
            <w:pPr>
              <w:spacing w:line="360" w:lineRule="auto"/>
              <w:jc w:val="both"/>
              <w:rPr>
                <w:rFonts w:ascii="Arial" w:hAnsi="Arial" w:cs="Arial"/>
              </w:rPr>
            </w:pPr>
            <w:r w:rsidRPr="00B873DF">
              <w:rPr>
                <w:rFonts w:ascii="Arial" w:hAnsi="Arial" w:cs="Arial"/>
              </w:rPr>
              <w:t>823</w:t>
            </w:r>
          </w:p>
        </w:tc>
      </w:tr>
      <w:tr w:rsidR="00F71A40" w:rsidRPr="00B873DF" w14:paraId="4BC35DB3" w14:textId="77777777" w:rsidTr="003F605D">
        <w:tc>
          <w:tcPr>
            <w:tcW w:w="3200" w:type="dxa"/>
            <w:shd w:val="clear" w:color="auto" w:fill="F2F2F2"/>
            <w:tcMar>
              <w:top w:w="60" w:type="dxa"/>
              <w:left w:w="100" w:type="dxa"/>
              <w:bottom w:w="60" w:type="dxa"/>
              <w:right w:w="100" w:type="dxa"/>
            </w:tcMar>
          </w:tcPr>
          <w:p w14:paraId="4D7106C3" w14:textId="77777777" w:rsidR="00F71A40" w:rsidRPr="00B873DF" w:rsidRDefault="00F71A40" w:rsidP="00B873DF">
            <w:pPr>
              <w:spacing w:line="360" w:lineRule="auto"/>
              <w:jc w:val="both"/>
              <w:rPr>
                <w:rFonts w:ascii="Arial" w:hAnsi="Arial" w:cs="Arial"/>
              </w:rPr>
            </w:pPr>
            <w:r w:rsidRPr="00B873DF">
              <w:rPr>
                <w:rFonts w:ascii="Arial" w:hAnsi="Arial" w:cs="Arial"/>
              </w:rPr>
              <w:t>Operating current liabilities</w:t>
            </w:r>
          </w:p>
        </w:tc>
        <w:tc>
          <w:tcPr>
            <w:tcW w:w="1240" w:type="dxa"/>
            <w:shd w:val="clear" w:color="auto" w:fill="F2F2F2"/>
            <w:tcMar>
              <w:top w:w="60" w:type="dxa"/>
              <w:left w:w="100" w:type="dxa"/>
              <w:bottom w:w="60" w:type="dxa"/>
              <w:right w:w="100" w:type="dxa"/>
            </w:tcMar>
          </w:tcPr>
          <w:p w14:paraId="041D481A" w14:textId="77777777" w:rsidR="00F71A40" w:rsidRPr="00B873DF" w:rsidRDefault="00F71A40" w:rsidP="00B873DF">
            <w:pPr>
              <w:spacing w:line="360" w:lineRule="auto"/>
              <w:jc w:val="both"/>
              <w:rPr>
                <w:rFonts w:ascii="Arial" w:hAnsi="Arial" w:cs="Arial"/>
              </w:rPr>
            </w:pPr>
            <w:r w:rsidRPr="00B873DF">
              <w:rPr>
                <w:rFonts w:ascii="Arial" w:hAnsi="Arial" w:cs="Arial"/>
              </w:rPr>
              <w:t>1,000</w:t>
            </w:r>
          </w:p>
        </w:tc>
        <w:tc>
          <w:tcPr>
            <w:tcW w:w="1240" w:type="dxa"/>
            <w:shd w:val="clear" w:color="auto" w:fill="F2F2F2"/>
            <w:tcMar>
              <w:top w:w="60" w:type="dxa"/>
              <w:left w:w="100" w:type="dxa"/>
              <w:bottom w:w="60" w:type="dxa"/>
              <w:right w:w="100" w:type="dxa"/>
            </w:tcMar>
          </w:tcPr>
          <w:p w14:paraId="7263B814" w14:textId="77777777" w:rsidR="00F71A40" w:rsidRPr="00B873DF" w:rsidRDefault="00F71A40" w:rsidP="00B873DF">
            <w:pPr>
              <w:spacing w:line="360" w:lineRule="auto"/>
              <w:jc w:val="both"/>
              <w:rPr>
                <w:rFonts w:ascii="Arial" w:hAnsi="Arial" w:cs="Arial"/>
              </w:rPr>
            </w:pPr>
            <w:r w:rsidRPr="00B873DF">
              <w:rPr>
                <w:rFonts w:ascii="Arial" w:hAnsi="Arial" w:cs="Arial"/>
              </w:rPr>
              <w:t>1,348</w:t>
            </w:r>
          </w:p>
        </w:tc>
        <w:tc>
          <w:tcPr>
            <w:tcW w:w="1240" w:type="dxa"/>
            <w:shd w:val="clear" w:color="auto" w:fill="F2F2F2"/>
            <w:tcMar>
              <w:top w:w="60" w:type="dxa"/>
              <w:left w:w="100" w:type="dxa"/>
              <w:bottom w:w="60" w:type="dxa"/>
              <w:right w:w="100" w:type="dxa"/>
            </w:tcMar>
          </w:tcPr>
          <w:p w14:paraId="7699BEAA" w14:textId="77777777" w:rsidR="00F71A40" w:rsidRPr="00B873DF" w:rsidRDefault="00F71A40" w:rsidP="00B873DF">
            <w:pPr>
              <w:spacing w:line="360" w:lineRule="auto"/>
              <w:jc w:val="both"/>
              <w:rPr>
                <w:rFonts w:ascii="Arial" w:hAnsi="Arial" w:cs="Arial"/>
              </w:rPr>
            </w:pPr>
            <w:r w:rsidRPr="00B873DF">
              <w:rPr>
                <w:rFonts w:ascii="Arial" w:hAnsi="Arial" w:cs="Arial"/>
              </w:rPr>
              <w:t>1,402</w:t>
            </w:r>
          </w:p>
        </w:tc>
        <w:tc>
          <w:tcPr>
            <w:tcW w:w="1240" w:type="dxa"/>
            <w:shd w:val="clear" w:color="auto" w:fill="F2F2F2"/>
            <w:tcMar>
              <w:top w:w="60" w:type="dxa"/>
              <w:left w:w="100" w:type="dxa"/>
              <w:bottom w:w="60" w:type="dxa"/>
              <w:right w:w="100" w:type="dxa"/>
            </w:tcMar>
          </w:tcPr>
          <w:p w14:paraId="03347314" w14:textId="77777777" w:rsidR="00F71A40" w:rsidRPr="00B873DF" w:rsidRDefault="00F71A40" w:rsidP="00B873DF">
            <w:pPr>
              <w:spacing w:line="360" w:lineRule="auto"/>
              <w:jc w:val="both"/>
              <w:rPr>
                <w:rFonts w:ascii="Arial" w:hAnsi="Arial" w:cs="Arial"/>
              </w:rPr>
            </w:pPr>
            <w:r w:rsidRPr="00B873DF">
              <w:rPr>
                <w:rFonts w:ascii="Arial" w:hAnsi="Arial" w:cs="Arial"/>
              </w:rPr>
              <w:t>1,404</w:t>
            </w:r>
          </w:p>
        </w:tc>
        <w:tc>
          <w:tcPr>
            <w:tcW w:w="1240" w:type="dxa"/>
            <w:shd w:val="clear" w:color="auto" w:fill="F2F2F2"/>
            <w:tcMar>
              <w:top w:w="60" w:type="dxa"/>
              <w:left w:w="100" w:type="dxa"/>
              <w:bottom w:w="60" w:type="dxa"/>
              <w:right w:w="100" w:type="dxa"/>
            </w:tcMar>
          </w:tcPr>
          <w:p w14:paraId="0E2F685D" w14:textId="77777777" w:rsidR="00F71A40" w:rsidRPr="00B873DF" w:rsidRDefault="00F71A40" w:rsidP="00B873DF">
            <w:pPr>
              <w:spacing w:line="360" w:lineRule="auto"/>
              <w:jc w:val="both"/>
              <w:rPr>
                <w:rFonts w:ascii="Arial" w:hAnsi="Arial" w:cs="Arial"/>
              </w:rPr>
            </w:pPr>
            <w:r w:rsidRPr="00B873DF">
              <w:rPr>
                <w:rFonts w:ascii="Arial" w:hAnsi="Arial" w:cs="Arial"/>
              </w:rPr>
              <w:t>1,349</w:t>
            </w:r>
          </w:p>
        </w:tc>
      </w:tr>
      <w:tr w:rsidR="00F71A40" w:rsidRPr="00B873DF" w14:paraId="31A53D21" w14:textId="77777777" w:rsidTr="003F605D">
        <w:tc>
          <w:tcPr>
            <w:tcW w:w="3200" w:type="dxa"/>
            <w:shd w:val="clear" w:color="auto" w:fill="FFFFFF"/>
            <w:tcMar>
              <w:top w:w="60" w:type="dxa"/>
              <w:left w:w="100" w:type="dxa"/>
              <w:bottom w:w="60" w:type="dxa"/>
              <w:right w:w="100" w:type="dxa"/>
            </w:tcMar>
          </w:tcPr>
          <w:p w14:paraId="20EE896D" w14:textId="77777777" w:rsidR="00F71A40" w:rsidRPr="00B873DF" w:rsidRDefault="00F71A40" w:rsidP="00B873DF">
            <w:pPr>
              <w:spacing w:line="360" w:lineRule="auto"/>
              <w:jc w:val="both"/>
              <w:rPr>
                <w:rFonts w:ascii="Arial" w:hAnsi="Arial" w:cs="Arial"/>
              </w:rPr>
            </w:pPr>
            <w:r w:rsidRPr="00B873DF">
              <w:rPr>
                <w:rFonts w:ascii="Arial" w:hAnsi="Arial" w:cs="Arial"/>
              </w:rPr>
              <w:lastRenderedPageBreak/>
              <w:t>Operating working capital</w:t>
            </w:r>
          </w:p>
        </w:tc>
        <w:tc>
          <w:tcPr>
            <w:tcW w:w="1240" w:type="dxa"/>
            <w:shd w:val="clear" w:color="auto" w:fill="FFFFFF"/>
            <w:tcMar>
              <w:top w:w="60" w:type="dxa"/>
              <w:left w:w="100" w:type="dxa"/>
              <w:bottom w:w="60" w:type="dxa"/>
              <w:right w:w="100" w:type="dxa"/>
            </w:tcMar>
          </w:tcPr>
          <w:p w14:paraId="7A1AD590" w14:textId="77777777" w:rsidR="00F71A40" w:rsidRPr="00B873DF" w:rsidRDefault="00F71A40" w:rsidP="00B873DF">
            <w:pPr>
              <w:spacing w:line="360" w:lineRule="auto"/>
              <w:jc w:val="both"/>
              <w:rPr>
                <w:rFonts w:ascii="Arial" w:hAnsi="Arial" w:cs="Arial"/>
              </w:rPr>
            </w:pPr>
            <w:r w:rsidRPr="00B873DF">
              <w:rPr>
                <w:rFonts w:ascii="Arial" w:hAnsi="Arial" w:cs="Arial"/>
              </w:rPr>
              <w:t>(38)</w:t>
            </w:r>
          </w:p>
        </w:tc>
        <w:tc>
          <w:tcPr>
            <w:tcW w:w="1240" w:type="dxa"/>
            <w:shd w:val="clear" w:color="auto" w:fill="FFFFFF"/>
            <w:tcMar>
              <w:top w:w="60" w:type="dxa"/>
              <w:left w:w="100" w:type="dxa"/>
              <w:bottom w:w="60" w:type="dxa"/>
              <w:right w:w="100" w:type="dxa"/>
            </w:tcMar>
          </w:tcPr>
          <w:p w14:paraId="727FF3A4" w14:textId="77777777" w:rsidR="00F71A40" w:rsidRPr="00B873DF" w:rsidRDefault="00F71A40" w:rsidP="00B873DF">
            <w:pPr>
              <w:spacing w:line="360" w:lineRule="auto"/>
              <w:jc w:val="both"/>
              <w:rPr>
                <w:rFonts w:ascii="Arial" w:hAnsi="Arial" w:cs="Arial"/>
              </w:rPr>
            </w:pPr>
            <w:r w:rsidRPr="00B873DF">
              <w:rPr>
                <w:rFonts w:ascii="Arial" w:hAnsi="Arial" w:cs="Arial"/>
              </w:rPr>
              <w:t>(132)</w:t>
            </w:r>
          </w:p>
        </w:tc>
        <w:tc>
          <w:tcPr>
            <w:tcW w:w="1240" w:type="dxa"/>
            <w:shd w:val="clear" w:color="auto" w:fill="FFFFFF"/>
            <w:tcMar>
              <w:top w:w="60" w:type="dxa"/>
              <w:left w:w="100" w:type="dxa"/>
              <w:bottom w:w="60" w:type="dxa"/>
              <w:right w:w="100" w:type="dxa"/>
            </w:tcMar>
          </w:tcPr>
          <w:p w14:paraId="31B2BDDC" w14:textId="77777777" w:rsidR="00F71A40" w:rsidRPr="00B873DF" w:rsidRDefault="00F71A40" w:rsidP="00B873DF">
            <w:pPr>
              <w:spacing w:line="360" w:lineRule="auto"/>
              <w:jc w:val="both"/>
              <w:rPr>
                <w:rFonts w:ascii="Arial" w:hAnsi="Arial" w:cs="Arial"/>
              </w:rPr>
            </w:pPr>
            <w:r w:rsidRPr="00B873DF">
              <w:rPr>
                <w:rFonts w:ascii="Arial" w:hAnsi="Arial" w:cs="Arial"/>
              </w:rPr>
              <w:t>(108)</w:t>
            </w:r>
          </w:p>
        </w:tc>
        <w:tc>
          <w:tcPr>
            <w:tcW w:w="1240" w:type="dxa"/>
            <w:shd w:val="clear" w:color="auto" w:fill="FFFFFF"/>
            <w:tcMar>
              <w:top w:w="60" w:type="dxa"/>
              <w:left w:w="100" w:type="dxa"/>
              <w:bottom w:w="60" w:type="dxa"/>
              <w:right w:w="100" w:type="dxa"/>
            </w:tcMar>
          </w:tcPr>
          <w:p w14:paraId="312A6E53" w14:textId="77777777" w:rsidR="00F71A40" w:rsidRPr="00B873DF" w:rsidRDefault="00F71A40" w:rsidP="00B873DF">
            <w:pPr>
              <w:spacing w:line="360" w:lineRule="auto"/>
              <w:jc w:val="both"/>
              <w:rPr>
                <w:rFonts w:ascii="Arial" w:hAnsi="Arial" w:cs="Arial"/>
              </w:rPr>
            </w:pPr>
            <w:r w:rsidRPr="00B873DF">
              <w:rPr>
                <w:rFonts w:ascii="Arial" w:hAnsi="Arial" w:cs="Arial"/>
              </w:rPr>
              <w:t>(58)</w:t>
            </w:r>
          </w:p>
        </w:tc>
        <w:tc>
          <w:tcPr>
            <w:tcW w:w="1240" w:type="dxa"/>
            <w:shd w:val="clear" w:color="auto" w:fill="FFFFFF"/>
            <w:tcMar>
              <w:top w:w="60" w:type="dxa"/>
              <w:left w:w="100" w:type="dxa"/>
              <w:bottom w:w="60" w:type="dxa"/>
              <w:right w:w="100" w:type="dxa"/>
            </w:tcMar>
          </w:tcPr>
          <w:p w14:paraId="43D731FB" w14:textId="77777777" w:rsidR="00F71A40" w:rsidRPr="00B873DF" w:rsidRDefault="00F71A40" w:rsidP="00B873DF">
            <w:pPr>
              <w:spacing w:line="360" w:lineRule="auto"/>
              <w:jc w:val="both"/>
              <w:rPr>
                <w:rFonts w:ascii="Arial" w:hAnsi="Arial" w:cs="Arial"/>
              </w:rPr>
            </w:pPr>
            <w:r w:rsidRPr="00B873DF">
              <w:rPr>
                <w:rFonts w:ascii="Arial" w:hAnsi="Arial" w:cs="Arial"/>
              </w:rPr>
              <w:t>(8)</w:t>
            </w:r>
          </w:p>
        </w:tc>
      </w:tr>
    </w:tbl>
    <w:p w14:paraId="57D3E636" w14:textId="77777777" w:rsidR="006E3B07" w:rsidRDefault="006E3B07" w:rsidP="00341F3B">
      <w:pPr>
        <w:spacing w:line="360" w:lineRule="auto"/>
        <w:jc w:val="both"/>
        <w:rPr>
          <w:rFonts w:ascii="Arial" w:hAnsi="Arial" w:cs="Arial"/>
          <w:sz w:val="21"/>
          <w:szCs w:val="21"/>
        </w:rPr>
      </w:pPr>
    </w:p>
    <w:p w14:paraId="3482BED7" w14:textId="59912DF3" w:rsidR="00C35924" w:rsidRDefault="00C35924" w:rsidP="00341F3B">
      <w:pPr>
        <w:spacing w:line="360" w:lineRule="auto"/>
        <w:jc w:val="both"/>
        <w:rPr>
          <w:rFonts w:ascii="Arial" w:hAnsi="Arial" w:cs="Arial"/>
          <w:sz w:val="21"/>
          <w:szCs w:val="21"/>
        </w:rPr>
      </w:pPr>
      <w:r w:rsidRPr="00C35924">
        <w:rPr>
          <w:rFonts w:ascii="Arial" w:hAnsi="Arial" w:cs="Arial"/>
          <w:noProof/>
          <w:sz w:val="21"/>
          <w:szCs w:val="21"/>
        </w:rPr>
        <w:drawing>
          <wp:inline distT="0" distB="0" distL="0" distR="0" wp14:anchorId="319C98C6" wp14:editId="4FF44934">
            <wp:extent cx="5731510" cy="3084195"/>
            <wp:effectExtent l="0" t="0" r="0" b="1905"/>
            <wp:docPr id="1988050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050002" name=""/>
                    <pic:cNvPicPr/>
                  </pic:nvPicPr>
                  <pic:blipFill>
                    <a:blip r:embed="rId20"/>
                    <a:stretch>
                      <a:fillRect/>
                    </a:stretch>
                  </pic:blipFill>
                  <pic:spPr>
                    <a:xfrm>
                      <a:off x="0" y="0"/>
                      <a:ext cx="5731510" cy="3084195"/>
                    </a:xfrm>
                    <a:prstGeom prst="rect">
                      <a:avLst/>
                    </a:prstGeom>
                  </pic:spPr>
                </pic:pic>
              </a:graphicData>
            </a:graphic>
          </wp:inline>
        </w:drawing>
      </w:r>
    </w:p>
    <w:p w14:paraId="1BB82554" w14:textId="3E6E7E31" w:rsidR="00C35924" w:rsidRPr="002A6F28" w:rsidRDefault="00815C39" w:rsidP="002A6F28">
      <w:pPr>
        <w:spacing w:line="360" w:lineRule="auto"/>
        <w:jc w:val="both"/>
        <w:rPr>
          <w:rFonts w:ascii="Arial" w:hAnsi="Arial" w:cs="Arial"/>
        </w:rPr>
      </w:pPr>
      <w:r w:rsidRPr="002A6F28">
        <w:rPr>
          <w:rFonts w:ascii="Arial" w:hAnsi="Arial" w:cs="Arial"/>
        </w:rPr>
        <w:t>The graph clearly demonstrates that from 2021 to 2025, operational working capital was negative every year due to operating current liabilities exceeding operating current assets. Nonetheless, the deficit decreased from -€132 million in 2022 to -€8 million in 2025, indicating a steady improvement in Accor's working capital situation.</w:t>
      </w:r>
    </w:p>
    <w:p w14:paraId="244DD1EA" w14:textId="73E5F423" w:rsidR="00302E44" w:rsidRDefault="004B29E8" w:rsidP="002A6F28">
      <w:pPr>
        <w:spacing w:line="360" w:lineRule="auto"/>
        <w:jc w:val="both"/>
        <w:rPr>
          <w:rFonts w:ascii="Arial" w:hAnsi="Arial" w:cs="Arial"/>
        </w:rPr>
      </w:pPr>
      <w:r w:rsidRPr="002A6F28">
        <w:rPr>
          <w:rFonts w:ascii="Arial" w:hAnsi="Arial" w:cs="Arial"/>
        </w:rPr>
        <w:t>Compared to a normal manufacturing or retail company, Accor has a fundamentally advantageous cash operating cycle thanks to its underlying business strategy. A</w:t>
      </w:r>
      <w:r w:rsidR="002C4D58" w:rsidRPr="002A6F28">
        <w:rPr>
          <w:rFonts w:ascii="Arial" w:hAnsi="Arial" w:cs="Arial"/>
        </w:rPr>
        <w:t>ccording to Seo et al., (2021) a</w:t>
      </w:r>
      <w:r w:rsidRPr="002A6F28">
        <w:rPr>
          <w:rFonts w:ascii="Arial" w:hAnsi="Arial" w:cs="Arial"/>
        </w:rPr>
        <w:t>s a hotel operator that has gradually moved toward an asset-light, management-and-franchise model, Accor collects the majority of room revenue at or before check-out or through pre-paid online travel agency bookings, settles supplier invoices on standard commercial terms of 30 to 60 days, and carries very little inventory (mostly food, beverage, and housekeeping supplies at owned or leased properties). Low inventory days, short receivable days, and relatively longer payable days usually result in a short cash conversion cycle (CCC), which may even be negative at times when advance reservations and loyalty program prepayments are high.</w:t>
      </w:r>
    </w:p>
    <w:p w14:paraId="13C8AF0D" w14:textId="77777777" w:rsidR="00AF12CD" w:rsidRPr="002A6F28" w:rsidRDefault="00AF12CD" w:rsidP="002A6F28">
      <w:pPr>
        <w:spacing w:line="360" w:lineRule="auto"/>
        <w:jc w:val="both"/>
        <w:rPr>
          <w:rFonts w:ascii="Arial" w:hAnsi="Arial" w:cs="Arial"/>
        </w:rPr>
      </w:pP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964"/>
        <w:gridCol w:w="1134"/>
        <w:gridCol w:w="993"/>
        <w:gridCol w:w="1134"/>
        <w:gridCol w:w="1134"/>
        <w:gridCol w:w="1041"/>
      </w:tblGrid>
      <w:tr w:rsidR="001243CC" w:rsidRPr="001243CC" w14:paraId="4CA9FBAA" w14:textId="77777777" w:rsidTr="001243CC">
        <w:trPr>
          <w:tblHeader/>
        </w:trPr>
        <w:tc>
          <w:tcPr>
            <w:tcW w:w="3964" w:type="dxa"/>
            <w:shd w:val="clear" w:color="auto" w:fill="1F3864"/>
            <w:tcMar>
              <w:top w:w="60" w:type="dxa"/>
              <w:left w:w="100" w:type="dxa"/>
              <w:bottom w:w="60" w:type="dxa"/>
              <w:right w:w="100" w:type="dxa"/>
            </w:tcMar>
          </w:tcPr>
          <w:p w14:paraId="346E0F5F"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b/>
                <w:bCs/>
                <w:sz w:val="21"/>
                <w:szCs w:val="21"/>
              </w:rPr>
              <w:lastRenderedPageBreak/>
              <w:t>Days ratio</w:t>
            </w:r>
          </w:p>
        </w:tc>
        <w:tc>
          <w:tcPr>
            <w:tcW w:w="1134" w:type="dxa"/>
            <w:shd w:val="clear" w:color="auto" w:fill="1F3864"/>
            <w:tcMar>
              <w:top w:w="60" w:type="dxa"/>
              <w:left w:w="100" w:type="dxa"/>
              <w:bottom w:w="60" w:type="dxa"/>
              <w:right w:w="100" w:type="dxa"/>
            </w:tcMar>
          </w:tcPr>
          <w:p w14:paraId="7D507AA9"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b/>
                <w:bCs/>
                <w:sz w:val="21"/>
                <w:szCs w:val="21"/>
              </w:rPr>
              <w:t>2021</w:t>
            </w:r>
          </w:p>
        </w:tc>
        <w:tc>
          <w:tcPr>
            <w:tcW w:w="993" w:type="dxa"/>
            <w:shd w:val="clear" w:color="auto" w:fill="1F3864"/>
            <w:tcMar>
              <w:top w:w="60" w:type="dxa"/>
              <w:left w:w="100" w:type="dxa"/>
              <w:bottom w:w="60" w:type="dxa"/>
              <w:right w:w="100" w:type="dxa"/>
            </w:tcMar>
          </w:tcPr>
          <w:p w14:paraId="137EACB8"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b/>
                <w:bCs/>
                <w:sz w:val="21"/>
                <w:szCs w:val="21"/>
              </w:rPr>
              <w:t>2022</w:t>
            </w:r>
          </w:p>
        </w:tc>
        <w:tc>
          <w:tcPr>
            <w:tcW w:w="1134" w:type="dxa"/>
            <w:shd w:val="clear" w:color="auto" w:fill="1F3864"/>
            <w:tcMar>
              <w:top w:w="60" w:type="dxa"/>
              <w:left w:w="100" w:type="dxa"/>
              <w:bottom w:w="60" w:type="dxa"/>
              <w:right w:w="100" w:type="dxa"/>
            </w:tcMar>
          </w:tcPr>
          <w:p w14:paraId="7DB4C3F7"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b/>
                <w:bCs/>
                <w:sz w:val="21"/>
                <w:szCs w:val="21"/>
              </w:rPr>
              <w:t>2023</w:t>
            </w:r>
          </w:p>
        </w:tc>
        <w:tc>
          <w:tcPr>
            <w:tcW w:w="1134" w:type="dxa"/>
            <w:shd w:val="clear" w:color="auto" w:fill="1F3864"/>
            <w:tcMar>
              <w:top w:w="60" w:type="dxa"/>
              <w:left w:w="100" w:type="dxa"/>
              <w:bottom w:w="60" w:type="dxa"/>
              <w:right w:w="100" w:type="dxa"/>
            </w:tcMar>
          </w:tcPr>
          <w:p w14:paraId="1ACED29E"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b/>
                <w:bCs/>
                <w:sz w:val="21"/>
                <w:szCs w:val="21"/>
              </w:rPr>
              <w:t>2024</w:t>
            </w:r>
          </w:p>
        </w:tc>
        <w:tc>
          <w:tcPr>
            <w:tcW w:w="1041" w:type="dxa"/>
            <w:shd w:val="clear" w:color="auto" w:fill="1F3864"/>
            <w:tcMar>
              <w:top w:w="60" w:type="dxa"/>
              <w:left w:w="100" w:type="dxa"/>
              <w:bottom w:w="60" w:type="dxa"/>
              <w:right w:w="100" w:type="dxa"/>
            </w:tcMar>
          </w:tcPr>
          <w:p w14:paraId="0B72C2DB"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b/>
                <w:bCs/>
                <w:sz w:val="21"/>
                <w:szCs w:val="21"/>
              </w:rPr>
              <w:t>2025</w:t>
            </w:r>
          </w:p>
        </w:tc>
      </w:tr>
      <w:tr w:rsidR="001243CC" w:rsidRPr="001243CC" w14:paraId="5D547A9A" w14:textId="77777777" w:rsidTr="001243CC">
        <w:tc>
          <w:tcPr>
            <w:tcW w:w="3964" w:type="dxa"/>
            <w:shd w:val="clear" w:color="auto" w:fill="F2F2F2"/>
            <w:tcMar>
              <w:top w:w="60" w:type="dxa"/>
              <w:left w:w="100" w:type="dxa"/>
              <w:bottom w:w="60" w:type="dxa"/>
              <w:right w:w="100" w:type="dxa"/>
            </w:tcMar>
          </w:tcPr>
          <w:p w14:paraId="302873C3"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sz w:val="21"/>
                <w:szCs w:val="21"/>
              </w:rPr>
              <w:t>Days Sales Outstanding (DSO)</w:t>
            </w:r>
          </w:p>
        </w:tc>
        <w:tc>
          <w:tcPr>
            <w:tcW w:w="1134" w:type="dxa"/>
            <w:shd w:val="clear" w:color="auto" w:fill="F2F2F2"/>
            <w:tcMar>
              <w:top w:w="60" w:type="dxa"/>
              <w:left w:w="100" w:type="dxa"/>
              <w:bottom w:w="60" w:type="dxa"/>
              <w:right w:w="100" w:type="dxa"/>
            </w:tcMar>
          </w:tcPr>
          <w:p w14:paraId="1AEDD2DD"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sz w:val="21"/>
                <w:szCs w:val="21"/>
              </w:rPr>
              <w:t>105</w:t>
            </w:r>
          </w:p>
        </w:tc>
        <w:tc>
          <w:tcPr>
            <w:tcW w:w="993" w:type="dxa"/>
            <w:shd w:val="clear" w:color="auto" w:fill="F2F2F2"/>
            <w:tcMar>
              <w:top w:w="60" w:type="dxa"/>
              <w:left w:w="100" w:type="dxa"/>
              <w:bottom w:w="60" w:type="dxa"/>
              <w:right w:w="100" w:type="dxa"/>
            </w:tcMar>
          </w:tcPr>
          <w:p w14:paraId="30BF25A7"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sz w:val="21"/>
                <w:szCs w:val="21"/>
              </w:rPr>
              <w:t>69</w:t>
            </w:r>
          </w:p>
        </w:tc>
        <w:tc>
          <w:tcPr>
            <w:tcW w:w="1134" w:type="dxa"/>
            <w:shd w:val="clear" w:color="auto" w:fill="F2F2F2"/>
            <w:tcMar>
              <w:top w:w="60" w:type="dxa"/>
              <w:left w:w="100" w:type="dxa"/>
              <w:bottom w:w="60" w:type="dxa"/>
              <w:right w:w="100" w:type="dxa"/>
            </w:tcMar>
          </w:tcPr>
          <w:p w14:paraId="30144871"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sz w:val="21"/>
                <w:szCs w:val="21"/>
              </w:rPr>
              <w:t>60</w:t>
            </w:r>
          </w:p>
        </w:tc>
        <w:tc>
          <w:tcPr>
            <w:tcW w:w="1134" w:type="dxa"/>
            <w:shd w:val="clear" w:color="auto" w:fill="F2F2F2"/>
            <w:tcMar>
              <w:top w:w="60" w:type="dxa"/>
              <w:left w:w="100" w:type="dxa"/>
              <w:bottom w:w="60" w:type="dxa"/>
              <w:right w:w="100" w:type="dxa"/>
            </w:tcMar>
          </w:tcPr>
          <w:p w14:paraId="152BE98D"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sz w:val="21"/>
                <w:szCs w:val="21"/>
              </w:rPr>
              <w:t>52</w:t>
            </w:r>
          </w:p>
        </w:tc>
        <w:tc>
          <w:tcPr>
            <w:tcW w:w="1041" w:type="dxa"/>
            <w:shd w:val="clear" w:color="auto" w:fill="F2F2F2"/>
            <w:tcMar>
              <w:top w:w="60" w:type="dxa"/>
              <w:left w:w="100" w:type="dxa"/>
              <w:bottom w:w="60" w:type="dxa"/>
              <w:right w:w="100" w:type="dxa"/>
            </w:tcMar>
          </w:tcPr>
          <w:p w14:paraId="50AB792C"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sz w:val="21"/>
                <w:szCs w:val="21"/>
              </w:rPr>
              <w:t>54</w:t>
            </w:r>
          </w:p>
        </w:tc>
      </w:tr>
      <w:tr w:rsidR="001243CC" w:rsidRPr="001243CC" w14:paraId="2A420D6A" w14:textId="77777777" w:rsidTr="001243CC">
        <w:tc>
          <w:tcPr>
            <w:tcW w:w="3964" w:type="dxa"/>
            <w:shd w:val="clear" w:color="auto" w:fill="FFFFFF"/>
            <w:tcMar>
              <w:top w:w="60" w:type="dxa"/>
              <w:left w:w="100" w:type="dxa"/>
              <w:bottom w:w="60" w:type="dxa"/>
              <w:right w:w="100" w:type="dxa"/>
            </w:tcMar>
          </w:tcPr>
          <w:p w14:paraId="0CF05C30"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sz w:val="21"/>
                <w:szCs w:val="21"/>
              </w:rPr>
              <w:t>Days Inventory Outstanding (DIO)</w:t>
            </w:r>
          </w:p>
        </w:tc>
        <w:tc>
          <w:tcPr>
            <w:tcW w:w="1134" w:type="dxa"/>
            <w:shd w:val="clear" w:color="auto" w:fill="FFFFFF"/>
            <w:tcMar>
              <w:top w:w="60" w:type="dxa"/>
              <w:left w:w="100" w:type="dxa"/>
              <w:bottom w:w="60" w:type="dxa"/>
              <w:right w:w="100" w:type="dxa"/>
            </w:tcMar>
          </w:tcPr>
          <w:p w14:paraId="7C0D42AC"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sz w:val="21"/>
                <w:szCs w:val="21"/>
              </w:rPr>
              <w:t>61</w:t>
            </w:r>
          </w:p>
        </w:tc>
        <w:tc>
          <w:tcPr>
            <w:tcW w:w="993" w:type="dxa"/>
            <w:shd w:val="clear" w:color="auto" w:fill="FFFFFF"/>
            <w:tcMar>
              <w:top w:w="60" w:type="dxa"/>
              <w:left w:w="100" w:type="dxa"/>
              <w:bottom w:w="60" w:type="dxa"/>
              <w:right w:w="100" w:type="dxa"/>
            </w:tcMar>
          </w:tcPr>
          <w:p w14:paraId="23C3CB41"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sz w:val="21"/>
                <w:szCs w:val="21"/>
              </w:rPr>
              <w:t>85</w:t>
            </w:r>
          </w:p>
        </w:tc>
        <w:tc>
          <w:tcPr>
            <w:tcW w:w="1134" w:type="dxa"/>
            <w:shd w:val="clear" w:color="auto" w:fill="FFFFFF"/>
            <w:tcMar>
              <w:top w:w="60" w:type="dxa"/>
              <w:left w:w="100" w:type="dxa"/>
              <w:bottom w:w="60" w:type="dxa"/>
              <w:right w:w="100" w:type="dxa"/>
            </w:tcMar>
          </w:tcPr>
          <w:p w14:paraId="29593F60"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sz w:val="21"/>
                <w:szCs w:val="21"/>
              </w:rPr>
              <w:t>104</w:t>
            </w:r>
          </w:p>
        </w:tc>
        <w:tc>
          <w:tcPr>
            <w:tcW w:w="1134" w:type="dxa"/>
            <w:shd w:val="clear" w:color="auto" w:fill="FFFFFF"/>
            <w:tcMar>
              <w:top w:w="60" w:type="dxa"/>
              <w:left w:w="100" w:type="dxa"/>
              <w:bottom w:w="60" w:type="dxa"/>
              <w:right w:w="100" w:type="dxa"/>
            </w:tcMar>
          </w:tcPr>
          <w:p w14:paraId="5FE119A5"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sz w:val="21"/>
                <w:szCs w:val="21"/>
              </w:rPr>
              <w:t>106</w:t>
            </w:r>
          </w:p>
        </w:tc>
        <w:tc>
          <w:tcPr>
            <w:tcW w:w="1041" w:type="dxa"/>
            <w:shd w:val="clear" w:color="auto" w:fill="FFFFFF"/>
            <w:tcMar>
              <w:top w:w="60" w:type="dxa"/>
              <w:left w:w="100" w:type="dxa"/>
              <w:bottom w:w="60" w:type="dxa"/>
              <w:right w:w="100" w:type="dxa"/>
            </w:tcMar>
          </w:tcPr>
          <w:p w14:paraId="59A1ABA0"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sz w:val="21"/>
                <w:szCs w:val="21"/>
              </w:rPr>
              <w:t>99</w:t>
            </w:r>
          </w:p>
        </w:tc>
      </w:tr>
      <w:tr w:rsidR="001243CC" w:rsidRPr="001243CC" w14:paraId="3670C686" w14:textId="77777777" w:rsidTr="001243CC">
        <w:tc>
          <w:tcPr>
            <w:tcW w:w="3964" w:type="dxa"/>
            <w:shd w:val="clear" w:color="auto" w:fill="F2F2F2"/>
            <w:tcMar>
              <w:top w:w="60" w:type="dxa"/>
              <w:left w:w="100" w:type="dxa"/>
              <w:bottom w:w="60" w:type="dxa"/>
              <w:right w:w="100" w:type="dxa"/>
            </w:tcMar>
          </w:tcPr>
          <w:p w14:paraId="430971C0"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sz w:val="21"/>
                <w:szCs w:val="21"/>
              </w:rPr>
              <w:t>Days Payables Outstanding (DPO)</w:t>
            </w:r>
          </w:p>
        </w:tc>
        <w:tc>
          <w:tcPr>
            <w:tcW w:w="1134" w:type="dxa"/>
            <w:shd w:val="clear" w:color="auto" w:fill="F2F2F2"/>
            <w:tcMar>
              <w:top w:w="60" w:type="dxa"/>
              <w:left w:w="100" w:type="dxa"/>
              <w:bottom w:w="60" w:type="dxa"/>
              <w:right w:w="100" w:type="dxa"/>
            </w:tcMar>
          </w:tcPr>
          <w:p w14:paraId="5C5DAF36"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sz w:val="21"/>
                <w:szCs w:val="21"/>
              </w:rPr>
              <w:t>65</w:t>
            </w:r>
          </w:p>
        </w:tc>
        <w:tc>
          <w:tcPr>
            <w:tcW w:w="993" w:type="dxa"/>
            <w:shd w:val="clear" w:color="auto" w:fill="F2F2F2"/>
            <w:tcMar>
              <w:top w:w="60" w:type="dxa"/>
              <w:left w:w="100" w:type="dxa"/>
              <w:bottom w:w="60" w:type="dxa"/>
              <w:right w:w="100" w:type="dxa"/>
            </w:tcMar>
          </w:tcPr>
          <w:p w14:paraId="11178A01"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sz w:val="21"/>
                <w:szCs w:val="21"/>
              </w:rPr>
              <w:t>50</w:t>
            </w:r>
          </w:p>
        </w:tc>
        <w:tc>
          <w:tcPr>
            <w:tcW w:w="1134" w:type="dxa"/>
            <w:shd w:val="clear" w:color="auto" w:fill="F2F2F2"/>
            <w:tcMar>
              <w:top w:w="60" w:type="dxa"/>
              <w:left w:w="100" w:type="dxa"/>
              <w:bottom w:w="60" w:type="dxa"/>
              <w:right w:w="100" w:type="dxa"/>
            </w:tcMar>
          </w:tcPr>
          <w:p w14:paraId="4F16049B"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sz w:val="21"/>
                <w:szCs w:val="21"/>
              </w:rPr>
              <w:t>46</w:t>
            </w:r>
          </w:p>
        </w:tc>
        <w:tc>
          <w:tcPr>
            <w:tcW w:w="1134" w:type="dxa"/>
            <w:shd w:val="clear" w:color="auto" w:fill="F2F2F2"/>
            <w:tcMar>
              <w:top w:w="60" w:type="dxa"/>
              <w:left w:w="100" w:type="dxa"/>
              <w:bottom w:w="60" w:type="dxa"/>
              <w:right w:w="100" w:type="dxa"/>
            </w:tcMar>
          </w:tcPr>
          <w:p w14:paraId="1ABB89A6"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sz w:val="21"/>
                <w:szCs w:val="21"/>
              </w:rPr>
              <w:t>45</w:t>
            </w:r>
          </w:p>
        </w:tc>
        <w:tc>
          <w:tcPr>
            <w:tcW w:w="1041" w:type="dxa"/>
            <w:shd w:val="clear" w:color="auto" w:fill="F2F2F2"/>
            <w:tcMar>
              <w:top w:w="60" w:type="dxa"/>
              <w:left w:w="100" w:type="dxa"/>
              <w:bottom w:w="60" w:type="dxa"/>
              <w:right w:w="100" w:type="dxa"/>
            </w:tcMar>
          </w:tcPr>
          <w:p w14:paraId="279C68E4"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sz w:val="21"/>
                <w:szCs w:val="21"/>
              </w:rPr>
              <w:t>43</w:t>
            </w:r>
          </w:p>
        </w:tc>
      </w:tr>
      <w:tr w:rsidR="001243CC" w:rsidRPr="001243CC" w14:paraId="4DD458D0" w14:textId="77777777" w:rsidTr="001243CC">
        <w:tc>
          <w:tcPr>
            <w:tcW w:w="3964" w:type="dxa"/>
            <w:shd w:val="clear" w:color="auto" w:fill="FFFFFF"/>
            <w:tcMar>
              <w:top w:w="60" w:type="dxa"/>
              <w:left w:w="100" w:type="dxa"/>
              <w:bottom w:w="60" w:type="dxa"/>
              <w:right w:w="100" w:type="dxa"/>
            </w:tcMar>
          </w:tcPr>
          <w:p w14:paraId="1F7CD866" w14:textId="6EF83D32" w:rsidR="001243CC" w:rsidRPr="001243CC" w:rsidRDefault="001243CC" w:rsidP="001243CC">
            <w:pPr>
              <w:spacing w:line="360" w:lineRule="auto"/>
              <w:rPr>
                <w:rFonts w:ascii="Arial" w:hAnsi="Arial" w:cs="Arial"/>
                <w:sz w:val="21"/>
                <w:szCs w:val="21"/>
              </w:rPr>
            </w:pPr>
            <w:r w:rsidRPr="001243CC">
              <w:rPr>
                <w:rFonts w:ascii="Arial" w:hAnsi="Arial" w:cs="Arial"/>
                <w:sz w:val="21"/>
                <w:szCs w:val="21"/>
              </w:rPr>
              <w:t>Cash</w:t>
            </w:r>
            <w:r>
              <w:rPr>
                <w:rFonts w:ascii="Arial" w:hAnsi="Arial" w:cs="Arial"/>
                <w:sz w:val="21"/>
                <w:szCs w:val="21"/>
              </w:rPr>
              <w:t xml:space="preserve"> </w:t>
            </w:r>
            <w:r w:rsidRPr="001243CC">
              <w:rPr>
                <w:rFonts w:ascii="Arial" w:hAnsi="Arial" w:cs="Arial"/>
                <w:sz w:val="21"/>
                <w:szCs w:val="21"/>
              </w:rPr>
              <w:t>Conversion Cycle (DSO+DIO−DPO)</w:t>
            </w:r>
          </w:p>
        </w:tc>
        <w:tc>
          <w:tcPr>
            <w:tcW w:w="1134" w:type="dxa"/>
            <w:shd w:val="clear" w:color="auto" w:fill="FFFFFF"/>
            <w:tcMar>
              <w:top w:w="60" w:type="dxa"/>
              <w:left w:w="100" w:type="dxa"/>
              <w:bottom w:w="60" w:type="dxa"/>
              <w:right w:w="100" w:type="dxa"/>
            </w:tcMar>
          </w:tcPr>
          <w:p w14:paraId="1386931B"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sz w:val="21"/>
                <w:szCs w:val="21"/>
              </w:rPr>
              <w:t>100</w:t>
            </w:r>
          </w:p>
        </w:tc>
        <w:tc>
          <w:tcPr>
            <w:tcW w:w="993" w:type="dxa"/>
            <w:shd w:val="clear" w:color="auto" w:fill="FFFFFF"/>
            <w:tcMar>
              <w:top w:w="60" w:type="dxa"/>
              <w:left w:w="100" w:type="dxa"/>
              <w:bottom w:w="60" w:type="dxa"/>
              <w:right w:w="100" w:type="dxa"/>
            </w:tcMar>
          </w:tcPr>
          <w:p w14:paraId="2CC62251"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sz w:val="21"/>
                <w:szCs w:val="21"/>
              </w:rPr>
              <w:t>103</w:t>
            </w:r>
          </w:p>
        </w:tc>
        <w:tc>
          <w:tcPr>
            <w:tcW w:w="1134" w:type="dxa"/>
            <w:shd w:val="clear" w:color="auto" w:fill="FFFFFF"/>
            <w:tcMar>
              <w:top w:w="60" w:type="dxa"/>
              <w:left w:w="100" w:type="dxa"/>
              <w:bottom w:w="60" w:type="dxa"/>
              <w:right w:w="100" w:type="dxa"/>
            </w:tcMar>
          </w:tcPr>
          <w:p w14:paraId="481F370C"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sz w:val="21"/>
                <w:szCs w:val="21"/>
              </w:rPr>
              <w:t>117</w:t>
            </w:r>
          </w:p>
        </w:tc>
        <w:tc>
          <w:tcPr>
            <w:tcW w:w="1134" w:type="dxa"/>
            <w:shd w:val="clear" w:color="auto" w:fill="FFFFFF"/>
            <w:tcMar>
              <w:top w:w="60" w:type="dxa"/>
              <w:left w:w="100" w:type="dxa"/>
              <w:bottom w:w="60" w:type="dxa"/>
              <w:right w:w="100" w:type="dxa"/>
            </w:tcMar>
          </w:tcPr>
          <w:p w14:paraId="708F94FC"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sz w:val="21"/>
                <w:szCs w:val="21"/>
              </w:rPr>
              <w:t>113</w:t>
            </w:r>
          </w:p>
        </w:tc>
        <w:tc>
          <w:tcPr>
            <w:tcW w:w="1041" w:type="dxa"/>
            <w:shd w:val="clear" w:color="auto" w:fill="FFFFFF"/>
            <w:tcMar>
              <w:top w:w="60" w:type="dxa"/>
              <w:left w:w="100" w:type="dxa"/>
              <w:bottom w:w="60" w:type="dxa"/>
              <w:right w:w="100" w:type="dxa"/>
            </w:tcMar>
          </w:tcPr>
          <w:p w14:paraId="4F536847" w14:textId="77777777" w:rsidR="001243CC" w:rsidRPr="001243CC" w:rsidRDefault="001243CC" w:rsidP="001243CC">
            <w:pPr>
              <w:spacing w:line="360" w:lineRule="auto"/>
              <w:jc w:val="both"/>
              <w:rPr>
                <w:rFonts w:ascii="Arial" w:hAnsi="Arial" w:cs="Arial"/>
                <w:sz w:val="21"/>
                <w:szCs w:val="21"/>
              </w:rPr>
            </w:pPr>
            <w:r w:rsidRPr="001243CC">
              <w:rPr>
                <w:rFonts w:ascii="Arial" w:hAnsi="Arial" w:cs="Arial"/>
                <w:sz w:val="21"/>
                <w:szCs w:val="21"/>
              </w:rPr>
              <w:t>109</w:t>
            </w:r>
          </w:p>
        </w:tc>
      </w:tr>
    </w:tbl>
    <w:p w14:paraId="555E06D4" w14:textId="10EAFA41" w:rsidR="002E2A50" w:rsidRDefault="002E2A50" w:rsidP="00341F3B">
      <w:pPr>
        <w:spacing w:line="360" w:lineRule="auto"/>
        <w:jc w:val="both"/>
        <w:rPr>
          <w:rFonts w:ascii="Arial" w:hAnsi="Arial" w:cs="Arial"/>
        </w:rPr>
      </w:pPr>
      <w:r w:rsidRPr="002E2A50">
        <w:rPr>
          <w:rFonts w:ascii="Arial" w:hAnsi="Arial" w:cs="Arial"/>
          <w:noProof/>
        </w:rPr>
        <w:drawing>
          <wp:inline distT="0" distB="0" distL="0" distR="0" wp14:anchorId="218F4411" wp14:editId="42155B15">
            <wp:extent cx="5731510" cy="2177415"/>
            <wp:effectExtent l="0" t="0" r="0" b="0"/>
            <wp:docPr id="669761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761578" name=""/>
                    <pic:cNvPicPr/>
                  </pic:nvPicPr>
                  <pic:blipFill>
                    <a:blip r:embed="rId21"/>
                    <a:stretch>
                      <a:fillRect/>
                    </a:stretch>
                  </pic:blipFill>
                  <pic:spPr>
                    <a:xfrm>
                      <a:off x="0" y="0"/>
                      <a:ext cx="5731510" cy="2177415"/>
                    </a:xfrm>
                    <a:prstGeom prst="rect">
                      <a:avLst/>
                    </a:prstGeom>
                  </pic:spPr>
                </pic:pic>
              </a:graphicData>
            </a:graphic>
          </wp:inline>
        </w:drawing>
      </w:r>
    </w:p>
    <w:p w14:paraId="73B3875E" w14:textId="1B45D351" w:rsidR="00130E8C" w:rsidRDefault="00EC32C7" w:rsidP="00341F3B">
      <w:pPr>
        <w:spacing w:line="360" w:lineRule="auto"/>
        <w:jc w:val="both"/>
        <w:rPr>
          <w:rFonts w:ascii="Arial" w:hAnsi="Arial" w:cs="Arial"/>
        </w:rPr>
      </w:pPr>
      <w:r w:rsidRPr="00EC32C7">
        <w:rPr>
          <w:rFonts w:ascii="Arial" w:hAnsi="Arial" w:cs="Arial"/>
        </w:rPr>
        <w:t>Over the time, Accor's working capital efficiency shown a variety of patterns. While DIO grew from 61 to 99 days, indicating slower inventory turnover, DSO reduced from 105 to 54 days, showing better receivables collection. DPO decreased from 65 to 43 days, indicating faster payment to suppliers. The Cash Conversion Cycle thus continued to be comparatively high, reaching a peak of 117 days in 2023 before somewhat improving to 109 days in 2025.</w:t>
      </w:r>
    </w:p>
    <w:p w14:paraId="0ACAB4EF" w14:textId="7A66D09D" w:rsidR="002A5321" w:rsidRDefault="00011C19" w:rsidP="00341F3B">
      <w:pPr>
        <w:spacing w:line="360" w:lineRule="auto"/>
        <w:jc w:val="both"/>
        <w:rPr>
          <w:rFonts w:ascii="Arial" w:hAnsi="Arial" w:cs="Arial"/>
        </w:rPr>
      </w:pPr>
      <w:r w:rsidRPr="00011C19">
        <w:rPr>
          <w:rFonts w:ascii="Arial" w:hAnsi="Arial" w:cs="Arial"/>
        </w:rPr>
        <w:t>The instinctive expectation outlined in the majority of hospitality working-capital literature differs significantly from this calculated CCC, and the difference is instructive in and of itself. There are two things to unpack. First, DSO dropped precipitously from 105 days in 2021 to 52 days in 2024, in line with the post-pandemic normalization of B2B invoicing to corporate accounts and hotel owners. Then, it ticked back up to 54 days in 2025, a slight but directionally consistent signal with the concern expressed regarding the aging of corporate and standard accounts receivables as travel volumes recovered unevenly across regions.</w:t>
      </w:r>
    </w:p>
    <w:p w14:paraId="70B9A3E6" w14:textId="54FF2CFC" w:rsidR="00106915" w:rsidRDefault="00B71EE6" w:rsidP="00341F3B">
      <w:pPr>
        <w:spacing w:line="360" w:lineRule="auto"/>
        <w:jc w:val="both"/>
        <w:rPr>
          <w:rFonts w:ascii="Arial" w:hAnsi="Arial" w:cs="Arial"/>
        </w:rPr>
      </w:pPr>
      <w:r w:rsidRPr="00B71EE6">
        <w:rPr>
          <w:rFonts w:ascii="Arial" w:hAnsi="Arial" w:cs="Arial"/>
        </w:rPr>
        <w:t xml:space="preserve">This situation immediately relates to the income trajectory examined in the previous research. While EBITDA and operational profit were stable but net profit fell precipitously, revenue increased from €2.2 billion in 2021 to €5.6 billion in 2024 before levelling out in 2025. Because most guests pay in advance or at the time of departure, </w:t>
      </w:r>
      <w:r w:rsidRPr="00B71EE6">
        <w:rPr>
          <w:rFonts w:ascii="Arial" w:hAnsi="Arial" w:cs="Arial"/>
        </w:rPr>
        <w:lastRenderedPageBreak/>
        <w:t>Accor quickly converts revenue into cash, so a decline in reported net profit caused by below-the-line items (financing costs, taxes, disposals) does not necessarily indicate a working capital or liquidity problem. This is why the cash-cycle lens helps explain why liquidity risk is lower than the decline in net profit alone might suggest. However, three particular stresses are worth examining.</w:t>
      </w:r>
    </w:p>
    <w:p w14:paraId="7EA206C5" w14:textId="79C0289C" w:rsidR="004325CB" w:rsidRDefault="00A24D73" w:rsidP="00341F3B">
      <w:pPr>
        <w:spacing w:line="360" w:lineRule="auto"/>
        <w:jc w:val="both"/>
        <w:rPr>
          <w:rFonts w:ascii="Arial" w:hAnsi="Arial" w:cs="Arial"/>
        </w:rPr>
      </w:pPr>
      <w:r w:rsidRPr="00A24D73">
        <w:rPr>
          <w:rFonts w:ascii="Arial" w:hAnsi="Arial" w:cs="Arial"/>
        </w:rPr>
        <w:t xml:space="preserve">First, as corporate travel volumes rebounded unevenly across regions in 2024–2025, receivable days might increase in the corporate and group/MICE categories, where invoicing and payment terms of 30–90 days are typical. Second, payment days need to be actively controlled. While extending supplier terms excessively to save cash improves the CCC mechanically, doing so puts the supply chain and franchisee relationships at danger, which is an operational and reputational risk rather than just a financial one. Third, because Accor is an asset-light franchisor and has a </w:t>
      </w:r>
      <w:r w:rsidR="00AD302B" w:rsidRPr="00A24D73">
        <w:rPr>
          <w:rFonts w:ascii="Arial" w:hAnsi="Arial" w:cs="Arial"/>
        </w:rPr>
        <w:t>tiny, owned</w:t>
      </w:r>
      <w:r w:rsidRPr="00A24D73">
        <w:rPr>
          <w:rFonts w:ascii="Arial" w:hAnsi="Arial" w:cs="Arial"/>
        </w:rPr>
        <w:t xml:space="preserve"> working capital base in relation to system-wide hotel revenue, its liquidity is more susceptible to management contracts and franchisee fee collection discipline than to the conventional retail-style stock-to-cash cycle.</w:t>
      </w:r>
    </w:p>
    <w:p w14:paraId="2C9AAE13" w14:textId="0E94EC34" w:rsidR="00341F3B" w:rsidRDefault="00AD302B" w:rsidP="00341F3B">
      <w:pPr>
        <w:spacing w:line="360" w:lineRule="auto"/>
        <w:jc w:val="both"/>
        <w:rPr>
          <w:rFonts w:ascii="Arial" w:hAnsi="Arial" w:cs="Arial"/>
        </w:rPr>
      </w:pPr>
      <w:r w:rsidRPr="00AD302B">
        <w:rPr>
          <w:rFonts w:ascii="Arial" w:hAnsi="Arial" w:cs="Arial"/>
        </w:rPr>
        <w:t>Although the cash operating cycle seems structurally sound overall, the 2025 decline in net profit relative to flat revenue calls for closer observation of the ageing of receivables and any decline in fee income quality, as these are the working-capital items most likely to indicate stress before it shows up in the P&amp;L.</w:t>
      </w:r>
    </w:p>
    <w:p w14:paraId="2FF4DFF0" w14:textId="4C75D8B0" w:rsidR="00106915" w:rsidRPr="00341F3B" w:rsidRDefault="00EE061C" w:rsidP="00341F3B">
      <w:pPr>
        <w:pStyle w:val="Heading2"/>
        <w:rPr>
          <w:rFonts w:ascii="Baskerville Old Face" w:hAnsi="Baskerville Old Face"/>
          <w:b/>
          <w:bCs/>
          <w:color w:val="000000" w:themeColor="text1"/>
          <w:sz w:val="28"/>
          <w:szCs w:val="28"/>
        </w:rPr>
      </w:pPr>
      <w:bookmarkStart w:id="15" w:name="_Toc235559596"/>
      <w:r w:rsidRPr="00341F3B">
        <w:rPr>
          <w:rFonts w:ascii="Baskerville Old Face" w:hAnsi="Baskerville Old Face"/>
          <w:b/>
          <w:bCs/>
          <w:color w:val="000000" w:themeColor="text1"/>
          <w:sz w:val="28"/>
          <w:szCs w:val="28"/>
        </w:rPr>
        <w:t>Strateg</w:t>
      </w:r>
      <w:r w:rsidR="000A6081" w:rsidRPr="00341F3B">
        <w:rPr>
          <w:rFonts w:ascii="Baskerville Old Face" w:hAnsi="Baskerville Old Face"/>
          <w:b/>
          <w:bCs/>
          <w:color w:val="000000" w:themeColor="text1"/>
          <w:sz w:val="28"/>
          <w:szCs w:val="28"/>
        </w:rPr>
        <w:t>ies to imp</w:t>
      </w:r>
      <w:r w:rsidR="00070F7A" w:rsidRPr="00341F3B">
        <w:rPr>
          <w:rFonts w:ascii="Baskerville Old Face" w:hAnsi="Baskerville Old Face"/>
          <w:b/>
          <w:bCs/>
          <w:color w:val="000000" w:themeColor="text1"/>
          <w:sz w:val="28"/>
          <w:szCs w:val="28"/>
        </w:rPr>
        <w:t>rove liquidity</w:t>
      </w:r>
      <w:r w:rsidR="00275448" w:rsidRPr="00341F3B">
        <w:rPr>
          <w:rFonts w:ascii="Baskerville Old Face" w:hAnsi="Baskerville Old Face"/>
          <w:b/>
          <w:bCs/>
          <w:color w:val="000000" w:themeColor="text1"/>
          <w:sz w:val="28"/>
          <w:szCs w:val="28"/>
        </w:rPr>
        <w:t xml:space="preserve"> through working capital </w:t>
      </w:r>
      <w:r w:rsidR="00E83EA0" w:rsidRPr="00341F3B">
        <w:rPr>
          <w:rFonts w:ascii="Baskerville Old Face" w:hAnsi="Baskerville Old Face"/>
          <w:b/>
          <w:bCs/>
          <w:color w:val="000000" w:themeColor="text1"/>
          <w:sz w:val="28"/>
          <w:szCs w:val="28"/>
        </w:rPr>
        <w:t>reforms</w:t>
      </w:r>
      <w:bookmarkEnd w:id="15"/>
    </w:p>
    <w:p w14:paraId="03B7F393" w14:textId="7FAADDA3" w:rsidR="00070F7A" w:rsidRPr="00070F7A" w:rsidRDefault="00070F7A" w:rsidP="00341F3B">
      <w:pPr>
        <w:spacing w:line="360" w:lineRule="auto"/>
        <w:jc w:val="both"/>
        <w:rPr>
          <w:rFonts w:ascii="Arial" w:hAnsi="Arial" w:cs="Arial"/>
        </w:rPr>
      </w:pPr>
      <w:r w:rsidRPr="00313F6E">
        <w:rPr>
          <w:rFonts w:ascii="Arial" w:hAnsi="Arial" w:cs="Arial"/>
          <w:u w:val="single"/>
        </w:rPr>
        <w:t>Receivables Acceleration:</w:t>
      </w:r>
      <w:r w:rsidRPr="00070F7A">
        <w:rPr>
          <w:rFonts w:ascii="Arial" w:hAnsi="Arial" w:cs="Arial"/>
        </w:rPr>
        <w:t xml:space="preserve"> To turn receivables into cash more quickly, tighten credit conditions for corporate and group accounts, provide early-payment discounts, and increase the usage of virtual cards and pre-authorization payments at booking.</w:t>
      </w:r>
    </w:p>
    <w:p w14:paraId="02A94660" w14:textId="4B81950D" w:rsidR="00070F7A" w:rsidRDefault="00070F7A" w:rsidP="00341F3B">
      <w:pPr>
        <w:spacing w:line="360" w:lineRule="auto"/>
        <w:jc w:val="both"/>
        <w:rPr>
          <w:rFonts w:ascii="Arial" w:hAnsi="Arial" w:cs="Arial"/>
        </w:rPr>
      </w:pPr>
      <w:r w:rsidRPr="00313F6E">
        <w:rPr>
          <w:rFonts w:ascii="Arial" w:hAnsi="Arial" w:cs="Arial"/>
          <w:u w:val="single"/>
        </w:rPr>
        <w:t>Dynamic and centralised treasury:</w:t>
      </w:r>
      <w:r w:rsidRPr="00070F7A">
        <w:rPr>
          <w:rFonts w:ascii="Arial" w:hAnsi="Arial" w:cs="Arial"/>
        </w:rPr>
        <w:t xml:space="preserve"> </w:t>
      </w:r>
      <w:r w:rsidR="0014233E">
        <w:rPr>
          <w:rFonts w:ascii="Arial" w:hAnsi="Arial" w:cs="Arial"/>
        </w:rPr>
        <w:t xml:space="preserve">According to </w:t>
      </w:r>
      <w:r w:rsidR="00675E2E">
        <w:rPr>
          <w:rFonts w:ascii="Arial" w:hAnsi="Arial" w:cs="Arial"/>
        </w:rPr>
        <w:t xml:space="preserve">Bihari and Walter (2018) </w:t>
      </w:r>
      <w:r w:rsidRPr="00070F7A">
        <w:rPr>
          <w:rFonts w:ascii="Arial" w:hAnsi="Arial" w:cs="Arial"/>
        </w:rPr>
        <w:t>us</w:t>
      </w:r>
      <w:r w:rsidR="003A753C">
        <w:rPr>
          <w:rFonts w:ascii="Arial" w:hAnsi="Arial" w:cs="Arial"/>
        </w:rPr>
        <w:t>ing</w:t>
      </w:r>
      <w:r w:rsidRPr="00070F7A">
        <w:rPr>
          <w:rFonts w:ascii="Arial" w:hAnsi="Arial" w:cs="Arial"/>
        </w:rPr>
        <w:t xml:space="preserve"> cash pooling and netting across Accor's several national entities to reduce dependency on external short-term borrowing by funding working capital requirements elsewhere with surplus cash in strong markets.</w:t>
      </w:r>
    </w:p>
    <w:p w14:paraId="3A56ECD7" w14:textId="2D6B2117" w:rsidR="00D73634" w:rsidRPr="00D73634" w:rsidRDefault="00D73634" w:rsidP="00341F3B">
      <w:pPr>
        <w:spacing w:line="360" w:lineRule="auto"/>
        <w:jc w:val="both"/>
        <w:rPr>
          <w:rFonts w:ascii="Arial" w:hAnsi="Arial" w:cs="Arial"/>
        </w:rPr>
      </w:pPr>
      <w:r w:rsidRPr="00313F6E">
        <w:rPr>
          <w:rFonts w:ascii="Arial" w:hAnsi="Arial" w:cs="Arial"/>
          <w:u w:val="single"/>
        </w:rPr>
        <w:t>Payables optimisation, not just extension:</w:t>
      </w:r>
      <w:r w:rsidRPr="00D73634">
        <w:rPr>
          <w:rFonts w:ascii="Arial" w:hAnsi="Arial" w:cs="Arial"/>
        </w:rPr>
        <w:t xml:space="preserve"> </w:t>
      </w:r>
      <w:r w:rsidR="008E569B">
        <w:rPr>
          <w:rFonts w:ascii="Arial" w:hAnsi="Arial" w:cs="Arial"/>
        </w:rPr>
        <w:t xml:space="preserve">According to </w:t>
      </w:r>
      <w:r w:rsidR="00126D54">
        <w:rPr>
          <w:rFonts w:ascii="Arial" w:hAnsi="Arial" w:cs="Arial"/>
        </w:rPr>
        <w:t xml:space="preserve">Wuttke et al., (2013) </w:t>
      </w:r>
      <w:r w:rsidRPr="00D73634">
        <w:rPr>
          <w:rFonts w:ascii="Arial" w:hAnsi="Arial" w:cs="Arial"/>
        </w:rPr>
        <w:t>negotiat</w:t>
      </w:r>
      <w:r w:rsidR="00846143">
        <w:rPr>
          <w:rFonts w:ascii="Arial" w:hAnsi="Arial" w:cs="Arial"/>
        </w:rPr>
        <w:t>ing</w:t>
      </w:r>
      <w:r w:rsidRPr="00D73634">
        <w:rPr>
          <w:rFonts w:ascii="Arial" w:hAnsi="Arial" w:cs="Arial"/>
        </w:rPr>
        <w:t xml:space="preserve"> longer terms with big suppliers where relationship risk is minimal,</w:t>
      </w:r>
      <w:r w:rsidR="0081572A">
        <w:rPr>
          <w:rFonts w:ascii="Arial" w:hAnsi="Arial" w:cs="Arial"/>
        </w:rPr>
        <w:t xml:space="preserve"> </w:t>
      </w:r>
      <w:r w:rsidRPr="00D73634">
        <w:rPr>
          <w:rFonts w:ascii="Arial" w:hAnsi="Arial" w:cs="Arial"/>
        </w:rPr>
        <w:t>but combine this with supply-chain finance programs that allow franchise partners and smaller suppliers to get early payment from a bank at Accor's credit rating, safeguarding the ecosystem while keeping Accor's own cash on hand.</w:t>
      </w:r>
    </w:p>
    <w:p w14:paraId="75B46936" w14:textId="441F788A" w:rsidR="00E83EA0" w:rsidRDefault="00D73634" w:rsidP="00341F3B">
      <w:pPr>
        <w:spacing w:line="360" w:lineRule="auto"/>
        <w:jc w:val="both"/>
        <w:rPr>
          <w:rFonts w:ascii="Arial" w:hAnsi="Arial" w:cs="Arial"/>
        </w:rPr>
      </w:pPr>
      <w:r w:rsidRPr="00313F6E">
        <w:rPr>
          <w:rFonts w:ascii="Arial" w:hAnsi="Arial" w:cs="Arial"/>
          <w:u w:val="single"/>
        </w:rPr>
        <w:lastRenderedPageBreak/>
        <w:t>Revenue-management-driven prepayment:</w:t>
      </w:r>
      <w:r w:rsidRPr="00D73634">
        <w:rPr>
          <w:rFonts w:ascii="Arial" w:hAnsi="Arial" w:cs="Arial"/>
        </w:rPr>
        <w:t xml:space="preserve"> extend non-refundable and prepaid pricing structures through direct channels to decrease reliance on OTA settlement cycles, which sometimes cause guest stays to lag by several weeks, and to bring in cash earlier.</w:t>
      </w:r>
    </w:p>
    <w:p w14:paraId="4E8C92B7" w14:textId="7EC3846B" w:rsidR="00185D64" w:rsidRPr="00185D64" w:rsidRDefault="00185D64" w:rsidP="00341F3B">
      <w:pPr>
        <w:spacing w:line="360" w:lineRule="auto"/>
        <w:jc w:val="both"/>
        <w:rPr>
          <w:rFonts w:ascii="Arial" w:hAnsi="Arial" w:cs="Arial"/>
        </w:rPr>
      </w:pPr>
      <w:r w:rsidRPr="00313F6E">
        <w:rPr>
          <w:rFonts w:ascii="Arial" w:hAnsi="Arial" w:cs="Arial"/>
          <w:u w:val="single"/>
        </w:rPr>
        <w:t>Working capital KPIs and governance:</w:t>
      </w:r>
      <w:r w:rsidRPr="00185D64">
        <w:rPr>
          <w:rFonts w:ascii="Arial" w:hAnsi="Arial" w:cs="Arial"/>
        </w:rPr>
        <w:t xml:space="preserve"> incorporate CCC, days sales outstanding, and days payable outstanding as tracked metrics at the business-unit level, with escalation triggers, so that any drift (like the pattern suggested by the 2025 profit decline) is detected early rather than only appearing in annual results.</w:t>
      </w:r>
    </w:p>
    <w:p w14:paraId="0BC35978" w14:textId="63A1C7B0" w:rsidR="00185D64" w:rsidRDefault="00185D64" w:rsidP="00341F3B">
      <w:pPr>
        <w:spacing w:line="360" w:lineRule="auto"/>
        <w:jc w:val="both"/>
        <w:rPr>
          <w:rFonts w:ascii="Arial" w:hAnsi="Arial" w:cs="Arial"/>
        </w:rPr>
      </w:pPr>
      <w:r w:rsidRPr="00185D64">
        <w:rPr>
          <w:rFonts w:ascii="Arial" w:hAnsi="Arial" w:cs="Arial"/>
        </w:rPr>
        <w:t>Together, these changes seek to significantly shorten the cycle and provide a liquidity buffer without the need for costly outside funding, which is especially beneficial considering the earnings compression that was already apparent in 2025.</w:t>
      </w:r>
    </w:p>
    <w:p w14:paraId="5E3C841B" w14:textId="153B1032" w:rsidR="00185D64" w:rsidRPr="00602305" w:rsidRDefault="00185D64" w:rsidP="00602305">
      <w:pPr>
        <w:pStyle w:val="Heading2"/>
        <w:rPr>
          <w:rFonts w:ascii="Baskerville Old Face" w:hAnsi="Baskerville Old Face"/>
          <w:b/>
          <w:bCs/>
          <w:color w:val="000000" w:themeColor="text1"/>
        </w:rPr>
      </w:pPr>
      <w:bookmarkStart w:id="16" w:name="_Toc235559597"/>
      <w:r w:rsidRPr="00602305">
        <w:rPr>
          <w:rFonts w:ascii="Baskerville Old Face" w:hAnsi="Baskerville Old Face"/>
          <w:b/>
          <w:bCs/>
          <w:color w:val="000000" w:themeColor="text1"/>
        </w:rPr>
        <w:t>short-term vs long-term</w:t>
      </w:r>
      <w:r w:rsidR="00111677" w:rsidRPr="00602305">
        <w:rPr>
          <w:rFonts w:ascii="Baskerville Old Face" w:hAnsi="Baskerville Old Face"/>
          <w:b/>
          <w:bCs/>
          <w:color w:val="000000" w:themeColor="text1"/>
        </w:rPr>
        <w:t xml:space="preserve"> financing options</w:t>
      </w:r>
      <w:bookmarkEnd w:id="16"/>
    </w:p>
    <w:p w14:paraId="68DDEFDB" w14:textId="3E94AB71" w:rsidR="00111677" w:rsidRDefault="00485A09" w:rsidP="00341F3B">
      <w:pPr>
        <w:spacing w:line="360" w:lineRule="auto"/>
        <w:jc w:val="both"/>
        <w:rPr>
          <w:rFonts w:ascii="Arial" w:hAnsi="Arial" w:cs="Arial"/>
        </w:rPr>
      </w:pPr>
      <w:r w:rsidRPr="00485A09">
        <w:rPr>
          <w:rFonts w:ascii="Arial" w:hAnsi="Arial" w:cs="Arial"/>
        </w:rPr>
        <w:t>Overdraft facilities, commercial paper, trade credit, revolving credit facilities (RCFs), and other short-term instruments are more affordable and adaptable, making them ideal for financing seasonal fluctuations in working capital (e.g., filling the gap between low-season cash generation and payables due). Their main disadvantage is refinancing risk: as short-term facilities must be turned over, Accor is vulnerable to the possibility that spreads could widen or credit conditions tighten at the very moment the firm needs liquidity the most, as many hospitality businesses did in 2020–2021.</w:t>
      </w:r>
    </w:p>
    <w:p w14:paraId="6CD69EFF" w14:textId="0E0DA6B1" w:rsidR="00485A09" w:rsidRDefault="004F2A68" w:rsidP="00341F3B">
      <w:pPr>
        <w:spacing w:line="360" w:lineRule="auto"/>
        <w:jc w:val="both"/>
        <w:rPr>
          <w:rFonts w:ascii="Arial" w:hAnsi="Arial" w:cs="Arial"/>
        </w:rPr>
      </w:pPr>
      <w:r>
        <w:rPr>
          <w:rFonts w:ascii="Arial" w:hAnsi="Arial" w:cs="Arial"/>
        </w:rPr>
        <w:t xml:space="preserve">According to Bello and Sensini (2020) </w:t>
      </w:r>
      <w:r w:rsidR="00587467" w:rsidRPr="00587467">
        <w:rPr>
          <w:rFonts w:ascii="Arial" w:hAnsi="Arial" w:cs="Arial"/>
        </w:rPr>
        <w:t>Bonds, term loans, and equity are examples of long-term financing. Although they have a higher explicit cost of capital, they eliminate the risk of refinancing during the course of the instrument and are more suitable for financing long-term projects like hotel renovations or acquisitions. The matching principle should guide the financing choice: while short-term, seasonal fluctuations are effectively funded with short-term facilities like an RCF, permanent or structural working capital needs (a stable minimum balance of receivables, cash float, and inventory that never really disappears) are best funded with longer-term, more stable capital.</w:t>
      </w:r>
    </w:p>
    <w:p w14:paraId="2AD70F3F" w14:textId="5475804E" w:rsidR="001B3476" w:rsidRDefault="00136CEF" w:rsidP="00341F3B">
      <w:pPr>
        <w:spacing w:line="360" w:lineRule="auto"/>
        <w:jc w:val="both"/>
        <w:rPr>
          <w:rFonts w:ascii="Arial" w:hAnsi="Arial" w:cs="Arial"/>
        </w:rPr>
      </w:pPr>
      <w:r w:rsidRPr="00136CEF">
        <w:rPr>
          <w:rFonts w:ascii="Arial" w:hAnsi="Arial" w:cs="Arial"/>
        </w:rPr>
        <w:t xml:space="preserve">A balanced approach is necessary given Accor's current profile, which includes strong EBITDA generation but a decline in net profit and EPS in 2025. This involves maintaining a well-diversified RCF for flexibility and seasonal needs while avoiding further long-term debt issuance until the cause of the 2025 profit fall is determined. </w:t>
      </w:r>
      <w:r w:rsidRPr="00136CEF">
        <w:rPr>
          <w:rFonts w:ascii="Arial" w:hAnsi="Arial" w:cs="Arial"/>
        </w:rPr>
        <w:lastRenderedPageBreak/>
        <w:t>This is because overcommitting to long-term fixed obligations during a period of profit pressure would reduce financial flexibility just when it is most valuable.</w:t>
      </w:r>
    </w:p>
    <w:p w14:paraId="5ACC7E82" w14:textId="06FA7C12" w:rsidR="001B3476" w:rsidRPr="00602305" w:rsidRDefault="001B3476" w:rsidP="00602305">
      <w:pPr>
        <w:pStyle w:val="Heading1"/>
        <w:rPr>
          <w:rFonts w:ascii="Baskerville Old Face" w:hAnsi="Baskerville Old Face"/>
          <w:b/>
          <w:bCs/>
          <w:color w:val="000000" w:themeColor="text1"/>
          <w:sz w:val="36"/>
          <w:szCs w:val="36"/>
        </w:rPr>
      </w:pPr>
      <w:bookmarkStart w:id="17" w:name="_Toc235559598"/>
      <w:r w:rsidRPr="00602305">
        <w:rPr>
          <w:rFonts w:ascii="Baskerville Old Face" w:hAnsi="Baskerville Old Face"/>
          <w:b/>
          <w:bCs/>
          <w:color w:val="000000" w:themeColor="text1"/>
          <w:sz w:val="36"/>
          <w:szCs w:val="36"/>
        </w:rPr>
        <w:t>Strategic Financial Restructuring Plan</w:t>
      </w:r>
      <w:bookmarkEnd w:id="17"/>
    </w:p>
    <w:p w14:paraId="1D1B7896" w14:textId="0AAEF814" w:rsidR="001B3476" w:rsidRPr="00602305" w:rsidRDefault="001B3476" w:rsidP="00602305">
      <w:pPr>
        <w:pStyle w:val="Heading2"/>
        <w:rPr>
          <w:rFonts w:ascii="Baskerville Old Face" w:hAnsi="Baskerville Old Face"/>
          <w:b/>
          <w:bCs/>
          <w:color w:val="000000" w:themeColor="text1"/>
          <w:sz w:val="28"/>
          <w:szCs w:val="28"/>
        </w:rPr>
      </w:pPr>
      <w:r w:rsidRPr="00602305">
        <w:rPr>
          <w:rFonts w:ascii="Baskerville Old Face" w:hAnsi="Baskerville Old Face"/>
          <w:b/>
          <w:bCs/>
          <w:color w:val="000000" w:themeColor="text1"/>
          <w:sz w:val="28"/>
          <w:szCs w:val="28"/>
        </w:rPr>
        <w:t xml:space="preserve"> </w:t>
      </w:r>
      <w:bookmarkStart w:id="18" w:name="_Toc235559599"/>
      <w:r w:rsidRPr="00602305">
        <w:rPr>
          <w:rFonts w:ascii="Baskerville Old Face" w:hAnsi="Baskerville Old Face"/>
          <w:b/>
          <w:bCs/>
          <w:color w:val="000000" w:themeColor="text1"/>
          <w:sz w:val="28"/>
          <w:szCs w:val="28"/>
        </w:rPr>
        <w:t>Recommended restructuring options</w:t>
      </w:r>
      <w:bookmarkEnd w:id="18"/>
    </w:p>
    <w:p w14:paraId="66A54654" w14:textId="21A4E9E6" w:rsidR="005E3632" w:rsidRPr="005E3632" w:rsidRDefault="005E3632" w:rsidP="00341F3B">
      <w:pPr>
        <w:spacing w:line="360" w:lineRule="auto"/>
        <w:jc w:val="both"/>
        <w:rPr>
          <w:rFonts w:ascii="Arial" w:hAnsi="Arial" w:cs="Arial"/>
        </w:rPr>
      </w:pPr>
      <w:r w:rsidRPr="005E3632">
        <w:rPr>
          <w:rFonts w:ascii="Arial" w:hAnsi="Arial" w:cs="Arial"/>
        </w:rPr>
        <w:t>Three restructuring factors (flat revenue, strong EBITDA, poor net profit, and EPS) are viable options for Accor, each focusing on a distinct facet of the 2025 performance decline.</w:t>
      </w:r>
    </w:p>
    <w:p w14:paraId="67915ECD" w14:textId="26F60648" w:rsidR="001B3476" w:rsidRPr="00D2261A" w:rsidRDefault="005E3632" w:rsidP="00D2261A">
      <w:pPr>
        <w:spacing w:line="360" w:lineRule="auto"/>
        <w:jc w:val="both"/>
        <w:rPr>
          <w:rFonts w:ascii="Arial" w:hAnsi="Arial" w:cs="Arial"/>
        </w:rPr>
      </w:pPr>
      <w:r w:rsidRPr="00D2261A">
        <w:rPr>
          <w:rFonts w:ascii="Arial" w:hAnsi="Arial" w:cs="Arial"/>
          <w:b/>
          <w:bCs/>
        </w:rPr>
        <w:t>Ongoing asset-light transition or divestiture:</w:t>
      </w:r>
      <w:r w:rsidRPr="00D2261A">
        <w:rPr>
          <w:rFonts w:ascii="Arial" w:hAnsi="Arial" w:cs="Arial"/>
        </w:rPr>
        <w:t xml:space="preserve"> sell any remaining owned real estate to franchise agreements or long-term management. Since owned real estate is capital-intensive and subject to property cycles, this is an extension of a technique Accor has previously implemented and immediately increases cash generation and return on capital invested.</w:t>
      </w:r>
    </w:p>
    <w:p w14:paraId="4384FD85" w14:textId="53B2587B" w:rsidR="00C11581" w:rsidRPr="00D2261A" w:rsidRDefault="00C11581" w:rsidP="00D2261A">
      <w:pPr>
        <w:spacing w:line="360" w:lineRule="auto"/>
        <w:jc w:val="both"/>
        <w:rPr>
          <w:rFonts w:ascii="Arial" w:hAnsi="Arial" w:cs="Arial"/>
        </w:rPr>
      </w:pPr>
      <w:r w:rsidRPr="00D2261A">
        <w:rPr>
          <w:rFonts w:ascii="Arial" w:hAnsi="Arial" w:cs="Arial"/>
          <w:b/>
          <w:bCs/>
        </w:rPr>
        <w:t>Selective merger or brand-portfolio acquisition:</w:t>
      </w:r>
      <w:r w:rsidRPr="00D2261A">
        <w:rPr>
          <w:rFonts w:ascii="Arial" w:hAnsi="Arial" w:cs="Arial"/>
        </w:rPr>
        <w:t xml:space="preserve"> targeted acquisitions of complementary luxury, midscale, or lifestyle brands, or a merger with a regional operator, can add scale and fee income without proportionate capital investment, but only if funded cautiously to prevent exacerbating the leverage picture behind the 2025 profit decline.</w:t>
      </w:r>
    </w:p>
    <w:p w14:paraId="18D35F47" w14:textId="031FF08B" w:rsidR="00D2261A" w:rsidRDefault="00C11581" w:rsidP="00341F3B">
      <w:pPr>
        <w:spacing w:line="360" w:lineRule="auto"/>
        <w:jc w:val="both"/>
        <w:rPr>
          <w:rFonts w:ascii="Arial" w:hAnsi="Arial" w:cs="Arial"/>
        </w:rPr>
      </w:pPr>
      <w:r w:rsidRPr="00D2261A">
        <w:rPr>
          <w:rFonts w:ascii="Arial" w:hAnsi="Arial" w:cs="Arial"/>
          <w:b/>
          <w:bCs/>
        </w:rPr>
        <w:t>Equity injection or capital markets action:</w:t>
      </w:r>
      <w:r w:rsidRPr="00D2261A">
        <w:rPr>
          <w:rFonts w:ascii="Arial" w:hAnsi="Arial" w:cs="Arial"/>
        </w:rPr>
        <w:t xml:space="preserve"> If the decline in net profit in 2025 is associated with increased net finance costs, a targeted equity raise or reinvestment of divestiture proceeds could be used to </w:t>
      </w:r>
      <w:r w:rsidR="00094245" w:rsidRPr="00D2261A">
        <w:rPr>
          <w:rFonts w:ascii="Arial" w:hAnsi="Arial" w:cs="Arial"/>
        </w:rPr>
        <w:t>deliver</w:t>
      </w:r>
      <w:r w:rsidRPr="00D2261A">
        <w:rPr>
          <w:rFonts w:ascii="Arial" w:hAnsi="Arial" w:cs="Arial"/>
        </w:rPr>
        <w:t xml:space="preserve"> the balance sheet. This would directly address the EPS dilution observed in the data (EPS fell proportionately more than net profit, consistent with a higher share count or financing drag).</w:t>
      </w:r>
    </w:p>
    <w:p w14:paraId="110AFBAB" w14:textId="284276C6" w:rsidR="00C11581" w:rsidRDefault="006B0328" w:rsidP="00341F3B">
      <w:pPr>
        <w:spacing w:line="360" w:lineRule="auto"/>
        <w:jc w:val="both"/>
        <w:rPr>
          <w:rFonts w:ascii="Arial" w:hAnsi="Arial" w:cs="Arial"/>
        </w:rPr>
      </w:pPr>
      <w:r w:rsidRPr="006B0328">
        <w:rPr>
          <w:rFonts w:ascii="Arial" w:hAnsi="Arial" w:cs="Arial"/>
        </w:rPr>
        <w:t xml:space="preserve">Prioritising ongoing divestiture and asset-light conversion, using the proceeds first to lower net debt and finance costs, and only pursuing bolt-on M&amp;A once the balance sheet impact of 2025's profit decline is understood are the most reasonable short-term recommendations. </w:t>
      </w:r>
      <w:r w:rsidR="00A047CD">
        <w:rPr>
          <w:rFonts w:ascii="Arial" w:hAnsi="Arial" w:cs="Arial"/>
        </w:rPr>
        <w:t>According to Abdullah and Zaby (2021) a</w:t>
      </w:r>
      <w:r w:rsidRPr="006B0328">
        <w:rPr>
          <w:rFonts w:ascii="Arial" w:hAnsi="Arial" w:cs="Arial"/>
        </w:rPr>
        <w:t xml:space="preserve"> sizable equity raise should be held in reserve rather than used proactively, as issuing equity while the share price reflects a profit decline would be dilutive at an unfavourable valuation.</w:t>
      </w:r>
    </w:p>
    <w:p w14:paraId="0854BCA2" w14:textId="2EB66764" w:rsidR="006B0328" w:rsidRPr="002A5A10" w:rsidRDefault="00F36DE0" w:rsidP="002A5A10">
      <w:pPr>
        <w:pStyle w:val="Heading2"/>
        <w:rPr>
          <w:rFonts w:ascii="Baskerville Old Face" w:hAnsi="Baskerville Old Face"/>
          <w:b/>
          <w:bCs/>
          <w:color w:val="000000" w:themeColor="text1"/>
          <w:sz w:val="28"/>
          <w:szCs w:val="28"/>
        </w:rPr>
      </w:pPr>
      <w:r w:rsidRPr="002A5A10">
        <w:rPr>
          <w:rFonts w:ascii="Baskerville Old Face" w:hAnsi="Baskerville Old Face"/>
          <w:b/>
          <w:bCs/>
          <w:color w:val="000000" w:themeColor="text1"/>
          <w:sz w:val="28"/>
          <w:szCs w:val="28"/>
        </w:rPr>
        <w:t xml:space="preserve"> </w:t>
      </w:r>
      <w:bookmarkStart w:id="19" w:name="_Toc235559600"/>
      <w:r w:rsidRPr="002A5A10">
        <w:rPr>
          <w:rFonts w:ascii="Baskerville Old Face" w:hAnsi="Baskerville Old Face"/>
          <w:b/>
          <w:bCs/>
          <w:color w:val="000000" w:themeColor="text1"/>
          <w:sz w:val="28"/>
          <w:szCs w:val="28"/>
        </w:rPr>
        <w:t xml:space="preserve">Impact on </w:t>
      </w:r>
      <w:r w:rsidR="00A31678" w:rsidRPr="002A5A10">
        <w:rPr>
          <w:rFonts w:ascii="Baskerville Old Face" w:hAnsi="Baskerville Old Face"/>
          <w:b/>
          <w:bCs/>
          <w:color w:val="000000" w:themeColor="text1"/>
          <w:sz w:val="28"/>
          <w:szCs w:val="28"/>
        </w:rPr>
        <w:t xml:space="preserve">Shareholder value, debt structure and </w:t>
      </w:r>
      <w:r w:rsidR="00576C09" w:rsidRPr="002A5A10">
        <w:rPr>
          <w:rFonts w:ascii="Baskerville Old Face" w:hAnsi="Baskerville Old Face"/>
          <w:b/>
          <w:bCs/>
          <w:color w:val="000000" w:themeColor="text1"/>
          <w:sz w:val="28"/>
          <w:szCs w:val="28"/>
        </w:rPr>
        <w:t xml:space="preserve">operational </w:t>
      </w:r>
      <w:r w:rsidR="00E13A2F" w:rsidRPr="002A5A10">
        <w:rPr>
          <w:rFonts w:ascii="Baskerville Old Face" w:hAnsi="Baskerville Old Face"/>
          <w:b/>
          <w:bCs/>
          <w:color w:val="000000" w:themeColor="text1"/>
          <w:sz w:val="28"/>
          <w:szCs w:val="28"/>
        </w:rPr>
        <w:t>flexibility</w:t>
      </w:r>
      <w:bookmarkEnd w:id="19"/>
    </w:p>
    <w:p w14:paraId="58B8093D" w14:textId="0BAF2303" w:rsidR="00E13A2F" w:rsidRDefault="00E13A2F" w:rsidP="00341F3B">
      <w:pPr>
        <w:spacing w:line="360" w:lineRule="auto"/>
        <w:jc w:val="both"/>
        <w:rPr>
          <w:rFonts w:ascii="Arial" w:hAnsi="Arial" w:cs="Arial"/>
        </w:rPr>
      </w:pPr>
      <w:r w:rsidRPr="00E13A2F">
        <w:rPr>
          <w:rFonts w:ascii="Arial" w:hAnsi="Arial" w:cs="Arial"/>
        </w:rPr>
        <w:t xml:space="preserve">Over the medium term, divestiture-led restructuring often increases shareholder value because it can finance special dividends or buybacks, relieves capital locked up in low-yielding property, and increases EBITDA margins by changing the earnings mix </w:t>
      </w:r>
      <w:r w:rsidRPr="00E13A2F">
        <w:rPr>
          <w:rFonts w:ascii="Arial" w:hAnsi="Arial" w:cs="Arial"/>
        </w:rPr>
        <w:lastRenderedPageBreak/>
        <w:t>toward high-margin fee revenue. However, given that 2025's profit was already worse than the trend indicated by EBITDA, transaction expenses and disposal gains or losses might increase reported net profit volatility in the short run. If the 2025 profit-to-EBITDA gap is caused by finance costs, utilizing divestiture proceeds to retire debt immediately reduces leverage ratios and interest costs. This would help explain and reverse some of the difference.</w:t>
      </w:r>
    </w:p>
    <w:p w14:paraId="01118A9F" w14:textId="550E3D93" w:rsidR="001E65A2" w:rsidRDefault="001E65A2" w:rsidP="00341F3B">
      <w:pPr>
        <w:spacing w:line="360" w:lineRule="auto"/>
        <w:jc w:val="both"/>
        <w:rPr>
          <w:rFonts w:ascii="Arial" w:hAnsi="Arial" w:cs="Arial"/>
        </w:rPr>
      </w:pPr>
      <w:r w:rsidRPr="001E65A2">
        <w:rPr>
          <w:rFonts w:ascii="Arial" w:hAnsi="Arial" w:cs="Arial"/>
        </w:rPr>
        <w:t>In contrast, a merger or acquisition usually results in a short-term rise in debt or the number of shares, thus it must be sized carefully to prevent exacerbating the pressure already seen in EPS. The asset-light strategy usually improves operational flexibility because it lowers fixed capital commitments and property-cycle risk, enabling quicker reaction to demand shocks. The pandemic period, which is represented in the 2021 data, reinforces this lesson.</w:t>
      </w:r>
    </w:p>
    <w:p w14:paraId="5D5CA68A" w14:textId="3675BC43" w:rsidR="001E65A2" w:rsidRPr="002A5A10" w:rsidRDefault="00CB352B" w:rsidP="002A5A10">
      <w:pPr>
        <w:pStyle w:val="Heading2"/>
        <w:rPr>
          <w:rFonts w:ascii="Baskerville Old Face" w:hAnsi="Baskerville Old Face"/>
          <w:b/>
          <w:bCs/>
          <w:color w:val="000000" w:themeColor="text1"/>
          <w:sz w:val="28"/>
          <w:szCs w:val="28"/>
        </w:rPr>
      </w:pPr>
      <w:bookmarkStart w:id="20" w:name="_Toc235559601"/>
      <w:r w:rsidRPr="002A5A10">
        <w:rPr>
          <w:rFonts w:ascii="Baskerville Old Face" w:hAnsi="Baskerville Old Face"/>
          <w:b/>
          <w:bCs/>
          <w:color w:val="000000" w:themeColor="text1"/>
          <w:sz w:val="28"/>
          <w:szCs w:val="28"/>
        </w:rPr>
        <w:t>International and ethical considerations</w:t>
      </w:r>
      <w:bookmarkEnd w:id="20"/>
    </w:p>
    <w:p w14:paraId="5758649E" w14:textId="07A172E3" w:rsidR="00C51391" w:rsidRPr="00C51391" w:rsidRDefault="00C51391" w:rsidP="00341F3B">
      <w:pPr>
        <w:spacing w:line="360" w:lineRule="auto"/>
        <w:jc w:val="both"/>
        <w:rPr>
          <w:rFonts w:ascii="Arial" w:hAnsi="Arial" w:cs="Arial"/>
        </w:rPr>
      </w:pPr>
      <w:r w:rsidRPr="000C29F8">
        <w:rPr>
          <w:rFonts w:ascii="Arial" w:hAnsi="Arial" w:cs="Arial"/>
          <w:b/>
          <w:bCs/>
        </w:rPr>
        <w:t>Taxation:</w:t>
      </w:r>
      <w:r w:rsidRPr="00C51391">
        <w:rPr>
          <w:rFonts w:ascii="Arial" w:hAnsi="Arial" w:cs="Arial"/>
        </w:rPr>
        <w:t xml:space="preserve"> Any restructuring plan should be examined for compliance with OECD BEPS principles and local substance requirements to prevent reputational and financial risk from aggressive tax positioning. Cross-border divestitures and management contract restructuring raise questions about transfer pricing and permanent establishment across Accor's numerous tax jurisdictions.</w:t>
      </w:r>
    </w:p>
    <w:p w14:paraId="5549CFDC" w14:textId="29427513" w:rsidR="00CB352B" w:rsidRDefault="00C51391" w:rsidP="00341F3B">
      <w:pPr>
        <w:spacing w:line="360" w:lineRule="auto"/>
        <w:jc w:val="both"/>
        <w:rPr>
          <w:rFonts w:ascii="Arial" w:hAnsi="Arial" w:cs="Arial"/>
        </w:rPr>
      </w:pPr>
      <w:r w:rsidRPr="000C29F8">
        <w:rPr>
          <w:rFonts w:ascii="Arial" w:hAnsi="Arial" w:cs="Arial"/>
          <w:b/>
          <w:bCs/>
        </w:rPr>
        <w:t>Currency risk:</w:t>
      </w:r>
      <w:r w:rsidRPr="00C51391">
        <w:rPr>
          <w:rFonts w:ascii="Arial" w:hAnsi="Arial" w:cs="Arial"/>
        </w:rPr>
        <w:t xml:space="preserve"> </w:t>
      </w:r>
      <w:r w:rsidR="0015682A">
        <w:rPr>
          <w:rFonts w:ascii="Arial" w:hAnsi="Arial" w:cs="Arial"/>
        </w:rPr>
        <w:t xml:space="preserve">According to Geyer-Klingeberg et al., (2019) </w:t>
      </w:r>
      <w:r w:rsidRPr="00C51391">
        <w:rPr>
          <w:rFonts w:ascii="Arial" w:hAnsi="Arial" w:cs="Arial"/>
        </w:rPr>
        <w:t>as a multi-currency, multi-jurisdiction group, disposal proceeds, financing costs, and translated earnings are subject to FX movements; any restructuring should be accompanied by a review of hedging policy to ensure that currency volatility does not mask the underlying operating performance that the restructuring is intended to enhance.</w:t>
      </w:r>
    </w:p>
    <w:p w14:paraId="46BECDB6" w14:textId="0376419B" w:rsidR="00184F92" w:rsidRPr="00184F92" w:rsidRDefault="00184F92" w:rsidP="00341F3B">
      <w:pPr>
        <w:spacing w:line="360" w:lineRule="auto"/>
        <w:jc w:val="both"/>
        <w:rPr>
          <w:rFonts w:ascii="Arial" w:hAnsi="Arial" w:cs="Arial"/>
        </w:rPr>
      </w:pPr>
      <w:r w:rsidRPr="000C29F8">
        <w:rPr>
          <w:rFonts w:ascii="Arial" w:hAnsi="Arial" w:cs="Arial"/>
          <w:b/>
          <w:bCs/>
        </w:rPr>
        <w:t>Inflation:</w:t>
      </w:r>
      <w:r w:rsidRPr="00184F92">
        <w:rPr>
          <w:rFonts w:ascii="Arial" w:hAnsi="Arial" w:cs="Arial"/>
        </w:rPr>
        <w:t xml:space="preserve"> The real value of fixed-fee management contracts and the attractiveness of sale-and-manage transactions (buyers price in future cost pressure) are both impacted by wage and input cost inflation in the hospitality sector. Therefore, contract structures should incorporate inflation-linked fee escalators whenever feasible.</w:t>
      </w:r>
    </w:p>
    <w:p w14:paraId="76B1798D" w14:textId="5267053E" w:rsidR="00D77D9C" w:rsidRDefault="00184F92" w:rsidP="00341F3B">
      <w:pPr>
        <w:spacing w:line="360" w:lineRule="auto"/>
        <w:jc w:val="both"/>
        <w:rPr>
          <w:rFonts w:ascii="Arial" w:hAnsi="Arial" w:cs="Arial"/>
        </w:rPr>
      </w:pPr>
      <w:r w:rsidRPr="000C29F8">
        <w:rPr>
          <w:rFonts w:ascii="Arial" w:hAnsi="Arial" w:cs="Arial"/>
          <w:b/>
          <w:bCs/>
        </w:rPr>
        <w:t>CSR and ESG:</w:t>
      </w:r>
      <w:r w:rsidRPr="00184F92">
        <w:rPr>
          <w:rFonts w:ascii="Arial" w:hAnsi="Arial" w:cs="Arial"/>
        </w:rPr>
        <w:t xml:space="preserve"> any divestiture or M&amp;A activity should be evaluated for its impact on employees (redundancy handling, retraining, fair treatment of franchisee staff) and Accor's sustainability commitments (energy and carbon performance of divested versus retained assets); </w:t>
      </w:r>
      <w:r w:rsidR="003A3263">
        <w:rPr>
          <w:rFonts w:ascii="Arial" w:hAnsi="Arial" w:cs="Arial"/>
        </w:rPr>
        <w:t xml:space="preserve">According to Moussa et al., (2026) </w:t>
      </w:r>
      <w:r w:rsidRPr="00184F92">
        <w:rPr>
          <w:rFonts w:ascii="Arial" w:hAnsi="Arial" w:cs="Arial"/>
        </w:rPr>
        <w:t xml:space="preserve">ESG-linked financing terms are increasingly linked to debt in the hospitality sector and, if targets are credibly met, can reduce the cost of the long-term financing discussed in Section </w:t>
      </w:r>
      <w:r w:rsidR="00867AF7">
        <w:rPr>
          <w:rFonts w:ascii="Arial" w:hAnsi="Arial" w:cs="Arial"/>
        </w:rPr>
        <w:t>2</w:t>
      </w:r>
      <w:r w:rsidRPr="00184F92">
        <w:rPr>
          <w:rFonts w:ascii="Arial" w:hAnsi="Arial" w:cs="Arial"/>
        </w:rPr>
        <w:t>c.</w:t>
      </w:r>
    </w:p>
    <w:p w14:paraId="5806B909" w14:textId="6E028694" w:rsidR="00EF4314" w:rsidRDefault="009E5619" w:rsidP="00574A22">
      <w:pPr>
        <w:spacing w:line="360" w:lineRule="auto"/>
        <w:jc w:val="both"/>
        <w:rPr>
          <w:rFonts w:ascii="Arial" w:hAnsi="Arial" w:cs="Arial"/>
        </w:rPr>
      </w:pPr>
      <w:r w:rsidRPr="009E5619">
        <w:rPr>
          <w:rFonts w:ascii="Arial" w:hAnsi="Arial" w:cs="Arial"/>
        </w:rPr>
        <w:lastRenderedPageBreak/>
        <w:t>When taken as a whole, the restructuring strategy should be implemented in the following order: sell, borrow, then selectively buy. Deal screening should incorporate tax, currency, inflation, and ESG factors rather than addressing them after the fact.</w:t>
      </w:r>
    </w:p>
    <w:p w14:paraId="723B68E7" w14:textId="565F8B67" w:rsidR="00241FA8" w:rsidRPr="00574A22" w:rsidRDefault="008E101A" w:rsidP="00574A22">
      <w:pPr>
        <w:pStyle w:val="Heading1"/>
        <w:rPr>
          <w:rFonts w:ascii="Baskerville Old Face" w:hAnsi="Baskerville Old Face"/>
          <w:b/>
          <w:bCs/>
          <w:color w:val="000000" w:themeColor="text1"/>
          <w:sz w:val="32"/>
          <w:szCs w:val="32"/>
        </w:rPr>
      </w:pPr>
      <w:bookmarkStart w:id="21" w:name="_Toc235559602"/>
      <w:r w:rsidRPr="00574A22">
        <w:rPr>
          <w:rFonts w:ascii="Baskerville Old Face" w:hAnsi="Baskerville Old Face"/>
          <w:b/>
          <w:bCs/>
          <w:color w:val="000000" w:themeColor="text1"/>
          <w:sz w:val="32"/>
          <w:szCs w:val="32"/>
        </w:rPr>
        <w:t>Investment Appraisal and Capital Budgeting</w:t>
      </w:r>
      <w:bookmarkEnd w:id="21"/>
      <w:r w:rsidRPr="00574A22">
        <w:rPr>
          <w:rFonts w:ascii="Baskerville Old Face" w:hAnsi="Baskerville Old Face"/>
          <w:b/>
          <w:bCs/>
          <w:color w:val="000000" w:themeColor="text1"/>
          <w:sz w:val="32"/>
          <w:szCs w:val="32"/>
        </w:rPr>
        <w:t xml:space="preserve"> </w:t>
      </w:r>
    </w:p>
    <w:p w14:paraId="3AC04209" w14:textId="6AF15E75" w:rsidR="00EF4314" w:rsidRDefault="00F445FC" w:rsidP="00184F92">
      <w:pPr>
        <w:rPr>
          <w:rFonts w:ascii="Arial" w:hAnsi="Arial" w:cs="Arial"/>
          <w:b/>
          <w:bCs/>
        </w:rPr>
      </w:pPr>
      <w:r w:rsidRPr="005A013C">
        <w:rPr>
          <w:rFonts w:ascii="Arial" w:hAnsi="Arial" w:cs="Arial"/>
          <w:b/>
          <w:bCs/>
        </w:rPr>
        <w:t>Assumptions and resul</w:t>
      </w:r>
      <w:r w:rsidR="005A013C" w:rsidRPr="005A013C">
        <w:rPr>
          <w:rFonts w:ascii="Arial" w:hAnsi="Arial" w:cs="Arial"/>
          <w:b/>
          <w:bCs/>
        </w:rPr>
        <w:t>ts</w:t>
      </w:r>
    </w:p>
    <w:tbl>
      <w:tblPr>
        <w:tblStyle w:val="TableGrid"/>
        <w:tblW w:w="0" w:type="auto"/>
        <w:tblLook w:val="04A0" w:firstRow="1" w:lastRow="0" w:firstColumn="1" w:lastColumn="0" w:noHBand="0" w:noVBand="1"/>
      </w:tblPr>
      <w:tblGrid>
        <w:gridCol w:w="2254"/>
        <w:gridCol w:w="2254"/>
        <w:gridCol w:w="2254"/>
        <w:gridCol w:w="2254"/>
      </w:tblGrid>
      <w:tr w:rsidR="00B62396" w14:paraId="58D57ACF" w14:textId="77777777" w:rsidTr="00B62396">
        <w:tc>
          <w:tcPr>
            <w:tcW w:w="2254" w:type="dxa"/>
          </w:tcPr>
          <w:p w14:paraId="14679914" w14:textId="783D0808" w:rsidR="00B62396" w:rsidRDefault="00B62396" w:rsidP="00184F92">
            <w:pPr>
              <w:rPr>
                <w:rFonts w:ascii="Arial" w:hAnsi="Arial" w:cs="Arial"/>
                <w:b/>
                <w:bCs/>
              </w:rPr>
            </w:pPr>
            <w:r>
              <w:rPr>
                <w:rFonts w:ascii="Arial" w:hAnsi="Arial" w:cs="Arial"/>
                <w:b/>
                <w:bCs/>
              </w:rPr>
              <w:t>Metric</w:t>
            </w:r>
          </w:p>
        </w:tc>
        <w:tc>
          <w:tcPr>
            <w:tcW w:w="2254" w:type="dxa"/>
          </w:tcPr>
          <w:p w14:paraId="656844F8" w14:textId="239FE2E2" w:rsidR="00B62396" w:rsidRDefault="00B62396" w:rsidP="00184F92">
            <w:pPr>
              <w:rPr>
                <w:rFonts w:ascii="Arial" w:hAnsi="Arial" w:cs="Arial"/>
                <w:b/>
                <w:bCs/>
              </w:rPr>
            </w:pPr>
            <w:r>
              <w:rPr>
                <w:rFonts w:ascii="Arial" w:hAnsi="Arial" w:cs="Arial"/>
                <w:b/>
                <w:bCs/>
              </w:rPr>
              <w:t>Project A</w:t>
            </w:r>
          </w:p>
        </w:tc>
        <w:tc>
          <w:tcPr>
            <w:tcW w:w="2254" w:type="dxa"/>
          </w:tcPr>
          <w:p w14:paraId="6C2ABA7A" w14:textId="42D60EC8" w:rsidR="00B62396" w:rsidRDefault="00B62396" w:rsidP="00184F92">
            <w:pPr>
              <w:rPr>
                <w:rFonts w:ascii="Arial" w:hAnsi="Arial" w:cs="Arial"/>
                <w:b/>
                <w:bCs/>
              </w:rPr>
            </w:pPr>
            <w:r>
              <w:rPr>
                <w:rFonts w:ascii="Arial" w:hAnsi="Arial" w:cs="Arial"/>
                <w:b/>
                <w:bCs/>
              </w:rPr>
              <w:t>Project B</w:t>
            </w:r>
          </w:p>
        </w:tc>
        <w:tc>
          <w:tcPr>
            <w:tcW w:w="2254" w:type="dxa"/>
          </w:tcPr>
          <w:p w14:paraId="3E40D919" w14:textId="3BCE88E0" w:rsidR="00B62396" w:rsidRDefault="00B62396" w:rsidP="00184F92">
            <w:pPr>
              <w:rPr>
                <w:rFonts w:ascii="Arial" w:hAnsi="Arial" w:cs="Arial"/>
                <w:b/>
                <w:bCs/>
              </w:rPr>
            </w:pPr>
            <w:r>
              <w:rPr>
                <w:rFonts w:ascii="Arial" w:hAnsi="Arial" w:cs="Arial"/>
                <w:b/>
                <w:bCs/>
              </w:rPr>
              <w:t>Project C</w:t>
            </w:r>
          </w:p>
        </w:tc>
      </w:tr>
      <w:tr w:rsidR="00B62396" w14:paraId="1EC8FC66" w14:textId="77777777" w:rsidTr="00B62396">
        <w:tc>
          <w:tcPr>
            <w:tcW w:w="2254" w:type="dxa"/>
          </w:tcPr>
          <w:p w14:paraId="10D5322A" w14:textId="645A0C9F" w:rsidR="00B62396" w:rsidRDefault="00B62396" w:rsidP="00184F92">
            <w:pPr>
              <w:rPr>
                <w:rFonts w:ascii="Arial" w:hAnsi="Arial" w:cs="Arial"/>
                <w:b/>
                <w:bCs/>
              </w:rPr>
            </w:pPr>
            <w:r>
              <w:rPr>
                <w:rFonts w:ascii="Arial" w:hAnsi="Arial" w:cs="Arial"/>
                <w:b/>
                <w:bCs/>
              </w:rPr>
              <w:t>PBP</w:t>
            </w:r>
          </w:p>
        </w:tc>
        <w:tc>
          <w:tcPr>
            <w:tcW w:w="2254" w:type="dxa"/>
          </w:tcPr>
          <w:p w14:paraId="5DF23C5D" w14:textId="5C5F52F8" w:rsidR="00B62396" w:rsidRPr="00E03B3D" w:rsidRDefault="008D352E" w:rsidP="00184F92">
            <w:pPr>
              <w:rPr>
                <w:rFonts w:ascii="Arial" w:hAnsi="Arial" w:cs="Arial"/>
              </w:rPr>
            </w:pPr>
            <w:r w:rsidRPr="00E03B3D">
              <w:rPr>
                <w:rFonts w:ascii="Arial" w:hAnsi="Arial" w:cs="Arial"/>
              </w:rPr>
              <w:t>4 years 182 days</w:t>
            </w:r>
          </w:p>
        </w:tc>
        <w:tc>
          <w:tcPr>
            <w:tcW w:w="2254" w:type="dxa"/>
          </w:tcPr>
          <w:p w14:paraId="3102A416" w14:textId="7212E860" w:rsidR="00B62396" w:rsidRPr="00E03B3D" w:rsidRDefault="008D352E" w:rsidP="00184F92">
            <w:pPr>
              <w:rPr>
                <w:rFonts w:ascii="Arial" w:hAnsi="Arial" w:cs="Arial"/>
              </w:rPr>
            </w:pPr>
            <w:r w:rsidRPr="00E03B3D">
              <w:rPr>
                <w:rFonts w:ascii="Arial" w:hAnsi="Arial" w:cs="Arial"/>
              </w:rPr>
              <w:t>4 years 199 days</w:t>
            </w:r>
          </w:p>
        </w:tc>
        <w:tc>
          <w:tcPr>
            <w:tcW w:w="2254" w:type="dxa"/>
          </w:tcPr>
          <w:p w14:paraId="4D5DB3D6" w14:textId="79F3BCB9" w:rsidR="00B62396" w:rsidRDefault="005F0334" w:rsidP="00184F92">
            <w:pPr>
              <w:rPr>
                <w:rFonts w:ascii="Arial" w:hAnsi="Arial" w:cs="Arial"/>
                <w:b/>
                <w:bCs/>
              </w:rPr>
            </w:pPr>
            <w:r>
              <w:rPr>
                <w:rFonts w:ascii="Arial" w:hAnsi="Arial" w:cs="Arial"/>
                <w:b/>
                <w:bCs/>
              </w:rPr>
              <w:t>3 years 219 days</w:t>
            </w:r>
          </w:p>
        </w:tc>
      </w:tr>
      <w:tr w:rsidR="00B62396" w14:paraId="322431B1" w14:textId="77777777" w:rsidTr="00B62396">
        <w:tc>
          <w:tcPr>
            <w:tcW w:w="2254" w:type="dxa"/>
          </w:tcPr>
          <w:p w14:paraId="1F879EDD" w14:textId="4A93EA7D" w:rsidR="00B62396" w:rsidRDefault="00B62396" w:rsidP="00184F92">
            <w:pPr>
              <w:rPr>
                <w:rFonts w:ascii="Arial" w:hAnsi="Arial" w:cs="Arial"/>
                <w:b/>
                <w:bCs/>
              </w:rPr>
            </w:pPr>
            <w:r>
              <w:rPr>
                <w:rFonts w:ascii="Arial" w:hAnsi="Arial" w:cs="Arial"/>
                <w:b/>
                <w:bCs/>
              </w:rPr>
              <w:t>ARR</w:t>
            </w:r>
          </w:p>
        </w:tc>
        <w:tc>
          <w:tcPr>
            <w:tcW w:w="2254" w:type="dxa"/>
          </w:tcPr>
          <w:p w14:paraId="30E6348A" w14:textId="2ADCD3DC" w:rsidR="00B62396" w:rsidRPr="00E03B3D" w:rsidRDefault="005F0334" w:rsidP="00184F92">
            <w:pPr>
              <w:rPr>
                <w:rFonts w:ascii="Arial" w:hAnsi="Arial" w:cs="Arial"/>
              </w:rPr>
            </w:pPr>
            <w:r w:rsidRPr="00E03B3D">
              <w:rPr>
                <w:rFonts w:ascii="Arial" w:hAnsi="Arial" w:cs="Arial"/>
              </w:rPr>
              <w:t>1.6%</w:t>
            </w:r>
          </w:p>
        </w:tc>
        <w:tc>
          <w:tcPr>
            <w:tcW w:w="2254" w:type="dxa"/>
          </w:tcPr>
          <w:p w14:paraId="0A7A6B14" w14:textId="094CCD33" w:rsidR="00B62396" w:rsidRPr="00E03B3D" w:rsidRDefault="00213213" w:rsidP="00184F92">
            <w:pPr>
              <w:rPr>
                <w:rFonts w:ascii="Arial" w:hAnsi="Arial" w:cs="Arial"/>
              </w:rPr>
            </w:pPr>
            <w:r w:rsidRPr="00E03B3D">
              <w:rPr>
                <w:rFonts w:ascii="Arial" w:hAnsi="Arial" w:cs="Arial"/>
              </w:rPr>
              <w:t>2.0%</w:t>
            </w:r>
          </w:p>
        </w:tc>
        <w:tc>
          <w:tcPr>
            <w:tcW w:w="2254" w:type="dxa"/>
          </w:tcPr>
          <w:p w14:paraId="156A82AF" w14:textId="132F231C" w:rsidR="00B62396" w:rsidRDefault="00213213" w:rsidP="00184F92">
            <w:pPr>
              <w:rPr>
                <w:rFonts w:ascii="Arial" w:hAnsi="Arial" w:cs="Arial"/>
                <w:b/>
                <w:bCs/>
              </w:rPr>
            </w:pPr>
            <w:r>
              <w:rPr>
                <w:rFonts w:ascii="Arial" w:hAnsi="Arial" w:cs="Arial"/>
                <w:b/>
                <w:bCs/>
              </w:rPr>
              <w:t>6.0%</w:t>
            </w:r>
          </w:p>
        </w:tc>
      </w:tr>
      <w:tr w:rsidR="00B62396" w14:paraId="5610C4C1" w14:textId="77777777" w:rsidTr="00B62396">
        <w:tc>
          <w:tcPr>
            <w:tcW w:w="2254" w:type="dxa"/>
          </w:tcPr>
          <w:p w14:paraId="31931D08" w14:textId="33A870F7" w:rsidR="00B62396" w:rsidRDefault="00B62396" w:rsidP="00184F92">
            <w:pPr>
              <w:rPr>
                <w:rFonts w:ascii="Arial" w:hAnsi="Arial" w:cs="Arial"/>
                <w:b/>
                <w:bCs/>
              </w:rPr>
            </w:pPr>
            <w:r>
              <w:rPr>
                <w:rFonts w:ascii="Arial" w:hAnsi="Arial" w:cs="Arial"/>
                <w:b/>
                <w:bCs/>
              </w:rPr>
              <w:t>NPV</w:t>
            </w:r>
          </w:p>
        </w:tc>
        <w:tc>
          <w:tcPr>
            <w:tcW w:w="2254" w:type="dxa"/>
          </w:tcPr>
          <w:p w14:paraId="73CD8B8D" w14:textId="2C3D7A38" w:rsidR="00B62396" w:rsidRPr="00E03B3D" w:rsidRDefault="005F0334" w:rsidP="00184F92">
            <w:pPr>
              <w:rPr>
                <w:rFonts w:ascii="Arial" w:hAnsi="Arial" w:cs="Arial"/>
              </w:rPr>
            </w:pPr>
            <w:r w:rsidRPr="00E03B3D">
              <w:rPr>
                <w:rFonts w:ascii="Arial" w:hAnsi="Arial" w:cs="Arial"/>
              </w:rPr>
              <w:t>–£</w:t>
            </w:r>
            <w:r w:rsidR="00376915" w:rsidRPr="00E03B3D">
              <w:rPr>
                <w:rFonts w:ascii="Arial" w:hAnsi="Arial" w:cs="Arial"/>
              </w:rPr>
              <w:t>6.55m</w:t>
            </w:r>
          </w:p>
        </w:tc>
        <w:tc>
          <w:tcPr>
            <w:tcW w:w="2254" w:type="dxa"/>
          </w:tcPr>
          <w:p w14:paraId="2F6FA3A6" w14:textId="2AD91380" w:rsidR="00B62396" w:rsidRPr="00E03B3D" w:rsidRDefault="00213213" w:rsidP="00184F92">
            <w:pPr>
              <w:rPr>
                <w:rFonts w:ascii="Arial" w:hAnsi="Arial" w:cs="Arial"/>
              </w:rPr>
            </w:pPr>
            <w:r w:rsidRPr="00E03B3D">
              <w:rPr>
                <w:rFonts w:ascii="Arial" w:hAnsi="Arial" w:cs="Arial"/>
              </w:rPr>
              <w:t>–</w:t>
            </w:r>
            <w:r w:rsidR="004866BE" w:rsidRPr="00E03B3D">
              <w:rPr>
                <w:rFonts w:ascii="Arial" w:hAnsi="Arial" w:cs="Arial"/>
              </w:rPr>
              <w:t>£6.08</w:t>
            </w:r>
            <w:r w:rsidR="00EA5217" w:rsidRPr="00E03B3D">
              <w:rPr>
                <w:rFonts w:ascii="Arial" w:hAnsi="Arial" w:cs="Arial"/>
              </w:rPr>
              <w:t>m</w:t>
            </w:r>
          </w:p>
        </w:tc>
        <w:tc>
          <w:tcPr>
            <w:tcW w:w="2254" w:type="dxa"/>
          </w:tcPr>
          <w:p w14:paraId="68E5E1B5" w14:textId="0BD48DC6" w:rsidR="00B62396" w:rsidRDefault="004866BE" w:rsidP="00184F92">
            <w:pPr>
              <w:rPr>
                <w:rFonts w:ascii="Arial" w:hAnsi="Arial" w:cs="Arial"/>
                <w:b/>
                <w:bCs/>
              </w:rPr>
            </w:pPr>
            <w:r>
              <w:rPr>
                <w:rFonts w:ascii="Arial" w:hAnsi="Arial" w:cs="Arial"/>
                <w:b/>
                <w:bCs/>
              </w:rPr>
              <w:t>+£0.86</w:t>
            </w:r>
            <w:r w:rsidR="00EA5217">
              <w:rPr>
                <w:rFonts w:ascii="Arial" w:hAnsi="Arial" w:cs="Arial"/>
                <w:b/>
                <w:bCs/>
              </w:rPr>
              <w:t>m</w:t>
            </w:r>
          </w:p>
        </w:tc>
      </w:tr>
      <w:tr w:rsidR="00B62396" w14:paraId="77BC050A" w14:textId="77777777" w:rsidTr="00B62396">
        <w:tc>
          <w:tcPr>
            <w:tcW w:w="2254" w:type="dxa"/>
          </w:tcPr>
          <w:p w14:paraId="5C58FE72" w14:textId="5A01599D" w:rsidR="00B62396" w:rsidRDefault="00B62396" w:rsidP="00184F92">
            <w:pPr>
              <w:rPr>
                <w:rFonts w:ascii="Arial" w:hAnsi="Arial" w:cs="Arial"/>
                <w:b/>
                <w:bCs/>
              </w:rPr>
            </w:pPr>
            <w:r>
              <w:rPr>
                <w:rFonts w:ascii="Arial" w:hAnsi="Arial" w:cs="Arial"/>
                <w:b/>
                <w:bCs/>
              </w:rPr>
              <w:t>PI</w:t>
            </w:r>
          </w:p>
        </w:tc>
        <w:tc>
          <w:tcPr>
            <w:tcW w:w="2254" w:type="dxa"/>
          </w:tcPr>
          <w:p w14:paraId="5D264F8D" w14:textId="7D56B44B" w:rsidR="00B62396" w:rsidRPr="00E03B3D" w:rsidRDefault="00376915" w:rsidP="00184F92">
            <w:pPr>
              <w:rPr>
                <w:rFonts w:ascii="Arial" w:hAnsi="Arial" w:cs="Arial"/>
              </w:rPr>
            </w:pPr>
            <w:r w:rsidRPr="00E03B3D">
              <w:rPr>
                <w:rFonts w:ascii="Arial" w:hAnsi="Arial" w:cs="Arial"/>
              </w:rPr>
              <w:t>0.87</w:t>
            </w:r>
          </w:p>
        </w:tc>
        <w:tc>
          <w:tcPr>
            <w:tcW w:w="2254" w:type="dxa"/>
          </w:tcPr>
          <w:p w14:paraId="21C6C2E5" w14:textId="2B0A3AFE" w:rsidR="00B62396" w:rsidRPr="00E03B3D" w:rsidRDefault="00EA5217" w:rsidP="00184F92">
            <w:pPr>
              <w:rPr>
                <w:rFonts w:ascii="Arial" w:hAnsi="Arial" w:cs="Arial"/>
              </w:rPr>
            </w:pPr>
            <w:r w:rsidRPr="00E03B3D">
              <w:rPr>
                <w:rFonts w:ascii="Arial" w:hAnsi="Arial" w:cs="Arial"/>
              </w:rPr>
              <w:t>0.88</w:t>
            </w:r>
          </w:p>
        </w:tc>
        <w:tc>
          <w:tcPr>
            <w:tcW w:w="2254" w:type="dxa"/>
          </w:tcPr>
          <w:p w14:paraId="612F8988" w14:textId="52EC5EB1" w:rsidR="00B62396" w:rsidRDefault="00EA5217" w:rsidP="00184F92">
            <w:pPr>
              <w:rPr>
                <w:rFonts w:ascii="Arial" w:hAnsi="Arial" w:cs="Arial"/>
                <w:b/>
                <w:bCs/>
              </w:rPr>
            </w:pPr>
            <w:r>
              <w:rPr>
                <w:rFonts w:ascii="Arial" w:hAnsi="Arial" w:cs="Arial"/>
                <w:b/>
                <w:bCs/>
              </w:rPr>
              <w:t>1.02</w:t>
            </w:r>
          </w:p>
        </w:tc>
      </w:tr>
      <w:tr w:rsidR="00B62396" w14:paraId="0D6BA5A4" w14:textId="77777777" w:rsidTr="00B62396">
        <w:tc>
          <w:tcPr>
            <w:tcW w:w="2254" w:type="dxa"/>
          </w:tcPr>
          <w:p w14:paraId="031A3A49" w14:textId="42E524D0" w:rsidR="00B62396" w:rsidRDefault="00B62396" w:rsidP="00184F92">
            <w:pPr>
              <w:rPr>
                <w:rFonts w:ascii="Arial" w:hAnsi="Arial" w:cs="Arial"/>
                <w:b/>
                <w:bCs/>
              </w:rPr>
            </w:pPr>
            <w:r>
              <w:rPr>
                <w:rFonts w:ascii="Arial" w:hAnsi="Arial" w:cs="Arial"/>
                <w:b/>
                <w:bCs/>
              </w:rPr>
              <w:t>IRR</w:t>
            </w:r>
          </w:p>
        </w:tc>
        <w:tc>
          <w:tcPr>
            <w:tcW w:w="2254" w:type="dxa"/>
          </w:tcPr>
          <w:p w14:paraId="203ABA58" w14:textId="1577ABC8" w:rsidR="00B62396" w:rsidRPr="00E03B3D" w:rsidRDefault="00376915" w:rsidP="00184F92">
            <w:pPr>
              <w:rPr>
                <w:rFonts w:ascii="Arial" w:hAnsi="Arial" w:cs="Arial"/>
              </w:rPr>
            </w:pPr>
            <w:r w:rsidRPr="00E03B3D">
              <w:rPr>
                <w:rFonts w:ascii="Arial" w:hAnsi="Arial" w:cs="Arial"/>
              </w:rPr>
              <w:t>~3.5%</w:t>
            </w:r>
          </w:p>
        </w:tc>
        <w:tc>
          <w:tcPr>
            <w:tcW w:w="2254" w:type="dxa"/>
          </w:tcPr>
          <w:p w14:paraId="080B81D0" w14:textId="4190C3FE" w:rsidR="00B62396" w:rsidRPr="00E03B3D" w:rsidRDefault="00EA5217" w:rsidP="00184F92">
            <w:pPr>
              <w:rPr>
                <w:rFonts w:ascii="Arial" w:hAnsi="Arial" w:cs="Arial"/>
              </w:rPr>
            </w:pPr>
            <w:r w:rsidRPr="00E03B3D">
              <w:rPr>
                <w:rFonts w:ascii="Arial" w:hAnsi="Arial" w:cs="Arial"/>
              </w:rPr>
              <w:t>~3.3%</w:t>
            </w:r>
          </w:p>
        </w:tc>
        <w:tc>
          <w:tcPr>
            <w:tcW w:w="2254" w:type="dxa"/>
          </w:tcPr>
          <w:p w14:paraId="3C7FC9C0" w14:textId="2E77C258" w:rsidR="00B62396" w:rsidRDefault="00E03B3D" w:rsidP="00184F92">
            <w:pPr>
              <w:rPr>
                <w:rFonts w:ascii="Arial" w:hAnsi="Arial" w:cs="Arial"/>
                <w:b/>
                <w:bCs/>
              </w:rPr>
            </w:pPr>
            <w:r>
              <w:rPr>
                <w:rFonts w:ascii="Arial" w:hAnsi="Arial" w:cs="Arial"/>
                <w:b/>
                <w:bCs/>
              </w:rPr>
              <w:t>~8.6%</w:t>
            </w:r>
          </w:p>
        </w:tc>
      </w:tr>
    </w:tbl>
    <w:p w14:paraId="492A2992" w14:textId="77777777" w:rsidR="005A013C" w:rsidRPr="005A013C" w:rsidRDefault="005A013C" w:rsidP="00184F92">
      <w:pPr>
        <w:rPr>
          <w:rFonts w:ascii="Arial" w:hAnsi="Arial" w:cs="Arial"/>
          <w:b/>
          <w:bCs/>
        </w:rPr>
      </w:pPr>
    </w:p>
    <w:p w14:paraId="2B0F04B3" w14:textId="3AA663A6" w:rsidR="000C1CFD" w:rsidRPr="006364F2" w:rsidRDefault="00B60EAB">
      <w:pPr>
        <w:rPr>
          <w:rFonts w:ascii="Arial" w:hAnsi="Arial" w:cs="Arial"/>
          <w:b/>
          <w:bCs/>
        </w:rPr>
      </w:pPr>
      <w:r w:rsidRPr="006364F2">
        <w:rPr>
          <w:rFonts w:ascii="Arial" w:hAnsi="Arial" w:cs="Arial"/>
          <w:b/>
          <w:bCs/>
        </w:rPr>
        <w:t xml:space="preserve">Key Workings (NPV at </w:t>
      </w:r>
      <w:r w:rsidR="00C41C8C" w:rsidRPr="006364F2">
        <w:rPr>
          <w:rFonts w:ascii="Arial" w:hAnsi="Arial" w:cs="Arial"/>
          <w:b/>
          <w:bCs/>
        </w:rPr>
        <w:t>8%, £m):</w:t>
      </w:r>
    </w:p>
    <w:p w14:paraId="50D5F8DB" w14:textId="32A66714" w:rsidR="00C41C8C" w:rsidRPr="00A6432D" w:rsidRDefault="00C41C8C">
      <w:pPr>
        <w:rPr>
          <w:rFonts w:ascii="Arial" w:hAnsi="Arial" w:cs="Arial"/>
          <w:color w:val="000000"/>
          <w:sz w:val="22"/>
          <w:szCs w:val="22"/>
        </w:rPr>
      </w:pPr>
      <w:r w:rsidRPr="00A6432D">
        <w:rPr>
          <w:rFonts w:ascii="Arial" w:hAnsi="Arial" w:cs="Arial"/>
          <w:sz w:val="22"/>
          <w:szCs w:val="22"/>
        </w:rPr>
        <w:t>A: (10</w:t>
      </w:r>
      <w:r w:rsidR="00F21FFF" w:rsidRPr="00A6432D">
        <w:rPr>
          <w:rFonts w:ascii="Arial" w:hAnsi="Arial" w:cs="Arial"/>
          <w:sz w:val="22"/>
          <w:szCs w:val="22"/>
        </w:rPr>
        <w:t>x0.</w:t>
      </w:r>
      <w:r w:rsidR="009148A9" w:rsidRPr="00A6432D">
        <w:rPr>
          <w:rFonts w:ascii="Arial" w:hAnsi="Arial" w:cs="Arial"/>
          <w:sz w:val="22"/>
          <w:szCs w:val="22"/>
        </w:rPr>
        <w:t>926)</w:t>
      </w:r>
      <w:r w:rsidR="002B6995" w:rsidRPr="00A6432D">
        <w:rPr>
          <w:rFonts w:ascii="Arial" w:hAnsi="Arial" w:cs="Arial"/>
          <w:sz w:val="22"/>
          <w:szCs w:val="22"/>
        </w:rPr>
        <w:t xml:space="preserve"> </w:t>
      </w:r>
      <w:r w:rsidR="009148A9" w:rsidRPr="00A6432D">
        <w:rPr>
          <w:rFonts w:ascii="Arial" w:hAnsi="Arial" w:cs="Arial"/>
          <w:sz w:val="22"/>
          <w:szCs w:val="22"/>
        </w:rPr>
        <w:t>+</w:t>
      </w:r>
      <w:r w:rsidR="002B6995" w:rsidRPr="00A6432D">
        <w:rPr>
          <w:rFonts w:ascii="Arial" w:hAnsi="Arial" w:cs="Arial"/>
          <w:sz w:val="22"/>
          <w:szCs w:val="22"/>
        </w:rPr>
        <w:t xml:space="preserve"> </w:t>
      </w:r>
      <w:r w:rsidR="009148A9" w:rsidRPr="00A6432D">
        <w:rPr>
          <w:rFonts w:ascii="Arial" w:hAnsi="Arial" w:cs="Arial"/>
          <w:sz w:val="22"/>
          <w:szCs w:val="22"/>
        </w:rPr>
        <w:t>(12x0.857)</w:t>
      </w:r>
      <w:r w:rsidR="002B6995" w:rsidRPr="00A6432D">
        <w:rPr>
          <w:rFonts w:ascii="Arial" w:hAnsi="Arial" w:cs="Arial"/>
          <w:sz w:val="22"/>
          <w:szCs w:val="22"/>
        </w:rPr>
        <w:t xml:space="preserve"> </w:t>
      </w:r>
      <w:r w:rsidR="007A5F16" w:rsidRPr="00A6432D">
        <w:rPr>
          <w:rFonts w:ascii="Arial" w:hAnsi="Arial" w:cs="Arial"/>
          <w:sz w:val="22"/>
          <w:szCs w:val="22"/>
        </w:rPr>
        <w:t>+</w:t>
      </w:r>
      <w:r w:rsidR="002B6995" w:rsidRPr="00A6432D">
        <w:rPr>
          <w:rFonts w:ascii="Arial" w:hAnsi="Arial" w:cs="Arial"/>
          <w:sz w:val="22"/>
          <w:szCs w:val="22"/>
        </w:rPr>
        <w:t xml:space="preserve"> </w:t>
      </w:r>
      <w:r w:rsidR="007A5F16" w:rsidRPr="00A6432D">
        <w:rPr>
          <w:rFonts w:ascii="Arial" w:hAnsi="Arial" w:cs="Arial"/>
          <w:sz w:val="22"/>
          <w:szCs w:val="22"/>
        </w:rPr>
        <w:t>(14x0.794)</w:t>
      </w:r>
      <w:r w:rsidR="002B6995" w:rsidRPr="00A6432D">
        <w:rPr>
          <w:rFonts w:ascii="Arial" w:hAnsi="Arial" w:cs="Arial"/>
          <w:sz w:val="22"/>
          <w:szCs w:val="22"/>
        </w:rPr>
        <w:t xml:space="preserve"> </w:t>
      </w:r>
      <w:r w:rsidR="007A5F16" w:rsidRPr="00A6432D">
        <w:rPr>
          <w:rFonts w:ascii="Arial" w:hAnsi="Arial" w:cs="Arial"/>
          <w:sz w:val="22"/>
          <w:szCs w:val="22"/>
        </w:rPr>
        <w:t>+</w:t>
      </w:r>
      <w:r w:rsidR="002B6995" w:rsidRPr="00A6432D">
        <w:rPr>
          <w:rFonts w:ascii="Arial" w:hAnsi="Arial" w:cs="Arial"/>
          <w:sz w:val="22"/>
          <w:szCs w:val="22"/>
        </w:rPr>
        <w:t xml:space="preserve"> </w:t>
      </w:r>
      <w:r w:rsidR="009148A9" w:rsidRPr="00A6432D">
        <w:rPr>
          <w:rFonts w:ascii="Arial" w:hAnsi="Arial" w:cs="Arial"/>
          <w:sz w:val="22"/>
          <w:szCs w:val="22"/>
        </w:rPr>
        <w:t>(</w:t>
      </w:r>
      <w:r w:rsidR="00822F97" w:rsidRPr="00A6432D">
        <w:rPr>
          <w:rFonts w:ascii="Arial" w:hAnsi="Arial" w:cs="Arial"/>
          <w:sz w:val="22"/>
          <w:szCs w:val="22"/>
        </w:rPr>
        <w:t>10x0.735)</w:t>
      </w:r>
      <w:r w:rsidR="002B6995" w:rsidRPr="00A6432D">
        <w:rPr>
          <w:rFonts w:ascii="Arial" w:hAnsi="Arial" w:cs="Arial"/>
          <w:sz w:val="22"/>
          <w:szCs w:val="22"/>
        </w:rPr>
        <w:t xml:space="preserve"> </w:t>
      </w:r>
      <w:r w:rsidR="00822F97" w:rsidRPr="00A6432D">
        <w:rPr>
          <w:rFonts w:ascii="Arial" w:hAnsi="Arial" w:cs="Arial"/>
          <w:sz w:val="22"/>
          <w:szCs w:val="22"/>
        </w:rPr>
        <w:t>+</w:t>
      </w:r>
      <w:r w:rsidR="002B6995" w:rsidRPr="00A6432D">
        <w:rPr>
          <w:rFonts w:ascii="Arial" w:hAnsi="Arial" w:cs="Arial"/>
          <w:sz w:val="22"/>
          <w:szCs w:val="22"/>
        </w:rPr>
        <w:t xml:space="preserve"> </w:t>
      </w:r>
      <w:r w:rsidR="00822F97" w:rsidRPr="00A6432D">
        <w:rPr>
          <w:rFonts w:ascii="Arial" w:hAnsi="Arial" w:cs="Arial"/>
          <w:sz w:val="22"/>
          <w:szCs w:val="22"/>
        </w:rPr>
        <w:t>(</w:t>
      </w:r>
      <w:r w:rsidR="007E532D" w:rsidRPr="00A6432D">
        <w:rPr>
          <w:rFonts w:ascii="Arial" w:hAnsi="Arial" w:cs="Arial"/>
          <w:sz w:val="22"/>
          <w:szCs w:val="22"/>
        </w:rPr>
        <w:t>8x0.681)</w:t>
      </w:r>
      <w:r w:rsidR="002B6995" w:rsidRPr="00A6432D">
        <w:rPr>
          <w:rFonts w:ascii="Arial" w:hAnsi="Arial" w:cs="Arial"/>
          <w:sz w:val="22"/>
          <w:szCs w:val="22"/>
        </w:rPr>
        <w:t xml:space="preserve"> </w:t>
      </w:r>
      <w:r w:rsidR="007E532D" w:rsidRPr="00A6432D">
        <w:rPr>
          <w:rFonts w:ascii="Arial" w:hAnsi="Arial" w:cs="Arial"/>
          <w:sz w:val="22"/>
          <w:szCs w:val="22"/>
        </w:rPr>
        <w:t>=43.46</w:t>
      </w:r>
      <w:r w:rsidR="00EE1F54" w:rsidRPr="00A6432D">
        <w:rPr>
          <w:rFonts w:ascii="Arial" w:hAnsi="Arial" w:cs="Arial"/>
          <w:color w:val="000000"/>
          <w:sz w:val="22"/>
          <w:szCs w:val="22"/>
        </w:rPr>
        <w:t xml:space="preserve"> → NPV = –6.55</w:t>
      </w:r>
    </w:p>
    <w:p w14:paraId="3F7BAB59" w14:textId="0999253A" w:rsidR="002B6995" w:rsidRPr="00A6432D" w:rsidRDefault="002B6995">
      <w:pPr>
        <w:rPr>
          <w:rFonts w:ascii="Arial" w:hAnsi="Arial" w:cs="Arial"/>
          <w:color w:val="000000"/>
          <w:sz w:val="22"/>
          <w:szCs w:val="22"/>
        </w:rPr>
      </w:pPr>
      <w:r w:rsidRPr="00A6432D">
        <w:rPr>
          <w:rFonts w:ascii="Arial" w:hAnsi="Arial" w:cs="Arial"/>
          <w:color w:val="000000"/>
          <w:sz w:val="22"/>
          <w:szCs w:val="22"/>
        </w:rPr>
        <w:t xml:space="preserve">B: </w:t>
      </w:r>
      <w:r w:rsidR="00BF66F8" w:rsidRPr="00A6432D">
        <w:rPr>
          <w:rFonts w:ascii="Arial" w:hAnsi="Arial" w:cs="Arial"/>
          <w:color w:val="000000"/>
          <w:sz w:val="22"/>
          <w:szCs w:val="22"/>
        </w:rPr>
        <w:t>11 x ann</w:t>
      </w:r>
      <w:r w:rsidR="0007694D" w:rsidRPr="00A6432D">
        <w:rPr>
          <w:rFonts w:ascii="Arial" w:hAnsi="Arial" w:cs="Arial"/>
          <w:color w:val="000000"/>
          <w:sz w:val="22"/>
          <w:szCs w:val="22"/>
        </w:rPr>
        <w:t>uity factor (5years, 8%) = 11 x 3.993 = 43.92 → NPV</w:t>
      </w:r>
      <w:r w:rsidR="00943EAD" w:rsidRPr="00A6432D">
        <w:rPr>
          <w:rFonts w:ascii="Arial" w:hAnsi="Arial" w:cs="Arial"/>
          <w:color w:val="000000"/>
          <w:sz w:val="22"/>
          <w:szCs w:val="22"/>
        </w:rPr>
        <w:t xml:space="preserve"> = –</w:t>
      </w:r>
      <w:r w:rsidR="003C4364" w:rsidRPr="00A6432D">
        <w:rPr>
          <w:rFonts w:ascii="Arial" w:hAnsi="Arial" w:cs="Arial"/>
          <w:color w:val="000000"/>
          <w:sz w:val="22"/>
          <w:szCs w:val="22"/>
        </w:rPr>
        <w:t>6.08</w:t>
      </w:r>
    </w:p>
    <w:p w14:paraId="559B7305" w14:textId="699E86CD" w:rsidR="003C4364" w:rsidRDefault="003C4364">
      <w:pPr>
        <w:rPr>
          <w:rFonts w:ascii="Arial" w:hAnsi="Arial" w:cs="Arial"/>
          <w:color w:val="000000"/>
          <w:sz w:val="22"/>
          <w:szCs w:val="22"/>
        </w:rPr>
      </w:pPr>
      <w:r w:rsidRPr="00A6432D">
        <w:rPr>
          <w:rFonts w:ascii="Arial" w:hAnsi="Arial" w:cs="Arial"/>
          <w:color w:val="000000"/>
          <w:sz w:val="22"/>
          <w:szCs w:val="22"/>
        </w:rPr>
        <w:t xml:space="preserve">C: (5x0.926) </w:t>
      </w:r>
      <w:r w:rsidR="002E178E" w:rsidRPr="00A6432D">
        <w:rPr>
          <w:rFonts w:ascii="Arial" w:hAnsi="Arial" w:cs="Arial"/>
          <w:color w:val="000000"/>
          <w:sz w:val="22"/>
          <w:szCs w:val="22"/>
        </w:rPr>
        <w:t>+ (10x0.857) + (20</w:t>
      </w:r>
      <w:r w:rsidR="005B1F7E" w:rsidRPr="00A6432D">
        <w:rPr>
          <w:rFonts w:ascii="Arial" w:hAnsi="Arial" w:cs="Arial"/>
          <w:color w:val="000000"/>
          <w:sz w:val="22"/>
          <w:szCs w:val="22"/>
        </w:rPr>
        <w:t>x0.794) + (25x0.735) + (5x</w:t>
      </w:r>
      <w:r w:rsidR="005918E6" w:rsidRPr="00A6432D">
        <w:rPr>
          <w:rFonts w:ascii="Arial" w:hAnsi="Arial" w:cs="Arial"/>
          <w:color w:val="000000"/>
          <w:sz w:val="22"/>
          <w:szCs w:val="22"/>
        </w:rPr>
        <w:t xml:space="preserve">0.681) = 50.86 → </w:t>
      </w:r>
      <w:r w:rsidR="00A6432D" w:rsidRPr="00A6432D">
        <w:rPr>
          <w:rFonts w:ascii="Arial" w:hAnsi="Arial" w:cs="Arial"/>
          <w:color w:val="000000"/>
          <w:sz w:val="22"/>
          <w:szCs w:val="22"/>
        </w:rPr>
        <w:t>NPV = +0.86</w:t>
      </w:r>
    </w:p>
    <w:p w14:paraId="32620000" w14:textId="77777777" w:rsidR="00A6432D" w:rsidRDefault="00A6432D">
      <w:pPr>
        <w:rPr>
          <w:rFonts w:ascii="Arial" w:hAnsi="Arial" w:cs="Arial"/>
          <w:color w:val="000000"/>
          <w:sz w:val="22"/>
          <w:szCs w:val="22"/>
        </w:rPr>
      </w:pPr>
    </w:p>
    <w:p w14:paraId="3C11CC0B" w14:textId="2B11F342" w:rsidR="00A6432D" w:rsidRPr="00B578EC" w:rsidRDefault="00A6432D">
      <w:pPr>
        <w:rPr>
          <w:rFonts w:ascii="Arial" w:hAnsi="Arial" w:cs="Arial"/>
          <w:color w:val="000000"/>
        </w:rPr>
      </w:pPr>
      <w:r w:rsidRPr="00B578EC">
        <w:rPr>
          <w:rFonts w:ascii="Arial" w:hAnsi="Arial" w:cs="Arial"/>
          <w:color w:val="000000"/>
        </w:rPr>
        <w:t>Only Project C clears the 8% hurdle rate, it</w:t>
      </w:r>
      <w:r w:rsidR="00B578EC" w:rsidRPr="00B578EC">
        <w:rPr>
          <w:rFonts w:ascii="Arial" w:hAnsi="Arial" w:cs="Arial"/>
          <w:color w:val="000000"/>
        </w:rPr>
        <w:t>s IRR (8.6%) exceeds the discount rate, giving it the only positive NPV and a PI above 1.</w:t>
      </w:r>
    </w:p>
    <w:p w14:paraId="2F608A18" w14:textId="77777777" w:rsidR="00B578EC" w:rsidRDefault="00B578EC">
      <w:pPr>
        <w:rPr>
          <w:rFonts w:ascii="Arial" w:hAnsi="Arial" w:cs="Arial"/>
          <w:color w:val="000000"/>
          <w:sz w:val="22"/>
          <w:szCs w:val="22"/>
        </w:rPr>
      </w:pPr>
    </w:p>
    <w:p w14:paraId="4BF8CEB0" w14:textId="77C7F289" w:rsidR="00B578EC" w:rsidRPr="006364F2" w:rsidRDefault="00B578EC" w:rsidP="006364F2">
      <w:pPr>
        <w:spacing w:line="360" w:lineRule="auto"/>
        <w:jc w:val="both"/>
        <w:rPr>
          <w:rFonts w:ascii="Arial" w:hAnsi="Arial" w:cs="Arial"/>
          <w:b/>
          <w:bCs/>
          <w:color w:val="000000"/>
          <w:sz w:val="28"/>
          <w:szCs w:val="28"/>
        </w:rPr>
      </w:pPr>
      <w:r w:rsidRPr="006364F2">
        <w:rPr>
          <w:rFonts w:ascii="Arial" w:hAnsi="Arial" w:cs="Arial"/>
          <w:b/>
          <w:bCs/>
          <w:color w:val="000000"/>
          <w:sz w:val="28"/>
          <w:szCs w:val="28"/>
        </w:rPr>
        <w:t>Recommendation</w:t>
      </w:r>
    </w:p>
    <w:p w14:paraId="11BFC5CC" w14:textId="5C1BFBB5" w:rsidR="00943EAD" w:rsidRPr="006364F2" w:rsidRDefault="00F415E6" w:rsidP="006364F2">
      <w:pPr>
        <w:spacing w:line="360" w:lineRule="auto"/>
        <w:jc w:val="both"/>
        <w:rPr>
          <w:rFonts w:ascii="Arial" w:hAnsi="Arial" w:cs="Arial"/>
          <w:color w:val="000000"/>
        </w:rPr>
      </w:pPr>
      <w:r w:rsidRPr="006364F2">
        <w:rPr>
          <w:rFonts w:ascii="Arial" w:hAnsi="Arial" w:cs="Arial"/>
          <w:color w:val="000000"/>
        </w:rPr>
        <w:t>Project C is the only investment that adds value based on NPV, PI, and IRR, which are the theoretically superior criteria since they take into account the time value of money and the whole cash flow stream. While both A and B destroy shareholder value at this discount rate (NPV of −£6.55m and −£6.08m, respectively), its NPV of +£0.86m shows that it is likely to deliver a return above the 8% cost of capital. This is confirmed by Project C's IRR of 8.6%; it is the only project whose IRR is higher than the needed return of 8%.</w:t>
      </w:r>
    </w:p>
    <w:p w14:paraId="572E8F7D" w14:textId="3442E81F" w:rsidR="00F415E6" w:rsidRPr="006364F2" w:rsidRDefault="00B35484" w:rsidP="006364F2">
      <w:pPr>
        <w:spacing w:line="360" w:lineRule="auto"/>
        <w:jc w:val="both"/>
        <w:rPr>
          <w:rFonts w:ascii="Arial" w:hAnsi="Arial" w:cs="Arial"/>
          <w:color w:val="000000"/>
        </w:rPr>
      </w:pPr>
      <w:r w:rsidRPr="006364F2">
        <w:rPr>
          <w:rFonts w:ascii="Arial" w:hAnsi="Arial" w:cs="Arial"/>
          <w:color w:val="000000"/>
        </w:rPr>
        <w:t>A separate but complimentary tale is told by the payback period. In addition, Project C returns its investment the quickest—in 3 years and 219 days as opposed to more over 4 years for A and B. Liquidity is important because C delivers funds to the company sooner,</w:t>
      </w:r>
      <w:r w:rsidR="00B56947">
        <w:rPr>
          <w:rFonts w:ascii="Arial" w:hAnsi="Arial" w:cs="Arial"/>
          <w:color w:val="000000"/>
        </w:rPr>
        <w:t xml:space="preserve"> According to Atrill (2020) </w:t>
      </w:r>
      <w:r w:rsidRPr="006364F2">
        <w:rPr>
          <w:rFonts w:ascii="Arial" w:hAnsi="Arial" w:cs="Arial"/>
          <w:color w:val="000000"/>
        </w:rPr>
        <w:t>lowering financing risk exposure and enhancing the company's capacity to satisfy short-term obligations or reinvest. Payback, however, should supplement rather than replace the NPV-based choice since it overlooks cash flows after the cut-off point and the time value of money</w:t>
      </w:r>
      <w:r w:rsidR="00A245E0">
        <w:rPr>
          <w:rFonts w:ascii="Arial" w:hAnsi="Arial" w:cs="Arial"/>
          <w:color w:val="000000"/>
        </w:rPr>
        <w:t xml:space="preserve"> (Watson and Head 2019).</w:t>
      </w:r>
    </w:p>
    <w:p w14:paraId="2EA86265" w14:textId="24B3F1E1" w:rsidR="00B35484" w:rsidRPr="006364F2" w:rsidRDefault="00B35484" w:rsidP="006364F2">
      <w:pPr>
        <w:spacing w:line="360" w:lineRule="auto"/>
        <w:jc w:val="both"/>
        <w:rPr>
          <w:rFonts w:ascii="Arial" w:hAnsi="Arial" w:cs="Arial"/>
          <w:color w:val="000000"/>
        </w:rPr>
      </w:pPr>
      <w:r w:rsidRPr="006364F2">
        <w:rPr>
          <w:rFonts w:ascii="Arial" w:hAnsi="Arial" w:cs="Arial"/>
          <w:color w:val="000000"/>
        </w:rPr>
        <w:t xml:space="preserve">Due to its backloaded and quickly increasing cash flows (£20 million and £25 million in Years 3–4), Project C's ARR (6.0%) is three to four times larger than that of A or B. </w:t>
      </w:r>
      <w:r w:rsidRPr="006364F2">
        <w:rPr>
          <w:rFonts w:ascii="Arial" w:hAnsi="Arial" w:cs="Arial"/>
          <w:color w:val="000000"/>
        </w:rPr>
        <w:lastRenderedPageBreak/>
        <w:t>If a product is increasing its market share, for instance, this growth trajectory could also be appealing.</w:t>
      </w:r>
    </w:p>
    <w:p w14:paraId="19BC07CB" w14:textId="097F1FAF" w:rsidR="00B35484" w:rsidRPr="006364F2" w:rsidRDefault="00D51CCD" w:rsidP="006364F2">
      <w:pPr>
        <w:spacing w:line="360" w:lineRule="auto"/>
        <w:jc w:val="both"/>
        <w:rPr>
          <w:rFonts w:ascii="Arial" w:hAnsi="Arial" w:cs="Arial"/>
          <w:color w:val="000000"/>
        </w:rPr>
      </w:pPr>
      <w:r w:rsidRPr="006364F2">
        <w:rPr>
          <w:rFonts w:ascii="Arial" w:hAnsi="Arial" w:cs="Arial"/>
          <w:color w:val="000000"/>
        </w:rPr>
        <w:t xml:space="preserve">It's important to examine non-financial factors as well. Political risk (regulation change, currency exposure if international) might jeopardize the back-loaded cash flows that Project C depends on for its net present value (NPV) advantage if it represents entrance into a new or more risky market. </w:t>
      </w:r>
      <w:r w:rsidR="002F4B6D">
        <w:rPr>
          <w:rFonts w:ascii="Arial" w:hAnsi="Arial" w:cs="Arial"/>
          <w:color w:val="000000"/>
        </w:rPr>
        <w:t>According to Arnold (2013) r</w:t>
      </w:r>
      <w:r w:rsidRPr="006364F2">
        <w:rPr>
          <w:rFonts w:ascii="Arial" w:hAnsi="Arial" w:cs="Arial"/>
          <w:color w:val="000000"/>
        </w:rPr>
        <w:t>eputational risk and client loyalty are also important; a project with quickly increasing cash flows may rely on repeat business or customer retention, both of which include execution risk. Even in the absence of a positive net present value at this rate, Projects A and B, with flatter or falling cash flow patterns, could represent more stable, lower-risk companies (such as established markets), which could appeal to a risk-averse board.</w:t>
      </w:r>
    </w:p>
    <w:p w14:paraId="39B4EC26" w14:textId="424FD434" w:rsidR="00D51CCD" w:rsidRPr="006364F2" w:rsidRDefault="00CB122C" w:rsidP="006364F2">
      <w:pPr>
        <w:spacing w:line="360" w:lineRule="auto"/>
        <w:jc w:val="both"/>
        <w:rPr>
          <w:rFonts w:ascii="Arial" w:hAnsi="Arial" w:cs="Arial"/>
          <w:b/>
          <w:bCs/>
          <w:color w:val="000000"/>
        </w:rPr>
      </w:pPr>
      <w:r w:rsidRPr="006364F2">
        <w:rPr>
          <w:rFonts w:ascii="Arial" w:hAnsi="Arial" w:cs="Arial"/>
          <w:b/>
          <w:bCs/>
          <w:color w:val="000000"/>
        </w:rPr>
        <w:t>CAPITAL RATIOING WITH 100M LIMIT</w:t>
      </w:r>
    </w:p>
    <w:p w14:paraId="44A799A2" w14:textId="77777777" w:rsidR="00A950B0" w:rsidRPr="006364F2" w:rsidRDefault="00A950B0" w:rsidP="006364F2">
      <w:pPr>
        <w:spacing w:line="360" w:lineRule="auto"/>
        <w:jc w:val="both"/>
        <w:rPr>
          <w:rFonts w:ascii="Arial" w:hAnsi="Arial" w:cs="Arial"/>
          <w:color w:val="000000"/>
        </w:rPr>
      </w:pPr>
      <w:r w:rsidRPr="006364F2">
        <w:rPr>
          <w:rFonts w:ascii="Arial" w:hAnsi="Arial" w:cs="Arial"/>
          <w:color w:val="000000"/>
        </w:rPr>
        <w:t>At most two projects can be sponsored with the £100 million available, with each project costing £50 million. Since all three projects are indivisible and of comparable size, the goal under capital rationing is to maximize net present value (NPV) per pound invested, or rank by Profitability Index (PI). As a result, PI ranking and total NPV ranking coincide.</w:t>
      </w:r>
    </w:p>
    <w:p w14:paraId="6CBDAF2B" w14:textId="77777777" w:rsidR="00A950B0" w:rsidRPr="006364F2" w:rsidRDefault="00A950B0" w:rsidP="006364F2">
      <w:pPr>
        <w:spacing w:line="360" w:lineRule="auto"/>
        <w:jc w:val="both"/>
        <w:rPr>
          <w:rFonts w:ascii="Arial" w:hAnsi="Arial" w:cs="Arial"/>
          <w:color w:val="000000"/>
        </w:rPr>
      </w:pPr>
      <w:r w:rsidRPr="006364F2">
        <w:rPr>
          <w:rFonts w:ascii="Arial" w:hAnsi="Arial" w:cs="Arial"/>
          <w:color w:val="000000"/>
        </w:rPr>
        <w:t>PI ranking: A (0.87) &gt; B (0.88) &gt; C (1.02)</w:t>
      </w:r>
    </w:p>
    <w:p w14:paraId="2D82877F" w14:textId="43F60439" w:rsidR="00CB122C" w:rsidRPr="006364F2" w:rsidRDefault="00A950B0" w:rsidP="006364F2">
      <w:pPr>
        <w:spacing w:line="360" w:lineRule="auto"/>
        <w:jc w:val="both"/>
        <w:rPr>
          <w:rFonts w:ascii="Arial" w:hAnsi="Arial" w:cs="Arial"/>
          <w:color w:val="000000"/>
        </w:rPr>
      </w:pPr>
      <w:r w:rsidRPr="006364F2">
        <w:rPr>
          <w:rFonts w:ascii="Arial" w:hAnsi="Arial" w:cs="Arial"/>
          <w:color w:val="000000"/>
        </w:rPr>
        <w:t>Therefore, Project C + Project B is the best combination, with a combined NPV of −£5.22m, the least value-destructive pairing (compared to −£5.69m for C+A or −£12.63m for A+B).</w:t>
      </w:r>
    </w:p>
    <w:p w14:paraId="2FB3087C" w14:textId="71D16742" w:rsidR="00A950B0" w:rsidRPr="006364F2" w:rsidRDefault="006364F2" w:rsidP="006364F2">
      <w:pPr>
        <w:spacing w:line="360" w:lineRule="auto"/>
        <w:jc w:val="both"/>
        <w:rPr>
          <w:rFonts w:ascii="Arial" w:hAnsi="Arial" w:cs="Arial"/>
          <w:color w:val="000000"/>
        </w:rPr>
      </w:pPr>
      <w:r w:rsidRPr="006364F2">
        <w:rPr>
          <w:rFonts w:ascii="Arial" w:hAnsi="Arial" w:cs="Arial"/>
          <w:color w:val="000000"/>
        </w:rPr>
        <w:t>However, this result highlights a drawback of forcing a two-project selection: since only Project C adds value on its own, the financially optimal choice under unconstrained choice would be to invest just £50 million in Project C alone and return or redeploy the remaining £50 million elsewhere (e.g., debt reduction, other investment opportunities), rather than accepting a second negative-NPV project just to use up the capital ceiling.</w:t>
      </w:r>
    </w:p>
    <w:p w14:paraId="79E60DE3" w14:textId="77777777" w:rsidR="006364F2" w:rsidRDefault="006364F2" w:rsidP="00A950B0">
      <w:pPr>
        <w:rPr>
          <w:rFonts w:ascii="-webkit-standard" w:hAnsi="-webkit-standard"/>
          <w:color w:val="000000"/>
          <w:sz w:val="27"/>
          <w:szCs w:val="27"/>
        </w:rPr>
      </w:pPr>
    </w:p>
    <w:p w14:paraId="2B8290CD" w14:textId="77777777" w:rsidR="00EE1F54" w:rsidRDefault="00EE1F54"/>
    <w:p w14:paraId="51250E0C" w14:textId="180811BC" w:rsidR="002D2A34" w:rsidRDefault="000C1CFD">
      <w:r>
        <w:br w:type="page"/>
      </w:r>
    </w:p>
    <w:p w14:paraId="38AD57A8" w14:textId="0757BA97" w:rsidR="004C53B2" w:rsidRPr="00CA3CD2" w:rsidRDefault="002D2A34" w:rsidP="00CA3CD2">
      <w:pPr>
        <w:pStyle w:val="Heading1"/>
        <w:rPr>
          <w:rFonts w:ascii="Baskerville Old Face" w:hAnsi="Baskerville Old Face"/>
          <w:b/>
          <w:bCs/>
          <w:color w:val="000000" w:themeColor="text1"/>
          <w:sz w:val="36"/>
          <w:szCs w:val="36"/>
        </w:rPr>
      </w:pPr>
      <w:bookmarkStart w:id="22" w:name="_Toc235559603"/>
      <w:r w:rsidRPr="0025269A">
        <w:rPr>
          <w:rFonts w:ascii="Baskerville Old Face" w:hAnsi="Baskerville Old Face"/>
          <w:b/>
          <w:bCs/>
          <w:color w:val="000000" w:themeColor="text1"/>
          <w:sz w:val="36"/>
          <w:szCs w:val="36"/>
        </w:rPr>
        <w:lastRenderedPageBreak/>
        <w:t>REFERENCE LIST:</w:t>
      </w:r>
      <w:bookmarkEnd w:id="22"/>
    </w:p>
    <w:p w14:paraId="6D089B46" w14:textId="77777777" w:rsidR="004C53B2" w:rsidRDefault="004C53B2" w:rsidP="004C53B2">
      <w:pPr>
        <w:spacing w:line="360" w:lineRule="auto"/>
        <w:jc w:val="both"/>
        <w:rPr>
          <w:rFonts w:ascii="Arial" w:hAnsi="Arial" w:cs="Arial"/>
        </w:rPr>
      </w:pPr>
      <w:r w:rsidRPr="004C53B2">
        <w:rPr>
          <w:rFonts w:ascii="Arial" w:hAnsi="Arial" w:cs="Arial"/>
        </w:rPr>
        <w:t xml:space="preserve">Abdullah, S.M. and Zaby, S. (2021) “Seasoned equity offerings and differences in share-price impact by firm categories,” International journal of financial studies, 9(3), pp. 1–10. Available at: </w:t>
      </w:r>
      <w:hyperlink r:id="rId22" w:history="1">
        <w:r w:rsidRPr="004C53B2">
          <w:rPr>
            <w:rStyle w:val="Hyperlink"/>
            <w:rFonts w:ascii="Arial" w:hAnsi="Arial" w:cs="Arial"/>
          </w:rPr>
          <w:t>https://doi.org/10.3390/ijfs9030036</w:t>
        </w:r>
      </w:hyperlink>
      <w:r w:rsidRPr="004C53B2">
        <w:rPr>
          <w:rFonts w:ascii="Arial" w:hAnsi="Arial" w:cs="Arial"/>
        </w:rPr>
        <w:t xml:space="preserve">. </w:t>
      </w:r>
    </w:p>
    <w:p w14:paraId="0186547B" w14:textId="77777777" w:rsidR="00CA3CD2" w:rsidRPr="004C53B2" w:rsidRDefault="00CA3CD2" w:rsidP="004C53B2">
      <w:pPr>
        <w:spacing w:line="360" w:lineRule="auto"/>
        <w:jc w:val="both"/>
        <w:rPr>
          <w:rFonts w:ascii="Arial" w:hAnsi="Arial" w:cs="Arial"/>
        </w:rPr>
      </w:pPr>
    </w:p>
    <w:p w14:paraId="7E39C510" w14:textId="77777777" w:rsidR="004C53B2" w:rsidRDefault="004C53B2" w:rsidP="004C53B2">
      <w:pPr>
        <w:spacing w:line="360" w:lineRule="auto"/>
        <w:jc w:val="both"/>
        <w:rPr>
          <w:rFonts w:ascii="Arial" w:hAnsi="Arial" w:cs="Arial"/>
        </w:rPr>
      </w:pPr>
      <w:r w:rsidRPr="004C53B2">
        <w:rPr>
          <w:rFonts w:ascii="Arial" w:hAnsi="Arial" w:cs="Arial"/>
        </w:rPr>
        <w:t xml:space="preserve">Accor (2018) Consolidated Financial Statements and Notes, December 31, 2018. Paris: Accor SA. Available at: </w:t>
      </w:r>
      <w:hyperlink r:id="rId23" w:history="1">
        <w:r w:rsidRPr="004C53B2">
          <w:rPr>
            <w:rStyle w:val="Hyperlink"/>
            <w:rFonts w:ascii="Arial" w:hAnsi="Arial" w:cs="Arial"/>
          </w:rPr>
          <w:t>https://assets.group.accor.com</w:t>
        </w:r>
      </w:hyperlink>
      <w:r w:rsidRPr="004C53B2">
        <w:rPr>
          <w:rFonts w:ascii="Arial" w:hAnsi="Arial" w:cs="Arial"/>
        </w:rPr>
        <w:t xml:space="preserve"> </w:t>
      </w:r>
    </w:p>
    <w:p w14:paraId="1E1E2DC1" w14:textId="77777777" w:rsidR="00CA3CD2" w:rsidRPr="004C53B2" w:rsidRDefault="00CA3CD2" w:rsidP="004C53B2">
      <w:pPr>
        <w:spacing w:line="360" w:lineRule="auto"/>
        <w:jc w:val="both"/>
        <w:rPr>
          <w:rFonts w:ascii="Arial" w:hAnsi="Arial" w:cs="Arial"/>
        </w:rPr>
      </w:pPr>
    </w:p>
    <w:p w14:paraId="0949E197" w14:textId="77777777" w:rsidR="004C53B2" w:rsidRDefault="004C53B2" w:rsidP="004C53B2">
      <w:pPr>
        <w:spacing w:line="360" w:lineRule="auto"/>
        <w:jc w:val="both"/>
      </w:pPr>
      <w:r w:rsidRPr="004C53B2">
        <w:rPr>
          <w:rFonts w:ascii="Arial" w:hAnsi="Arial" w:cs="Arial"/>
        </w:rPr>
        <w:t xml:space="preserve">Accor (2025) 2024 Universal Registration Document including the Annual Financial Report. Paris: Accor SA. Available at: </w:t>
      </w:r>
      <w:hyperlink r:id="rId24" w:history="1">
        <w:r w:rsidRPr="004C53B2">
          <w:rPr>
            <w:rStyle w:val="Hyperlink"/>
            <w:rFonts w:ascii="Arial" w:hAnsi="Arial" w:cs="Arial"/>
          </w:rPr>
          <w:t>https://assets.group.accor.com</w:t>
        </w:r>
      </w:hyperlink>
      <w:r>
        <w:t xml:space="preserve"> </w:t>
      </w:r>
    </w:p>
    <w:p w14:paraId="26498028" w14:textId="77777777" w:rsidR="00CA3CD2" w:rsidRDefault="00CA3CD2" w:rsidP="004C53B2">
      <w:pPr>
        <w:spacing w:line="360" w:lineRule="auto"/>
        <w:jc w:val="both"/>
      </w:pPr>
    </w:p>
    <w:p w14:paraId="72600B2F" w14:textId="77777777" w:rsidR="004C53B2" w:rsidRDefault="004C53B2" w:rsidP="004C53B2">
      <w:pPr>
        <w:spacing w:line="360" w:lineRule="auto"/>
        <w:jc w:val="both"/>
        <w:rPr>
          <w:rFonts w:ascii="Arial" w:hAnsi="Arial" w:cs="Arial"/>
        </w:rPr>
      </w:pPr>
      <w:r w:rsidRPr="004C53B2">
        <w:rPr>
          <w:rFonts w:ascii="Arial" w:hAnsi="Arial" w:cs="Arial"/>
        </w:rPr>
        <w:t xml:space="preserve">ACCOR 2025 report. </w:t>
      </w:r>
      <w:hyperlink r:id="rId25" w:history="1">
        <w:r w:rsidRPr="004C53B2">
          <w:rPr>
            <w:rStyle w:val="Hyperlink"/>
            <w:rFonts w:ascii="Arial" w:hAnsi="Arial" w:cs="Arial"/>
          </w:rPr>
          <w:t>https://press.accor.com/full-year-2025-results-solid-results-above-2025-guidance/?lang=eng</w:t>
        </w:r>
      </w:hyperlink>
      <w:r w:rsidRPr="004C53B2">
        <w:rPr>
          <w:rFonts w:ascii="Arial" w:hAnsi="Arial" w:cs="Arial"/>
        </w:rPr>
        <w:t xml:space="preserve"> </w:t>
      </w:r>
    </w:p>
    <w:p w14:paraId="0B666DBC" w14:textId="77777777" w:rsidR="00CA3CD2" w:rsidRPr="004C53B2" w:rsidRDefault="00CA3CD2" w:rsidP="004C53B2">
      <w:pPr>
        <w:spacing w:line="360" w:lineRule="auto"/>
        <w:jc w:val="both"/>
        <w:rPr>
          <w:rFonts w:ascii="Arial" w:hAnsi="Arial" w:cs="Arial"/>
        </w:rPr>
      </w:pPr>
    </w:p>
    <w:p w14:paraId="699A0627" w14:textId="77777777" w:rsidR="004C53B2" w:rsidRDefault="004C53B2" w:rsidP="004C53B2">
      <w:pPr>
        <w:spacing w:line="360" w:lineRule="auto"/>
        <w:jc w:val="both"/>
        <w:rPr>
          <w:rFonts w:ascii="Arial" w:hAnsi="Arial" w:cs="Arial"/>
        </w:rPr>
      </w:pPr>
      <w:r w:rsidRPr="004C53B2">
        <w:rPr>
          <w:rFonts w:ascii="Arial" w:hAnsi="Arial" w:cs="Arial"/>
        </w:rPr>
        <w:t>Arnold, G. (2013) Corporate Financial Management. 5th edn. Harlow: Pearson.</w:t>
      </w:r>
    </w:p>
    <w:p w14:paraId="303C209D" w14:textId="77777777" w:rsidR="00CA3CD2" w:rsidRPr="004C53B2" w:rsidRDefault="00CA3CD2" w:rsidP="004C53B2">
      <w:pPr>
        <w:spacing w:line="360" w:lineRule="auto"/>
        <w:jc w:val="both"/>
        <w:rPr>
          <w:rFonts w:ascii="Arial" w:hAnsi="Arial" w:cs="Arial"/>
        </w:rPr>
      </w:pPr>
    </w:p>
    <w:p w14:paraId="54EAFE94" w14:textId="77777777" w:rsidR="004C53B2" w:rsidRDefault="004C53B2" w:rsidP="004C53B2">
      <w:pPr>
        <w:spacing w:line="360" w:lineRule="auto"/>
        <w:jc w:val="both"/>
        <w:rPr>
          <w:rFonts w:ascii="Arial" w:hAnsi="Arial" w:cs="Arial"/>
        </w:rPr>
      </w:pPr>
      <w:r w:rsidRPr="004C53B2">
        <w:rPr>
          <w:rFonts w:ascii="Arial" w:hAnsi="Arial" w:cs="Arial"/>
        </w:rPr>
        <w:t>Atrill, P. (2020) Financial Management for Decision Makers. 9th edn. Harlow: Pearson.</w:t>
      </w:r>
    </w:p>
    <w:p w14:paraId="6CDA2E6E" w14:textId="77777777" w:rsidR="00CA3CD2" w:rsidRPr="004C53B2" w:rsidRDefault="00CA3CD2" w:rsidP="004C53B2">
      <w:pPr>
        <w:spacing w:line="360" w:lineRule="auto"/>
        <w:jc w:val="both"/>
        <w:rPr>
          <w:rFonts w:ascii="Arial" w:hAnsi="Arial" w:cs="Arial"/>
        </w:rPr>
      </w:pPr>
    </w:p>
    <w:p w14:paraId="563549A2" w14:textId="77777777" w:rsidR="004C53B2" w:rsidRDefault="004C53B2" w:rsidP="004C53B2">
      <w:pPr>
        <w:spacing w:line="360" w:lineRule="auto"/>
        <w:jc w:val="both"/>
        <w:rPr>
          <w:rFonts w:ascii="Arial" w:hAnsi="Arial" w:cs="Arial"/>
        </w:rPr>
      </w:pPr>
      <w:r w:rsidRPr="004C53B2">
        <w:rPr>
          <w:rFonts w:ascii="Arial" w:hAnsi="Arial" w:cs="Arial"/>
        </w:rPr>
        <w:t>Bello, C. and Sensini, L., (2020). Financing decisions of SMEs in the hotel industry. </w:t>
      </w:r>
      <w:r w:rsidRPr="004C53B2">
        <w:rPr>
          <w:rFonts w:ascii="Arial" w:hAnsi="Arial" w:cs="Arial"/>
          <w:i/>
          <w:iCs/>
        </w:rPr>
        <w:t>International Journal of Academic Research in Accounting, Finance and Management Sciences</w:t>
      </w:r>
      <w:r w:rsidRPr="004C53B2">
        <w:rPr>
          <w:rFonts w:ascii="Arial" w:hAnsi="Arial" w:cs="Arial"/>
        </w:rPr>
        <w:t>, </w:t>
      </w:r>
      <w:r w:rsidRPr="004C53B2">
        <w:rPr>
          <w:rFonts w:ascii="Arial" w:hAnsi="Arial" w:cs="Arial"/>
          <w:i/>
          <w:iCs/>
        </w:rPr>
        <w:t>10</w:t>
      </w:r>
      <w:r w:rsidRPr="004C53B2">
        <w:rPr>
          <w:rFonts w:ascii="Arial" w:hAnsi="Arial" w:cs="Arial"/>
        </w:rPr>
        <w:t xml:space="preserve">(2), pp.9-14. </w:t>
      </w:r>
    </w:p>
    <w:p w14:paraId="7D416829" w14:textId="77777777" w:rsidR="00CA3CD2" w:rsidRPr="004C53B2" w:rsidRDefault="00CA3CD2" w:rsidP="004C53B2">
      <w:pPr>
        <w:spacing w:line="360" w:lineRule="auto"/>
        <w:jc w:val="both"/>
        <w:rPr>
          <w:rFonts w:ascii="Arial" w:hAnsi="Arial" w:cs="Arial"/>
        </w:rPr>
      </w:pPr>
    </w:p>
    <w:p w14:paraId="5556ABD5" w14:textId="77777777" w:rsidR="004C53B2" w:rsidRDefault="004C53B2" w:rsidP="004C53B2">
      <w:pPr>
        <w:spacing w:line="360" w:lineRule="auto"/>
        <w:jc w:val="both"/>
        <w:rPr>
          <w:rFonts w:ascii="Arial" w:hAnsi="Arial" w:cs="Arial"/>
        </w:rPr>
      </w:pPr>
      <w:r w:rsidRPr="004C53B2">
        <w:rPr>
          <w:rFonts w:ascii="Arial" w:hAnsi="Arial" w:cs="Arial"/>
        </w:rPr>
        <w:t>BERLINGER, E., BIHARY, Z. and WALTER, G., 2018. Corporate cash-pool valuation: a Monte Carlo approach. </w:t>
      </w:r>
      <w:r w:rsidRPr="004C53B2">
        <w:rPr>
          <w:rFonts w:ascii="Arial" w:hAnsi="Arial" w:cs="Arial"/>
          <w:i/>
          <w:iCs/>
        </w:rPr>
        <w:t>Studies in Economics and Finance, </w:t>
      </w:r>
      <w:r w:rsidRPr="004C53B2">
        <w:rPr>
          <w:rFonts w:ascii="Arial" w:hAnsi="Arial" w:cs="Arial"/>
          <w:b/>
          <w:bCs/>
        </w:rPr>
        <w:t>35</w:t>
      </w:r>
      <w:r w:rsidRPr="004C53B2">
        <w:rPr>
          <w:rFonts w:ascii="Arial" w:hAnsi="Arial" w:cs="Arial"/>
        </w:rPr>
        <w:t xml:space="preserve">(1), pp. 153-162. </w:t>
      </w:r>
    </w:p>
    <w:p w14:paraId="019A55C9" w14:textId="77777777" w:rsidR="00CA3CD2" w:rsidRPr="004C53B2" w:rsidRDefault="00CA3CD2" w:rsidP="004C53B2">
      <w:pPr>
        <w:spacing w:line="360" w:lineRule="auto"/>
        <w:jc w:val="both"/>
        <w:rPr>
          <w:rFonts w:ascii="Arial" w:hAnsi="Arial" w:cs="Arial"/>
        </w:rPr>
      </w:pPr>
    </w:p>
    <w:p w14:paraId="790AFE5D" w14:textId="77777777" w:rsidR="004C53B2" w:rsidRDefault="004C53B2" w:rsidP="004C53B2">
      <w:pPr>
        <w:spacing w:line="360" w:lineRule="auto"/>
        <w:jc w:val="both"/>
        <w:rPr>
          <w:rFonts w:ascii="Arial" w:hAnsi="Arial" w:cs="Arial"/>
        </w:rPr>
      </w:pPr>
      <w:r w:rsidRPr="004C53B2">
        <w:rPr>
          <w:rFonts w:ascii="Arial" w:hAnsi="Arial" w:cs="Arial"/>
        </w:rPr>
        <w:t xml:space="preserve">Blal, I. and Bianchi, G. (2019) “The asset light model: A blind spot in hospitality research,” International journal of hospitality management, 76, pp. 39–42. Available at: </w:t>
      </w:r>
      <w:hyperlink r:id="rId26" w:history="1">
        <w:r w:rsidRPr="004C53B2">
          <w:rPr>
            <w:rStyle w:val="Hyperlink"/>
            <w:rFonts w:ascii="Arial" w:hAnsi="Arial" w:cs="Arial"/>
          </w:rPr>
          <w:t>https://doi.org/10.1016/j.ijhm.2018.02.021</w:t>
        </w:r>
      </w:hyperlink>
      <w:r w:rsidRPr="004C53B2">
        <w:rPr>
          <w:rFonts w:ascii="Arial" w:hAnsi="Arial" w:cs="Arial"/>
        </w:rPr>
        <w:t xml:space="preserve">. </w:t>
      </w:r>
    </w:p>
    <w:p w14:paraId="72A8423B" w14:textId="77777777" w:rsidR="00CA3CD2" w:rsidRPr="004C53B2" w:rsidRDefault="00CA3CD2" w:rsidP="004C53B2">
      <w:pPr>
        <w:spacing w:line="360" w:lineRule="auto"/>
        <w:jc w:val="both"/>
        <w:rPr>
          <w:rFonts w:ascii="Arial" w:hAnsi="Arial" w:cs="Arial"/>
        </w:rPr>
      </w:pPr>
    </w:p>
    <w:p w14:paraId="35CD3CE2" w14:textId="77777777" w:rsidR="004C53B2" w:rsidRPr="004C53B2" w:rsidRDefault="004C53B2" w:rsidP="004C53B2">
      <w:pPr>
        <w:spacing w:line="360" w:lineRule="auto"/>
        <w:jc w:val="both"/>
        <w:rPr>
          <w:rFonts w:ascii="Arial" w:hAnsi="Arial" w:cs="Arial"/>
        </w:rPr>
      </w:pPr>
      <w:r w:rsidRPr="004C53B2">
        <w:rPr>
          <w:rFonts w:ascii="Arial" w:hAnsi="Arial" w:cs="Arial"/>
        </w:rPr>
        <w:t xml:space="preserve">Bourke, J.G., Izadi, J. and Olya, H.G. (2020) “Failure of play on asset disposals and share buybacks: Application of game theory in the international hotel market,” Tourism management, 77. Available at: </w:t>
      </w:r>
      <w:hyperlink r:id="rId27" w:history="1">
        <w:r w:rsidRPr="004C53B2">
          <w:rPr>
            <w:rStyle w:val="Hyperlink"/>
            <w:rFonts w:ascii="Arial" w:hAnsi="Arial" w:cs="Arial"/>
          </w:rPr>
          <w:t>https://doi.org/10.1016/j.tourman.2019.103984</w:t>
        </w:r>
      </w:hyperlink>
      <w:r w:rsidRPr="004C53B2">
        <w:rPr>
          <w:rFonts w:ascii="Arial" w:hAnsi="Arial" w:cs="Arial"/>
        </w:rPr>
        <w:t xml:space="preserve">. </w:t>
      </w:r>
    </w:p>
    <w:p w14:paraId="1DA570C3" w14:textId="77777777" w:rsidR="004C53B2" w:rsidRDefault="004C53B2" w:rsidP="004C53B2">
      <w:pPr>
        <w:spacing w:line="360" w:lineRule="auto"/>
        <w:jc w:val="both"/>
        <w:rPr>
          <w:rFonts w:ascii="Arial" w:hAnsi="Arial" w:cs="Arial"/>
        </w:rPr>
      </w:pPr>
      <w:r w:rsidRPr="004C53B2">
        <w:rPr>
          <w:rFonts w:ascii="Arial" w:hAnsi="Arial" w:cs="Arial"/>
        </w:rPr>
        <w:lastRenderedPageBreak/>
        <w:t xml:space="preserve">García-Gómez, C.D. et al. (2021) “Leverage and performance: the case of the U.S. hospitality industry,” Quantitative finance and economics, 5(2), pp. 228–246. Available at: </w:t>
      </w:r>
      <w:hyperlink r:id="rId28" w:history="1">
        <w:r w:rsidRPr="004C53B2">
          <w:rPr>
            <w:rStyle w:val="Hyperlink"/>
            <w:rFonts w:ascii="Arial" w:hAnsi="Arial" w:cs="Arial"/>
          </w:rPr>
          <w:t>https://doi.org/10.3934/QFE.2021010</w:t>
        </w:r>
      </w:hyperlink>
      <w:r w:rsidRPr="004C53B2">
        <w:rPr>
          <w:rFonts w:ascii="Arial" w:hAnsi="Arial" w:cs="Arial"/>
        </w:rPr>
        <w:t xml:space="preserve">. </w:t>
      </w:r>
    </w:p>
    <w:p w14:paraId="29C7BF0A" w14:textId="77777777" w:rsidR="00CA3CD2" w:rsidRPr="004C53B2" w:rsidRDefault="00CA3CD2" w:rsidP="004C53B2">
      <w:pPr>
        <w:spacing w:line="360" w:lineRule="auto"/>
        <w:jc w:val="both"/>
        <w:rPr>
          <w:rFonts w:ascii="Arial" w:hAnsi="Arial" w:cs="Arial"/>
        </w:rPr>
      </w:pPr>
    </w:p>
    <w:p w14:paraId="6EE3A754" w14:textId="77777777" w:rsidR="004C53B2" w:rsidRDefault="004C53B2" w:rsidP="004C53B2">
      <w:pPr>
        <w:spacing w:line="360" w:lineRule="auto"/>
        <w:jc w:val="both"/>
        <w:rPr>
          <w:rFonts w:ascii="Arial" w:hAnsi="Arial" w:cs="Arial"/>
        </w:rPr>
      </w:pPr>
      <w:r w:rsidRPr="004C53B2">
        <w:rPr>
          <w:rFonts w:ascii="Arial" w:hAnsi="Arial" w:cs="Arial"/>
        </w:rPr>
        <w:t xml:space="preserve">Geyer-Klingeberg, J., Hang, M. and Rathgeber, A.W. (2019) “What drives financial hedging? A meta-regression analysis of corporate hedging determinants,” International review of financial analysis, 61, pp. 203–221. Available at: </w:t>
      </w:r>
      <w:hyperlink r:id="rId29" w:history="1">
        <w:r w:rsidRPr="004C53B2">
          <w:rPr>
            <w:rStyle w:val="Hyperlink"/>
            <w:rFonts w:ascii="Arial" w:hAnsi="Arial" w:cs="Arial"/>
          </w:rPr>
          <w:t>https://doi.org/10.1016/j.irfa.2018.11.006</w:t>
        </w:r>
      </w:hyperlink>
      <w:r w:rsidRPr="004C53B2">
        <w:rPr>
          <w:rFonts w:ascii="Arial" w:hAnsi="Arial" w:cs="Arial"/>
        </w:rPr>
        <w:t xml:space="preserve">. </w:t>
      </w:r>
    </w:p>
    <w:p w14:paraId="530AD1AD" w14:textId="77777777" w:rsidR="00CA3CD2" w:rsidRPr="004C53B2" w:rsidRDefault="00CA3CD2" w:rsidP="004C53B2">
      <w:pPr>
        <w:spacing w:line="360" w:lineRule="auto"/>
        <w:jc w:val="both"/>
        <w:rPr>
          <w:rFonts w:ascii="Arial" w:hAnsi="Arial" w:cs="Arial"/>
        </w:rPr>
      </w:pPr>
    </w:p>
    <w:p w14:paraId="2E972E17" w14:textId="77777777" w:rsidR="004C53B2" w:rsidRDefault="004C53B2" w:rsidP="004C53B2">
      <w:pPr>
        <w:spacing w:line="360" w:lineRule="auto"/>
        <w:jc w:val="both"/>
        <w:rPr>
          <w:rFonts w:ascii="Arial" w:hAnsi="Arial" w:cs="Arial"/>
        </w:rPr>
      </w:pPr>
      <w:r w:rsidRPr="004C53B2">
        <w:rPr>
          <w:rFonts w:ascii="Arial" w:hAnsi="Arial" w:cs="Arial"/>
        </w:rPr>
        <w:t xml:space="preserve">Märklin, P. and Bianchi, G. (2022) “A Differentiated Approach to the Asset-Light Model in the Hotel Industry,” Cornell hospitality quarterly, 63(3), pp. 313–319. Available at: </w:t>
      </w:r>
      <w:hyperlink r:id="rId30" w:history="1">
        <w:r w:rsidRPr="004C53B2">
          <w:rPr>
            <w:rStyle w:val="Hyperlink"/>
            <w:rFonts w:ascii="Arial" w:hAnsi="Arial" w:cs="Arial"/>
          </w:rPr>
          <w:t>https://doi.org/10.1177/19389655211006076</w:t>
        </w:r>
      </w:hyperlink>
      <w:r w:rsidRPr="004C53B2">
        <w:rPr>
          <w:rFonts w:ascii="Arial" w:hAnsi="Arial" w:cs="Arial"/>
        </w:rPr>
        <w:t xml:space="preserve">. </w:t>
      </w:r>
    </w:p>
    <w:p w14:paraId="5BA8135D" w14:textId="77777777" w:rsidR="00CA3CD2" w:rsidRPr="004C53B2" w:rsidRDefault="00CA3CD2" w:rsidP="004C53B2">
      <w:pPr>
        <w:spacing w:line="360" w:lineRule="auto"/>
        <w:jc w:val="both"/>
        <w:rPr>
          <w:rFonts w:ascii="Arial" w:hAnsi="Arial" w:cs="Arial"/>
        </w:rPr>
      </w:pPr>
    </w:p>
    <w:p w14:paraId="78CFE379" w14:textId="77777777" w:rsidR="004C53B2" w:rsidRDefault="004C53B2" w:rsidP="004C53B2">
      <w:pPr>
        <w:spacing w:line="360" w:lineRule="auto"/>
        <w:jc w:val="both"/>
        <w:rPr>
          <w:rFonts w:ascii="Arial" w:hAnsi="Arial" w:cs="Arial"/>
        </w:rPr>
      </w:pPr>
      <w:r w:rsidRPr="004C53B2">
        <w:rPr>
          <w:rFonts w:ascii="Arial" w:hAnsi="Arial" w:cs="Arial"/>
        </w:rPr>
        <w:t xml:space="preserve">Moussa, T. et al. (2026) “Sustainability Performance, Cost of Debt, and Institutional Environment Quality: Global Evidence From the Hospitality and Tourism Industry,” Business strategy and the environment, 35(2), pp. 1712–1734. Available at: </w:t>
      </w:r>
      <w:hyperlink r:id="rId31" w:history="1">
        <w:r w:rsidRPr="004C53B2">
          <w:rPr>
            <w:rStyle w:val="Hyperlink"/>
            <w:rFonts w:ascii="Arial" w:hAnsi="Arial" w:cs="Arial"/>
          </w:rPr>
          <w:t>https://doi.org/10.1002/bse.70230</w:t>
        </w:r>
      </w:hyperlink>
      <w:r w:rsidRPr="004C53B2">
        <w:rPr>
          <w:rFonts w:ascii="Arial" w:hAnsi="Arial" w:cs="Arial"/>
        </w:rPr>
        <w:t xml:space="preserve">. </w:t>
      </w:r>
    </w:p>
    <w:p w14:paraId="27FE7870" w14:textId="77777777" w:rsidR="00CA3CD2" w:rsidRPr="004C53B2" w:rsidRDefault="00CA3CD2" w:rsidP="004C53B2">
      <w:pPr>
        <w:spacing w:line="360" w:lineRule="auto"/>
        <w:jc w:val="both"/>
        <w:rPr>
          <w:rFonts w:ascii="Arial" w:hAnsi="Arial" w:cs="Arial"/>
        </w:rPr>
      </w:pPr>
    </w:p>
    <w:p w14:paraId="5A567EDC" w14:textId="77777777" w:rsidR="004C53B2" w:rsidRDefault="004C53B2" w:rsidP="004C53B2">
      <w:pPr>
        <w:spacing w:line="360" w:lineRule="auto"/>
        <w:jc w:val="both"/>
        <w:rPr>
          <w:rFonts w:ascii="Arial" w:hAnsi="Arial" w:cs="Arial"/>
        </w:rPr>
      </w:pPr>
      <w:r w:rsidRPr="004C53B2">
        <w:rPr>
          <w:rFonts w:ascii="Arial" w:hAnsi="Arial" w:cs="Arial"/>
        </w:rPr>
        <w:t xml:space="preserve">Seo, K. et al. (2021) “The asset-light business model and firm performance in complex and dynamic environments: The dynamic capabilities view,” Tourism management, 85. Available at: </w:t>
      </w:r>
      <w:hyperlink r:id="rId32" w:history="1">
        <w:r w:rsidRPr="004C53B2">
          <w:rPr>
            <w:rStyle w:val="Hyperlink"/>
            <w:rFonts w:ascii="Arial" w:hAnsi="Arial" w:cs="Arial"/>
          </w:rPr>
          <w:t>https://doi.org/10.1016/j.tourman.2021.104311</w:t>
        </w:r>
      </w:hyperlink>
      <w:r w:rsidRPr="004C53B2">
        <w:rPr>
          <w:rFonts w:ascii="Arial" w:hAnsi="Arial" w:cs="Arial"/>
        </w:rPr>
        <w:t xml:space="preserve">. </w:t>
      </w:r>
    </w:p>
    <w:p w14:paraId="23B4D400" w14:textId="77777777" w:rsidR="00CA3CD2" w:rsidRPr="004C53B2" w:rsidRDefault="00CA3CD2" w:rsidP="004C53B2">
      <w:pPr>
        <w:spacing w:line="360" w:lineRule="auto"/>
        <w:jc w:val="both"/>
        <w:rPr>
          <w:rFonts w:ascii="Arial" w:hAnsi="Arial" w:cs="Arial"/>
        </w:rPr>
      </w:pPr>
    </w:p>
    <w:p w14:paraId="434D98F6" w14:textId="77777777" w:rsidR="004C53B2" w:rsidRDefault="004C53B2" w:rsidP="004C53B2">
      <w:pPr>
        <w:spacing w:line="360" w:lineRule="auto"/>
        <w:jc w:val="both"/>
        <w:rPr>
          <w:rFonts w:ascii="Arial" w:hAnsi="Arial" w:cs="Arial"/>
        </w:rPr>
      </w:pPr>
      <w:r w:rsidRPr="004C53B2">
        <w:rPr>
          <w:rFonts w:ascii="Arial" w:hAnsi="Arial" w:cs="Arial"/>
        </w:rPr>
        <w:t xml:space="preserve">Sikveland, M., Xie, J. and Zhang, D. (2022) “Determinants of capital structure in the hospitality industry: Impact of clustering and seasonality on debt and liquidity,” International journal of hospitality management, 102. Available at: </w:t>
      </w:r>
      <w:hyperlink r:id="rId33" w:history="1">
        <w:r w:rsidRPr="004C53B2">
          <w:rPr>
            <w:rStyle w:val="Hyperlink"/>
            <w:rFonts w:ascii="Arial" w:hAnsi="Arial" w:cs="Arial"/>
          </w:rPr>
          <w:t>https://doi.org/10.1016/j.ijhm.2022.103172</w:t>
        </w:r>
      </w:hyperlink>
      <w:r w:rsidRPr="004C53B2">
        <w:rPr>
          <w:rFonts w:ascii="Arial" w:hAnsi="Arial" w:cs="Arial"/>
        </w:rPr>
        <w:t xml:space="preserve">. </w:t>
      </w:r>
    </w:p>
    <w:p w14:paraId="0836C4B3" w14:textId="77777777" w:rsidR="00CA3CD2" w:rsidRPr="004C53B2" w:rsidRDefault="00CA3CD2" w:rsidP="004C53B2">
      <w:pPr>
        <w:spacing w:line="360" w:lineRule="auto"/>
        <w:jc w:val="both"/>
        <w:rPr>
          <w:rFonts w:ascii="Arial" w:hAnsi="Arial" w:cs="Arial"/>
        </w:rPr>
      </w:pPr>
    </w:p>
    <w:p w14:paraId="12F1E372" w14:textId="77777777" w:rsidR="004C53B2" w:rsidRDefault="004C53B2" w:rsidP="004C53B2">
      <w:pPr>
        <w:spacing w:line="360" w:lineRule="auto"/>
        <w:jc w:val="both"/>
        <w:rPr>
          <w:rFonts w:ascii="Arial" w:hAnsi="Arial" w:cs="Arial"/>
        </w:rPr>
      </w:pPr>
      <w:r w:rsidRPr="004C53B2">
        <w:rPr>
          <w:rFonts w:ascii="Arial" w:hAnsi="Arial" w:cs="Arial"/>
        </w:rPr>
        <w:t>Watson, D. and Head, A. (2019) Corporate Finance: Principles and Practice. 8th edn. Harlow: Pearson.</w:t>
      </w:r>
    </w:p>
    <w:p w14:paraId="76AE9A87" w14:textId="77777777" w:rsidR="00CA3CD2" w:rsidRPr="004C53B2" w:rsidRDefault="00CA3CD2" w:rsidP="004C53B2">
      <w:pPr>
        <w:spacing w:line="360" w:lineRule="auto"/>
        <w:jc w:val="both"/>
        <w:rPr>
          <w:rFonts w:ascii="Arial" w:hAnsi="Arial" w:cs="Arial"/>
        </w:rPr>
      </w:pPr>
    </w:p>
    <w:p w14:paraId="64AF4A3A" w14:textId="77777777" w:rsidR="004C53B2" w:rsidRDefault="004C53B2" w:rsidP="004C53B2">
      <w:pPr>
        <w:spacing w:line="360" w:lineRule="auto"/>
        <w:jc w:val="both"/>
        <w:rPr>
          <w:rFonts w:ascii="Arial" w:hAnsi="Arial" w:cs="Arial"/>
        </w:rPr>
      </w:pPr>
      <w:r w:rsidRPr="004C53B2">
        <w:rPr>
          <w:rFonts w:ascii="Arial" w:hAnsi="Arial" w:cs="Arial"/>
        </w:rPr>
        <w:t xml:space="preserve">Wuttke, D.A., Blome, C. and Henke, M. (2013) “Focusing the financial flow of supply chains: An empirical investigation of financial supply chain management,” International journal of production economics, 145(2), pp. 773–789. Available at: </w:t>
      </w:r>
      <w:hyperlink r:id="rId34" w:history="1">
        <w:r w:rsidRPr="004C53B2">
          <w:rPr>
            <w:rStyle w:val="Hyperlink"/>
            <w:rFonts w:ascii="Arial" w:hAnsi="Arial" w:cs="Arial"/>
          </w:rPr>
          <w:t>https://doi.org/10.1016/j.ijpe.2013.05.031</w:t>
        </w:r>
      </w:hyperlink>
      <w:r w:rsidRPr="004C53B2">
        <w:rPr>
          <w:rFonts w:ascii="Arial" w:hAnsi="Arial" w:cs="Arial"/>
        </w:rPr>
        <w:t xml:space="preserve">. </w:t>
      </w:r>
    </w:p>
    <w:p w14:paraId="2386744D" w14:textId="3B6C1253" w:rsidR="0071399C" w:rsidRPr="004C53B2" w:rsidRDefault="00891D88" w:rsidP="004C53B2">
      <w:pPr>
        <w:spacing w:line="360" w:lineRule="auto"/>
        <w:jc w:val="both"/>
        <w:rPr>
          <w:rFonts w:ascii="Arial" w:hAnsi="Arial" w:cs="Arial"/>
        </w:rPr>
      </w:pPr>
      <w:r>
        <w:lastRenderedPageBreak/>
        <w:fldChar w:fldCharType="begin"/>
      </w:r>
      <w:r>
        <w:instrText xml:space="preserve"> INCLUDEPICTURE "/Users/noshmanzo/Library/Group Containers/UBF8T346G9.ms/WebArchiveCopyPasteTempFiles/com.microsoft.Word/cidE4719716-81DE-47EB-A4FC-721CE66DD7BD" \* MERGEFORMATINET </w:instrText>
      </w:r>
      <w:r>
        <w:fldChar w:fldCharType="separate"/>
      </w:r>
      <w:r>
        <w:rPr>
          <w:noProof/>
        </w:rPr>
        <w:drawing>
          <wp:inline distT="0" distB="0" distL="0" distR="0" wp14:anchorId="366120DF" wp14:editId="53F47AD6">
            <wp:extent cx="4717473" cy="4365431"/>
            <wp:effectExtent l="0" t="0" r="0" b="3810"/>
            <wp:docPr id="838882403" name="Picture 1" descr="Snip_My_temp_attach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t;E4719716-81DE-47EB-A4FC-721CE66DD7BD&gt;" descr="Snip_My_temp_attachment.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800931" cy="4442661"/>
                    </a:xfrm>
                    <a:prstGeom prst="rect">
                      <a:avLst/>
                    </a:prstGeom>
                    <a:noFill/>
                    <a:ln>
                      <a:noFill/>
                    </a:ln>
                  </pic:spPr>
                </pic:pic>
              </a:graphicData>
            </a:graphic>
          </wp:inline>
        </w:drawing>
      </w:r>
      <w:r>
        <w:fldChar w:fldCharType="end"/>
      </w:r>
      <w:r w:rsidR="00FC2475" w:rsidRPr="00FC2475">
        <w:t xml:space="preserve"> </w:t>
      </w:r>
      <w:r w:rsidR="00FC2475">
        <w:fldChar w:fldCharType="begin"/>
      </w:r>
      <w:r w:rsidR="00FC2475">
        <w:instrText xml:space="preserve"> INCLUDEPICTURE "/Users/noshmanzo/Library/Group Containers/UBF8T346G9.ms/WebArchiveCopyPasteTempFiles/com.microsoft.Word/cid150AB1AA-FFB4-448D-9665-63DCB47DDFC2" \* MERGEFORMATINET </w:instrText>
      </w:r>
      <w:r w:rsidR="00FC2475">
        <w:fldChar w:fldCharType="separate"/>
      </w:r>
      <w:r w:rsidR="00FC2475">
        <w:rPr>
          <w:noProof/>
        </w:rPr>
        <w:drawing>
          <wp:inline distT="0" distB="0" distL="0" distR="0" wp14:anchorId="3C07D44B" wp14:editId="43560B61">
            <wp:extent cx="4468091" cy="3155855"/>
            <wp:effectExtent l="0" t="0" r="2540" b="0"/>
            <wp:docPr id="1598311951" name="Picture 2" descr="Snip_My_temp_attach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t;150AB1AA-FFB4-448D-9665-63DCB47DDFC2&gt;" descr="Snip_My_temp_attachment.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36973" cy="3204507"/>
                    </a:xfrm>
                    <a:prstGeom prst="rect">
                      <a:avLst/>
                    </a:prstGeom>
                    <a:noFill/>
                    <a:ln>
                      <a:noFill/>
                    </a:ln>
                  </pic:spPr>
                </pic:pic>
              </a:graphicData>
            </a:graphic>
          </wp:inline>
        </w:drawing>
      </w:r>
      <w:r w:rsidR="00FC2475">
        <w:fldChar w:fldCharType="end"/>
      </w:r>
    </w:p>
    <w:p w14:paraId="6D5D179D" w14:textId="77777777" w:rsidR="000C58CD" w:rsidRDefault="000C58CD" w:rsidP="003B32C6"/>
    <w:p w14:paraId="2368DC11" w14:textId="77777777" w:rsidR="000C58CD" w:rsidRDefault="000C58CD" w:rsidP="003B32C6"/>
    <w:p w14:paraId="07293F7E" w14:textId="77777777" w:rsidR="00226331" w:rsidRDefault="00226331" w:rsidP="003B32C6"/>
    <w:p w14:paraId="158D7689" w14:textId="77777777" w:rsidR="00356B07" w:rsidRDefault="00356B07" w:rsidP="003B32C6"/>
    <w:p w14:paraId="3336EB21" w14:textId="42AC51F2" w:rsidR="00ED25B3" w:rsidRDefault="00A753DE">
      <w:r w:rsidRPr="002D2A34">
        <w:br w:type="page"/>
      </w:r>
      <w:r w:rsidR="00AE377E">
        <w:lastRenderedPageBreak/>
        <w:fldChar w:fldCharType="begin"/>
      </w:r>
      <w:r w:rsidR="00AE377E">
        <w:instrText xml:space="preserve"> INCLUDEPICTURE "/Users/noshmanzo/Library/Group Containers/UBF8T346G9.ms/WebArchiveCopyPasteTempFiles/com.microsoft.Word/cidDFC50D78-4483-481C-9AA0-69D2C6501F38" \* MERGEFORMATINET </w:instrText>
      </w:r>
      <w:r w:rsidR="00AE377E">
        <w:fldChar w:fldCharType="separate"/>
      </w:r>
      <w:r w:rsidR="00AE377E">
        <w:rPr>
          <w:noProof/>
        </w:rPr>
        <w:drawing>
          <wp:inline distT="0" distB="0" distL="0" distR="0" wp14:anchorId="04CBCBA9" wp14:editId="178B6E08">
            <wp:extent cx="4904105" cy="5351318"/>
            <wp:effectExtent l="0" t="0" r="0" b="0"/>
            <wp:docPr id="828658520" name="Picture 3" descr="Snip_My_temp_attach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t;DFC50D78-4483-481C-9AA0-69D2C6501F38&gt;" descr="Snip_My_temp_attachment.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21451" cy="5370246"/>
                    </a:xfrm>
                    <a:prstGeom prst="rect">
                      <a:avLst/>
                    </a:prstGeom>
                    <a:noFill/>
                    <a:ln>
                      <a:noFill/>
                    </a:ln>
                  </pic:spPr>
                </pic:pic>
              </a:graphicData>
            </a:graphic>
          </wp:inline>
        </w:drawing>
      </w:r>
      <w:r w:rsidR="00AE377E">
        <w:fldChar w:fldCharType="end"/>
      </w:r>
      <w:r w:rsidR="005A6A78" w:rsidRPr="005A6A78">
        <w:rPr>
          <w:noProof/>
        </w:rPr>
        <w:drawing>
          <wp:inline distT="0" distB="0" distL="0" distR="0" wp14:anchorId="00928278" wp14:editId="68C7A825">
            <wp:extent cx="5731510" cy="3096260"/>
            <wp:effectExtent l="0" t="0" r="0" b="2540"/>
            <wp:docPr id="2003255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255326" name=""/>
                    <pic:cNvPicPr/>
                  </pic:nvPicPr>
                  <pic:blipFill>
                    <a:blip r:embed="rId38"/>
                    <a:stretch>
                      <a:fillRect/>
                    </a:stretch>
                  </pic:blipFill>
                  <pic:spPr>
                    <a:xfrm>
                      <a:off x="0" y="0"/>
                      <a:ext cx="5731510" cy="3096260"/>
                    </a:xfrm>
                    <a:prstGeom prst="rect">
                      <a:avLst/>
                    </a:prstGeom>
                  </pic:spPr>
                </pic:pic>
              </a:graphicData>
            </a:graphic>
          </wp:inline>
        </w:drawing>
      </w:r>
    </w:p>
    <w:p w14:paraId="67D08907" w14:textId="77777777" w:rsidR="00ED25B3" w:rsidRDefault="00ED25B3">
      <w:r>
        <w:br w:type="page"/>
      </w:r>
    </w:p>
    <w:p w14:paraId="371F311F" w14:textId="6E65FA1B" w:rsidR="0039245E" w:rsidRDefault="000616B2">
      <w:r>
        <w:lastRenderedPageBreak/>
        <w:fldChar w:fldCharType="begin"/>
      </w:r>
      <w:r>
        <w:instrText xml:space="preserve"> INCLUDEPICTURE "/Users/noshmanzo/Library/Group Containers/UBF8T346G9.ms/WebArchiveCopyPasteTempFiles/com.microsoft.Word/cid77070E8B-4FBE-4526-8EF9-8E08F88E845E" \* MERGEFORMATINET </w:instrText>
      </w:r>
      <w:r>
        <w:fldChar w:fldCharType="separate"/>
      </w:r>
      <w:r>
        <w:rPr>
          <w:noProof/>
        </w:rPr>
        <w:drawing>
          <wp:inline distT="0" distB="0" distL="0" distR="0" wp14:anchorId="5CD44BC7" wp14:editId="71A50295">
            <wp:extent cx="5731510" cy="4740044"/>
            <wp:effectExtent l="0" t="0" r="0" b="0"/>
            <wp:docPr id="1863908846" name="Picture 5" descr="Snip_My_temp_attach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t;77070E8B-4FBE-4526-8EF9-8E08F88E845E&gt;" descr="Snip_My_temp_attachment.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9801" cy="4746901"/>
                    </a:xfrm>
                    <a:prstGeom prst="rect">
                      <a:avLst/>
                    </a:prstGeom>
                    <a:noFill/>
                    <a:ln>
                      <a:noFill/>
                    </a:ln>
                  </pic:spPr>
                </pic:pic>
              </a:graphicData>
            </a:graphic>
          </wp:inline>
        </w:drawing>
      </w:r>
      <w:r>
        <w:fldChar w:fldCharType="end"/>
      </w:r>
    </w:p>
    <w:sectPr w:rsidR="0039245E">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1" w:author="Nosheen Manzoor (2218718)" w:date="2026-07-13T15:35:00Z" w:initials="NM(">
    <w:p w14:paraId="1B89F767" w14:textId="77777777" w:rsidR="006177E9" w:rsidRDefault="006177E9" w:rsidP="006177E9">
      <w:r>
        <w:rPr>
          <w:rStyle w:val="CommentReference"/>
        </w:rPr>
        <w:annotationRef/>
      </w:r>
      <w:r>
        <w:rPr>
          <w:sz w:val="20"/>
          <w:szCs w:val="20"/>
        </w:rPr>
        <w:t xml:space="preserve">Income statement (Revenue, Gross Profit, Operating Expenses, Profit for the year) </w:t>
      </w:r>
    </w:p>
    <w:p w14:paraId="662172D5" w14:textId="77777777" w:rsidR="006177E9" w:rsidRDefault="006177E9" w:rsidP="006177E9">
      <w:r>
        <w:rPr>
          <w:sz w:val="20"/>
          <w:szCs w:val="20"/>
        </w:rPr>
        <w:t>Balance Sheet (Assets, Liabilities and Equity)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662172D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cr w16du wp14">
  <w16cex:commentExtensible w16cex:durableId="62BE5BC6" w16cex:dateUtc="2026-07-13T14: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662172D5" w16cid:durableId="62BE5BC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Baskerville Old Face">
    <w:panose1 w:val="02020602080505020303"/>
    <w:charset w:val="4D"/>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49659D4"/>
    <w:multiLevelType w:val="hybridMultilevel"/>
    <w:tmpl w:val="136436E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4DD660EA"/>
    <w:multiLevelType w:val="multilevel"/>
    <w:tmpl w:val="6ACEE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566B9A"/>
    <w:multiLevelType w:val="hybridMultilevel"/>
    <w:tmpl w:val="76B0B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3F4545"/>
    <w:multiLevelType w:val="multilevel"/>
    <w:tmpl w:val="4FF28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225140"/>
    <w:multiLevelType w:val="multilevel"/>
    <w:tmpl w:val="71183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2663021">
    <w:abstractNumId w:val="2"/>
  </w:num>
  <w:num w:numId="2" w16cid:durableId="1720781163">
    <w:abstractNumId w:val="0"/>
  </w:num>
  <w:num w:numId="3" w16cid:durableId="189422161">
    <w:abstractNumId w:val="1"/>
  </w:num>
  <w:num w:numId="4" w16cid:durableId="519971080">
    <w:abstractNumId w:val="4"/>
  </w:num>
  <w:num w:numId="5" w16cid:durableId="418645869">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Nosheen Manzoor (2218718)">
    <w15:presenceInfo w15:providerId="AD" w15:userId="S::2218718@student.uwtsd.ac.uk::07ea8870-820c-4530-a7d5-1d3ca6d3414f"/>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22F"/>
    <w:rsid w:val="000065F9"/>
    <w:rsid w:val="00011C19"/>
    <w:rsid w:val="000145E6"/>
    <w:rsid w:val="00016739"/>
    <w:rsid w:val="0002198A"/>
    <w:rsid w:val="00022A9F"/>
    <w:rsid w:val="00032CFC"/>
    <w:rsid w:val="00036E30"/>
    <w:rsid w:val="00037A31"/>
    <w:rsid w:val="00044F06"/>
    <w:rsid w:val="0005160F"/>
    <w:rsid w:val="00052F65"/>
    <w:rsid w:val="00054AD1"/>
    <w:rsid w:val="000616B2"/>
    <w:rsid w:val="00062546"/>
    <w:rsid w:val="000667CB"/>
    <w:rsid w:val="00070F7A"/>
    <w:rsid w:val="0007694D"/>
    <w:rsid w:val="00082B79"/>
    <w:rsid w:val="00091E92"/>
    <w:rsid w:val="00094245"/>
    <w:rsid w:val="00095104"/>
    <w:rsid w:val="0009781C"/>
    <w:rsid w:val="000A0BDC"/>
    <w:rsid w:val="000A21EA"/>
    <w:rsid w:val="000A6081"/>
    <w:rsid w:val="000B108D"/>
    <w:rsid w:val="000B7DB6"/>
    <w:rsid w:val="000C1420"/>
    <w:rsid w:val="000C1CFD"/>
    <w:rsid w:val="000C29F8"/>
    <w:rsid w:val="000C3E21"/>
    <w:rsid w:val="000C58CD"/>
    <w:rsid w:val="000C67F1"/>
    <w:rsid w:val="000E4D0C"/>
    <w:rsid w:val="000E6EEF"/>
    <w:rsid w:val="000E70B3"/>
    <w:rsid w:val="000F0240"/>
    <w:rsid w:val="000F0757"/>
    <w:rsid w:val="000F311D"/>
    <w:rsid w:val="000F4C7D"/>
    <w:rsid w:val="000F4DB4"/>
    <w:rsid w:val="00100410"/>
    <w:rsid w:val="0010229D"/>
    <w:rsid w:val="001050DD"/>
    <w:rsid w:val="00106915"/>
    <w:rsid w:val="00106B2B"/>
    <w:rsid w:val="0010727E"/>
    <w:rsid w:val="00111677"/>
    <w:rsid w:val="00111BBF"/>
    <w:rsid w:val="00111FE0"/>
    <w:rsid w:val="00112F2E"/>
    <w:rsid w:val="0011365C"/>
    <w:rsid w:val="0012159E"/>
    <w:rsid w:val="001243CC"/>
    <w:rsid w:val="0012492C"/>
    <w:rsid w:val="00126D54"/>
    <w:rsid w:val="00127947"/>
    <w:rsid w:val="00130E8C"/>
    <w:rsid w:val="00131381"/>
    <w:rsid w:val="00135D8D"/>
    <w:rsid w:val="00136CEF"/>
    <w:rsid w:val="0014233E"/>
    <w:rsid w:val="001476B0"/>
    <w:rsid w:val="00150691"/>
    <w:rsid w:val="0015682A"/>
    <w:rsid w:val="001634D6"/>
    <w:rsid w:val="001635A7"/>
    <w:rsid w:val="00164A64"/>
    <w:rsid w:val="0016727E"/>
    <w:rsid w:val="00172C10"/>
    <w:rsid w:val="0017510C"/>
    <w:rsid w:val="00175A2E"/>
    <w:rsid w:val="00176A01"/>
    <w:rsid w:val="00176CA3"/>
    <w:rsid w:val="0018012A"/>
    <w:rsid w:val="001822C3"/>
    <w:rsid w:val="00184148"/>
    <w:rsid w:val="00184F92"/>
    <w:rsid w:val="00185D64"/>
    <w:rsid w:val="0018730B"/>
    <w:rsid w:val="001924E0"/>
    <w:rsid w:val="00196926"/>
    <w:rsid w:val="001A326C"/>
    <w:rsid w:val="001A4D7D"/>
    <w:rsid w:val="001A7646"/>
    <w:rsid w:val="001B3476"/>
    <w:rsid w:val="001B7CE1"/>
    <w:rsid w:val="001C04DC"/>
    <w:rsid w:val="001C4895"/>
    <w:rsid w:val="001C5ADE"/>
    <w:rsid w:val="001D2DE7"/>
    <w:rsid w:val="001D3811"/>
    <w:rsid w:val="001D5F48"/>
    <w:rsid w:val="001E0742"/>
    <w:rsid w:val="001E65A2"/>
    <w:rsid w:val="001F1DFC"/>
    <w:rsid w:val="001F7196"/>
    <w:rsid w:val="001F73AC"/>
    <w:rsid w:val="00213213"/>
    <w:rsid w:val="00222641"/>
    <w:rsid w:val="00224334"/>
    <w:rsid w:val="00226331"/>
    <w:rsid w:val="00226CCF"/>
    <w:rsid w:val="00241FA8"/>
    <w:rsid w:val="002516B6"/>
    <w:rsid w:val="0025269A"/>
    <w:rsid w:val="00255097"/>
    <w:rsid w:val="0025672D"/>
    <w:rsid w:val="00273C48"/>
    <w:rsid w:val="00275199"/>
    <w:rsid w:val="00275448"/>
    <w:rsid w:val="00277F70"/>
    <w:rsid w:val="00280009"/>
    <w:rsid w:val="00282992"/>
    <w:rsid w:val="002857FC"/>
    <w:rsid w:val="00286E5E"/>
    <w:rsid w:val="002A26BB"/>
    <w:rsid w:val="002A5321"/>
    <w:rsid w:val="002A56F7"/>
    <w:rsid w:val="002A5A10"/>
    <w:rsid w:val="002A6F28"/>
    <w:rsid w:val="002B6995"/>
    <w:rsid w:val="002C3DBE"/>
    <w:rsid w:val="002C3F7F"/>
    <w:rsid w:val="002C4D58"/>
    <w:rsid w:val="002D2931"/>
    <w:rsid w:val="002D2A34"/>
    <w:rsid w:val="002E15A3"/>
    <w:rsid w:val="002E178E"/>
    <w:rsid w:val="002E2A50"/>
    <w:rsid w:val="002E3F26"/>
    <w:rsid w:val="002E57BB"/>
    <w:rsid w:val="002E5991"/>
    <w:rsid w:val="002F4A95"/>
    <w:rsid w:val="002F4B6D"/>
    <w:rsid w:val="0030057C"/>
    <w:rsid w:val="00302109"/>
    <w:rsid w:val="00302E44"/>
    <w:rsid w:val="003032A9"/>
    <w:rsid w:val="0030530E"/>
    <w:rsid w:val="00312130"/>
    <w:rsid w:val="00313F6E"/>
    <w:rsid w:val="00314AF2"/>
    <w:rsid w:val="00314BA4"/>
    <w:rsid w:val="00315241"/>
    <w:rsid w:val="00316CB0"/>
    <w:rsid w:val="0032217B"/>
    <w:rsid w:val="003241AD"/>
    <w:rsid w:val="00327B53"/>
    <w:rsid w:val="00341F3B"/>
    <w:rsid w:val="00350A2A"/>
    <w:rsid w:val="00353E88"/>
    <w:rsid w:val="00356B07"/>
    <w:rsid w:val="003606C2"/>
    <w:rsid w:val="00362513"/>
    <w:rsid w:val="0036287D"/>
    <w:rsid w:val="00362EFD"/>
    <w:rsid w:val="00370178"/>
    <w:rsid w:val="00376915"/>
    <w:rsid w:val="00377A47"/>
    <w:rsid w:val="00382A15"/>
    <w:rsid w:val="00387B2F"/>
    <w:rsid w:val="0039245E"/>
    <w:rsid w:val="003934AA"/>
    <w:rsid w:val="00395FBA"/>
    <w:rsid w:val="00396E98"/>
    <w:rsid w:val="003A3263"/>
    <w:rsid w:val="003A4FBB"/>
    <w:rsid w:val="003A753C"/>
    <w:rsid w:val="003B32C6"/>
    <w:rsid w:val="003B561F"/>
    <w:rsid w:val="003C2750"/>
    <w:rsid w:val="003C4364"/>
    <w:rsid w:val="003D66F3"/>
    <w:rsid w:val="003D721D"/>
    <w:rsid w:val="003E05BE"/>
    <w:rsid w:val="003E17A1"/>
    <w:rsid w:val="003E6E85"/>
    <w:rsid w:val="003F16FE"/>
    <w:rsid w:val="003F19A6"/>
    <w:rsid w:val="003F3BFB"/>
    <w:rsid w:val="003F7518"/>
    <w:rsid w:val="0040413A"/>
    <w:rsid w:val="0041072D"/>
    <w:rsid w:val="004130C1"/>
    <w:rsid w:val="004145EB"/>
    <w:rsid w:val="00416212"/>
    <w:rsid w:val="00416C71"/>
    <w:rsid w:val="00417A3F"/>
    <w:rsid w:val="00417D1C"/>
    <w:rsid w:val="00431E6C"/>
    <w:rsid w:val="004325CB"/>
    <w:rsid w:val="00434CD5"/>
    <w:rsid w:val="00451B4C"/>
    <w:rsid w:val="00452CB0"/>
    <w:rsid w:val="004561C4"/>
    <w:rsid w:val="004563BB"/>
    <w:rsid w:val="00462D62"/>
    <w:rsid w:val="004634AB"/>
    <w:rsid w:val="00464D6D"/>
    <w:rsid w:val="00472A1E"/>
    <w:rsid w:val="004743AD"/>
    <w:rsid w:val="004747A3"/>
    <w:rsid w:val="00474C7C"/>
    <w:rsid w:val="00475F1A"/>
    <w:rsid w:val="00476C85"/>
    <w:rsid w:val="0047786F"/>
    <w:rsid w:val="00481563"/>
    <w:rsid w:val="00485A09"/>
    <w:rsid w:val="004866BE"/>
    <w:rsid w:val="004A4112"/>
    <w:rsid w:val="004B29E8"/>
    <w:rsid w:val="004B30F7"/>
    <w:rsid w:val="004B3887"/>
    <w:rsid w:val="004B68C1"/>
    <w:rsid w:val="004C1B6C"/>
    <w:rsid w:val="004C53B2"/>
    <w:rsid w:val="004C6834"/>
    <w:rsid w:val="004D02F8"/>
    <w:rsid w:val="004D0D8F"/>
    <w:rsid w:val="004D5993"/>
    <w:rsid w:val="004F0E92"/>
    <w:rsid w:val="004F280F"/>
    <w:rsid w:val="004F2A68"/>
    <w:rsid w:val="005045C5"/>
    <w:rsid w:val="00504742"/>
    <w:rsid w:val="00506DBF"/>
    <w:rsid w:val="00507FB5"/>
    <w:rsid w:val="0051313C"/>
    <w:rsid w:val="00516CC6"/>
    <w:rsid w:val="005254EC"/>
    <w:rsid w:val="005262C5"/>
    <w:rsid w:val="00526CB8"/>
    <w:rsid w:val="00535173"/>
    <w:rsid w:val="00536E51"/>
    <w:rsid w:val="00537FC0"/>
    <w:rsid w:val="0055358C"/>
    <w:rsid w:val="00555081"/>
    <w:rsid w:val="0056285E"/>
    <w:rsid w:val="00574A22"/>
    <w:rsid w:val="00576C09"/>
    <w:rsid w:val="0058062A"/>
    <w:rsid w:val="00586ACE"/>
    <w:rsid w:val="00587467"/>
    <w:rsid w:val="005918E6"/>
    <w:rsid w:val="005A013C"/>
    <w:rsid w:val="005A3AD6"/>
    <w:rsid w:val="005A6A78"/>
    <w:rsid w:val="005A75A2"/>
    <w:rsid w:val="005B1F7E"/>
    <w:rsid w:val="005B68EC"/>
    <w:rsid w:val="005C0DC3"/>
    <w:rsid w:val="005C202E"/>
    <w:rsid w:val="005C2EC6"/>
    <w:rsid w:val="005E2E61"/>
    <w:rsid w:val="005E3632"/>
    <w:rsid w:val="005E73D5"/>
    <w:rsid w:val="005F0334"/>
    <w:rsid w:val="005F617D"/>
    <w:rsid w:val="006005E0"/>
    <w:rsid w:val="00602305"/>
    <w:rsid w:val="00607AF7"/>
    <w:rsid w:val="00612E83"/>
    <w:rsid w:val="00612F78"/>
    <w:rsid w:val="006177E9"/>
    <w:rsid w:val="00627BA8"/>
    <w:rsid w:val="006364F2"/>
    <w:rsid w:val="00636FE7"/>
    <w:rsid w:val="00647E74"/>
    <w:rsid w:val="00655B53"/>
    <w:rsid w:val="0065795F"/>
    <w:rsid w:val="00661A5E"/>
    <w:rsid w:val="006649C2"/>
    <w:rsid w:val="00665DE6"/>
    <w:rsid w:val="00666AD1"/>
    <w:rsid w:val="00675E2E"/>
    <w:rsid w:val="00677312"/>
    <w:rsid w:val="006844F0"/>
    <w:rsid w:val="006A3EDA"/>
    <w:rsid w:val="006A7303"/>
    <w:rsid w:val="006B0328"/>
    <w:rsid w:val="006B24FE"/>
    <w:rsid w:val="006B4E28"/>
    <w:rsid w:val="006C0B39"/>
    <w:rsid w:val="006C250E"/>
    <w:rsid w:val="006C6DA4"/>
    <w:rsid w:val="006D1F9F"/>
    <w:rsid w:val="006D2580"/>
    <w:rsid w:val="006E3B07"/>
    <w:rsid w:val="006E487D"/>
    <w:rsid w:val="006E64E9"/>
    <w:rsid w:val="006E6C5D"/>
    <w:rsid w:val="006F775B"/>
    <w:rsid w:val="00705D68"/>
    <w:rsid w:val="007079BC"/>
    <w:rsid w:val="0071399C"/>
    <w:rsid w:val="007142CB"/>
    <w:rsid w:val="0072217D"/>
    <w:rsid w:val="00742EB5"/>
    <w:rsid w:val="00747D25"/>
    <w:rsid w:val="007666ED"/>
    <w:rsid w:val="007721BF"/>
    <w:rsid w:val="0077314C"/>
    <w:rsid w:val="00773B4C"/>
    <w:rsid w:val="007753CE"/>
    <w:rsid w:val="00783C4A"/>
    <w:rsid w:val="00790B81"/>
    <w:rsid w:val="00791422"/>
    <w:rsid w:val="007A5F16"/>
    <w:rsid w:val="007A7B53"/>
    <w:rsid w:val="007B277D"/>
    <w:rsid w:val="007B32CB"/>
    <w:rsid w:val="007B4F68"/>
    <w:rsid w:val="007B7BDA"/>
    <w:rsid w:val="007D4D23"/>
    <w:rsid w:val="007D7E02"/>
    <w:rsid w:val="007E0FFF"/>
    <w:rsid w:val="007E532D"/>
    <w:rsid w:val="007E5664"/>
    <w:rsid w:val="007F3D0F"/>
    <w:rsid w:val="007F6D00"/>
    <w:rsid w:val="00804E6A"/>
    <w:rsid w:val="00814078"/>
    <w:rsid w:val="0081572A"/>
    <w:rsid w:val="00815C39"/>
    <w:rsid w:val="0082141E"/>
    <w:rsid w:val="00822F97"/>
    <w:rsid w:val="008327E8"/>
    <w:rsid w:val="00832F82"/>
    <w:rsid w:val="0083429E"/>
    <w:rsid w:val="00834BBF"/>
    <w:rsid w:val="0084090F"/>
    <w:rsid w:val="00840F53"/>
    <w:rsid w:val="00843A44"/>
    <w:rsid w:val="008453AE"/>
    <w:rsid w:val="00846143"/>
    <w:rsid w:val="00846D10"/>
    <w:rsid w:val="008603C5"/>
    <w:rsid w:val="008621F6"/>
    <w:rsid w:val="00864D18"/>
    <w:rsid w:val="00867202"/>
    <w:rsid w:val="00867AF7"/>
    <w:rsid w:val="0087125C"/>
    <w:rsid w:val="008741A1"/>
    <w:rsid w:val="00886F0D"/>
    <w:rsid w:val="00891D88"/>
    <w:rsid w:val="00893033"/>
    <w:rsid w:val="008A0271"/>
    <w:rsid w:val="008B00A5"/>
    <w:rsid w:val="008B055C"/>
    <w:rsid w:val="008B06B7"/>
    <w:rsid w:val="008B2B59"/>
    <w:rsid w:val="008B63EC"/>
    <w:rsid w:val="008C68DA"/>
    <w:rsid w:val="008D352E"/>
    <w:rsid w:val="008D5D49"/>
    <w:rsid w:val="008D6771"/>
    <w:rsid w:val="008E101A"/>
    <w:rsid w:val="008E569B"/>
    <w:rsid w:val="00901435"/>
    <w:rsid w:val="00905E4E"/>
    <w:rsid w:val="009067F8"/>
    <w:rsid w:val="009148A9"/>
    <w:rsid w:val="0091701E"/>
    <w:rsid w:val="00920BA5"/>
    <w:rsid w:val="009313ED"/>
    <w:rsid w:val="00935736"/>
    <w:rsid w:val="00936483"/>
    <w:rsid w:val="009426A5"/>
    <w:rsid w:val="00943EAD"/>
    <w:rsid w:val="009507CE"/>
    <w:rsid w:val="009560B5"/>
    <w:rsid w:val="00956253"/>
    <w:rsid w:val="00956845"/>
    <w:rsid w:val="00962834"/>
    <w:rsid w:val="009735E1"/>
    <w:rsid w:val="00980D33"/>
    <w:rsid w:val="00984C86"/>
    <w:rsid w:val="00985D47"/>
    <w:rsid w:val="00993D90"/>
    <w:rsid w:val="009947B5"/>
    <w:rsid w:val="00997AC4"/>
    <w:rsid w:val="009A0712"/>
    <w:rsid w:val="009B024D"/>
    <w:rsid w:val="009C084C"/>
    <w:rsid w:val="009C2C65"/>
    <w:rsid w:val="009C367C"/>
    <w:rsid w:val="009C4947"/>
    <w:rsid w:val="009D7A6F"/>
    <w:rsid w:val="009D7D96"/>
    <w:rsid w:val="009E4B0F"/>
    <w:rsid w:val="009E5619"/>
    <w:rsid w:val="00A047CD"/>
    <w:rsid w:val="00A05383"/>
    <w:rsid w:val="00A124ED"/>
    <w:rsid w:val="00A16840"/>
    <w:rsid w:val="00A16F96"/>
    <w:rsid w:val="00A16FC9"/>
    <w:rsid w:val="00A221FF"/>
    <w:rsid w:val="00A22549"/>
    <w:rsid w:val="00A245E0"/>
    <w:rsid w:val="00A24D73"/>
    <w:rsid w:val="00A263D4"/>
    <w:rsid w:val="00A27C9E"/>
    <w:rsid w:val="00A31678"/>
    <w:rsid w:val="00A33F0F"/>
    <w:rsid w:val="00A350B6"/>
    <w:rsid w:val="00A3788C"/>
    <w:rsid w:val="00A425AB"/>
    <w:rsid w:val="00A43305"/>
    <w:rsid w:val="00A46865"/>
    <w:rsid w:val="00A468FF"/>
    <w:rsid w:val="00A5634D"/>
    <w:rsid w:val="00A570E6"/>
    <w:rsid w:val="00A60998"/>
    <w:rsid w:val="00A6432D"/>
    <w:rsid w:val="00A72141"/>
    <w:rsid w:val="00A753DE"/>
    <w:rsid w:val="00A8171E"/>
    <w:rsid w:val="00A85C12"/>
    <w:rsid w:val="00A93992"/>
    <w:rsid w:val="00A93EC5"/>
    <w:rsid w:val="00A950B0"/>
    <w:rsid w:val="00AB7476"/>
    <w:rsid w:val="00AB7F65"/>
    <w:rsid w:val="00AC51C9"/>
    <w:rsid w:val="00AC5EF4"/>
    <w:rsid w:val="00AD107F"/>
    <w:rsid w:val="00AD11F4"/>
    <w:rsid w:val="00AD302B"/>
    <w:rsid w:val="00AD3215"/>
    <w:rsid w:val="00AE377E"/>
    <w:rsid w:val="00AE7880"/>
    <w:rsid w:val="00AF12CD"/>
    <w:rsid w:val="00AF6258"/>
    <w:rsid w:val="00B01EC5"/>
    <w:rsid w:val="00B01FC5"/>
    <w:rsid w:val="00B02220"/>
    <w:rsid w:val="00B0475F"/>
    <w:rsid w:val="00B049ED"/>
    <w:rsid w:val="00B06A45"/>
    <w:rsid w:val="00B2585B"/>
    <w:rsid w:val="00B3067F"/>
    <w:rsid w:val="00B30E8C"/>
    <w:rsid w:val="00B32E31"/>
    <w:rsid w:val="00B3356C"/>
    <w:rsid w:val="00B35484"/>
    <w:rsid w:val="00B56947"/>
    <w:rsid w:val="00B56B54"/>
    <w:rsid w:val="00B578EC"/>
    <w:rsid w:val="00B60EAB"/>
    <w:rsid w:val="00B60FE1"/>
    <w:rsid w:val="00B62396"/>
    <w:rsid w:val="00B6268A"/>
    <w:rsid w:val="00B6539C"/>
    <w:rsid w:val="00B6633A"/>
    <w:rsid w:val="00B71EE6"/>
    <w:rsid w:val="00B84E3C"/>
    <w:rsid w:val="00B873DF"/>
    <w:rsid w:val="00B9240B"/>
    <w:rsid w:val="00B95289"/>
    <w:rsid w:val="00BA07FB"/>
    <w:rsid w:val="00BB3CCA"/>
    <w:rsid w:val="00BB56CF"/>
    <w:rsid w:val="00BC1025"/>
    <w:rsid w:val="00BC384D"/>
    <w:rsid w:val="00BD4923"/>
    <w:rsid w:val="00BD7312"/>
    <w:rsid w:val="00BF4DD8"/>
    <w:rsid w:val="00BF66F8"/>
    <w:rsid w:val="00BF6B1E"/>
    <w:rsid w:val="00C03196"/>
    <w:rsid w:val="00C04BDE"/>
    <w:rsid w:val="00C04F4B"/>
    <w:rsid w:val="00C05642"/>
    <w:rsid w:val="00C05C64"/>
    <w:rsid w:val="00C10284"/>
    <w:rsid w:val="00C11581"/>
    <w:rsid w:val="00C15037"/>
    <w:rsid w:val="00C2460B"/>
    <w:rsid w:val="00C25CBE"/>
    <w:rsid w:val="00C3106F"/>
    <w:rsid w:val="00C32874"/>
    <w:rsid w:val="00C340FB"/>
    <w:rsid w:val="00C35445"/>
    <w:rsid w:val="00C35924"/>
    <w:rsid w:val="00C35DC6"/>
    <w:rsid w:val="00C41C8C"/>
    <w:rsid w:val="00C428E8"/>
    <w:rsid w:val="00C51391"/>
    <w:rsid w:val="00C52DB7"/>
    <w:rsid w:val="00C55BED"/>
    <w:rsid w:val="00C644F2"/>
    <w:rsid w:val="00C74EFB"/>
    <w:rsid w:val="00C8634A"/>
    <w:rsid w:val="00C90CF6"/>
    <w:rsid w:val="00C954E4"/>
    <w:rsid w:val="00CA0062"/>
    <w:rsid w:val="00CA3C05"/>
    <w:rsid w:val="00CA3CD2"/>
    <w:rsid w:val="00CA4A91"/>
    <w:rsid w:val="00CA54EB"/>
    <w:rsid w:val="00CB094B"/>
    <w:rsid w:val="00CB122C"/>
    <w:rsid w:val="00CB352B"/>
    <w:rsid w:val="00CB4149"/>
    <w:rsid w:val="00CC2822"/>
    <w:rsid w:val="00CD5C71"/>
    <w:rsid w:val="00CF1498"/>
    <w:rsid w:val="00CF1622"/>
    <w:rsid w:val="00CF257C"/>
    <w:rsid w:val="00CF2D2A"/>
    <w:rsid w:val="00CF6EF0"/>
    <w:rsid w:val="00D0398F"/>
    <w:rsid w:val="00D10694"/>
    <w:rsid w:val="00D15627"/>
    <w:rsid w:val="00D16B5B"/>
    <w:rsid w:val="00D2261A"/>
    <w:rsid w:val="00D24B12"/>
    <w:rsid w:val="00D40657"/>
    <w:rsid w:val="00D4322F"/>
    <w:rsid w:val="00D51CCD"/>
    <w:rsid w:val="00D52780"/>
    <w:rsid w:val="00D57944"/>
    <w:rsid w:val="00D60198"/>
    <w:rsid w:val="00D70AC3"/>
    <w:rsid w:val="00D73634"/>
    <w:rsid w:val="00D77D9C"/>
    <w:rsid w:val="00D81B93"/>
    <w:rsid w:val="00D82247"/>
    <w:rsid w:val="00D85318"/>
    <w:rsid w:val="00D91ED2"/>
    <w:rsid w:val="00D967EA"/>
    <w:rsid w:val="00DA5DB1"/>
    <w:rsid w:val="00DB0770"/>
    <w:rsid w:val="00DC41D0"/>
    <w:rsid w:val="00DD0433"/>
    <w:rsid w:val="00DD124F"/>
    <w:rsid w:val="00DD5AA1"/>
    <w:rsid w:val="00DE3DA3"/>
    <w:rsid w:val="00DF3179"/>
    <w:rsid w:val="00E03B3D"/>
    <w:rsid w:val="00E13A2F"/>
    <w:rsid w:val="00E157FC"/>
    <w:rsid w:val="00E32BAD"/>
    <w:rsid w:val="00E3576B"/>
    <w:rsid w:val="00E35F50"/>
    <w:rsid w:val="00E519F4"/>
    <w:rsid w:val="00E55040"/>
    <w:rsid w:val="00E57E09"/>
    <w:rsid w:val="00E6048E"/>
    <w:rsid w:val="00E65747"/>
    <w:rsid w:val="00E75A19"/>
    <w:rsid w:val="00E81862"/>
    <w:rsid w:val="00E83EA0"/>
    <w:rsid w:val="00E877A3"/>
    <w:rsid w:val="00E95429"/>
    <w:rsid w:val="00E95788"/>
    <w:rsid w:val="00EA0D9F"/>
    <w:rsid w:val="00EA1249"/>
    <w:rsid w:val="00EA295C"/>
    <w:rsid w:val="00EA5217"/>
    <w:rsid w:val="00EB57DA"/>
    <w:rsid w:val="00EB68F1"/>
    <w:rsid w:val="00EC32C7"/>
    <w:rsid w:val="00EC6291"/>
    <w:rsid w:val="00EC702D"/>
    <w:rsid w:val="00ED25B3"/>
    <w:rsid w:val="00EE061C"/>
    <w:rsid w:val="00EE1F54"/>
    <w:rsid w:val="00EE3D5C"/>
    <w:rsid w:val="00EE6F76"/>
    <w:rsid w:val="00EF2B0B"/>
    <w:rsid w:val="00EF4314"/>
    <w:rsid w:val="00EF7C4D"/>
    <w:rsid w:val="00F01CCD"/>
    <w:rsid w:val="00F0211D"/>
    <w:rsid w:val="00F02D63"/>
    <w:rsid w:val="00F10236"/>
    <w:rsid w:val="00F10616"/>
    <w:rsid w:val="00F12642"/>
    <w:rsid w:val="00F13C7A"/>
    <w:rsid w:val="00F20A9A"/>
    <w:rsid w:val="00F21FFF"/>
    <w:rsid w:val="00F23196"/>
    <w:rsid w:val="00F330FC"/>
    <w:rsid w:val="00F34FA0"/>
    <w:rsid w:val="00F36DE0"/>
    <w:rsid w:val="00F403F7"/>
    <w:rsid w:val="00F415E6"/>
    <w:rsid w:val="00F43632"/>
    <w:rsid w:val="00F445FC"/>
    <w:rsid w:val="00F46368"/>
    <w:rsid w:val="00F54156"/>
    <w:rsid w:val="00F66A10"/>
    <w:rsid w:val="00F71536"/>
    <w:rsid w:val="00F71A40"/>
    <w:rsid w:val="00F7469C"/>
    <w:rsid w:val="00F80F34"/>
    <w:rsid w:val="00F942E4"/>
    <w:rsid w:val="00F95005"/>
    <w:rsid w:val="00F951DA"/>
    <w:rsid w:val="00FA1A37"/>
    <w:rsid w:val="00FA6FD8"/>
    <w:rsid w:val="00FB3AC7"/>
    <w:rsid w:val="00FB3B1D"/>
    <w:rsid w:val="00FC1014"/>
    <w:rsid w:val="00FC2475"/>
    <w:rsid w:val="00FD1BFB"/>
    <w:rsid w:val="00FD3351"/>
    <w:rsid w:val="00FD4BCF"/>
    <w:rsid w:val="00FE014E"/>
    <w:rsid w:val="00FE14E4"/>
    <w:rsid w:val="00FE4EDB"/>
    <w:rsid w:val="00FE6669"/>
    <w:rsid w:val="00FF372C"/>
    <w:rsid w:val="00FF7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D9599"/>
  <w15:chartTrackingRefBased/>
  <w15:docId w15:val="{64DA93EF-7113-5344-91A9-89054A428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32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32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32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32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32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322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322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322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322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2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32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32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32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32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32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32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32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322F"/>
    <w:rPr>
      <w:rFonts w:eastAsiaTheme="majorEastAsia" w:cstheme="majorBidi"/>
      <w:color w:val="272727" w:themeColor="text1" w:themeTint="D8"/>
    </w:rPr>
  </w:style>
  <w:style w:type="paragraph" w:styleId="Title">
    <w:name w:val="Title"/>
    <w:basedOn w:val="Normal"/>
    <w:next w:val="Normal"/>
    <w:link w:val="TitleChar"/>
    <w:uiPriority w:val="10"/>
    <w:qFormat/>
    <w:rsid w:val="00D4322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32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322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32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322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4322F"/>
    <w:rPr>
      <w:i/>
      <w:iCs/>
      <w:color w:val="404040" w:themeColor="text1" w:themeTint="BF"/>
    </w:rPr>
  </w:style>
  <w:style w:type="paragraph" w:styleId="ListParagraph">
    <w:name w:val="List Paragraph"/>
    <w:basedOn w:val="Normal"/>
    <w:uiPriority w:val="34"/>
    <w:qFormat/>
    <w:rsid w:val="00D4322F"/>
    <w:pPr>
      <w:ind w:left="720"/>
      <w:contextualSpacing/>
    </w:pPr>
  </w:style>
  <w:style w:type="character" w:styleId="IntenseEmphasis">
    <w:name w:val="Intense Emphasis"/>
    <w:basedOn w:val="DefaultParagraphFont"/>
    <w:uiPriority w:val="21"/>
    <w:qFormat/>
    <w:rsid w:val="00D4322F"/>
    <w:rPr>
      <w:i/>
      <w:iCs/>
      <w:color w:val="0F4761" w:themeColor="accent1" w:themeShade="BF"/>
    </w:rPr>
  </w:style>
  <w:style w:type="paragraph" w:styleId="IntenseQuote">
    <w:name w:val="Intense Quote"/>
    <w:basedOn w:val="Normal"/>
    <w:next w:val="Normal"/>
    <w:link w:val="IntenseQuoteChar"/>
    <w:uiPriority w:val="30"/>
    <w:qFormat/>
    <w:rsid w:val="00D432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322F"/>
    <w:rPr>
      <w:i/>
      <w:iCs/>
      <w:color w:val="0F4761" w:themeColor="accent1" w:themeShade="BF"/>
    </w:rPr>
  </w:style>
  <w:style w:type="character" w:styleId="IntenseReference">
    <w:name w:val="Intense Reference"/>
    <w:basedOn w:val="DefaultParagraphFont"/>
    <w:uiPriority w:val="32"/>
    <w:qFormat/>
    <w:rsid w:val="00D4322F"/>
    <w:rPr>
      <w:b/>
      <w:bCs/>
      <w:smallCaps/>
      <w:color w:val="0F4761" w:themeColor="accent1" w:themeShade="BF"/>
      <w:spacing w:val="5"/>
    </w:rPr>
  </w:style>
  <w:style w:type="character" w:styleId="Hyperlink">
    <w:name w:val="Hyperlink"/>
    <w:basedOn w:val="DefaultParagraphFont"/>
    <w:uiPriority w:val="99"/>
    <w:unhideWhenUsed/>
    <w:rsid w:val="00D10694"/>
    <w:rPr>
      <w:color w:val="467886" w:themeColor="hyperlink"/>
      <w:u w:val="single"/>
    </w:rPr>
  </w:style>
  <w:style w:type="character" w:styleId="UnresolvedMention">
    <w:name w:val="Unresolved Mention"/>
    <w:basedOn w:val="DefaultParagraphFont"/>
    <w:uiPriority w:val="99"/>
    <w:semiHidden/>
    <w:unhideWhenUsed/>
    <w:rsid w:val="00D10694"/>
    <w:rPr>
      <w:color w:val="605E5C"/>
      <w:shd w:val="clear" w:color="auto" w:fill="E1DFDD"/>
    </w:rPr>
  </w:style>
  <w:style w:type="character" w:styleId="FollowedHyperlink">
    <w:name w:val="FollowedHyperlink"/>
    <w:basedOn w:val="DefaultParagraphFont"/>
    <w:uiPriority w:val="99"/>
    <w:semiHidden/>
    <w:unhideWhenUsed/>
    <w:rsid w:val="00742EB5"/>
    <w:rPr>
      <w:color w:val="96607D" w:themeColor="followedHyperlink"/>
      <w:u w:val="single"/>
    </w:rPr>
  </w:style>
  <w:style w:type="table" w:styleId="TableGrid">
    <w:name w:val="Table Grid"/>
    <w:basedOn w:val="TableNormal"/>
    <w:uiPriority w:val="39"/>
    <w:rsid w:val="00F403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16CC6"/>
  </w:style>
  <w:style w:type="character" w:styleId="Emphasis">
    <w:name w:val="Emphasis"/>
    <w:basedOn w:val="DefaultParagraphFont"/>
    <w:uiPriority w:val="20"/>
    <w:qFormat/>
    <w:rsid w:val="00516CC6"/>
    <w:rPr>
      <w:i/>
      <w:iCs/>
    </w:rPr>
  </w:style>
  <w:style w:type="paragraph" w:styleId="TOCHeading">
    <w:name w:val="TOC Heading"/>
    <w:basedOn w:val="Heading1"/>
    <w:next w:val="Normal"/>
    <w:uiPriority w:val="39"/>
    <w:unhideWhenUsed/>
    <w:qFormat/>
    <w:rsid w:val="005E73D5"/>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5E73D5"/>
    <w:rPr>
      <w:b/>
      <w:bCs/>
      <w:smallCaps/>
      <w:sz w:val="22"/>
      <w:szCs w:val="22"/>
    </w:rPr>
  </w:style>
  <w:style w:type="paragraph" w:styleId="TOC1">
    <w:name w:val="toc 1"/>
    <w:basedOn w:val="Normal"/>
    <w:next w:val="Normal"/>
    <w:autoRedefine/>
    <w:uiPriority w:val="39"/>
    <w:unhideWhenUsed/>
    <w:rsid w:val="005E73D5"/>
    <w:pPr>
      <w:spacing w:before="360" w:after="360"/>
    </w:pPr>
    <w:rPr>
      <w:b/>
      <w:bCs/>
      <w:caps/>
      <w:sz w:val="22"/>
      <w:szCs w:val="22"/>
      <w:u w:val="single"/>
    </w:rPr>
  </w:style>
  <w:style w:type="paragraph" w:styleId="TOC3">
    <w:name w:val="toc 3"/>
    <w:basedOn w:val="Normal"/>
    <w:next w:val="Normal"/>
    <w:autoRedefine/>
    <w:uiPriority w:val="39"/>
    <w:semiHidden/>
    <w:unhideWhenUsed/>
    <w:rsid w:val="005E73D5"/>
    <w:rPr>
      <w:smallCaps/>
      <w:sz w:val="22"/>
      <w:szCs w:val="22"/>
    </w:rPr>
  </w:style>
  <w:style w:type="paragraph" w:styleId="TOC4">
    <w:name w:val="toc 4"/>
    <w:basedOn w:val="Normal"/>
    <w:next w:val="Normal"/>
    <w:autoRedefine/>
    <w:uiPriority w:val="39"/>
    <w:semiHidden/>
    <w:unhideWhenUsed/>
    <w:rsid w:val="005E73D5"/>
    <w:rPr>
      <w:sz w:val="22"/>
      <w:szCs w:val="22"/>
    </w:rPr>
  </w:style>
  <w:style w:type="paragraph" w:styleId="TOC5">
    <w:name w:val="toc 5"/>
    <w:basedOn w:val="Normal"/>
    <w:next w:val="Normal"/>
    <w:autoRedefine/>
    <w:uiPriority w:val="39"/>
    <w:semiHidden/>
    <w:unhideWhenUsed/>
    <w:rsid w:val="005E73D5"/>
    <w:rPr>
      <w:sz w:val="22"/>
      <w:szCs w:val="22"/>
    </w:rPr>
  </w:style>
  <w:style w:type="paragraph" w:styleId="TOC6">
    <w:name w:val="toc 6"/>
    <w:basedOn w:val="Normal"/>
    <w:next w:val="Normal"/>
    <w:autoRedefine/>
    <w:uiPriority w:val="39"/>
    <w:semiHidden/>
    <w:unhideWhenUsed/>
    <w:rsid w:val="005E73D5"/>
    <w:rPr>
      <w:sz w:val="22"/>
      <w:szCs w:val="22"/>
    </w:rPr>
  </w:style>
  <w:style w:type="paragraph" w:styleId="TOC7">
    <w:name w:val="toc 7"/>
    <w:basedOn w:val="Normal"/>
    <w:next w:val="Normal"/>
    <w:autoRedefine/>
    <w:uiPriority w:val="39"/>
    <w:semiHidden/>
    <w:unhideWhenUsed/>
    <w:rsid w:val="005E73D5"/>
    <w:rPr>
      <w:sz w:val="22"/>
      <w:szCs w:val="22"/>
    </w:rPr>
  </w:style>
  <w:style w:type="paragraph" w:styleId="TOC8">
    <w:name w:val="toc 8"/>
    <w:basedOn w:val="Normal"/>
    <w:next w:val="Normal"/>
    <w:autoRedefine/>
    <w:uiPriority w:val="39"/>
    <w:semiHidden/>
    <w:unhideWhenUsed/>
    <w:rsid w:val="005E73D5"/>
    <w:rPr>
      <w:sz w:val="22"/>
      <w:szCs w:val="22"/>
    </w:rPr>
  </w:style>
  <w:style w:type="paragraph" w:styleId="TOC9">
    <w:name w:val="toc 9"/>
    <w:basedOn w:val="Normal"/>
    <w:next w:val="Normal"/>
    <w:autoRedefine/>
    <w:uiPriority w:val="39"/>
    <w:semiHidden/>
    <w:unhideWhenUsed/>
    <w:rsid w:val="005E73D5"/>
    <w:rPr>
      <w:sz w:val="22"/>
      <w:szCs w:val="22"/>
    </w:rPr>
  </w:style>
  <w:style w:type="character" w:styleId="CommentReference">
    <w:name w:val="annotation reference"/>
    <w:basedOn w:val="DefaultParagraphFont"/>
    <w:uiPriority w:val="99"/>
    <w:semiHidden/>
    <w:unhideWhenUsed/>
    <w:rsid w:val="006177E9"/>
    <w:rPr>
      <w:sz w:val="16"/>
      <w:szCs w:val="16"/>
    </w:rPr>
  </w:style>
  <w:style w:type="paragraph" w:styleId="CommentText">
    <w:name w:val="annotation text"/>
    <w:basedOn w:val="Normal"/>
    <w:link w:val="CommentTextChar"/>
    <w:uiPriority w:val="99"/>
    <w:semiHidden/>
    <w:unhideWhenUsed/>
    <w:rsid w:val="006177E9"/>
    <w:rPr>
      <w:sz w:val="20"/>
      <w:szCs w:val="20"/>
    </w:rPr>
  </w:style>
  <w:style w:type="character" w:customStyle="1" w:styleId="CommentTextChar">
    <w:name w:val="Comment Text Char"/>
    <w:basedOn w:val="DefaultParagraphFont"/>
    <w:link w:val="CommentText"/>
    <w:uiPriority w:val="99"/>
    <w:semiHidden/>
    <w:rsid w:val="006177E9"/>
    <w:rPr>
      <w:sz w:val="20"/>
      <w:szCs w:val="20"/>
    </w:rPr>
  </w:style>
  <w:style w:type="paragraph" w:styleId="CommentSubject">
    <w:name w:val="annotation subject"/>
    <w:basedOn w:val="CommentText"/>
    <w:next w:val="CommentText"/>
    <w:link w:val="CommentSubjectChar"/>
    <w:uiPriority w:val="99"/>
    <w:semiHidden/>
    <w:unhideWhenUsed/>
    <w:rsid w:val="006177E9"/>
    <w:rPr>
      <w:b/>
      <w:bCs/>
    </w:rPr>
  </w:style>
  <w:style w:type="character" w:customStyle="1" w:styleId="CommentSubjectChar">
    <w:name w:val="Comment Subject Char"/>
    <w:basedOn w:val="CommentTextChar"/>
    <w:link w:val="CommentSubject"/>
    <w:uiPriority w:val="99"/>
    <w:semiHidden/>
    <w:rsid w:val="006177E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doi.org/10.1016/j.ijhm.2018.02.021" TargetMode="External"/><Relationship Id="rId39"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hyperlink" Target="https://doi.org/10.1016/j.ijpe.2013.05.031" TargetMode="External"/><Relationship Id="rId42"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doi.org/10.1016/j.irfa.2018.11.006"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image" Target="media/image1.jpeg"/><Relationship Id="rId11" Type="http://schemas.microsoft.com/office/2018/08/relationships/commentsExtensible" Target="commentsExtensible.xml"/><Relationship Id="rId24" Type="http://schemas.openxmlformats.org/officeDocument/2006/relationships/hyperlink" Target="https://assets.group.accor.com" TargetMode="External"/><Relationship Id="rId32" Type="http://schemas.openxmlformats.org/officeDocument/2006/relationships/hyperlink" Target="https://doi.org/10.1016/j.tourman.2021.104311" TargetMode="External"/><Relationship Id="rId37" Type="http://schemas.openxmlformats.org/officeDocument/2006/relationships/image" Target="media/image15.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assets.group.accor.com" TargetMode="External"/><Relationship Id="rId28" Type="http://schemas.openxmlformats.org/officeDocument/2006/relationships/hyperlink" Target="https://doi.org/10.3934/QFE.2021010" TargetMode="External"/><Relationship Id="rId36" Type="http://schemas.openxmlformats.org/officeDocument/2006/relationships/image" Target="media/image14.png"/><Relationship Id="rId10" Type="http://schemas.microsoft.com/office/2016/09/relationships/commentsIds" Target="commentsIds.xml"/><Relationship Id="rId19" Type="http://schemas.openxmlformats.org/officeDocument/2006/relationships/image" Target="media/image10.png"/><Relationship Id="rId31" Type="http://schemas.openxmlformats.org/officeDocument/2006/relationships/hyperlink" Target="https://doi.org/10.1002/bse.70230"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hyperlink" Target="https://doi.org/10.3390/ijfs9030036" TargetMode="External"/><Relationship Id="rId27" Type="http://schemas.openxmlformats.org/officeDocument/2006/relationships/hyperlink" Target="https://doi.org/10.1016/j.tourman.2019.103984" TargetMode="External"/><Relationship Id="rId30" Type="http://schemas.openxmlformats.org/officeDocument/2006/relationships/hyperlink" Target="https://doi.org/10.1177/19389655211006076" TargetMode="External"/><Relationship Id="rId35" Type="http://schemas.openxmlformats.org/officeDocument/2006/relationships/image" Target="media/image13.png"/><Relationship Id="rId8" Type="http://schemas.openxmlformats.org/officeDocument/2006/relationships/comments" Target="comments.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press.accor.com/full-year-2025-results-solid-results-above-2025-guidance/?lang=eng" TargetMode="External"/><Relationship Id="rId33" Type="http://schemas.openxmlformats.org/officeDocument/2006/relationships/hyperlink" Target="https://doi.org/10.1016/j.ijhm.2022.103172" TargetMode="External"/><Relationship Id="rId38"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E6A46-3C8A-534E-9265-4EC4FE041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6670</Words>
  <Characters>38023</Characters>
  <Application>Microsoft Office Word</Application>
  <DocSecurity>0</DocSecurity>
  <Lines>316</Lines>
  <Paragraphs>89</Paragraphs>
  <ScaleCrop>false</ScaleCrop>
  <Company/>
  <LinksUpToDate>false</LinksUpToDate>
  <CharactersWithSpaces>44604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Nosheen Manzoor (2218718)</dc:creator>
  <cp:keywords/>
  <dc:description/>
  <cp:lastModifiedBy>Nosheen Manzoor (2218718)</cp:lastModifiedBy>
  <cp:revision>2</cp:revision>
  <dcterms:created xsi:type="dcterms:W3CDTF">2026-07-21T20:06:00Z</dcterms:created>
  <dcterms:modified xsi:type="dcterms:W3CDTF">2026-07-21T20:06:00Z</dcterms:modified>
</cp:coreProperties>
</file>