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65D12D" w14:textId="77777777" w:rsidR="00FC3B3B" w:rsidRDefault="00FC3B3B" w:rsidP="00FC3B3B">
      <w:pPr>
        <w:jc w:val="center"/>
        <w:rPr>
          <w:rFonts w:ascii="Arial" w:hAnsi="Arial" w:cs="Arial"/>
          <w:b/>
          <w:bCs/>
          <w:sz w:val="28"/>
          <w:szCs w:val="28"/>
          <w:lang w:val="en-GB"/>
        </w:rPr>
      </w:pPr>
      <w:r>
        <w:rPr>
          <w:rFonts w:ascii="Arial" w:hAnsi="Arial" w:cs="Arial"/>
          <w:b/>
          <w:bCs/>
          <w:noProof/>
          <w:sz w:val="28"/>
          <w:szCs w:val="28"/>
          <w:lang w:eastAsia="en-IN" w:bidi="gu-IN"/>
        </w:rPr>
        <w:drawing>
          <wp:inline distT="0" distB="0" distL="0" distR="0" wp14:anchorId="05624DD5" wp14:editId="2750A246">
            <wp:extent cx="2209800" cy="781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81050"/>
                    </a:xfrm>
                    <a:prstGeom prst="rect">
                      <a:avLst/>
                    </a:prstGeom>
                    <a:noFill/>
                    <a:ln>
                      <a:noFill/>
                    </a:ln>
                  </pic:spPr>
                </pic:pic>
              </a:graphicData>
            </a:graphic>
          </wp:inline>
        </w:drawing>
      </w:r>
    </w:p>
    <w:p w14:paraId="7516B2AA" w14:textId="77777777" w:rsidR="00FC3B3B" w:rsidRDefault="00FC3B3B" w:rsidP="00FC3B3B">
      <w:pPr>
        <w:jc w:val="center"/>
        <w:rPr>
          <w:rFonts w:ascii="Arial" w:hAnsi="Arial" w:cs="Arial"/>
          <w:b/>
          <w:bCs/>
          <w:sz w:val="28"/>
          <w:szCs w:val="28"/>
          <w:lang w:val="en-GB"/>
        </w:rPr>
      </w:pPr>
    </w:p>
    <w:p w14:paraId="02D125C3" w14:textId="77777777" w:rsidR="00FC3B3B" w:rsidRDefault="00FC3B3B" w:rsidP="00FC3B3B">
      <w:pPr>
        <w:pStyle w:val="NoSpacing"/>
        <w:jc w:val="center"/>
        <w:rPr>
          <w:rFonts w:ascii="Arial" w:hAnsi="Arial" w:cs="Arial"/>
          <w:sz w:val="32"/>
          <w:szCs w:val="32"/>
        </w:rPr>
      </w:pPr>
      <w:r>
        <w:rPr>
          <w:rFonts w:ascii="Arial" w:hAnsi="Arial" w:cs="Arial"/>
          <w:b/>
          <w:bCs/>
          <w:sz w:val="32"/>
          <w:szCs w:val="32"/>
        </w:rPr>
        <w:t>Student Name</w:t>
      </w:r>
      <w:r>
        <w:rPr>
          <w:rFonts w:ascii="Arial" w:hAnsi="Arial" w:cs="Arial"/>
          <w:sz w:val="32"/>
          <w:szCs w:val="32"/>
        </w:rPr>
        <w:t>: RUPANSHI ARPANBHAI SETALVAD</w:t>
      </w:r>
    </w:p>
    <w:p w14:paraId="2CA26303" w14:textId="77777777" w:rsidR="00FC3B3B" w:rsidRDefault="00FC3B3B" w:rsidP="00FC3B3B">
      <w:pPr>
        <w:pStyle w:val="NoSpacing"/>
        <w:jc w:val="center"/>
        <w:rPr>
          <w:rFonts w:ascii="Arial" w:hAnsi="Arial" w:cs="Arial"/>
          <w:b/>
          <w:bCs/>
          <w:sz w:val="32"/>
          <w:szCs w:val="32"/>
        </w:rPr>
      </w:pPr>
    </w:p>
    <w:p w14:paraId="6CBD3445" w14:textId="77777777" w:rsidR="00FC3B3B" w:rsidRDefault="00FC3B3B" w:rsidP="00FC3B3B">
      <w:pPr>
        <w:pStyle w:val="NoSpacing"/>
        <w:jc w:val="center"/>
        <w:rPr>
          <w:rFonts w:ascii="Arial" w:hAnsi="Arial" w:cs="Arial"/>
          <w:b/>
          <w:bCs/>
          <w:sz w:val="32"/>
          <w:szCs w:val="32"/>
        </w:rPr>
      </w:pPr>
    </w:p>
    <w:p w14:paraId="318B252B" w14:textId="77777777" w:rsidR="00FC3B3B" w:rsidRDefault="00FC3B3B" w:rsidP="00FC3B3B">
      <w:pPr>
        <w:pStyle w:val="NoSpacing"/>
        <w:jc w:val="center"/>
        <w:rPr>
          <w:rFonts w:ascii="Arial" w:hAnsi="Arial" w:cs="Arial"/>
          <w:sz w:val="32"/>
          <w:szCs w:val="32"/>
        </w:rPr>
      </w:pPr>
      <w:r>
        <w:rPr>
          <w:rFonts w:ascii="Arial" w:hAnsi="Arial" w:cs="Arial"/>
          <w:b/>
          <w:bCs/>
          <w:sz w:val="32"/>
          <w:szCs w:val="32"/>
        </w:rPr>
        <w:t xml:space="preserve">Student ID </w:t>
      </w:r>
      <w:r>
        <w:rPr>
          <w:rFonts w:ascii="Arial" w:hAnsi="Arial" w:cs="Arial"/>
          <w:sz w:val="32"/>
          <w:szCs w:val="32"/>
        </w:rPr>
        <w:t>: 2521736</w:t>
      </w:r>
    </w:p>
    <w:p w14:paraId="421D9DE4" w14:textId="77777777" w:rsidR="00FC3B3B" w:rsidRDefault="00FC3B3B" w:rsidP="00FC3B3B">
      <w:pPr>
        <w:pStyle w:val="NoSpacing"/>
        <w:jc w:val="center"/>
        <w:rPr>
          <w:rFonts w:ascii="Arial" w:hAnsi="Arial" w:cs="Arial"/>
          <w:sz w:val="32"/>
          <w:szCs w:val="32"/>
        </w:rPr>
      </w:pPr>
    </w:p>
    <w:p w14:paraId="053F014F" w14:textId="77777777" w:rsidR="00FC3B3B" w:rsidRDefault="00FC3B3B" w:rsidP="00FC3B3B">
      <w:pPr>
        <w:pStyle w:val="NoSpacing"/>
        <w:jc w:val="center"/>
        <w:rPr>
          <w:rFonts w:ascii="Arial" w:hAnsi="Arial" w:cs="Arial"/>
          <w:b/>
          <w:bCs/>
          <w:sz w:val="32"/>
          <w:szCs w:val="32"/>
        </w:rPr>
      </w:pPr>
    </w:p>
    <w:p w14:paraId="5D21E021" w14:textId="51278273" w:rsidR="00FC3B3B" w:rsidRDefault="00FC3B3B" w:rsidP="00FC3B3B">
      <w:pPr>
        <w:pStyle w:val="NoSpacing"/>
        <w:jc w:val="center"/>
        <w:rPr>
          <w:rFonts w:ascii="Arial" w:hAnsi="Arial" w:cs="Arial"/>
          <w:sz w:val="32"/>
          <w:szCs w:val="32"/>
        </w:rPr>
      </w:pPr>
      <w:r>
        <w:rPr>
          <w:rFonts w:ascii="Arial" w:hAnsi="Arial" w:cs="Arial"/>
          <w:b/>
          <w:bCs/>
          <w:sz w:val="32"/>
          <w:szCs w:val="32"/>
        </w:rPr>
        <w:t xml:space="preserve">Module Name </w:t>
      </w:r>
      <w:r>
        <w:rPr>
          <w:rFonts w:ascii="Arial" w:hAnsi="Arial" w:cs="Arial"/>
          <w:sz w:val="32"/>
          <w:szCs w:val="32"/>
        </w:rPr>
        <w:t>:</w:t>
      </w:r>
      <w:r w:rsidR="001E3349">
        <w:rPr>
          <w:rFonts w:ascii="Arial" w:hAnsi="Arial" w:cs="Arial"/>
          <w:sz w:val="32"/>
          <w:szCs w:val="32"/>
        </w:rPr>
        <w:t xml:space="preserve"> Financial</w:t>
      </w:r>
      <w:r>
        <w:rPr>
          <w:rFonts w:ascii="Arial" w:hAnsi="Arial" w:cs="Arial"/>
          <w:sz w:val="32"/>
          <w:szCs w:val="32"/>
        </w:rPr>
        <w:t xml:space="preserve"> Management </w:t>
      </w:r>
    </w:p>
    <w:p w14:paraId="77A0472C" w14:textId="77777777" w:rsidR="00FC3B3B" w:rsidRDefault="00FC3B3B" w:rsidP="00FC3B3B">
      <w:pPr>
        <w:pStyle w:val="NoSpacing"/>
        <w:jc w:val="center"/>
        <w:rPr>
          <w:rFonts w:ascii="Arial" w:hAnsi="Arial" w:cs="Arial"/>
          <w:sz w:val="32"/>
          <w:szCs w:val="32"/>
        </w:rPr>
      </w:pPr>
    </w:p>
    <w:p w14:paraId="5AD7667B" w14:textId="77777777" w:rsidR="00FC3B3B" w:rsidRDefault="00FC3B3B" w:rsidP="00FC3B3B">
      <w:pPr>
        <w:pStyle w:val="NoSpacing"/>
        <w:jc w:val="center"/>
        <w:rPr>
          <w:rFonts w:ascii="Arial" w:hAnsi="Arial" w:cs="Arial"/>
          <w:b/>
          <w:bCs/>
          <w:sz w:val="32"/>
          <w:szCs w:val="32"/>
        </w:rPr>
      </w:pPr>
    </w:p>
    <w:p w14:paraId="1483747F" w14:textId="261E9193" w:rsidR="00FC3B3B" w:rsidRDefault="00FC3B3B" w:rsidP="00FC3B3B">
      <w:pPr>
        <w:pStyle w:val="NoSpacing"/>
        <w:jc w:val="center"/>
        <w:rPr>
          <w:rFonts w:ascii="Arial" w:hAnsi="Arial" w:cs="Arial"/>
          <w:sz w:val="32"/>
          <w:szCs w:val="32"/>
        </w:rPr>
      </w:pPr>
      <w:r>
        <w:rPr>
          <w:rFonts w:ascii="Arial" w:hAnsi="Arial" w:cs="Arial"/>
          <w:b/>
          <w:bCs/>
          <w:sz w:val="32"/>
          <w:szCs w:val="32"/>
        </w:rPr>
        <w:t xml:space="preserve">Module Code </w:t>
      </w:r>
      <w:r>
        <w:rPr>
          <w:rFonts w:ascii="Arial" w:hAnsi="Arial" w:cs="Arial"/>
          <w:sz w:val="32"/>
          <w:szCs w:val="32"/>
        </w:rPr>
        <w:t xml:space="preserve">: </w:t>
      </w:r>
      <w:r w:rsidR="003C5660">
        <w:rPr>
          <w:rFonts w:ascii="Arial" w:hAnsi="Arial" w:cs="Arial"/>
          <w:sz w:val="32"/>
          <w:szCs w:val="32"/>
        </w:rPr>
        <w:t>LCMB7002</w:t>
      </w:r>
    </w:p>
    <w:p w14:paraId="1218F0A0" w14:textId="77777777" w:rsidR="00FC3B3B" w:rsidRDefault="00FC3B3B" w:rsidP="00FC3B3B">
      <w:pPr>
        <w:pStyle w:val="NoSpacing"/>
        <w:jc w:val="center"/>
        <w:rPr>
          <w:rFonts w:ascii="Arial" w:hAnsi="Arial" w:cs="Arial"/>
          <w:sz w:val="32"/>
          <w:szCs w:val="32"/>
        </w:rPr>
      </w:pPr>
    </w:p>
    <w:p w14:paraId="61D3DE59" w14:textId="77777777" w:rsidR="00FC3B3B" w:rsidRDefault="00FC3B3B" w:rsidP="00FC3B3B">
      <w:pPr>
        <w:pStyle w:val="NoSpacing"/>
        <w:jc w:val="center"/>
        <w:rPr>
          <w:rFonts w:ascii="Arial" w:hAnsi="Arial" w:cs="Arial"/>
          <w:b/>
          <w:bCs/>
          <w:sz w:val="32"/>
          <w:szCs w:val="32"/>
        </w:rPr>
      </w:pPr>
    </w:p>
    <w:p w14:paraId="1805ED54" w14:textId="7430F543" w:rsidR="00FC3B3B" w:rsidRDefault="00FC3B3B" w:rsidP="00FC3B3B">
      <w:pPr>
        <w:pStyle w:val="NoSpacing"/>
        <w:jc w:val="center"/>
        <w:rPr>
          <w:rFonts w:ascii="Arial" w:hAnsi="Arial" w:cs="Arial"/>
          <w:sz w:val="32"/>
          <w:szCs w:val="32"/>
        </w:rPr>
      </w:pPr>
      <w:r>
        <w:rPr>
          <w:rFonts w:ascii="Arial" w:hAnsi="Arial" w:cs="Arial"/>
          <w:b/>
          <w:bCs/>
          <w:sz w:val="32"/>
          <w:szCs w:val="32"/>
        </w:rPr>
        <w:t xml:space="preserve">Lecturer’s Name </w:t>
      </w:r>
      <w:r>
        <w:rPr>
          <w:rFonts w:ascii="Arial" w:hAnsi="Arial" w:cs="Arial"/>
          <w:sz w:val="32"/>
          <w:szCs w:val="32"/>
        </w:rPr>
        <w:t xml:space="preserve">: </w:t>
      </w:r>
      <w:r w:rsidR="009A4A4A">
        <w:rPr>
          <w:rFonts w:ascii="Arial" w:hAnsi="Arial" w:cs="Arial"/>
          <w:sz w:val="32"/>
          <w:szCs w:val="32"/>
        </w:rPr>
        <w:t>M.D.KALAM</w:t>
      </w:r>
    </w:p>
    <w:p w14:paraId="366E5FB2" w14:textId="77777777" w:rsidR="00FC3B3B" w:rsidRDefault="00FC3B3B" w:rsidP="00FC3B3B">
      <w:pPr>
        <w:pStyle w:val="NoSpacing"/>
        <w:jc w:val="center"/>
        <w:rPr>
          <w:rFonts w:ascii="Arial" w:hAnsi="Arial" w:cs="Arial"/>
          <w:b/>
          <w:bCs/>
          <w:sz w:val="32"/>
          <w:szCs w:val="32"/>
        </w:rPr>
      </w:pPr>
    </w:p>
    <w:p w14:paraId="435A01A3" w14:textId="77777777" w:rsidR="00FC3B3B" w:rsidRDefault="00FC3B3B" w:rsidP="00FC3B3B">
      <w:pPr>
        <w:pStyle w:val="NoSpacing"/>
        <w:jc w:val="center"/>
        <w:rPr>
          <w:rFonts w:ascii="Arial" w:hAnsi="Arial" w:cs="Arial"/>
          <w:b/>
          <w:bCs/>
          <w:sz w:val="32"/>
          <w:szCs w:val="32"/>
        </w:rPr>
      </w:pPr>
    </w:p>
    <w:p w14:paraId="6EFD991D" w14:textId="77777777" w:rsidR="00FC3B3B" w:rsidRDefault="00FC3B3B" w:rsidP="00FC3B3B">
      <w:pPr>
        <w:pStyle w:val="NoSpacing"/>
        <w:jc w:val="center"/>
        <w:rPr>
          <w:rFonts w:ascii="Arial" w:hAnsi="Arial" w:cs="Arial"/>
          <w:b/>
          <w:bCs/>
          <w:sz w:val="32"/>
          <w:szCs w:val="32"/>
        </w:rPr>
      </w:pPr>
      <w:r>
        <w:rPr>
          <w:rFonts w:ascii="Arial" w:hAnsi="Arial" w:cs="Arial"/>
          <w:b/>
          <w:bCs/>
          <w:sz w:val="32"/>
          <w:szCs w:val="32"/>
        </w:rPr>
        <w:t>Term 1</w:t>
      </w:r>
    </w:p>
    <w:p w14:paraId="11E7D1A4" w14:textId="77777777" w:rsidR="00FC3B3B" w:rsidRDefault="00FC3B3B" w:rsidP="00FC3B3B"/>
    <w:p w14:paraId="4AA77A41" w14:textId="5343555C" w:rsidR="00FC3B3B" w:rsidRDefault="00FC3B3B" w:rsidP="00FC3B3B">
      <w:pPr>
        <w:rPr>
          <w:rFonts w:ascii="Arial" w:hAnsi="Arial" w:cs="Arial"/>
          <w:b/>
          <w:bCs/>
          <w:sz w:val="24"/>
          <w:szCs w:val="24"/>
        </w:rPr>
      </w:pPr>
    </w:p>
    <w:p w14:paraId="7B9CB6CD" w14:textId="77777777" w:rsidR="00FC3B3B" w:rsidRDefault="00FC3B3B">
      <w:pPr>
        <w:rPr>
          <w:rFonts w:ascii="Arial" w:hAnsi="Arial" w:cs="Arial"/>
          <w:b/>
          <w:bCs/>
          <w:sz w:val="24"/>
          <w:szCs w:val="24"/>
        </w:rPr>
      </w:pPr>
      <w:r>
        <w:rPr>
          <w:rFonts w:ascii="Arial" w:hAnsi="Arial" w:cs="Arial"/>
          <w:b/>
          <w:bCs/>
          <w:sz w:val="24"/>
          <w:szCs w:val="24"/>
        </w:rPr>
        <w:br w:type="page"/>
      </w:r>
    </w:p>
    <w:p w14:paraId="156EBE51" w14:textId="77777777" w:rsidR="00802347" w:rsidRDefault="00802347" w:rsidP="00FC3B3B">
      <w:pPr>
        <w:rPr>
          <w:rFonts w:ascii="Arial" w:hAnsi="Arial" w:cs="Arial"/>
          <w:b/>
          <w:bCs/>
          <w:sz w:val="24"/>
          <w:szCs w:val="24"/>
        </w:rPr>
      </w:pPr>
    </w:p>
    <w:p w14:paraId="3AE668CE" w14:textId="303907B1" w:rsidR="00811557" w:rsidRPr="00811557" w:rsidRDefault="00811557" w:rsidP="00811557">
      <w:pPr>
        <w:jc w:val="both"/>
        <w:rPr>
          <w:rFonts w:ascii="Arial" w:hAnsi="Arial" w:cs="Arial"/>
          <w:b/>
          <w:bCs/>
          <w:sz w:val="24"/>
          <w:szCs w:val="24"/>
        </w:rPr>
      </w:pPr>
      <w:r w:rsidRPr="00811557">
        <w:rPr>
          <w:rFonts w:ascii="Arial" w:hAnsi="Arial" w:cs="Arial"/>
          <w:b/>
          <w:bCs/>
          <w:sz w:val="24"/>
          <w:szCs w:val="24"/>
        </w:rPr>
        <w:t>Executive Summary</w:t>
      </w:r>
    </w:p>
    <w:p w14:paraId="344F79C8" w14:textId="77777777" w:rsidR="00811557" w:rsidRPr="006476F2" w:rsidRDefault="00811557" w:rsidP="00811557">
      <w:pPr>
        <w:jc w:val="both"/>
        <w:rPr>
          <w:rFonts w:ascii="Arial" w:hAnsi="Arial" w:cs="Arial"/>
          <w:sz w:val="24"/>
          <w:szCs w:val="24"/>
        </w:rPr>
      </w:pPr>
      <w:r w:rsidRPr="006476F2">
        <w:rPr>
          <w:rFonts w:ascii="Arial" w:hAnsi="Arial" w:cs="Arial"/>
          <w:sz w:val="24"/>
          <w:szCs w:val="24"/>
        </w:rPr>
        <w:t>The report analyses the finances of InterContinental Hotels Group PLC (IHG) across 2021–2025 in terms of their financial health, working-capital management and financial restructuring needs. In summary, the analysis affirmed the strong rebound for IHG from COVID-19 impacts and that it has a cash-generative, asset-light, highly profitable business model. Still, rising financial leverage amid deteriorating short-term liquidity and sizable shareholder distributions necessitate stronger capital-allocation discipline.</w:t>
      </w:r>
    </w:p>
    <w:p w14:paraId="0CE5596C" w14:textId="77777777" w:rsidR="005C5F67" w:rsidRPr="005C5F67" w:rsidRDefault="005C5F67" w:rsidP="005C5F67">
      <w:pPr>
        <w:jc w:val="both"/>
        <w:rPr>
          <w:rFonts w:ascii="Arial" w:hAnsi="Arial" w:cs="Arial"/>
          <w:sz w:val="24"/>
          <w:szCs w:val="24"/>
        </w:rPr>
      </w:pPr>
      <w:r w:rsidRPr="005C5F67">
        <w:rPr>
          <w:rFonts w:ascii="Arial" w:hAnsi="Arial" w:cs="Arial"/>
          <w:sz w:val="24"/>
          <w:szCs w:val="24"/>
        </w:rPr>
        <w:t>IHG had materially better earnings over the five years period even in more difficult economic times. If we look at something like revenue, it was $2.907 billion in 2021 and is $5.189 billion by 2025; operating profit improved from $494 million to $1.198 billion (and that's with an initial investment of just under a half billion this year). Profitability also improved, with operating profit margin growing from 17.0% to 23.1%. The continuation of recovery came in 2025, with operating cash flow moving to $898 million; internal cash-generation capacity was clearly very strong.</w:t>
      </w:r>
    </w:p>
    <w:p w14:paraId="4AFFE424" w14:textId="5CD253FE" w:rsidR="00867A17" w:rsidRPr="00867A17" w:rsidRDefault="00867A17" w:rsidP="00867A17">
      <w:pPr>
        <w:jc w:val="both"/>
        <w:rPr>
          <w:rFonts w:ascii="Arial" w:hAnsi="Arial" w:cs="Arial"/>
          <w:sz w:val="24"/>
          <w:szCs w:val="24"/>
        </w:rPr>
      </w:pPr>
      <w:r w:rsidRPr="00867A17">
        <w:rPr>
          <w:rFonts w:ascii="Arial" w:hAnsi="Arial" w:cs="Arial"/>
          <w:sz w:val="24"/>
          <w:szCs w:val="24"/>
        </w:rPr>
        <w:t>They still perform well but require a degree of management in liquidity. The current ratio of IHG fell from 1.27 for the year ended in 2021 to a still healthy but declining average of 0.98 by its fiscal period ending December, 2025 (the next 'full' year it faces). However the company's asset-light hospitality model and cashflows from operations make this scenario far less worrisome for a company such as Red Rock than it would be if it were some traditional asset heavy business. Christian Stoecker für die taz The report thus recommends a specific minimum liquidity buffer that one should keep rather than a standard 2:1 current ratio</w:t>
      </w:r>
      <w:r>
        <w:rPr>
          <w:rFonts w:ascii="Arial" w:hAnsi="Arial" w:cs="Arial"/>
          <w:sz w:val="24"/>
          <w:szCs w:val="24"/>
        </w:rPr>
        <w:t xml:space="preserve"> target.</w:t>
      </w:r>
    </w:p>
    <w:p w14:paraId="65B5F230" w14:textId="07FFFB49" w:rsidR="00413F5C" w:rsidRPr="00413F5C" w:rsidRDefault="002B010E" w:rsidP="00413F5C">
      <w:pPr>
        <w:jc w:val="both"/>
        <w:rPr>
          <w:rFonts w:ascii="Arial" w:hAnsi="Arial" w:cs="Arial"/>
        </w:rPr>
      </w:pPr>
      <w:r w:rsidRPr="002B010E">
        <w:rPr>
          <w:rFonts w:ascii="Arial" w:hAnsi="Arial" w:cs="Arial"/>
          <w:sz w:val="24"/>
          <w:szCs w:val="24"/>
        </w:rPr>
        <w:t>The principal financial risk is growing leverage. During 2025 net debt rose by $551 million with the net debt/adjusted EBITDA ratio around ~2.5x and IHG returned &gt;$1.1 billion to shareholders in dividends &amp; share buybacks While these distributions support EPS and confidence among shareholders, both may come at the cost of excessive buybacks (and debt) for the company. The report, therefore, advocated for a preventative approach to restructuring as opposed to a crisis mode one and for linking dividends of the shareholders with cash free</w:t>
      </w:r>
      <w:r w:rsidR="00413F5C" w:rsidRPr="00413F5C">
        <w:rPr>
          <w:rFonts w:ascii="Times New Roman" w:eastAsia="Times New Roman" w:hAnsi="Times New Roman" w:cs="Times New Roman"/>
          <w:kern w:val="0"/>
          <w:sz w:val="24"/>
          <w:szCs w:val="24"/>
          <w:lang w:eastAsia="en-IN"/>
          <w14:ligatures w14:val="none"/>
        </w:rPr>
        <w:t xml:space="preserve"> </w:t>
      </w:r>
      <w:r w:rsidR="00413F5C" w:rsidRPr="00413F5C">
        <w:rPr>
          <w:rFonts w:ascii="Arial" w:hAnsi="Arial" w:cs="Arial"/>
        </w:rPr>
        <w:t>flows and leverage, an extending debt maturity profile, a managed process to divest non-core assets and maintain investment into high return strategic opportunities.</w:t>
      </w:r>
    </w:p>
    <w:p w14:paraId="43989C2E" w14:textId="6BFB40F7" w:rsidR="00DB43E7" w:rsidRPr="00DB43E7" w:rsidRDefault="00413F5C" w:rsidP="00DB43E7">
      <w:pPr>
        <w:jc w:val="both"/>
        <w:rPr>
          <w:rFonts w:ascii="Arial" w:hAnsi="Arial" w:cs="Arial"/>
        </w:rPr>
      </w:pPr>
      <w:r w:rsidRPr="00413F5C">
        <w:rPr>
          <w:rFonts w:ascii="Arial" w:hAnsi="Arial" w:cs="Arial"/>
          <w:sz w:val="24"/>
          <w:szCs w:val="24"/>
        </w:rPr>
        <w:t>This report aims to demonstrate a comprehensive example of Investment Appraisal techniques using the Payback Period, ARR, NPV, Profitability Index and IRR for each of three mutually exclusive projects given an 8% required return. The investment preference is for Project C, apparently. In terms of payback period, it has the shortest payback at 3.60 years, highest ARR (12%), positive NPV of approx. £0.858 million and a PI</w:t>
      </w:r>
      <w:r w:rsidR="00DB43E7" w:rsidRPr="00DB43E7">
        <w:rPr>
          <w:rFonts w:ascii="Times New Roman" w:eastAsia="Times New Roman" w:hAnsi="Times New Roman" w:cs="Times New Roman"/>
          <w:kern w:val="0"/>
          <w:sz w:val="24"/>
          <w:szCs w:val="24"/>
          <w:lang w:eastAsia="en-IN"/>
          <w14:ligatures w14:val="none"/>
        </w:rPr>
        <w:t xml:space="preserve"> </w:t>
      </w:r>
      <w:r w:rsidR="00DB43E7" w:rsidRPr="00DB43E7">
        <w:rPr>
          <w:rFonts w:ascii="Arial" w:hAnsi="Arial" w:cs="Arial"/>
        </w:rPr>
        <w:t>of 1.017 and an IRR of 8.59 percent, which exceeds the 8 percent hurdle rate. Answer A This means that projects A and B have negative NPVs and IRRs less than the minimum required return. Thus, every single of the five levers of appraisal suggest choosing Project C.</w:t>
      </w:r>
    </w:p>
    <w:p w14:paraId="5E42050E" w14:textId="77777777" w:rsidR="00DB43E7" w:rsidRDefault="00DB43E7" w:rsidP="00DB43E7">
      <w:pPr>
        <w:jc w:val="both"/>
        <w:rPr>
          <w:rFonts w:ascii="Arial" w:hAnsi="Arial" w:cs="Arial"/>
          <w:sz w:val="24"/>
          <w:szCs w:val="24"/>
        </w:rPr>
      </w:pPr>
    </w:p>
    <w:p w14:paraId="235E9DC5" w14:textId="1F02AE7E" w:rsidR="00D33030" w:rsidRDefault="00D33030" w:rsidP="00DB43E7">
      <w:pPr>
        <w:jc w:val="both"/>
        <w:rPr>
          <w:rFonts w:ascii="Arial" w:hAnsi="Arial" w:cs="Arial"/>
          <w:sz w:val="24"/>
          <w:szCs w:val="24"/>
        </w:rPr>
      </w:pPr>
    </w:p>
    <w:sdt>
      <w:sdtPr>
        <w:rPr>
          <w:rFonts w:asciiTheme="minorHAnsi" w:eastAsiaTheme="minorHAnsi" w:hAnsiTheme="minorHAnsi" w:cstheme="minorBidi"/>
          <w:color w:val="auto"/>
          <w:kern w:val="2"/>
          <w:sz w:val="22"/>
          <w:szCs w:val="22"/>
          <w:lang w:val="en-IN"/>
          <w14:ligatures w14:val="standardContextual"/>
        </w:rPr>
        <w:id w:val="-1282722909"/>
        <w:docPartObj>
          <w:docPartGallery w:val="Table of Contents"/>
          <w:docPartUnique/>
        </w:docPartObj>
      </w:sdtPr>
      <w:sdtEndPr>
        <w:rPr>
          <w:b/>
          <w:bCs/>
          <w:noProof/>
        </w:rPr>
      </w:sdtEndPr>
      <w:sdtContent>
        <w:p w14:paraId="03AFB19B" w14:textId="5E395D87" w:rsidR="00D33030" w:rsidRDefault="00D33030">
          <w:pPr>
            <w:pStyle w:val="TOCHeading"/>
          </w:pPr>
          <w:r>
            <w:t>Contents</w:t>
          </w:r>
        </w:p>
        <w:p w14:paraId="23C56C2E" w14:textId="4258791C" w:rsidR="0078756E" w:rsidRDefault="00D33030">
          <w:pPr>
            <w:pStyle w:val="TOC1"/>
            <w:tabs>
              <w:tab w:val="right" w:leader="dot" w:pos="9016"/>
            </w:tabs>
            <w:rPr>
              <w:rFonts w:eastAsiaTheme="minorEastAsia"/>
              <w:noProof/>
              <w:sz w:val="24"/>
              <w:szCs w:val="24"/>
              <w:lang w:eastAsia="en-IN"/>
            </w:rPr>
          </w:pPr>
          <w:r>
            <w:fldChar w:fldCharType="begin"/>
          </w:r>
          <w:r>
            <w:instrText xml:space="preserve"> TOC \o "1-3" \h \z \u </w:instrText>
          </w:r>
          <w:r>
            <w:fldChar w:fldCharType="separate"/>
          </w:r>
          <w:hyperlink w:anchor="_Toc237461163" w:history="1">
            <w:r w:rsidR="0078756E" w:rsidRPr="006729AE">
              <w:rPr>
                <w:rStyle w:val="Hyperlink"/>
                <w:rFonts w:ascii="Arial" w:hAnsi="Arial" w:cs="Arial"/>
                <w:b/>
                <w:bCs/>
                <w:noProof/>
              </w:rPr>
              <w:t>FINANCIAL HEALTH CHECK :</w:t>
            </w:r>
            <w:r w:rsidR="0078756E">
              <w:rPr>
                <w:noProof/>
                <w:webHidden/>
              </w:rPr>
              <w:tab/>
            </w:r>
            <w:r w:rsidR="0078756E">
              <w:rPr>
                <w:noProof/>
                <w:webHidden/>
              </w:rPr>
              <w:fldChar w:fldCharType="begin"/>
            </w:r>
            <w:r w:rsidR="0078756E">
              <w:rPr>
                <w:noProof/>
                <w:webHidden/>
              </w:rPr>
              <w:instrText xml:space="preserve"> PAGEREF _Toc237461163 \h </w:instrText>
            </w:r>
            <w:r w:rsidR="0078756E">
              <w:rPr>
                <w:noProof/>
                <w:webHidden/>
              </w:rPr>
            </w:r>
            <w:r w:rsidR="0078756E">
              <w:rPr>
                <w:noProof/>
                <w:webHidden/>
              </w:rPr>
              <w:fldChar w:fldCharType="separate"/>
            </w:r>
            <w:r w:rsidR="0078756E">
              <w:rPr>
                <w:noProof/>
                <w:webHidden/>
              </w:rPr>
              <w:t>4</w:t>
            </w:r>
            <w:r w:rsidR="0078756E">
              <w:rPr>
                <w:noProof/>
                <w:webHidden/>
              </w:rPr>
              <w:fldChar w:fldCharType="end"/>
            </w:r>
          </w:hyperlink>
        </w:p>
        <w:p w14:paraId="67D3EE69" w14:textId="260F5611" w:rsidR="0078756E" w:rsidRDefault="0078756E">
          <w:pPr>
            <w:pStyle w:val="TOC2"/>
            <w:tabs>
              <w:tab w:val="right" w:leader="dot" w:pos="9016"/>
            </w:tabs>
            <w:rPr>
              <w:rFonts w:eastAsiaTheme="minorEastAsia"/>
              <w:noProof/>
              <w:sz w:val="24"/>
              <w:szCs w:val="24"/>
              <w:lang w:eastAsia="en-IN"/>
            </w:rPr>
          </w:pPr>
          <w:hyperlink w:anchor="_Toc237461164" w:history="1">
            <w:r w:rsidRPr="006729AE">
              <w:rPr>
                <w:rStyle w:val="Hyperlink"/>
                <w:rFonts w:ascii="Arial" w:hAnsi="Arial" w:cs="Arial"/>
                <w:b/>
                <w:bCs/>
                <w:noProof/>
              </w:rPr>
              <w:t>1.1 Financial Performance :</w:t>
            </w:r>
            <w:r>
              <w:rPr>
                <w:noProof/>
                <w:webHidden/>
              </w:rPr>
              <w:tab/>
            </w:r>
            <w:r>
              <w:rPr>
                <w:noProof/>
                <w:webHidden/>
              </w:rPr>
              <w:fldChar w:fldCharType="begin"/>
            </w:r>
            <w:r>
              <w:rPr>
                <w:noProof/>
                <w:webHidden/>
              </w:rPr>
              <w:instrText xml:space="preserve"> PAGEREF _Toc237461164 \h </w:instrText>
            </w:r>
            <w:r>
              <w:rPr>
                <w:noProof/>
                <w:webHidden/>
              </w:rPr>
            </w:r>
            <w:r>
              <w:rPr>
                <w:noProof/>
                <w:webHidden/>
              </w:rPr>
              <w:fldChar w:fldCharType="separate"/>
            </w:r>
            <w:r>
              <w:rPr>
                <w:noProof/>
                <w:webHidden/>
              </w:rPr>
              <w:t>4</w:t>
            </w:r>
            <w:r>
              <w:rPr>
                <w:noProof/>
                <w:webHidden/>
              </w:rPr>
              <w:fldChar w:fldCharType="end"/>
            </w:r>
          </w:hyperlink>
        </w:p>
        <w:p w14:paraId="486E19D8" w14:textId="167A68D4" w:rsidR="0078756E" w:rsidRDefault="0078756E">
          <w:pPr>
            <w:pStyle w:val="TOC2"/>
            <w:tabs>
              <w:tab w:val="right" w:leader="dot" w:pos="9016"/>
            </w:tabs>
            <w:rPr>
              <w:rFonts w:eastAsiaTheme="minorEastAsia"/>
              <w:noProof/>
              <w:sz w:val="24"/>
              <w:szCs w:val="24"/>
              <w:lang w:eastAsia="en-IN"/>
            </w:rPr>
          </w:pPr>
          <w:hyperlink w:anchor="_Toc237461165" w:history="1">
            <w:r w:rsidRPr="006729AE">
              <w:rPr>
                <w:rStyle w:val="Hyperlink"/>
                <w:rFonts w:ascii="Arial" w:hAnsi="Arial" w:cs="Arial"/>
                <w:b/>
                <w:bCs/>
                <w:noProof/>
              </w:rPr>
              <w:t>1.2 Five-year financial performance</w:t>
            </w:r>
            <w:r>
              <w:rPr>
                <w:noProof/>
                <w:webHidden/>
              </w:rPr>
              <w:tab/>
            </w:r>
            <w:r>
              <w:rPr>
                <w:noProof/>
                <w:webHidden/>
              </w:rPr>
              <w:fldChar w:fldCharType="begin"/>
            </w:r>
            <w:r>
              <w:rPr>
                <w:noProof/>
                <w:webHidden/>
              </w:rPr>
              <w:instrText xml:space="preserve"> PAGEREF _Toc237461165 \h </w:instrText>
            </w:r>
            <w:r>
              <w:rPr>
                <w:noProof/>
                <w:webHidden/>
              </w:rPr>
            </w:r>
            <w:r>
              <w:rPr>
                <w:noProof/>
                <w:webHidden/>
              </w:rPr>
              <w:fldChar w:fldCharType="separate"/>
            </w:r>
            <w:r>
              <w:rPr>
                <w:noProof/>
                <w:webHidden/>
              </w:rPr>
              <w:t>4</w:t>
            </w:r>
            <w:r>
              <w:rPr>
                <w:noProof/>
                <w:webHidden/>
              </w:rPr>
              <w:fldChar w:fldCharType="end"/>
            </w:r>
          </w:hyperlink>
        </w:p>
        <w:p w14:paraId="42E25C4B" w14:textId="313D1079" w:rsidR="0078756E" w:rsidRDefault="0078756E">
          <w:pPr>
            <w:pStyle w:val="TOC2"/>
            <w:tabs>
              <w:tab w:val="right" w:leader="dot" w:pos="9016"/>
            </w:tabs>
            <w:rPr>
              <w:rFonts w:eastAsiaTheme="minorEastAsia"/>
              <w:noProof/>
              <w:sz w:val="24"/>
              <w:szCs w:val="24"/>
              <w:lang w:eastAsia="en-IN"/>
            </w:rPr>
          </w:pPr>
          <w:hyperlink w:anchor="_Toc237461166" w:history="1">
            <w:r w:rsidRPr="006729AE">
              <w:rPr>
                <w:rStyle w:val="Hyperlink"/>
                <w:rFonts w:ascii="Arial" w:hAnsi="Arial" w:cs="Arial"/>
                <w:b/>
                <w:bCs/>
                <w:noProof/>
              </w:rPr>
              <w:t>1.3 Profitability ratio analysis</w:t>
            </w:r>
            <w:r>
              <w:rPr>
                <w:noProof/>
                <w:webHidden/>
              </w:rPr>
              <w:tab/>
            </w:r>
            <w:r>
              <w:rPr>
                <w:noProof/>
                <w:webHidden/>
              </w:rPr>
              <w:fldChar w:fldCharType="begin"/>
            </w:r>
            <w:r>
              <w:rPr>
                <w:noProof/>
                <w:webHidden/>
              </w:rPr>
              <w:instrText xml:space="preserve"> PAGEREF _Toc237461166 \h </w:instrText>
            </w:r>
            <w:r>
              <w:rPr>
                <w:noProof/>
                <w:webHidden/>
              </w:rPr>
            </w:r>
            <w:r>
              <w:rPr>
                <w:noProof/>
                <w:webHidden/>
              </w:rPr>
              <w:fldChar w:fldCharType="separate"/>
            </w:r>
            <w:r>
              <w:rPr>
                <w:noProof/>
                <w:webHidden/>
              </w:rPr>
              <w:t>6</w:t>
            </w:r>
            <w:r>
              <w:rPr>
                <w:noProof/>
                <w:webHidden/>
              </w:rPr>
              <w:fldChar w:fldCharType="end"/>
            </w:r>
          </w:hyperlink>
        </w:p>
        <w:p w14:paraId="00FB8783" w14:textId="39AD0299" w:rsidR="0078756E" w:rsidRDefault="0078756E">
          <w:pPr>
            <w:pStyle w:val="TOC2"/>
            <w:tabs>
              <w:tab w:val="right" w:leader="dot" w:pos="9016"/>
            </w:tabs>
            <w:rPr>
              <w:rFonts w:eastAsiaTheme="minorEastAsia"/>
              <w:noProof/>
              <w:sz w:val="24"/>
              <w:szCs w:val="24"/>
              <w:lang w:eastAsia="en-IN"/>
            </w:rPr>
          </w:pPr>
          <w:hyperlink w:anchor="_Toc237461167" w:history="1">
            <w:r w:rsidRPr="006729AE">
              <w:rPr>
                <w:rStyle w:val="Hyperlink"/>
                <w:rFonts w:ascii="Arial" w:hAnsi="Arial" w:cs="Arial"/>
                <w:b/>
                <w:bCs/>
                <w:noProof/>
              </w:rPr>
              <w:t>1.4 Liquidity analysis</w:t>
            </w:r>
            <w:r>
              <w:rPr>
                <w:noProof/>
                <w:webHidden/>
              </w:rPr>
              <w:tab/>
            </w:r>
            <w:r>
              <w:rPr>
                <w:noProof/>
                <w:webHidden/>
              </w:rPr>
              <w:fldChar w:fldCharType="begin"/>
            </w:r>
            <w:r>
              <w:rPr>
                <w:noProof/>
                <w:webHidden/>
              </w:rPr>
              <w:instrText xml:space="preserve"> PAGEREF _Toc237461167 \h </w:instrText>
            </w:r>
            <w:r>
              <w:rPr>
                <w:noProof/>
                <w:webHidden/>
              </w:rPr>
            </w:r>
            <w:r>
              <w:rPr>
                <w:noProof/>
                <w:webHidden/>
              </w:rPr>
              <w:fldChar w:fldCharType="separate"/>
            </w:r>
            <w:r>
              <w:rPr>
                <w:noProof/>
                <w:webHidden/>
              </w:rPr>
              <w:t>6</w:t>
            </w:r>
            <w:r>
              <w:rPr>
                <w:noProof/>
                <w:webHidden/>
              </w:rPr>
              <w:fldChar w:fldCharType="end"/>
            </w:r>
          </w:hyperlink>
        </w:p>
        <w:p w14:paraId="4C8A4D09" w14:textId="449884B4" w:rsidR="0078756E" w:rsidRDefault="0078756E">
          <w:pPr>
            <w:pStyle w:val="TOC2"/>
            <w:tabs>
              <w:tab w:val="right" w:leader="dot" w:pos="9016"/>
            </w:tabs>
            <w:rPr>
              <w:rFonts w:eastAsiaTheme="minorEastAsia"/>
              <w:noProof/>
              <w:sz w:val="24"/>
              <w:szCs w:val="24"/>
              <w:lang w:eastAsia="en-IN"/>
            </w:rPr>
          </w:pPr>
          <w:hyperlink w:anchor="_Toc237461168" w:history="1">
            <w:r w:rsidRPr="006729AE">
              <w:rPr>
                <w:rStyle w:val="Hyperlink"/>
                <w:rFonts w:ascii="Arial" w:hAnsi="Arial" w:cs="Arial"/>
                <w:b/>
                <w:bCs/>
                <w:noProof/>
              </w:rPr>
              <w:t>1.6 Efficiency ratios</w:t>
            </w:r>
            <w:r>
              <w:rPr>
                <w:noProof/>
                <w:webHidden/>
              </w:rPr>
              <w:tab/>
            </w:r>
            <w:r>
              <w:rPr>
                <w:noProof/>
                <w:webHidden/>
              </w:rPr>
              <w:fldChar w:fldCharType="begin"/>
            </w:r>
            <w:r>
              <w:rPr>
                <w:noProof/>
                <w:webHidden/>
              </w:rPr>
              <w:instrText xml:space="preserve"> PAGEREF _Toc237461168 \h </w:instrText>
            </w:r>
            <w:r>
              <w:rPr>
                <w:noProof/>
                <w:webHidden/>
              </w:rPr>
            </w:r>
            <w:r>
              <w:rPr>
                <w:noProof/>
                <w:webHidden/>
              </w:rPr>
              <w:fldChar w:fldCharType="separate"/>
            </w:r>
            <w:r>
              <w:rPr>
                <w:noProof/>
                <w:webHidden/>
              </w:rPr>
              <w:t>7</w:t>
            </w:r>
            <w:r>
              <w:rPr>
                <w:noProof/>
                <w:webHidden/>
              </w:rPr>
              <w:fldChar w:fldCharType="end"/>
            </w:r>
          </w:hyperlink>
        </w:p>
        <w:p w14:paraId="70BA1EB2" w14:textId="544F25E1" w:rsidR="0078756E" w:rsidRDefault="0078756E">
          <w:pPr>
            <w:pStyle w:val="TOC2"/>
            <w:tabs>
              <w:tab w:val="right" w:leader="dot" w:pos="9016"/>
            </w:tabs>
            <w:rPr>
              <w:rFonts w:eastAsiaTheme="minorEastAsia"/>
              <w:noProof/>
              <w:sz w:val="24"/>
              <w:szCs w:val="24"/>
              <w:lang w:eastAsia="en-IN"/>
            </w:rPr>
          </w:pPr>
          <w:hyperlink w:anchor="_Toc237461169" w:history="1">
            <w:r w:rsidRPr="006729AE">
              <w:rPr>
                <w:rStyle w:val="Hyperlink"/>
                <w:rFonts w:ascii="Arial" w:hAnsi="Arial" w:cs="Arial"/>
                <w:b/>
                <w:bCs/>
                <w:noProof/>
              </w:rPr>
              <w:t>1.7 about gearing and financial risk</w:t>
            </w:r>
            <w:r>
              <w:rPr>
                <w:noProof/>
                <w:webHidden/>
              </w:rPr>
              <w:tab/>
            </w:r>
            <w:r>
              <w:rPr>
                <w:noProof/>
                <w:webHidden/>
              </w:rPr>
              <w:fldChar w:fldCharType="begin"/>
            </w:r>
            <w:r>
              <w:rPr>
                <w:noProof/>
                <w:webHidden/>
              </w:rPr>
              <w:instrText xml:space="preserve"> PAGEREF _Toc237461169 \h </w:instrText>
            </w:r>
            <w:r>
              <w:rPr>
                <w:noProof/>
                <w:webHidden/>
              </w:rPr>
            </w:r>
            <w:r>
              <w:rPr>
                <w:noProof/>
                <w:webHidden/>
              </w:rPr>
              <w:fldChar w:fldCharType="separate"/>
            </w:r>
            <w:r>
              <w:rPr>
                <w:noProof/>
                <w:webHidden/>
              </w:rPr>
              <w:t>8</w:t>
            </w:r>
            <w:r>
              <w:rPr>
                <w:noProof/>
                <w:webHidden/>
              </w:rPr>
              <w:fldChar w:fldCharType="end"/>
            </w:r>
          </w:hyperlink>
        </w:p>
        <w:p w14:paraId="2F388275" w14:textId="2105AE0F" w:rsidR="0078756E" w:rsidRDefault="0078756E">
          <w:pPr>
            <w:pStyle w:val="TOC2"/>
            <w:tabs>
              <w:tab w:val="right" w:leader="dot" w:pos="9016"/>
            </w:tabs>
            <w:rPr>
              <w:rFonts w:eastAsiaTheme="minorEastAsia"/>
              <w:noProof/>
              <w:sz w:val="24"/>
              <w:szCs w:val="24"/>
              <w:lang w:eastAsia="en-IN"/>
            </w:rPr>
          </w:pPr>
          <w:hyperlink w:anchor="_Toc237461170" w:history="1">
            <w:r w:rsidRPr="006729AE">
              <w:rPr>
                <w:rStyle w:val="Hyperlink"/>
                <w:rFonts w:ascii="Arial" w:hAnsi="Arial" w:cs="Arial"/>
                <w:b/>
                <w:bCs/>
                <w:noProof/>
              </w:rPr>
              <w:t>1.9 Cash-flow analysis</w:t>
            </w:r>
            <w:r>
              <w:rPr>
                <w:noProof/>
                <w:webHidden/>
              </w:rPr>
              <w:tab/>
            </w:r>
            <w:r>
              <w:rPr>
                <w:noProof/>
                <w:webHidden/>
              </w:rPr>
              <w:fldChar w:fldCharType="begin"/>
            </w:r>
            <w:r>
              <w:rPr>
                <w:noProof/>
                <w:webHidden/>
              </w:rPr>
              <w:instrText xml:space="preserve"> PAGEREF _Toc237461170 \h </w:instrText>
            </w:r>
            <w:r>
              <w:rPr>
                <w:noProof/>
                <w:webHidden/>
              </w:rPr>
            </w:r>
            <w:r>
              <w:rPr>
                <w:noProof/>
                <w:webHidden/>
              </w:rPr>
              <w:fldChar w:fldCharType="separate"/>
            </w:r>
            <w:r>
              <w:rPr>
                <w:noProof/>
                <w:webHidden/>
              </w:rPr>
              <w:t>9</w:t>
            </w:r>
            <w:r>
              <w:rPr>
                <w:noProof/>
                <w:webHidden/>
              </w:rPr>
              <w:fldChar w:fldCharType="end"/>
            </w:r>
          </w:hyperlink>
        </w:p>
        <w:p w14:paraId="25F19CA5" w14:textId="1B8F3A14" w:rsidR="0078756E" w:rsidRDefault="0078756E">
          <w:pPr>
            <w:pStyle w:val="TOC1"/>
            <w:tabs>
              <w:tab w:val="right" w:leader="dot" w:pos="9016"/>
            </w:tabs>
            <w:rPr>
              <w:rFonts w:eastAsiaTheme="minorEastAsia"/>
              <w:noProof/>
              <w:sz w:val="24"/>
              <w:szCs w:val="24"/>
              <w:lang w:eastAsia="en-IN"/>
            </w:rPr>
          </w:pPr>
          <w:hyperlink w:anchor="_Toc237461171" w:history="1">
            <w:r w:rsidRPr="006729AE">
              <w:rPr>
                <w:rStyle w:val="Hyperlink"/>
                <w:rFonts w:ascii="Arial" w:hAnsi="Arial" w:cs="Arial"/>
                <w:b/>
                <w:bCs/>
                <w:noProof/>
              </w:rPr>
              <w:t>2. Working Capital Management Analysis - IHG PLC</w:t>
            </w:r>
            <w:r>
              <w:rPr>
                <w:noProof/>
                <w:webHidden/>
              </w:rPr>
              <w:tab/>
            </w:r>
            <w:r>
              <w:rPr>
                <w:noProof/>
                <w:webHidden/>
              </w:rPr>
              <w:fldChar w:fldCharType="begin"/>
            </w:r>
            <w:r>
              <w:rPr>
                <w:noProof/>
                <w:webHidden/>
              </w:rPr>
              <w:instrText xml:space="preserve"> PAGEREF _Toc237461171 \h </w:instrText>
            </w:r>
            <w:r>
              <w:rPr>
                <w:noProof/>
                <w:webHidden/>
              </w:rPr>
            </w:r>
            <w:r>
              <w:rPr>
                <w:noProof/>
                <w:webHidden/>
              </w:rPr>
              <w:fldChar w:fldCharType="separate"/>
            </w:r>
            <w:r>
              <w:rPr>
                <w:noProof/>
                <w:webHidden/>
              </w:rPr>
              <w:t>10</w:t>
            </w:r>
            <w:r>
              <w:rPr>
                <w:noProof/>
                <w:webHidden/>
              </w:rPr>
              <w:fldChar w:fldCharType="end"/>
            </w:r>
          </w:hyperlink>
        </w:p>
        <w:p w14:paraId="41132D20" w14:textId="6D8967EE" w:rsidR="0078756E" w:rsidRDefault="0078756E">
          <w:pPr>
            <w:pStyle w:val="TOC2"/>
            <w:tabs>
              <w:tab w:val="right" w:leader="dot" w:pos="9016"/>
            </w:tabs>
            <w:rPr>
              <w:rFonts w:eastAsiaTheme="minorEastAsia"/>
              <w:noProof/>
              <w:sz w:val="24"/>
              <w:szCs w:val="24"/>
              <w:lang w:eastAsia="en-IN"/>
            </w:rPr>
          </w:pPr>
          <w:hyperlink w:anchor="_Toc237461172" w:history="1">
            <w:r w:rsidRPr="006729AE">
              <w:rPr>
                <w:rStyle w:val="Hyperlink"/>
                <w:rFonts w:ascii="Arial" w:hAnsi="Arial" w:cs="Arial"/>
                <w:b/>
                <w:bCs/>
                <w:noProof/>
              </w:rPr>
              <w:t>2.1 Introduction</w:t>
            </w:r>
            <w:r>
              <w:rPr>
                <w:noProof/>
                <w:webHidden/>
              </w:rPr>
              <w:tab/>
            </w:r>
            <w:r>
              <w:rPr>
                <w:noProof/>
                <w:webHidden/>
              </w:rPr>
              <w:fldChar w:fldCharType="begin"/>
            </w:r>
            <w:r>
              <w:rPr>
                <w:noProof/>
                <w:webHidden/>
              </w:rPr>
              <w:instrText xml:space="preserve"> PAGEREF _Toc237461172 \h </w:instrText>
            </w:r>
            <w:r>
              <w:rPr>
                <w:noProof/>
                <w:webHidden/>
              </w:rPr>
            </w:r>
            <w:r>
              <w:rPr>
                <w:noProof/>
                <w:webHidden/>
              </w:rPr>
              <w:fldChar w:fldCharType="separate"/>
            </w:r>
            <w:r>
              <w:rPr>
                <w:noProof/>
                <w:webHidden/>
              </w:rPr>
              <w:t>10</w:t>
            </w:r>
            <w:r>
              <w:rPr>
                <w:noProof/>
                <w:webHidden/>
              </w:rPr>
              <w:fldChar w:fldCharType="end"/>
            </w:r>
          </w:hyperlink>
        </w:p>
        <w:p w14:paraId="17B6ED88" w14:textId="0075A714" w:rsidR="0078756E" w:rsidRDefault="0078756E">
          <w:pPr>
            <w:pStyle w:val="TOC2"/>
            <w:tabs>
              <w:tab w:val="right" w:leader="dot" w:pos="9016"/>
            </w:tabs>
            <w:rPr>
              <w:rFonts w:eastAsiaTheme="minorEastAsia"/>
              <w:noProof/>
              <w:sz w:val="24"/>
              <w:szCs w:val="24"/>
              <w:lang w:eastAsia="en-IN"/>
            </w:rPr>
          </w:pPr>
          <w:hyperlink w:anchor="_Toc237461173" w:history="1">
            <w:r w:rsidRPr="006729AE">
              <w:rPr>
                <w:rStyle w:val="Hyperlink"/>
                <w:rFonts w:ascii="Arial" w:hAnsi="Arial" w:cs="Arial"/>
                <w:b/>
                <w:bCs/>
                <w:noProof/>
              </w:rPr>
              <w:t>2.3 Recommended working-capital reforms</w:t>
            </w:r>
            <w:r>
              <w:rPr>
                <w:noProof/>
                <w:webHidden/>
              </w:rPr>
              <w:tab/>
            </w:r>
            <w:r>
              <w:rPr>
                <w:noProof/>
                <w:webHidden/>
              </w:rPr>
              <w:fldChar w:fldCharType="begin"/>
            </w:r>
            <w:r>
              <w:rPr>
                <w:noProof/>
                <w:webHidden/>
              </w:rPr>
              <w:instrText xml:space="preserve"> PAGEREF _Toc237461173 \h </w:instrText>
            </w:r>
            <w:r>
              <w:rPr>
                <w:noProof/>
                <w:webHidden/>
              </w:rPr>
            </w:r>
            <w:r>
              <w:rPr>
                <w:noProof/>
                <w:webHidden/>
              </w:rPr>
              <w:fldChar w:fldCharType="separate"/>
            </w:r>
            <w:r>
              <w:rPr>
                <w:noProof/>
                <w:webHidden/>
              </w:rPr>
              <w:t>11</w:t>
            </w:r>
            <w:r>
              <w:rPr>
                <w:noProof/>
                <w:webHidden/>
              </w:rPr>
              <w:fldChar w:fldCharType="end"/>
            </w:r>
          </w:hyperlink>
        </w:p>
        <w:p w14:paraId="5FC34A21" w14:textId="13FD0A55" w:rsidR="0078756E" w:rsidRDefault="0078756E">
          <w:pPr>
            <w:pStyle w:val="TOC3"/>
            <w:tabs>
              <w:tab w:val="right" w:leader="dot" w:pos="9016"/>
            </w:tabs>
            <w:rPr>
              <w:rFonts w:eastAsiaTheme="minorEastAsia"/>
              <w:noProof/>
              <w:sz w:val="24"/>
              <w:szCs w:val="24"/>
              <w:lang w:eastAsia="en-IN"/>
            </w:rPr>
          </w:pPr>
          <w:hyperlink w:anchor="_Toc237461174" w:history="1">
            <w:r w:rsidRPr="006729AE">
              <w:rPr>
                <w:rStyle w:val="Hyperlink"/>
                <w:rFonts w:ascii="Arial" w:hAnsi="Arial" w:cs="Arial"/>
                <w:b/>
                <w:bCs/>
                <w:noProof/>
              </w:rPr>
              <w:t>1. Accelerate receivables collection</w:t>
            </w:r>
            <w:r>
              <w:rPr>
                <w:noProof/>
                <w:webHidden/>
              </w:rPr>
              <w:tab/>
            </w:r>
            <w:r>
              <w:rPr>
                <w:noProof/>
                <w:webHidden/>
              </w:rPr>
              <w:fldChar w:fldCharType="begin"/>
            </w:r>
            <w:r>
              <w:rPr>
                <w:noProof/>
                <w:webHidden/>
              </w:rPr>
              <w:instrText xml:space="preserve"> PAGEREF _Toc237461174 \h </w:instrText>
            </w:r>
            <w:r>
              <w:rPr>
                <w:noProof/>
                <w:webHidden/>
              </w:rPr>
            </w:r>
            <w:r>
              <w:rPr>
                <w:noProof/>
                <w:webHidden/>
              </w:rPr>
              <w:fldChar w:fldCharType="separate"/>
            </w:r>
            <w:r>
              <w:rPr>
                <w:noProof/>
                <w:webHidden/>
              </w:rPr>
              <w:t>12</w:t>
            </w:r>
            <w:r>
              <w:rPr>
                <w:noProof/>
                <w:webHidden/>
              </w:rPr>
              <w:fldChar w:fldCharType="end"/>
            </w:r>
          </w:hyperlink>
        </w:p>
        <w:p w14:paraId="61FFB804" w14:textId="3285790B" w:rsidR="0078756E" w:rsidRDefault="0078756E">
          <w:pPr>
            <w:pStyle w:val="TOC3"/>
            <w:tabs>
              <w:tab w:val="right" w:leader="dot" w:pos="9016"/>
            </w:tabs>
            <w:rPr>
              <w:rFonts w:eastAsiaTheme="minorEastAsia"/>
              <w:noProof/>
              <w:sz w:val="24"/>
              <w:szCs w:val="24"/>
              <w:lang w:eastAsia="en-IN"/>
            </w:rPr>
          </w:pPr>
          <w:hyperlink w:anchor="_Toc237461175" w:history="1">
            <w:r w:rsidRPr="006729AE">
              <w:rPr>
                <w:rStyle w:val="Hyperlink"/>
                <w:rFonts w:ascii="Arial" w:hAnsi="Arial" w:cs="Arial"/>
                <w:b/>
                <w:bCs/>
                <w:noProof/>
              </w:rPr>
              <w:t>2. Make more efficient use of advance payments</w:t>
            </w:r>
            <w:r>
              <w:rPr>
                <w:noProof/>
                <w:webHidden/>
              </w:rPr>
              <w:tab/>
            </w:r>
            <w:r>
              <w:rPr>
                <w:noProof/>
                <w:webHidden/>
              </w:rPr>
              <w:fldChar w:fldCharType="begin"/>
            </w:r>
            <w:r>
              <w:rPr>
                <w:noProof/>
                <w:webHidden/>
              </w:rPr>
              <w:instrText xml:space="preserve"> PAGEREF _Toc237461175 \h </w:instrText>
            </w:r>
            <w:r>
              <w:rPr>
                <w:noProof/>
                <w:webHidden/>
              </w:rPr>
            </w:r>
            <w:r>
              <w:rPr>
                <w:noProof/>
                <w:webHidden/>
              </w:rPr>
              <w:fldChar w:fldCharType="separate"/>
            </w:r>
            <w:r>
              <w:rPr>
                <w:noProof/>
                <w:webHidden/>
              </w:rPr>
              <w:t>12</w:t>
            </w:r>
            <w:r>
              <w:rPr>
                <w:noProof/>
                <w:webHidden/>
              </w:rPr>
              <w:fldChar w:fldCharType="end"/>
            </w:r>
          </w:hyperlink>
        </w:p>
        <w:p w14:paraId="2A435E1A" w14:textId="0E33380B" w:rsidR="0078756E" w:rsidRDefault="0078756E">
          <w:pPr>
            <w:pStyle w:val="TOC3"/>
            <w:tabs>
              <w:tab w:val="right" w:leader="dot" w:pos="9016"/>
            </w:tabs>
            <w:rPr>
              <w:rFonts w:eastAsiaTheme="minorEastAsia"/>
              <w:noProof/>
              <w:sz w:val="24"/>
              <w:szCs w:val="24"/>
              <w:lang w:eastAsia="en-IN"/>
            </w:rPr>
          </w:pPr>
          <w:hyperlink w:anchor="_Toc237461176" w:history="1">
            <w:r w:rsidRPr="006729AE">
              <w:rPr>
                <w:rStyle w:val="Hyperlink"/>
                <w:rFonts w:ascii="Arial" w:hAnsi="Arial" w:cs="Arial"/>
                <w:b/>
                <w:bCs/>
                <w:noProof/>
              </w:rPr>
              <w:t>3. Supplier-payment optimisation</w:t>
            </w:r>
            <w:r>
              <w:rPr>
                <w:noProof/>
                <w:webHidden/>
              </w:rPr>
              <w:tab/>
            </w:r>
            <w:r>
              <w:rPr>
                <w:noProof/>
                <w:webHidden/>
              </w:rPr>
              <w:fldChar w:fldCharType="begin"/>
            </w:r>
            <w:r>
              <w:rPr>
                <w:noProof/>
                <w:webHidden/>
              </w:rPr>
              <w:instrText xml:space="preserve"> PAGEREF _Toc237461176 \h </w:instrText>
            </w:r>
            <w:r>
              <w:rPr>
                <w:noProof/>
                <w:webHidden/>
              </w:rPr>
            </w:r>
            <w:r>
              <w:rPr>
                <w:noProof/>
                <w:webHidden/>
              </w:rPr>
              <w:fldChar w:fldCharType="separate"/>
            </w:r>
            <w:r>
              <w:rPr>
                <w:noProof/>
                <w:webHidden/>
              </w:rPr>
              <w:t>12</w:t>
            </w:r>
            <w:r>
              <w:rPr>
                <w:noProof/>
                <w:webHidden/>
              </w:rPr>
              <w:fldChar w:fldCharType="end"/>
            </w:r>
          </w:hyperlink>
        </w:p>
        <w:p w14:paraId="757DCD74" w14:textId="5147E78A" w:rsidR="0078756E" w:rsidRDefault="0078756E">
          <w:pPr>
            <w:pStyle w:val="TOC3"/>
            <w:tabs>
              <w:tab w:val="right" w:leader="dot" w:pos="9016"/>
            </w:tabs>
            <w:rPr>
              <w:rFonts w:eastAsiaTheme="minorEastAsia"/>
              <w:noProof/>
              <w:sz w:val="24"/>
              <w:szCs w:val="24"/>
              <w:lang w:eastAsia="en-IN"/>
            </w:rPr>
          </w:pPr>
          <w:hyperlink w:anchor="_Toc237461177" w:history="1">
            <w:r w:rsidRPr="006729AE">
              <w:rPr>
                <w:rStyle w:val="Hyperlink"/>
                <w:rFonts w:ascii="Arial" w:hAnsi="Arial" w:cs="Arial"/>
                <w:b/>
                <w:bCs/>
                <w:noProof/>
              </w:rPr>
              <w:t>4. set a liquidity bottom.</w:t>
            </w:r>
            <w:r>
              <w:rPr>
                <w:noProof/>
                <w:webHidden/>
              </w:rPr>
              <w:tab/>
            </w:r>
            <w:r>
              <w:rPr>
                <w:noProof/>
                <w:webHidden/>
              </w:rPr>
              <w:fldChar w:fldCharType="begin"/>
            </w:r>
            <w:r>
              <w:rPr>
                <w:noProof/>
                <w:webHidden/>
              </w:rPr>
              <w:instrText xml:space="preserve"> PAGEREF _Toc237461177 \h </w:instrText>
            </w:r>
            <w:r>
              <w:rPr>
                <w:noProof/>
                <w:webHidden/>
              </w:rPr>
            </w:r>
            <w:r>
              <w:rPr>
                <w:noProof/>
                <w:webHidden/>
              </w:rPr>
              <w:fldChar w:fldCharType="separate"/>
            </w:r>
            <w:r>
              <w:rPr>
                <w:noProof/>
                <w:webHidden/>
              </w:rPr>
              <w:t>12</w:t>
            </w:r>
            <w:r>
              <w:rPr>
                <w:noProof/>
                <w:webHidden/>
              </w:rPr>
              <w:fldChar w:fldCharType="end"/>
            </w:r>
          </w:hyperlink>
        </w:p>
        <w:p w14:paraId="763FDC50" w14:textId="3144024D" w:rsidR="0078756E" w:rsidRDefault="0078756E">
          <w:pPr>
            <w:pStyle w:val="TOC2"/>
            <w:tabs>
              <w:tab w:val="right" w:leader="dot" w:pos="9016"/>
            </w:tabs>
            <w:rPr>
              <w:rFonts w:eastAsiaTheme="minorEastAsia"/>
              <w:noProof/>
              <w:sz w:val="24"/>
              <w:szCs w:val="24"/>
              <w:lang w:eastAsia="en-IN"/>
            </w:rPr>
          </w:pPr>
          <w:hyperlink w:anchor="_Toc237461178" w:history="1">
            <w:r w:rsidRPr="006729AE">
              <w:rPr>
                <w:rStyle w:val="Hyperlink"/>
                <w:rFonts w:ascii="Arial" w:hAnsi="Arial" w:cs="Arial"/>
                <w:b/>
                <w:bCs/>
                <w:noProof/>
              </w:rPr>
              <w:t>2.4 Short-term financing vs. long-term financing</w:t>
            </w:r>
            <w:r>
              <w:rPr>
                <w:noProof/>
                <w:webHidden/>
              </w:rPr>
              <w:tab/>
            </w:r>
            <w:r>
              <w:rPr>
                <w:noProof/>
                <w:webHidden/>
              </w:rPr>
              <w:fldChar w:fldCharType="begin"/>
            </w:r>
            <w:r>
              <w:rPr>
                <w:noProof/>
                <w:webHidden/>
              </w:rPr>
              <w:instrText xml:space="preserve"> PAGEREF _Toc237461178 \h </w:instrText>
            </w:r>
            <w:r>
              <w:rPr>
                <w:noProof/>
                <w:webHidden/>
              </w:rPr>
            </w:r>
            <w:r>
              <w:rPr>
                <w:noProof/>
                <w:webHidden/>
              </w:rPr>
              <w:fldChar w:fldCharType="separate"/>
            </w:r>
            <w:r>
              <w:rPr>
                <w:noProof/>
                <w:webHidden/>
              </w:rPr>
              <w:t>12</w:t>
            </w:r>
            <w:r>
              <w:rPr>
                <w:noProof/>
                <w:webHidden/>
              </w:rPr>
              <w:fldChar w:fldCharType="end"/>
            </w:r>
          </w:hyperlink>
        </w:p>
        <w:p w14:paraId="0AF3EEF7" w14:textId="7296D1DF" w:rsidR="0078756E" w:rsidRDefault="0078756E">
          <w:pPr>
            <w:pStyle w:val="TOC1"/>
            <w:tabs>
              <w:tab w:val="right" w:leader="dot" w:pos="9016"/>
            </w:tabs>
            <w:rPr>
              <w:rFonts w:eastAsiaTheme="minorEastAsia"/>
              <w:noProof/>
              <w:sz w:val="24"/>
              <w:szCs w:val="24"/>
              <w:lang w:eastAsia="en-IN"/>
            </w:rPr>
          </w:pPr>
          <w:hyperlink w:anchor="_Toc237461179" w:history="1">
            <w:r w:rsidRPr="006729AE">
              <w:rPr>
                <w:rStyle w:val="Hyperlink"/>
                <w:rFonts w:ascii="Arial" w:hAnsi="Arial" w:cs="Arial"/>
                <w:b/>
                <w:bCs/>
                <w:noProof/>
              </w:rPr>
              <w:t>3. Strategic Financial Restructuring Plan (IHG PLC)</w:t>
            </w:r>
            <w:r>
              <w:rPr>
                <w:noProof/>
                <w:webHidden/>
              </w:rPr>
              <w:tab/>
            </w:r>
            <w:r>
              <w:rPr>
                <w:noProof/>
                <w:webHidden/>
              </w:rPr>
              <w:fldChar w:fldCharType="begin"/>
            </w:r>
            <w:r>
              <w:rPr>
                <w:noProof/>
                <w:webHidden/>
              </w:rPr>
              <w:instrText xml:space="preserve"> PAGEREF _Toc237461179 \h </w:instrText>
            </w:r>
            <w:r>
              <w:rPr>
                <w:noProof/>
                <w:webHidden/>
              </w:rPr>
            </w:r>
            <w:r>
              <w:rPr>
                <w:noProof/>
                <w:webHidden/>
              </w:rPr>
              <w:fldChar w:fldCharType="separate"/>
            </w:r>
            <w:r>
              <w:rPr>
                <w:noProof/>
                <w:webHidden/>
              </w:rPr>
              <w:t>13</w:t>
            </w:r>
            <w:r>
              <w:rPr>
                <w:noProof/>
                <w:webHidden/>
              </w:rPr>
              <w:fldChar w:fldCharType="end"/>
            </w:r>
          </w:hyperlink>
        </w:p>
        <w:p w14:paraId="4B231D9F" w14:textId="1C911E7E" w:rsidR="0078756E" w:rsidRDefault="0078756E">
          <w:pPr>
            <w:pStyle w:val="TOC2"/>
            <w:tabs>
              <w:tab w:val="right" w:leader="dot" w:pos="9016"/>
            </w:tabs>
            <w:rPr>
              <w:rFonts w:eastAsiaTheme="minorEastAsia"/>
              <w:noProof/>
              <w:sz w:val="24"/>
              <w:szCs w:val="24"/>
              <w:lang w:eastAsia="en-IN"/>
            </w:rPr>
          </w:pPr>
          <w:hyperlink w:anchor="_Toc237461180" w:history="1">
            <w:r w:rsidRPr="006729AE">
              <w:rPr>
                <w:rStyle w:val="Hyperlink"/>
                <w:rFonts w:ascii="Arial" w:hAnsi="Arial" w:cs="Arial"/>
                <w:b/>
                <w:bCs/>
                <w:noProof/>
              </w:rPr>
              <w:t>3.1 Strategic rationale</w:t>
            </w:r>
            <w:r>
              <w:rPr>
                <w:noProof/>
                <w:webHidden/>
              </w:rPr>
              <w:tab/>
            </w:r>
            <w:r>
              <w:rPr>
                <w:noProof/>
                <w:webHidden/>
              </w:rPr>
              <w:fldChar w:fldCharType="begin"/>
            </w:r>
            <w:r>
              <w:rPr>
                <w:noProof/>
                <w:webHidden/>
              </w:rPr>
              <w:instrText xml:space="preserve"> PAGEREF _Toc237461180 \h </w:instrText>
            </w:r>
            <w:r>
              <w:rPr>
                <w:noProof/>
                <w:webHidden/>
              </w:rPr>
            </w:r>
            <w:r>
              <w:rPr>
                <w:noProof/>
                <w:webHidden/>
              </w:rPr>
              <w:fldChar w:fldCharType="separate"/>
            </w:r>
            <w:r>
              <w:rPr>
                <w:noProof/>
                <w:webHidden/>
              </w:rPr>
              <w:t>13</w:t>
            </w:r>
            <w:r>
              <w:rPr>
                <w:noProof/>
                <w:webHidden/>
              </w:rPr>
              <w:fldChar w:fldCharType="end"/>
            </w:r>
          </w:hyperlink>
        </w:p>
        <w:p w14:paraId="1D3436D4" w14:textId="193432E1" w:rsidR="0078756E" w:rsidRDefault="0078756E">
          <w:pPr>
            <w:pStyle w:val="TOC2"/>
            <w:tabs>
              <w:tab w:val="right" w:leader="dot" w:pos="9016"/>
            </w:tabs>
            <w:rPr>
              <w:rFonts w:eastAsiaTheme="minorEastAsia"/>
              <w:noProof/>
              <w:sz w:val="24"/>
              <w:szCs w:val="24"/>
              <w:lang w:eastAsia="en-IN"/>
            </w:rPr>
          </w:pPr>
          <w:hyperlink w:anchor="_Toc237461181" w:history="1">
            <w:r w:rsidRPr="006729AE">
              <w:rPr>
                <w:rStyle w:val="Hyperlink"/>
                <w:rFonts w:ascii="Arial" w:hAnsi="Arial" w:cs="Arial"/>
                <w:b/>
                <w:bCs/>
                <w:noProof/>
              </w:rPr>
              <w:t>3.2 Recommended restructuring options</w:t>
            </w:r>
            <w:r>
              <w:rPr>
                <w:noProof/>
                <w:webHidden/>
              </w:rPr>
              <w:tab/>
            </w:r>
            <w:r>
              <w:rPr>
                <w:noProof/>
                <w:webHidden/>
              </w:rPr>
              <w:fldChar w:fldCharType="begin"/>
            </w:r>
            <w:r>
              <w:rPr>
                <w:noProof/>
                <w:webHidden/>
              </w:rPr>
              <w:instrText xml:space="preserve"> PAGEREF _Toc237461181 \h </w:instrText>
            </w:r>
            <w:r>
              <w:rPr>
                <w:noProof/>
                <w:webHidden/>
              </w:rPr>
            </w:r>
            <w:r>
              <w:rPr>
                <w:noProof/>
                <w:webHidden/>
              </w:rPr>
              <w:fldChar w:fldCharType="separate"/>
            </w:r>
            <w:r>
              <w:rPr>
                <w:noProof/>
                <w:webHidden/>
              </w:rPr>
              <w:t>13</w:t>
            </w:r>
            <w:r>
              <w:rPr>
                <w:noProof/>
                <w:webHidden/>
              </w:rPr>
              <w:fldChar w:fldCharType="end"/>
            </w:r>
          </w:hyperlink>
        </w:p>
        <w:p w14:paraId="7728233A" w14:textId="0450DBC3" w:rsidR="0078756E" w:rsidRDefault="0078756E">
          <w:pPr>
            <w:pStyle w:val="TOC3"/>
            <w:tabs>
              <w:tab w:val="right" w:leader="dot" w:pos="9016"/>
            </w:tabs>
            <w:rPr>
              <w:rFonts w:eastAsiaTheme="minorEastAsia"/>
              <w:noProof/>
              <w:sz w:val="24"/>
              <w:szCs w:val="24"/>
              <w:lang w:eastAsia="en-IN"/>
            </w:rPr>
          </w:pPr>
          <w:hyperlink w:anchor="_Toc237461182" w:history="1">
            <w:r w:rsidRPr="006729AE">
              <w:rPr>
                <w:rStyle w:val="Hyperlink"/>
                <w:rFonts w:ascii="Arial" w:hAnsi="Arial" w:cs="Arial"/>
                <w:b/>
                <w:bCs/>
                <w:noProof/>
              </w:rPr>
              <w:t>A. Moderate shareholder distributions (Option 1):</w:t>
            </w:r>
            <w:r>
              <w:rPr>
                <w:noProof/>
                <w:webHidden/>
              </w:rPr>
              <w:tab/>
            </w:r>
            <w:r>
              <w:rPr>
                <w:noProof/>
                <w:webHidden/>
              </w:rPr>
              <w:fldChar w:fldCharType="begin"/>
            </w:r>
            <w:r>
              <w:rPr>
                <w:noProof/>
                <w:webHidden/>
              </w:rPr>
              <w:instrText xml:space="preserve"> PAGEREF _Toc237461182 \h </w:instrText>
            </w:r>
            <w:r>
              <w:rPr>
                <w:noProof/>
                <w:webHidden/>
              </w:rPr>
            </w:r>
            <w:r>
              <w:rPr>
                <w:noProof/>
                <w:webHidden/>
              </w:rPr>
              <w:fldChar w:fldCharType="separate"/>
            </w:r>
            <w:r>
              <w:rPr>
                <w:noProof/>
                <w:webHidden/>
              </w:rPr>
              <w:t>13</w:t>
            </w:r>
            <w:r>
              <w:rPr>
                <w:noProof/>
                <w:webHidden/>
              </w:rPr>
              <w:fldChar w:fldCharType="end"/>
            </w:r>
          </w:hyperlink>
        </w:p>
        <w:p w14:paraId="59DC5B75" w14:textId="2CD4579A" w:rsidR="0078756E" w:rsidRDefault="0078756E">
          <w:pPr>
            <w:pStyle w:val="TOC2"/>
            <w:tabs>
              <w:tab w:val="right" w:leader="dot" w:pos="9016"/>
            </w:tabs>
            <w:rPr>
              <w:rFonts w:eastAsiaTheme="minorEastAsia"/>
              <w:noProof/>
              <w:sz w:val="24"/>
              <w:szCs w:val="24"/>
              <w:lang w:eastAsia="en-IN"/>
            </w:rPr>
          </w:pPr>
          <w:hyperlink w:anchor="_Toc237461183" w:history="1">
            <w:r w:rsidRPr="006729AE">
              <w:rPr>
                <w:rStyle w:val="Hyperlink"/>
                <w:rFonts w:ascii="Arial" w:hAnsi="Arial" w:cs="Arial"/>
                <w:b/>
                <w:bCs/>
                <w:noProof/>
              </w:rPr>
              <w:t>3.3 Selective divestiture</w:t>
            </w:r>
            <w:r>
              <w:rPr>
                <w:noProof/>
                <w:webHidden/>
              </w:rPr>
              <w:tab/>
            </w:r>
            <w:r>
              <w:rPr>
                <w:noProof/>
                <w:webHidden/>
              </w:rPr>
              <w:fldChar w:fldCharType="begin"/>
            </w:r>
            <w:r>
              <w:rPr>
                <w:noProof/>
                <w:webHidden/>
              </w:rPr>
              <w:instrText xml:space="preserve"> PAGEREF _Toc237461183 \h </w:instrText>
            </w:r>
            <w:r>
              <w:rPr>
                <w:noProof/>
                <w:webHidden/>
              </w:rPr>
            </w:r>
            <w:r>
              <w:rPr>
                <w:noProof/>
                <w:webHidden/>
              </w:rPr>
              <w:fldChar w:fldCharType="separate"/>
            </w:r>
            <w:r>
              <w:rPr>
                <w:noProof/>
                <w:webHidden/>
              </w:rPr>
              <w:t>14</w:t>
            </w:r>
            <w:r>
              <w:rPr>
                <w:noProof/>
                <w:webHidden/>
              </w:rPr>
              <w:fldChar w:fldCharType="end"/>
            </w:r>
          </w:hyperlink>
        </w:p>
        <w:p w14:paraId="75AD8D37" w14:textId="2935ECD7" w:rsidR="0078756E" w:rsidRDefault="0078756E">
          <w:pPr>
            <w:pStyle w:val="TOC2"/>
            <w:tabs>
              <w:tab w:val="right" w:leader="dot" w:pos="9016"/>
            </w:tabs>
            <w:rPr>
              <w:rFonts w:eastAsiaTheme="minorEastAsia"/>
              <w:noProof/>
              <w:sz w:val="24"/>
              <w:szCs w:val="24"/>
              <w:lang w:eastAsia="en-IN"/>
            </w:rPr>
          </w:pPr>
          <w:hyperlink w:anchor="_Toc237461184" w:history="1">
            <w:r w:rsidRPr="006729AE">
              <w:rPr>
                <w:rStyle w:val="Hyperlink"/>
                <w:rFonts w:ascii="Arial" w:hAnsi="Arial" w:cs="Arial"/>
                <w:b/>
                <w:bCs/>
                <w:noProof/>
              </w:rPr>
              <w:t>3.4 Debt restructuring</w:t>
            </w:r>
            <w:r>
              <w:rPr>
                <w:noProof/>
                <w:webHidden/>
              </w:rPr>
              <w:tab/>
            </w:r>
            <w:r>
              <w:rPr>
                <w:noProof/>
                <w:webHidden/>
              </w:rPr>
              <w:fldChar w:fldCharType="begin"/>
            </w:r>
            <w:r>
              <w:rPr>
                <w:noProof/>
                <w:webHidden/>
              </w:rPr>
              <w:instrText xml:space="preserve"> PAGEREF _Toc237461184 \h </w:instrText>
            </w:r>
            <w:r>
              <w:rPr>
                <w:noProof/>
                <w:webHidden/>
              </w:rPr>
            </w:r>
            <w:r>
              <w:rPr>
                <w:noProof/>
                <w:webHidden/>
              </w:rPr>
              <w:fldChar w:fldCharType="separate"/>
            </w:r>
            <w:r>
              <w:rPr>
                <w:noProof/>
                <w:webHidden/>
              </w:rPr>
              <w:t>14</w:t>
            </w:r>
            <w:r>
              <w:rPr>
                <w:noProof/>
                <w:webHidden/>
              </w:rPr>
              <w:fldChar w:fldCharType="end"/>
            </w:r>
          </w:hyperlink>
        </w:p>
        <w:p w14:paraId="1E0F5E89" w14:textId="66DCCEC9" w:rsidR="0078756E" w:rsidRDefault="0078756E">
          <w:pPr>
            <w:pStyle w:val="TOC2"/>
            <w:tabs>
              <w:tab w:val="right" w:leader="dot" w:pos="9016"/>
            </w:tabs>
            <w:rPr>
              <w:rFonts w:eastAsiaTheme="minorEastAsia"/>
              <w:noProof/>
              <w:sz w:val="24"/>
              <w:szCs w:val="24"/>
              <w:lang w:eastAsia="en-IN"/>
            </w:rPr>
          </w:pPr>
          <w:hyperlink w:anchor="_Toc237461185" w:history="1">
            <w:r w:rsidRPr="006729AE">
              <w:rPr>
                <w:rStyle w:val="Hyperlink"/>
                <w:rFonts w:ascii="Arial" w:hAnsi="Arial" w:cs="Arial"/>
                <w:b/>
                <w:bCs/>
                <w:noProof/>
              </w:rPr>
              <w:t>3.5 Effect on the shareholder value, debt and flexibility of operation</w:t>
            </w:r>
            <w:r>
              <w:rPr>
                <w:noProof/>
                <w:webHidden/>
              </w:rPr>
              <w:tab/>
            </w:r>
            <w:r>
              <w:rPr>
                <w:noProof/>
                <w:webHidden/>
              </w:rPr>
              <w:fldChar w:fldCharType="begin"/>
            </w:r>
            <w:r>
              <w:rPr>
                <w:noProof/>
                <w:webHidden/>
              </w:rPr>
              <w:instrText xml:space="preserve"> PAGEREF _Toc237461185 \h </w:instrText>
            </w:r>
            <w:r>
              <w:rPr>
                <w:noProof/>
                <w:webHidden/>
              </w:rPr>
            </w:r>
            <w:r>
              <w:rPr>
                <w:noProof/>
                <w:webHidden/>
              </w:rPr>
              <w:fldChar w:fldCharType="separate"/>
            </w:r>
            <w:r>
              <w:rPr>
                <w:noProof/>
                <w:webHidden/>
              </w:rPr>
              <w:t>14</w:t>
            </w:r>
            <w:r>
              <w:rPr>
                <w:noProof/>
                <w:webHidden/>
              </w:rPr>
              <w:fldChar w:fldCharType="end"/>
            </w:r>
          </w:hyperlink>
        </w:p>
        <w:p w14:paraId="4EAA6272" w14:textId="58494ED6" w:rsidR="0078756E" w:rsidRDefault="0078756E">
          <w:pPr>
            <w:pStyle w:val="TOC2"/>
            <w:tabs>
              <w:tab w:val="right" w:leader="dot" w:pos="9016"/>
            </w:tabs>
            <w:rPr>
              <w:rFonts w:eastAsiaTheme="minorEastAsia"/>
              <w:noProof/>
              <w:sz w:val="24"/>
              <w:szCs w:val="24"/>
              <w:lang w:eastAsia="en-IN"/>
            </w:rPr>
          </w:pPr>
          <w:hyperlink w:anchor="_Toc237461186" w:history="1">
            <w:r w:rsidRPr="006729AE">
              <w:rPr>
                <w:rStyle w:val="Hyperlink"/>
                <w:rFonts w:ascii="Arial" w:hAnsi="Arial" w:cs="Arial"/>
                <w:b/>
                <w:noProof/>
              </w:rPr>
              <w:t>3.6 International considerations</w:t>
            </w:r>
            <w:r>
              <w:rPr>
                <w:noProof/>
                <w:webHidden/>
              </w:rPr>
              <w:tab/>
            </w:r>
            <w:r>
              <w:rPr>
                <w:noProof/>
                <w:webHidden/>
              </w:rPr>
              <w:fldChar w:fldCharType="begin"/>
            </w:r>
            <w:r>
              <w:rPr>
                <w:noProof/>
                <w:webHidden/>
              </w:rPr>
              <w:instrText xml:space="preserve"> PAGEREF _Toc237461186 \h </w:instrText>
            </w:r>
            <w:r>
              <w:rPr>
                <w:noProof/>
                <w:webHidden/>
              </w:rPr>
            </w:r>
            <w:r>
              <w:rPr>
                <w:noProof/>
                <w:webHidden/>
              </w:rPr>
              <w:fldChar w:fldCharType="separate"/>
            </w:r>
            <w:r>
              <w:rPr>
                <w:noProof/>
                <w:webHidden/>
              </w:rPr>
              <w:t>15</w:t>
            </w:r>
            <w:r>
              <w:rPr>
                <w:noProof/>
                <w:webHidden/>
              </w:rPr>
              <w:fldChar w:fldCharType="end"/>
            </w:r>
          </w:hyperlink>
        </w:p>
        <w:p w14:paraId="798F7D7C" w14:textId="4A4C4257" w:rsidR="0078756E" w:rsidRDefault="0078756E">
          <w:pPr>
            <w:pStyle w:val="TOC2"/>
            <w:tabs>
              <w:tab w:val="right" w:leader="dot" w:pos="9016"/>
            </w:tabs>
            <w:rPr>
              <w:rFonts w:eastAsiaTheme="minorEastAsia"/>
              <w:noProof/>
              <w:sz w:val="24"/>
              <w:szCs w:val="24"/>
              <w:lang w:eastAsia="en-IN"/>
            </w:rPr>
          </w:pPr>
          <w:hyperlink w:anchor="_Toc237461187" w:history="1">
            <w:r w:rsidRPr="006729AE">
              <w:rPr>
                <w:rStyle w:val="Hyperlink"/>
                <w:rFonts w:ascii="Arial" w:hAnsi="Arial" w:cs="Arial"/>
                <w:b/>
                <w:bCs/>
                <w:noProof/>
              </w:rPr>
              <w:t>3.7 International taxation</w:t>
            </w:r>
            <w:r>
              <w:rPr>
                <w:noProof/>
                <w:webHidden/>
              </w:rPr>
              <w:tab/>
            </w:r>
            <w:r>
              <w:rPr>
                <w:noProof/>
                <w:webHidden/>
              </w:rPr>
              <w:fldChar w:fldCharType="begin"/>
            </w:r>
            <w:r>
              <w:rPr>
                <w:noProof/>
                <w:webHidden/>
              </w:rPr>
              <w:instrText xml:space="preserve"> PAGEREF _Toc237461187 \h </w:instrText>
            </w:r>
            <w:r>
              <w:rPr>
                <w:noProof/>
                <w:webHidden/>
              </w:rPr>
            </w:r>
            <w:r>
              <w:rPr>
                <w:noProof/>
                <w:webHidden/>
              </w:rPr>
              <w:fldChar w:fldCharType="separate"/>
            </w:r>
            <w:r>
              <w:rPr>
                <w:noProof/>
                <w:webHidden/>
              </w:rPr>
              <w:t>15</w:t>
            </w:r>
            <w:r>
              <w:rPr>
                <w:noProof/>
                <w:webHidden/>
              </w:rPr>
              <w:fldChar w:fldCharType="end"/>
            </w:r>
          </w:hyperlink>
        </w:p>
        <w:p w14:paraId="10CE0898" w14:textId="2BF68E68" w:rsidR="0078756E" w:rsidRDefault="0078756E">
          <w:pPr>
            <w:pStyle w:val="TOC1"/>
            <w:tabs>
              <w:tab w:val="right" w:leader="dot" w:pos="9016"/>
            </w:tabs>
            <w:rPr>
              <w:rFonts w:eastAsiaTheme="minorEastAsia"/>
              <w:noProof/>
              <w:sz w:val="24"/>
              <w:szCs w:val="24"/>
              <w:lang w:eastAsia="en-IN"/>
            </w:rPr>
          </w:pPr>
          <w:hyperlink w:anchor="_Toc237461188" w:history="1">
            <w:r w:rsidRPr="006729AE">
              <w:rPr>
                <w:rStyle w:val="Hyperlink"/>
                <w:rFonts w:ascii="Arial" w:hAnsi="Arial" w:cs="Arial"/>
                <w:b/>
                <w:bCs/>
                <w:noProof/>
              </w:rPr>
              <w:t>4. Investment Appraisal and Capital Budgeting</w:t>
            </w:r>
            <w:r>
              <w:rPr>
                <w:noProof/>
                <w:webHidden/>
              </w:rPr>
              <w:tab/>
            </w:r>
            <w:r>
              <w:rPr>
                <w:noProof/>
                <w:webHidden/>
              </w:rPr>
              <w:fldChar w:fldCharType="begin"/>
            </w:r>
            <w:r>
              <w:rPr>
                <w:noProof/>
                <w:webHidden/>
              </w:rPr>
              <w:instrText xml:space="preserve"> PAGEREF _Toc237461188 \h </w:instrText>
            </w:r>
            <w:r>
              <w:rPr>
                <w:noProof/>
                <w:webHidden/>
              </w:rPr>
            </w:r>
            <w:r>
              <w:rPr>
                <w:noProof/>
                <w:webHidden/>
              </w:rPr>
              <w:fldChar w:fldCharType="separate"/>
            </w:r>
            <w:r>
              <w:rPr>
                <w:noProof/>
                <w:webHidden/>
              </w:rPr>
              <w:t>17</w:t>
            </w:r>
            <w:r>
              <w:rPr>
                <w:noProof/>
                <w:webHidden/>
              </w:rPr>
              <w:fldChar w:fldCharType="end"/>
            </w:r>
          </w:hyperlink>
        </w:p>
        <w:p w14:paraId="4B2C5D26" w14:textId="2805B177" w:rsidR="0078756E" w:rsidRDefault="0078756E">
          <w:pPr>
            <w:pStyle w:val="TOC2"/>
            <w:tabs>
              <w:tab w:val="right" w:leader="dot" w:pos="9016"/>
            </w:tabs>
            <w:rPr>
              <w:rFonts w:eastAsiaTheme="minorEastAsia"/>
              <w:noProof/>
              <w:sz w:val="24"/>
              <w:szCs w:val="24"/>
              <w:lang w:eastAsia="en-IN"/>
            </w:rPr>
          </w:pPr>
          <w:hyperlink w:anchor="_Toc237461189" w:history="1">
            <w:r w:rsidRPr="006729AE">
              <w:rPr>
                <w:rStyle w:val="Hyperlink"/>
                <w:rFonts w:ascii="Arial" w:hAnsi="Arial" w:cs="Arial"/>
                <w:b/>
                <w:bCs/>
                <w:noProof/>
              </w:rPr>
              <w:t>4.1 Introduction</w:t>
            </w:r>
            <w:r>
              <w:rPr>
                <w:noProof/>
                <w:webHidden/>
              </w:rPr>
              <w:tab/>
            </w:r>
            <w:r>
              <w:rPr>
                <w:noProof/>
                <w:webHidden/>
              </w:rPr>
              <w:fldChar w:fldCharType="begin"/>
            </w:r>
            <w:r>
              <w:rPr>
                <w:noProof/>
                <w:webHidden/>
              </w:rPr>
              <w:instrText xml:space="preserve"> PAGEREF _Toc237461189 \h </w:instrText>
            </w:r>
            <w:r>
              <w:rPr>
                <w:noProof/>
                <w:webHidden/>
              </w:rPr>
            </w:r>
            <w:r>
              <w:rPr>
                <w:noProof/>
                <w:webHidden/>
              </w:rPr>
              <w:fldChar w:fldCharType="separate"/>
            </w:r>
            <w:r>
              <w:rPr>
                <w:noProof/>
                <w:webHidden/>
              </w:rPr>
              <w:t>17</w:t>
            </w:r>
            <w:r>
              <w:rPr>
                <w:noProof/>
                <w:webHidden/>
              </w:rPr>
              <w:fldChar w:fldCharType="end"/>
            </w:r>
          </w:hyperlink>
        </w:p>
        <w:p w14:paraId="7FFE61E7" w14:textId="2F1B1554" w:rsidR="0078756E" w:rsidRDefault="0078756E">
          <w:pPr>
            <w:pStyle w:val="TOC2"/>
            <w:tabs>
              <w:tab w:val="right" w:leader="dot" w:pos="9016"/>
            </w:tabs>
            <w:rPr>
              <w:rFonts w:eastAsiaTheme="minorEastAsia"/>
              <w:noProof/>
              <w:sz w:val="24"/>
              <w:szCs w:val="24"/>
              <w:lang w:eastAsia="en-IN"/>
            </w:rPr>
          </w:pPr>
          <w:hyperlink w:anchor="_Toc237461190" w:history="1">
            <w:r w:rsidRPr="006729AE">
              <w:rPr>
                <w:rStyle w:val="Hyperlink"/>
                <w:rFonts w:ascii="Arial" w:hAnsi="Arial" w:cs="Arial"/>
                <w:b/>
                <w:bCs/>
                <w:noProof/>
              </w:rPr>
              <w:t>4.2 Project information and assumptions</w:t>
            </w:r>
            <w:r>
              <w:rPr>
                <w:noProof/>
                <w:webHidden/>
              </w:rPr>
              <w:tab/>
            </w:r>
            <w:r>
              <w:rPr>
                <w:noProof/>
                <w:webHidden/>
              </w:rPr>
              <w:fldChar w:fldCharType="begin"/>
            </w:r>
            <w:r>
              <w:rPr>
                <w:noProof/>
                <w:webHidden/>
              </w:rPr>
              <w:instrText xml:space="preserve"> PAGEREF _Toc237461190 \h </w:instrText>
            </w:r>
            <w:r>
              <w:rPr>
                <w:noProof/>
                <w:webHidden/>
              </w:rPr>
            </w:r>
            <w:r>
              <w:rPr>
                <w:noProof/>
                <w:webHidden/>
              </w:rPr>
              <w:fldChar w:fldCharType="separate"/>
            </w:r>
            <w:r>
              <w:rPr>
                <w:noProof/>
                <w:webHidden/>
              </w:rPr>
              <w:t>17</w:t>
            </w:r>
            <w:r>
              <w:rPr>
                <w:noProof/>
                <w:webHidden/>
              </w:rPr>
              <w:fldChar w:fldCharType="end"/>
            </w:r>
          </w:hyperlink>
        </w:p>
        <w:p w14:paraId="5CFED8B9" w14:textId="5EB42DA0" w:rsidR="0078756E" w:rsidRDefault="0078756E">
          <w:pPr>
            <w:pStyle w:val="TOC2"/>
            <w:tabs>
              <w:tab w:val="right" w:leader="dot" w:pos="9016"/>
            </w:tabs>
            <w:rPr>
              <w:rFonts w:eastAsiaTheme="minorEastAsia"/>
              <w:noProof/>
              <w:sz w:val="24"/>
              <w:szCs w:val="24"/>
              <w:lang w:eastAsia="en-IN"/>
            </w:rPr>
          </w:pPr>
          <w:hyperlink w:anchor="_Toc237461191" w:history="1">
            <w:r w:rsidRPr="006729AE">
              <w:rPr>
                <w:rStyle w:val="Hyperlink"/>
                <w:rFonts w:ascii="Arial" w:hAnsi="Arial" w:cs="Arial"/>
                <w:b/>
                <w:bCs/>
                <w:noProof/>
              </w:rPr>
              <w:t>4.3 Payback Period</w:t>
            </w:r>
            <w:r>
              <w:rPr>
                <w:noProof/>
                <w:webHidden/>
              </w:rPr>
              <w:tab/>
            </w:r>
            <w:r>
              <w:rPr>
                <w:noProof/>
                <w:webHidden/>
              </w:rPr>
              <w:fldChar w:fldCharType="begin"/>
            </w:r>
            <w:r>
              <w:rPr>
                <w:noProof/>
                <w:webHidden/>
              </w:rPr>
              <w:instrText xml:space="preserve"> PAGEREF _Toc237461191 \h </w:instrText>
            </w:r>
            <w:r>
              <w:rPr>
                <w:noProof/>
                <w:webHidden/>
              </w:rPr>
            </w:r>
            <w:r>
              <w:rPr>
                <w:noProof/>
                <w:webHidden/>
              </w:rPr>
              <w:fldChar w:fldCharType="separate"/>
            </w:r>
            <w:r>
              <w:rPr>
                <w:noProof/>
                <w:webHidden/>
              </w:rPr>
              <w:t>18</w:t>
            </w:r>
            <w:r>
              <w:rPr>
                <w:noProof/>
                <w:webHidden/>
              </w:rPr>
              <w:fldChar w:fldCharType="end"/>
            </w:r>
          </w:hyperlink>
        </w:p>
        <w:p w14:paraId="37CD0A26" w14:textId="6796D7B9" w:rsidR="0078756E" w:rsidRDefault="0078756E">
          <w:pPr>
            <w:pStyle w:val="TOC2"/>
            <w:tabs>
              <w:tab w:val="right" w:leader="dot" w:pos="9016"/>
            </w:tabs>
            <w:rPr>
              <w:rFonts w:eastAsiaTheme="minorEastAsia"/>
              <w:noProof/>
              <w:sz w:val="24"/>
              <w:szCs w:val="24"/>
              <w:lang w:eastAsia="en-IN"/>
            </w:rPr>
          </w:pPr>
          <w:hyperlink w:anchor="_Toc237461192" w:history="1">
            <w:r w:rsidRPr="006729AE">
              <w:rPr>
                <w:rStyle w:val="Hyperlink"/>
                <w:rFonts w:ascii="Arial" w:hAnsi="Arial" w:cs="Arial"/>
                <w:b/>
                <w:bCs/>
                <w:noProof/>
              </w:rPr>
              <w:t>4.4 Accounting Rate of Return</w:t>
            </w:r>
            <w:r>
              <w:rPr>
                <w:noProof/>
                <w:webHidden/>
              </w:rPr>
              <w:tab/>
            </w:r>
            <w:r>
              <w:rPr>
                <w:noProof/>
                <w:webHidden/>
              </w:rPr>
              <w:fldChar w:fldCharType="begin"/>
            </w:r>
            <w:r>
              <w:rPr>
                <w:noProof/>
                <w:webHidden/>
              </w:rPr>
              <w:instrText xml:space="preserve"> PAGEREF _Toc237461192 \h </w:instrText>
            </w:r>
            <w:r>
              <w:rPr>
                <w:noProof/>
                <w:webHidden/>
              </w:rPr>
            </w:r>
            <w:r>
              <w:rPr>
                <w:noProof/>
                <w:webHidden/>
              </w:rPr>
              <w:fldChar w:fldCharType="separate"/>
            </w:r>
            <w:r>
              <w:rPr>
                <w:noProof/>
                <w:webHidden/>
              </w:rPr>
              <w:t>19</w:t>
            </w:r>
            <w:r>
              <w:rPr>
                <w:noProof/>
                <w:webHidden/>
              </w:rPr>
              <w:fldChar w:fldCharType="end"/>
            </w:r>
          </w:hyperlink>
        </w:p>
        <w:p w14:paraId="500B1E95" w14:textId="1A3ACEDC" w:rsidR="0078756E" w:rsidRDefault="0078756E">
          <w:pPr>
            <w:pStyle w:val="TOC2"/>
            <w:tabs>
              <w:tab w:val="right" w:leader="dot" w:pos="9016"/>
            </w:tabs>
            <w:rPr>
              <w:rFonts w:eastAsiaTheme="minorEastAsia"/>
              <w:noProof/>
              <w:sz w:val="24"/>
              <w:szCs w:val="24"/>
              <w:lang w:eastAsia="en-IN"/>
            </w:rPr>
          </w:pPr>
          <w:hyperlink w:anchor="_Toc237461193" w:history="1">
            <w:r w:rsidRPr="006729AE">
              <w:rPr>
                <w:rStyle w:val="Hyperlink"/>
                <w:rFonts w:ascii="Arial" w:hAnsi="Arial" w:cs="Arial"/>
                <w:b/>
                <w:bCs/>
                <w:noProof/>
              </w:rPr>
              <w:t>4.5 Net Present Value</w:t>
            </w:r>
            <w:r>
              <w:rPr>
                <w:noProof/>
                <w:webHidden/>
              </w:rPr>
              <w:tab/>
            </w:r>
            <w:r>
              <w:rPr>
                <w:noProof/>
                <w:webHidden/>
              </w:rPr>
              <w:fldChar w:fldCharType="begin"/>
            </w:r>
            <w:r>
              <w:rPr>
                <w:noProof/>
                <w:webHidden/>
              </w:rPr>
              <w:instrText xml:space="preserve"> PAGEREF _Toc237461193 \h </w:instrText>
            </w:r>
            <w:r>
              <w:rPr>
                <w:noProof/>
                <w:webHidden/>
              </w:rPr>
            </w:r>
            <w:r>
              <w:rPr>
                <w:noProof/>
                <w:webHidden/>
              </w:rPr>
              <w:fldChar w:fldCharType="separate"/>
            </w:r>
            <w:r>
              <w:rPr>
                <w:noProof/>
                <w:webHidden/>
              </w:rPr>
              <w:t>20</w:t>
            </w:r>
            <w:r>
              <w:rPr>
                <w:noProof/>
                <w:webHidden/>
              </w:rPr>
              <w:fldChar w:fldCharType="end"/>
            </w:r>
          </w:hyperlink>
        </w:p>
        <w:p w14:paraId="55A11E9B" w14:textId="7A5089F1" w:rsidR="0078756E" w:rsidRDefault="0078756E">
          <w:pPr>
            <w:pStyle w:val="TOC2"/>
            <w:tabs>
              <w:tab w:val="right" w:leader="dot" w:pos="9016"/>
            </w:tabs>
            <w:rPr>
              <w:rFonts w:eastAsiaTheme="minorEastAsia"/>
              <w:noProof/>
              <w:sz w:val="24"/>
              <w:szCs w:val="24"/>
              <w:lang w:eastAsia="en-IN"/>
            </w:rPr>
          </w:pPr>
          <w:hyperlink w:anchor="_Toc237461194" w:history="1">
            <w:r w:rsidRPr="006729AE">
              <w:rPr>
                <w:rStyle w:val="Hyperlink"/>
                <w:rFonts w:ascii="Arial" w:hAnsi="Arial" w:cs="Arial"/>
                <w:b/>
                <w:bCs/>
                <w:noProof/>
              </w:rPr>
              <w:t>4.6 Profitability Index</w:t>
            </w:r>
            <w:r>
              <w:rPr>
                <w:noProof/>
                <w:webHidden/>
              </w:rPr>
              <w:tab/>
            </w:r>
            <w:r>
              <w:rPr>
                <w:noProof/>
                <w:webHidden/>
              </w:rPr>
              <w:fldChar w:fldCharType="begin"/>
            </w:r>
            <w:r>
              <w:rPr>
                <w:noProof/>
                <w:webHidden/>
              </w:rPr>
              <w:instrText xml:space="preserve"> PAGEREF _Toc237461194 \h </w:instrText>
            </w:r>
            <w:r>
              <w:rPr>
                <w:noProof/>
                <w:webHidden/>
              </w:rPr>
            </w:r>
            <w:r>
              <w:rPr>
                <w:noProof/>
                <w:webHidden/>
              </w:rPr>
              <w:fldChar w:fldCharType="separate"/>
            </w:r>
            <w:r>
              <w:rPr>
                <w:noProof/>
                <w:webHidden/>
              </w:rPr>
              <w:t>20</w:t>
            </w:r>
            <w:r>
              <w:rPr>
                <w:noProof/>
                <w:webHidden/>
              </w:rPr>
              <w:fldChar w:fldCharType="end"/>
            </w:r>
          </w:hyperlink>
        </w:p>
        <w:p w14:paraId="21201067" w14:textId="7B765A71" w:rsidR="0078756E" w:rsidRDefault="0078756E">
          <w:pPr>
            <w:pStyle w:val="TOC2"/>
            <w:tabs>
              <w:tab w:val="right" w:leader="dot" w:pos="9016"/>
            </w:tabs>
            <w:rPr>
              <w:rFonts w:eastAsiaTheme="minorEastAsia"/>
              <w:noProof/>
              <w:sz w:val="24"/>
              <w:szCs w:val="24"/>
              <w:lang w:eastAsia="en-IN"/>
            </w:rPr>
          </w:pPr>
          <w:hyperlink w:anchor="_Toc237461195" w:history="1">
            <w:r w:rsidRPr="006729AE">
              <w:rPr>
                <w:rStyle w:val="Hyperlink"/>
                <w:rFonts w:ascii="Arial" w:hAnsi="Arial" w:cs="Arial"/>
                <w:b/>
                <w:bCs/>
                <w:noProof/>
              </w:rPr>
              <w:t>4.7 Overall investment-appraisal comparison</w:t>
            </w:r>
            <w:r>
              <w:rPr>
                <w:noProof/>
                <w:webHidden/>
              </w:rPr>
              <w:tab/>
            </w:r>
            <w:r>
              <w:rPr>
                <w:noProof/>
                <w:webHidden/>
              </w:rPr>
              <w:fldChar w:fldCharType="begin"/>
            </w:r>
            <w:r>
              <w:rPr>
                <w:noProof/>
                <w:webHidden/>
              </w:rPr>
              <w:instrText xml:space="preserve"> PAGEREF _Toc237461195 \h </w:instrText>
            </w:r>
            <w:r>
              <w:rPr>
                <w:noProof/>
                <w:webHidden/>
              </w:rPr>
            </w:r>
            <w:r>
              <w:rPr>
                <w:noProof/>
                <w:webHidden/>
              </w:rPr>
              <w:fldChar w:fldCharType="separate"/>
            </w:r>
            <w:r>
              <w:rPr>
                <w:noProof/>
                <w:webHidden/>
              </w:rPr>
              <w:t>21</w:t>
            </w:r>
            <w:r>
              <w:rPr>
                <w:noProof/>
                <w:webHidden/>
              </w:rPr>
              <w:fldChar w:fldCharType="end"/>
            </w:r>
          </w:hyperlink>
        </w:p>
        <w:p w14:paraId="66220F11" w14:textId="5EA67726" w:rsidR="0078756E" w:rsidRDefault="0078756E">
          <w:pPr>
            <w:pStyle w:val="TOC2"/>
            <w:tabs>
              <w:tab w:val="right" w:leader="dot" w:pos="9016"/>
            </w:tabs>
            <w:rPr>
              <w:rFonts w:eastAsiaTheme="minorEastAsia"/>
              <w:noProof/>
              <w:sz w:val="24"/>
              <w:szCs w:val="24"/>
              <w:lang w:eastAsia="en-IN"/>
            </w:rPr>
          </w:pPr>
          <w:hyperlink w:anchor="_Toc237461196" w:history="1">
            <w:r w:rsidRPr="006729AE">
              <w:rPr>
                <w:rStyle w:val="Hyperlink"/>
                <w:rFonts w:ascii="Arial" w:hAnsi="Arial" w:cs="Arial"/>
                <w:b/>
                <w:bCs/>
                <w:noProof/>
              </w:rPr>
              <w:t>4.8 Justification of Strategy in selecting Project C</w:t>
            </w:r>
            <w:r>
              <w:rPr>
                <w:noProof/>
                <w:webHidden/>
              </w:rPr>
              <w:tab/>
            </w:r>
            <w:r>
              <w:rPr>
                <w:noProof/>
                <w:webHidden/>
              </w:rPr>
              <w:fldChar w:fldCharType="begin"/>
            </w:r>
            <w:r>
              <w:rPr>
                <w:noProof/>
                <w:webHidden/>
              </w:rPr>
              <w:instrText xml:space="preserve"> PAGEREF _Toc237461196 \h </w:instrText>
            </w:r>
            <w:r>
              <w:rPr>
                <w:noProof/>
                <w:webHidden/>
              </w:rPr>
            </w:r>
            <w:r>
              <w:rPr>
                <w:noProof/>
                <w:webHidden/>
              </w:rPr>
              <w:fldChar w:fldCharType="separate"/>
            </w:r>
            <w:r>
              <w:rPr>
                <w:noProof/>
                <w:webHidden/>
              </w:rPr>
              <w:t>21</w:t>
            </w:r>
            <w:r>
              <w:rPr>
                <w:noProof/>
                <w:webHidden/>
              </w:rPr>
              <w:fldChar w:fldCharType="end"/>
            </w:r>
          </w:hyperlink>
        </w:p>
        <w:p w14:paraId="43A8DC3D" w14:textId="343FF504" w:rsidR="0078756E" w:rsidRDefault="0078756E">
          <w:pPr>
            <w:pStyle w:val="TOC1"/>
            <w:tabs>
              <w:tab w:val="right" w:leader="dot" w:pos="9016"/>
            </w:tabs>
            <w:rPr>
              <w:rFonts w:eastAsiaTheme="minorEastAsia"/>
              <w:noProof/>
              <w:sz w:val="24"/>
              <w:szCs w:val="24"/>
              <w:lang w:eastAsia="en-IN"/>
            </w:rPr>
          </w:pPr>
          <w:hyperlink w:anchor="_Toc237461197" w:history="1">
            <w:r w:rsidRPr="006729AE">
              <w:rPr>
                <w:rStyle w:val="Hyperlink"/>
                <w:rFonts w:ascii="Arial" w:hAnsi="Arial" w:cs="Arial"/>
                <w:b/>
                <w:bCs/>
                <w:noProof/>
              </w:rPr>
              <w:t>5. Critical Reflection on AI Usage</w:t>
            </w:r>
            <w:r>
              <w:rPr>
                <w:noProof/>
                <w:webHidden/>
              </w:rPr>
              <w:tab/>
            </w:r>
            <w:r>
              <w:rPr>
                <w:noProof/>
                <w:webHidden/>
              </w:rPr>
              <w:fldChar w:fldCharType="begin"/>
            </w:r>
            <w:r>
              <w:rPr>
                <w:noProof/>
                <w:webHidden/>
              </w:rPr>
              <w:instrText xml:space="preserve"> PAGEREF _Toc237461197 \h </w:instrText>
            </w:r>
            <w:r>
              <w:rPr>
                <w:noProof/>
                <w:webHidden/>
              </w:rPr>
            </w:r>
            <w:r>
              <w:rPr>
                <w:noProof/>
                <w:webHidden/>
              </w:rPr>
              <w:fldChar w:fldCharType="separate"/>
            </w:r>
            <w:r>
              <w:rPr>
                <w:noProof/>
                <w:webHidden/>
              </w:rPr>
              <w:t>22</w:t>
            </w:r>
            <w:r>
              <w:rPr>
                <w:noProof/>
                <w:webHidden/>
              </w:rPr>
              <w:fldChar w:fldCharType="end"/>
            </w:r>
          </w:hyperlink>
        </w:p>
        <w:p w14:paraId="4015DA90" w14:textId="74C6AE34" w:rsidR="0078756E" w:rsidRDefault="0078756E">
          <w:pPr>
            <w:pStyle w:val="TOC2"/>
            <w:tabs>
              <w:tab w:val="right" w:leader="dot" w:pos="9016"/>
            </w:tabs>
            <w:rPr>
              <w:rFonts w:eastAsiaTheme="minorEastAsia"/>
              <w:noProof/>
              <w:sz w:val="24"/>
              <w:szCs w:val="24"/>
              <w:lang w:eastAsia="en-IN"/>
            </w:rPr>
          </w:pPr>
          <w:hyperlink w:anchor="_Toc237461198" w:history="1">
            <w:r w:rsidRPr="006729AE">
              <w:rPr>
                <w:rStyle w:val="Hyperlink"/>
                <w:rFonts w:ascii="Arial" w:hAnsi="Arial" w:cs="Arial"/>
                <w:b/>
                <w:bCs/>
                <w:noProof/>
              </w:rPr>
              <w:t>5.1 Tool disclosure</w:t>
            </w:r>
            <w:r>
              <w:rPr>
                <w:noProof/>
                <w:webHidden/>
              </w:rPr>
              <w:tab/>
            </w:r>
            <w:r>
              <w:rPr>
                <w:noProof/>
                <w:webHidden/>
              </w:rPr>
              <w:fldChar w:fldCharType="begin"/>
            </w:r>
            <w:r>
              <w:rPr>
                <w:noProof/>
                <w:webHidden/>
              </w:rPr>
              <w:instrText xml:space="preserve"> PAGEREF _Toc237461198 \h </w:instrText>
            </w:r>
            <w:r>
              <w:rPr>
                <w:noProof/>
                <w:webHidden/>
              </w:rPr>
            </w:r>
            <w:r>
              <w:rPr>
                <w:noProof/>
                <w:webHidden/>
              </w:rPr>
              <w:fldChar w:fldCharType="separate"/>
            </w:r>
            <w:r>
              <w:rPr>
                <w:noProof/>
                <w:webHidden/>
              </w:rPr>
              <w:t>22</w:t>
            </w:r>
            <w:r>
              <w:rPr>
                <w:noProof/>
                <w:webHidden/>
              </w:rPr>
              <w:fldChar w:fldCharType="end"/>
            </w:r>
          </w:hyperlink>
        </w:p>
        <w:p w14:paraId="216EAE51" w14:textId="3637FE6F" w:rsidR="0078756E" w:rsidRDefault="0078756E">
          <w:pPr>
            <w:pStyle w:val="TOC2"/>
            <w:tabs>
              <w:tab w:val="right" w:leader="dot" w:pos="9016"/>
            </w:tabs>
            <w:rPr>
              <w:rFonts w:eastAsiaTheme="minorEastAsia"/>
              <w:noProof/>
              <w:sz w:val="24"/>
              <w:szCs w:val="24"/>
              <w:lang w:eastAsia="en-IN"/>
            </w:rPr>
          </w:pPr>
          <w:hyperlink w:anchor="_Toc237461199" w:history="1">
            <w:r w:rsidRPr="006729AE">
              <w:rPr>
                <w:rStyle w:val="Hyperlink"/>
                <w:rFonts w:ascii="Arial" w:hAnsi="Arial" w:cs="Arial"/>
                <w:b/>
                <w:bCs/>
                <w:noProof/>
              </w:rPr>
              <w:t>5.2  Contribution of AI to analysis versus original analysis</w:t>
            </w:r>
            <w:r>
              <w:rPr>
                <w:noProof/>
                <w:webHidden/>
              </w:rPr>
              <w:tab/>
            </w:r>
            <w:r>
              <w:rPr>
                <w:noProof/>
                <w:webHidden/>
              </w:rPr>
              <w:fldChar w:fldCharType="begin"/>
            </w:r>
            <w:r>
              <w:rPr>
                <w:noProof/>
                <w:webHidden/>
              </w:rPr>
              <w:instrText xml:space="preserve"> PAGEREF _Toc237461199 \h </w:instrText>
            </w:r>
            <w:r>
              <w:rPr>
                <w:noProof/>
                <w:webHidden/>
              </w:rPr>
            </w:r>
            <w:r>
              <w:rPr>
                <w:noProof/>
                <w:webHidden/>
              </w:rPr>
              <w:fldChar w:fldCharType="separate"/>
            </w:r>
            <w:r>
              <w:rPr>
                <w:noProof/>
                <w:webHidden/>
              </w:rPr>
              <w:t>22</w:t>
            </w:r>
            <w:r>
              <w:rPr>
                <w:noProof/>
                <w:webHidden/>
              </w:rPr>
              <w:fldChar w:fldCharType="end"/>
            </w:r>
          </w:hyperlink>
        </w:p>
        <w:p w14:paraId="2E221166" w14:textId="3C0760F6" w:rsidR="0078756E" w:rsidRDefault="0078756E">
          <w:pPr>
            <w:pStyle w:val="TOC1"/>
            <w:tabs>
              <w:tab w:val="right" w:leader="dot" w:pos="9016"/>
            </w:tabs>
            <w:rPr>
              <w:rFonts w:eastAsiaTheme="minorEastAsia"/>
              <w:noProof/>
              <w:sz w:val="24"/>
              <w:szCs w:val="24"/>
              <w:lang w:eastAsia="en-IN"/>
            </w:rPr>
          </w:pPr>
          <w:hyperlink w:anchor="_Toc237461200" w:history="1">
            <w:r w:rsidRPr="006729AE">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_Toc237461200 \h </w:instrText>
            </w:r>
            <w:r>
              <w:rPr>
                <w:noProof/>
                <w:webHidden/>
              </w:rPr>
            </w:r>
            <w:r>
              <w:rPr>
                <w:noProof/>
                <w:webHidden/>
              </w:rPr>
              <w:fldChar w:fldCharType="separate"/>
            </w:r>
            <w:r>
              <w:rPr>
                <w:noProof/>
                <w:webHidden/>
              </w:rPr>
              <w:t>23</w:t>
            </w:r>
            <w:r>
              <w:rPr>
                <w:noProof/>
                <w:webHidden/>
              </w:rPr>
              <w:fldChar w:fldCharType="end"/>
            </w:r>
          </w:hyperlink>
        </w:p>
        <w:p w14:paraId="6C0243D4" w14:textId="10660486" w:rsidR="0078756E" w:rsidRDefault="0078756E">
          <w:pPr>
            <w:pStyle w:val="TOC1"/>
            <w:tabs>
              <w:tab w:val="right" w:leader="dot" w:pos="9016"/>
            </w:tabs>
            <w:rPr>
              <w:rFonts w:eastAsiaTheme="minorEastAsia"/>
              <w:noProof/>
              <w:sz w:val="24"/>
              <w:szCs w:val="24"/>
              <w:lang w:eastAsia="en-IN"/>
            </w:rPr>
          </w:pPr>
          <w:hyperlink w:anchor="_Toc237461201" w:history="1">
            <w:r w:rsidRPr="006729AE">
              <w:rPr>
                <w:rStyle w:val="Hyperlink"/>
                <w:rFonts w:ascii="Arial" w:hAnsi="Arial" w:cs="Arial"/>
                <w:b/>
                <w:bCs/>
                <w:noProof/>
              </w:rPr>
              <w:t>Referances</w:t>
            </w:r>
            <w:r>
              <w:rPr>
                <w:noProof/>
                <w:webHidden/>
              </w:rPr>
              <w:tab/>
            </w:r>
            <w:r>
              <w:rPr>
                <w:noProof/>
                <w:webHidden/>
              </w:rPr>
              <w:fldChar w:fldCharType="begin"/>
            </w:r>
            <w:r>
              <w:rPr>
                <w:noProof/>
                <w:webHidden/>
              </w:rPr>
              <w:instrText xml:space="preserve"> PAGEREF _Toc237461201 \h </w:instrText>
            </w:r>
            <w:r>
              <w:rPr>
                <w:noProof/>
                <w:webHidden/>
              </w:rPr>
            </w:r>
            <w:r>
              <w:rPr>
                <w:noProof/>
                <w:webHidden/>
              </w:rPr>
              <w:fldChar w:fldCharType="separate"/>
            </w:r>
            <w:r>
              <w:rPr>
                <w:noProof/>
                <w:webHidden/>
              </w:rPr>
              <w:t>24</w:t>
            </w:r>
            <w:r>
              <w:rPr>
                <w:noProof/>
                <w:webHidden/>
              </w:rPr>
              <w:fldChar w:fldCharType="end"/>
            </w:r>
          </w:hyperlink>
        </w:p>
        <w:p w14:paraId="063D3F6F" w14:textId="2DF10AB0" w:rsidR="00D33030" w:rsidRDefault="00D33030">
          <w:r>
            <w:rPr>
              <w:b/>
              <w:bCs/>
              <w:noProof/>
            </w:rPr>
            <w:fldChar w:fldCharType="end"/>
          </w:r>
        </w:p>
      </w:sdtContent>
    </w:sdt>
    <w:p w14:paraId="713F2887" w14:textId="5813A553" w:rsidR="00DB43E7" w:rsidRDefault="00D33030" w:rsidP="00D33030">
      <w:pPr>
        <w:rPr>
          <w:rFonts w:ascii="Arial" w:hAnsi="Arial" w:cs="Arial"/>
          <w:sz w:val="24"/>
          <w:szCs w:val="24"/>
        </w:rPr>
      </w:pPr>
      <w:r>
        <w:rPr>
          <w:rFonts w:ascii="Arial" w:hAnsi="Arial" w:cs="Arial"/>
          <w:sz w:val="24"/>
          <w:szCs w:val="24"/>
        </w:rPr>
        <w:br w:type="page"/>
      </w:r>
    </w:p>
    <w:p w14:paraId="50AC683A" w14:textId="25C8CC9E" w:rsidR="00DB43E7" w:rsidRPr="00DB43E7" w:rsidRDefault="00DB43E7" w:rsidP="00CB44B7">
      <w:pPr>
        <w:pStyle w:val="Heading1"/>
        <w:rPr>
          <w:rFonts w:ascii="Arial" w:hAnsi="Arial" w:cs="Arial"/>
          <w:b/>
          <w:bCs/>
          <w:sz w:val="24"/>
          <w:szCs w:val="24"/>
        </w:rPr>
      </w:pPr>
      <w:bookmarkStart w:id="0" w:name="_Toc237461163"/>
      <w:r w:rsidRPr="00DB43E7">
        <w:rPr>
          <w:rFonts w:ascii="Arial" w:hAnsi="Arial" w:cs="Arial"/>
          <w:b/>
          <w:bCs/>
          <w:sz w:val="24"/>
          <w:szCs w:val="24"/>
        </w:rPr>
        <w:lastRenderedPageBreak/>
        <w:t>FINANCIAL HEALTH CHECK :</w:t>
      </w:r>
      <w:bookmarkEnd w:id="0"/>
    </w:p>
    <w:p w14:paraId="3F1C27D0" w14:textId="16C409B5" w:rsidR="00FA5395" w:rsidRPr="00A1051F" w:rsidRDefault="00A1051F" w:rsidP="00A1051F">
      <w:pPr>
        <w:pStyle w:val="Heading2"/>
        <w:rPr>
          <w:rFonts w:ascii="Arial" w:hAnsi="Arial" w:cs="Arial"/>
          <w:b/>
          <w:bCs/>
          <w:sz w:val="28"/>
          <w:szCs w:val="28"/>
        </w:rPr>
      </w:pPr>
      <w:bookmarkStart w:id="1" w:name="_Toc237461164"/>
      <w:r w:rsidRPr="00A1051F">
        <w:rPr>
          <w:rFonts w:ascii="Arial" w:hAnsi="Arial" w:cs="Arial"/>
          <w:b/>
          <w:bCs/>
          <w:sz w:val="28"/>
          <w:szCs w:val="28"/>
        </w:rPr>
        <w:t>1.1 Financial Performance :</w:t>
      </w:r>
      <w:bookmarkEnd w:id="1"/>
    </w:p>
    <w:p w14:paraId="0B3C0279" w14:textId="327EA211" w:rsidR="00D33654" w:rsidRPr="0053170F" w:rsidRDefault="00DB43E7" w:rsidP="00DB43E7">
      <w:pPr>
        <w:jc w:val="both"/>
        <w:rPr>
          <w:rFonts w:ascii="Arial" w:hAnsi="Arial" w:cs="Arial"/>
          <w:sz w:val="24"/>
          <w:szCs w:val="24"/>
        </w:rPr>
      </w:pPr>
      <w:r w:rsidRPr="00DB43E7">
        <w:rPr>
          <w:rFonts w:ascii="Arial" w:hAnsi="Arial" w:cs="Arial"/>
          <w:sz w:val="24"/>
          <w:szCs w:val="24"/>
        </w:rPr>
        <w:t>IHG Financial Health Check for InterContinental Hotels Group PLC (IHG) 2021: based on IHG annual reports and reputable industry data</w:t>
      </w:r>
      <w:r w:rsidR="000E241B">
        <w:rPr>
          <w:rFonts w:ascii="Arial" w:hAnsi="Arial" w:cs="Arial"/>
          <w:sz w:val="24"/>
          <w:szCs w:val="24"/>
        </w:rPr>
        <w:t>.</w:t>
      </w:r>
      <w:r w:rsidRPr="00DB43E7">
        <w:rPr>
          <w:rFonts w:ascii="Arial" w:hAnsi="Arial" w:cs="Arial"/>
          <w:sz w:val="24"/>
          <w:szCs w:val="24"/>
        </w:rPr>
        <w:t xml:space="preserve"> Marketline Sample Report Second, the company also started focusing a lot on luxury hotels; that was to be true globally.</w:t>
      </w:r>
      <w:r w:rsidR="00D33654" w:rsidRPr="0053170F">
        <w:rPr>
          <w:rFonts w:ascii="Arial" w:hAnsi="Arial" w:cs="Arial"/>
          <w:sz w:val="24"/>
          <w:szCs w:val="24"/>
        </w:rPr>
        <w:t xml:space="preserve"> IHG's consolidated Group financial statements are in US dollars ($m) so I have used $m for ease of reading.</w:t>
      </w:r>
    </w:p>
    <w:p w14:paraId="18378A6A" w14:textId="6DDABDF7" w:rsidR="00D33654" w:rsidRPr="0053170F" w:rsidRDefault="00D33654" w:rsidP="00D33654">
      <w:pPr>
        <w:jc w:val="both"/>
        <w:rPr>
          <w:rFonts w:ascii="Arial" w:hAnsi="Arial" w:cs="Arial"/>
          <w:sz w:val="24"/>
          <w:szCs w:val="24"/>
        </w:rPr>
      </w:pPr>
      <w:r w:rsidRPr="0053170F">
        <w:rPr>
          <w:rFonts w:ascii="Arial" w:hAnsi="Arial" w:cs="Arial"/>
          <w:sz w:val="24"/>
          <w:szCs w:val="24"/>
        </w:rPr>
        <w:t xml:space="preserve">The company that was selected is InterContinental Hotels Group PLC (IHG), which is a leading International hospitality group with brands like InterContinental, Holiday Inn, Crowne Plaza, Kimpton, Hotel Indigo, voco, Staybridge Suites and many others. IHG is an ideal company for this analysis, being a publicly listed international hospitality company, and using its official investor relations website to publish audited annual reports and Form 20-F filings. IHG's business model is mainly asset-light with a focus on franchising, management contracts and fee-based revenue, as opposed to owning a majority stake in the majority of the hotels in its system. </w:t>
      </w:r>
    </w:p>
    <w:p w14:paraId="25C5CFAA" w14:textId="77777777" w:rsidR="00D33654" w:rsidRPr="0053170F" w:rsidRDefault="00D33654" w:rsidP="00D33654">
      <w:pPr>
        <w:jc w:val="both"/>
        <w:rPr>
          <w:rFonts w:ascii="Arial" w:hAnsi="Arial" w:cs="Arial"/>
          <w:sz w:val="24"/>
          <w:szCs w:val="24"/>
        </w:rPr>
      </w:pPr>
      <w:r w:rsidRPr="0053170F">
        <w:rPr>
          <w:rFonts w:ascii="Arial" w:hAnsi="Arial" w:cs="Arial"/>
          <w:sz w:val="24"/>
          <w:szCs w:val="24"/>
        </w:rPr>
        <w:t xml:space="preserve">The analysis is done for the 5 financial years during 2021 to 2025. The figures have been derived primarily from the IHG's Annual Report and Group financial statements for the years 2021, 2022, 2023, 2024 and 2025. Where possible, IHG's 2022 and 2023 figures are restated in accordance with changes that have been implemented due to IFRS 17 and presentation of System Fund and reimbursable revenues (IHG 2023; IHG 2024). </w:t>
      </w:r>
    </w:p>
    <w:p w14:paraId="30BC675A" w14:textId="77777777" w:rsidR="00D33654" w:rsidRPr="0053170F" w:rsidRDefault="00D33654" w:rsidP="00D33654">
      <w:pPr>
        <w:jc w:val="both"/>
        <w:rPr>
          <w:rFonts w:ascii="Arial" w:hAnsi="Arial" w:cs="Arial"/>
          <w:sz w:val="24"/>
          <w:szCs w:val="24"/>
        </w:rPr>
      </w:pPr>
    </w:p>
    <w:p w14:paraId="46D5C32F" w14:textId="77777777" w:rsidR="00D33654" w:rsidRPr="0053170F" w:rsidRDefault="00D33654" w:rsidP="00A1051F">
      <w:pPr>
        <w:pStyle w:val="Heading2"/>
        <w:rPr>
          <w:rFonts w:ascii="Arial" w:hAnsi="Arial" w:cs="Arial"/>
          <w:b/>
          <w:bCs/>
          <w:sz w:val="28"/>
          <w:szCs w:val="28"/>
        </w:rPr>
      </w:pPr>
      <w:bookmarkStart w:id="2" w:name="_Toc237461165"/>
      <w:r w:rsidRPr="0053170F">
        <w:rPr>
          <w:rFonts w:ascii="Arial" w:hAnsi="Arial" w:cs="Arial"/>
          <w:b/>
          <w:bCs/>
          <w:sz w:val="28"/>
          <w:szCs w:val="28"/>
        </w:rPr>
        <w:t>1.2 Five-year financial performance</w:t>
      </w:r>
      <w:bookmarkEnd w:id="2"/>
    </w:p>
    <w:p w14:paraId="11ADB399" w14:textId="0579956C" w:rsidR="00D33654" w:rsidRPr="0053170F" w:rsidRDefault="00D33654" w:rsidP="00D33654">
      <w:pPr>
        <w:jc w:val="both"/>
        <w:rPr>
          <w:rFonts w:ascii="Arial" w:hAnsi="Arial" w:cs="Arial"/>
          <w:sz w:val="24"/>
          <w:szCs w:val="24"/>
        </w:rPr>
      </w:pPr>
      <w:r w:rsidRPr="0053170F">
        <w:rPr>
          <w:rFonts w:ascii="Arial" w:hAnsi="Arial" w:cs="Arial"/>
          <w:sz w:val="24"/>
          <w:szCs w:val="24"/>
        </w:rPr>
        <w:t>Table 1 shows key financial statement data for the 2021-2025 period.</w:t>
      </w:r>
      <w:r w:rsidR="00C52A32" w:rsidRPr="0053170F">
        <w:rPr>
          <w:rFonts w:ascii="Arial" w:hAnsi="Arial" w:cs="Arial"/>
          <w:sz w:val="24"/>
          <w:szCs w:val="24"/>
        </w:rPr>
        <w:t xml:space="preserve"> </w:t>
      </w:r>
      <w:r w:rsidRPr="0053170F">
        <w:rPr>
          <w:rFonts w:ascii="Arial" w:hAnsi="Arial" w:cs="Arial"/>
          <w:sz w:val="24"/>
          <w:szCs w:val="24"/>
        </w:rPr>
        <w:t>The key financial statement data (2021-2025) is presented in Table 1.</w:t>
      </w:r>
    </w:p>
    <w:p w14:paraId="4FCFC009" w14:textId="77777777" w:rsidR="00D33654" w:rsidRPr="0053170F" w:rsidRDefault="00D33654" w:rsidP="00D33654">
      <w:pPr>
        <w:jc w:val="both"/>
        <w:rPr>
          <w:rFonts w:ascii="Arial" w:hAnsi="Arial" w:cs="Arial"/>
          <w:sz w:val="24"/>
          <w:szCs w:val="24"/>
        </w:rPr>
      </w:pPr>
      <w:r w:rsidRPr="0053170F">
        <w:rPr>
          <w:rFonts w:ascii="Arial" w:hAnsi="Arial" w:cs="Arial"/>
          <w:sz w:val="24"/>
          <w:szCs w:val="24"/>
        </w:rPr>
        <w:t>$ million, except EPS</w:t>
      </w:r>
    </w:p>
    <w:tbl>
      <w:tblPr>
        <w:tblStyle w:val="GridTable6Colorful-Accent3"/>
        <w:tblW w:w="5000" w:type="pct"/>
        <w:tblLook w:val="04A0" w:firstRow="1" w:lastRow="0" w:firstColumn="1" w:lastColumn="0" w:noHBand="0" w:noVBand="1"/>
      </w:tblPr>
      <w:tblGrid>
        <w:gridCol w:w="1535"/>
        <w:gridCol w:w="1495"/>
        <w:gridCol w:w="1497"/>
        <w:gridCol w:w="1497"/>
        <w:gridCol w:w="1497"/>
        <w:gridCol w:w="1495"/>
      </w:tblGrid>
      <w:tr w:rsidR="000F2F62" w:rsidRPr="0053170F" w14:paraId="39B9ED5A" w14:textId="77777777" w:rsidTr="00A825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pct"/>
          </w:tcPr>
          <w:p w14:paraId="0614121F" w14:textId="77777777" w:rsidR="000F2F62" w:rsidRPr="0053170F" w:rsidRDefault="000F2F62" w:rsidP="006F3551">
            <w:pPr>
              <w:jc w:val="both"/>
              <w:rPr>
                <w:rFonts w:ascii="Arial" w:hAnsi="Arial" w:cs="Arial"/>
                <w:b w:val="0"/>
                <w:bCs w:val="0"/>
                <w:sz w:val="24"/>
                <w:szCs w:val="24"/>
              </w:rPr>
            </w:pPr>
            <w:r w:rsidRPr="0053170F">
              <w:rPr>
                <w:rFonts w:ascii="Arial" w:hAnsi="Arial" w:cs="Arial"/>
                <w:b w:val="0"/>
                <w:bCs w:val="0"/>
                <w:sz w:val="24"/>
                <w:szCs w:val="24"/>
              </w:rPr>
              <w:t>Financial measure</w:t>
            </w:r>
          </w:p>
        </w:tc>
        <w:tc>
          <w:tcPr>
            <w:tcW w:w="829" w:type="pct"/>
          </w:tcPr>
          <w:p w14:paraId="4B07D5A0" w14:textId="77777777" w:rsidR="000F2F62" w:rsidRPr="0053170F" w:rsidRDefault="000F2F62" w:rsidP="006F3551">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2021</w:t>
            </w:r>
          </w:p>
        </w:tc>
        <w:tc>
          <w:tcPr>
            <w:tcW w:w="830" w:type="pct"/>
          </w:tcPr>
          <w:p w14:paraId="069B34F8" w14:textId="77777777" w:rsidR="000F2F62" w:rsidRPr="0053170F" w:rsidRDefault="000F2F62" w:rsidP="006F3551">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2022</w:t>
            </w:r>
          </w:p>
        </w:tc>
        <w:tc>
          <w:tcPr>
            <w:tcW w:w="830" w:type="pct"/>
          </w:tcPr>
          <w:p w14:paraId="0B4BB968" w14:textId="77777777" w:rsidR="000F2F62" w:rsidRPr="0053170F" w:rsidRDefault="000F2F62" w:rsidP="006F3551">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2023</w:t>
            </w:r>
          </w:p>
        </w:tc>
        <w:tc>
          <w:tcPr>
            <w:tcW w:w="830" w:type="pct"/>
          </w:tcPr>
          <w:p w14:paraId="73147DCE" w14:textId="77777777" w:rsidR="000F2F62" w:rsidRPr="0053170F" w:rsidRDefault="000F2F62" w:rsidP="006F3551">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2024</w:t>
            </w:r>
          </w:p>
        </w:tc>
        <w:tc>
          <w:tcPr>
            <w:tcW w:w="829" w:type="pct"/>
          </w:tcPr>
          <w:p w14:paraId="742B3C6C" w14:textId="77777777" w:rsidR="000F2F62" w:rsidRPr="0053170F" w:rsidRDefault="000F2F62" w:rsidP="006F3551">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2025</w:t>
            </w:r>
          </w:p>
        </w:tc>
      </w:tr>
      <w:tr w:rsidR="000F2F62" w:rsidRPr="0053170F" w14:paraId="7E5B2033" w14:textId="77777777" w:rsidTr="00A825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pct"/>
          </w:tcPr>
          <w:p w14:paraId="2CD361C0" w14:textId="77777777" w:rsidR="000F2F62" w:rsidRPr="0053170F" w:rsidRDefault="000F2F62" w:rsidP="006F3551">
            <w:pPr>
              <w:jc w:val="both"/>
              <w:rPr>
                <w:rFonts w:ascii="Arial" w:hAnsi="Arial" w:cs="Arial"/>
                <w:b w:val="0"/>
                <w:bCs w:val="0"/>
                <w:sz w:val="24"/>
                <w:szCs w:val="24"/>
              </w:rPr>
            </w:pPr>
            <w:r w:rsidRPr="0053170F">
              <w:rPr>
                <w:rFonts w:ascii="Arial" w:hAnsi="Arial" w:cs="Arial"/>
                <w:b w:val="0"/>
                <w:bCs w:val="0"/>
                <w:sz w:val="24"/>
                <w:szCs w:val="24"/>
              </w:rPr>
              <w:t>Total revenue</w:t>
            </w:r>
          </w:p>
        </w:tc>
        <w:tc>
          <w:tcPr>
            <w:tcW w:w="829" w:type="pct"/>
          </w:tcPr>
          <w:p w14:paraId="4459C43D" w14:textId="77777777" w:rsidR="000F2F62" w:rsidRPr="0053170F" w:rsidRDefault="000F2F62" w:rsidP="006F355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2,907</w:t>
            </w:r>
          </w:p>
        </w:tc>
        <w:tc>
          <w:tcPr>
            <w:tcW w:w="830" w:type="pct"/>
          </w:tcPr>
          <w:p w14:paraId="42CA288F" w14:textId="77777777" w:rsidR="000F2F62" w:rsidRPr="0053170F" w:rsidRDefault="000F2F62" w:rsidP="006F355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3,892</w:t>
            </w:r>
          </w:p>
        </w:tc>
        <w:tc>
          <w:tcPr>
            <w:tcW w:w="830" w:type="pct"/>
          </w:tcPr>
          <w:p w14:paraId="6082CBF7" w14:textId="77777777" w:rsidR="000F2F62" w:rsidRPr="0053170F" w:rsidRDefault="000F2F62" w:rsidP="006F355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4,624</w:t>
            </w:r>
          </w:p>
        </w:tc>
        <w:tc>
          <w:tcPr>
            <w:tcW w:w="830" w:type="pct"/>
          </w:tcPr>
          <w:p w14:paraId="14D7B0A7" w14:textId="77777777" w:rsidR="000F2F62" w:rsidRPr="0053170F" w:rsidRDefault="000F2F62" w:rsidP="006F355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4,923</w:t>
            </w:r>
          </w:p>
        </w:tc>
        <w:tc>
          <w:tcPr>
            <w:tcW w:w="829" w:type="pct"/>
          </w:tcPr>
          <w:p w14:paraId="31A0BC0E" w14:textId="77777777" w:rsidR="000F2F62" w:rsidRPr="0053170F" w:rsidRDefault="000F2F62" w:rsidP="006F355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5,189</w:t>
            </w:r>
          </w:p>
        </w:tc>
      </w:tr>
      <w:tr w:rsidR="000F2F62" w:rsidRPr="0053170F" w14:paraId="143C8761" w14:textId="77777777" w:rsidTr="00A82544">
        <w:tc>
          <w:tcPr>
            <w:cnfStyle w:val="001000000000" w:firstRow="0" w:lastRow="0" w:firstColumn="1" w:lastColumn="0" w:oddVBand="0" w:evenVBand="0" w:oddHBand="0" w:evenHBand="0" w:firstRowFirstColumn="0" w:firstRowLastColumn="0" w:lastRowFirstColumn="0" w:lastRowLastColumn="0"/>
            <w:tcW w:w="852" w:type="pct"/>
          </w:tcPr>
          <w:p w14:paraId="08EF50CC" w14:textId="77777777" w:rsidR="000F2F62" w:rsidRPr="0053170F" w:rsidRDefault="000F2F62" w:rsidP="006F3551">
            <w:pPr>
              <w:jc w:val="both"/>
              <w:rPr>
                <w:rFonts w:ascii="Arial" w:hAnsi="Arial" w:cs="Arial"/>
                <w:b w:val="0"/>
                <w:bCs w:val="0"/>
                <w:sz w:val="24"/>
                <w:szCs w:val="24"/>
              </w:rPr>
            </w:pPr>
            <w:r w:rsidRPr="0053170F">
              <w:rPr>
                <w:rFonts w:ascii="Arial" w:hAnsi="Arial" w:cs="Arial"/>
                <w:b w:val="0"/>
                <w:bCs w:val="0"/>
                <w:sz w:val="24"/>
                <w:szCs w:val="24"/>
              </w:rPr>
              <w:t>Operating profit</w:t>
            </w:r>
          </w:p>
        </w:tc>
        <w:tc>
          <w:tcPr>
            <w:tcW w:w="829" w:type="pct"/>
          </w:tcPr>
          <w:p w14:paraId="5FFB56C8" w14:textId="77777777" w:rsidR="000F2F62" w:rsidRPr="0053170F" w:rsidRDefault="000F2F62" w:rsidP="006F3551">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494</w:t>
            </w:r>
          </w:p>
        </w:tc>
        <w:tc>
          <w:tcPr>
            <w:tcW w:w="830" w:type="pct"/>
          </w:tcPr>
          <w:p w14:paraId="483D2B18" w14:textId="77777777" w:rsidR="000F2F62" w:rsidRPr="0053170F" w:rsidRDefault="000F2F62" w:rsidP="006F3551">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628</w:t>
            </w:r>
          </w:p>
        </w:tc>
        <w:tc>
          <w:tcPr>
            <w:tcW w:w="830" w:type="pct"/>
          </w:tcPr>
          <w:p w14:paraId="6DAB1BE5" w14:textId="77777777" w:rsidR="000F2F62" w:rsidRPr="0053170F" w:rsidRDefault="000F2F62" w:rsidP="006F3551">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1,066</w:t>
            </w:r>
          </w:p>
        </w:tc>
        <w:tc>
          <w:tcPr>
            <w:tcW w:w="830" w:type="pct"/>
          </w:tcPr>
          <w:p w14:paraId="585A1AC6" w14:textId="77777777" w:rsidR="000F2F62" w:rsidRPr="0053170F" w:rsidRDefault="000F2F62" w:rsidP="006F3551">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1,041</w:t>
            </w:r>
          </w:p>
        </w:tc>
        <w:tc>
          <w:tcPr>
            <w:tcW w:w="829" w:type="pct"/>
          </w:tcPr>
          <w:p w14:paraId="13C1FE11" w14:textId="77777777" w:rsidR="000F2F62" w:rsidRPr="0053170F" w:rsidRDefault="000F2F62" w:rsidP="006F3551">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1,198</w:t>
            </w:r>
          </w:p>
        </w:tc>
      </w:tr>
      <w:tr w:rsidR="000F2F62" w:rsidRPr="0053170F" w14:paraId="010E3657" w14:textId="77777777" w:rsidTr="00A825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pct"/>
          </w:tcPr>
          <w:p w14:paraId="7122465D" w14:textId="77777777" w:rsidR="000F2F62" w:rsidRPr="0053170F" w:rsidRDefault="000F2F62" w:rsidP="006F3551">
            <w:pPr>
              <w:jc w:val="both"/>
              <w:rPr>
                <w:rFonts w:ascii="Arial" w:hAnsi="Arial" w:cs="Arial"/>
                <w:b w:val="0"/>
                <w:bCs w:val="0"/>
                <w:sz w:val="24"/>
                <w:szCs w:val="24"/>
              </w:rPr>
            </w:pPr>
            <w:r w:rsidRPr="0053170F">
              <w:rPr>
                <w:rFonts w:ascii="Arial" w:hAnsi="Arial" w:cs="Arial"/>
                <w:b w:val="0"/>
                <w:bCs w:val="0"/>
                <w:sz w:val="24"/>
                <w:szCs w:val="24"/>
              </w:rPr>
              <w:t>Profit for year</w:t>
            </w:r>
          </w:p>
        </w:tc>
        <w:tc>
          <w:tcPr>
            <w:tcW w:w="829" w:type="pct"/>
          </w:tcPr>
          <w:p w14:paraId="4AF24B7B" w14:textId="77777777" w:rsidR="000F2F62" w:rsidRPr="0053170F" w:rsidRDefault="000F2F62" w:rsidP="006F355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265</w:t>
            </w:r>
          </w:p>
        </w:tc>
        <w:tc>
          <w:tcPr>
            <w:tcW w:w="830" w:type="pct"/>
          </w:tcPr>
          <w:p w14:paraId="4C468486" w14:textId="77777777" w:rsidR="000F2F62" w:rsidRPr="0053170F" w:rsidRDefault="000F2F62" w:rsidP="006F355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376</w:t>
            </w:r>
          </w:p>
        </w:tc>
        <w:tc>
          <w:tcPr>
            <w:tcW w:w="830" w:type="pct"/>
          </w:tcPr>
          <w:p w14:paraId="4856F686" w14:textId="77777777" w:rsidR="000F2F62" w:rsidRPr="0053170F" w:rsidRDefault="000F2F62" w:rsidP="006F355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750</w:t>
            </w:r>
          </w:p>
        </w:tc>
        <w:tc>
          <w:tcPr>
            <w:tcW w:w="830" w:type="pct"/>
          </w:tcPr>
          <w:p w14:paraId="4B3C5775" w14:textId="77777777" w:rsidR="000F2F62" w:rsidRPr="0053170F" w:rsidRDefault="000F2F62" w:rsidP="006F355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628</w:t>
            </w:r>
          </w:p>
        </w:tc>
        <w:tc>
          <w:tcPr>
            <w:tcW w:w="829" w:type="pct"/>
          </w:tcPr>
          <w:p w14:paraId="64F4091B" w14:textId="77777777" w:rsidR="000F2F62" w:rsidRPr="0053170F" w:rsidRDefault="000F2F62" w:rsidP="006F355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759</w:t>
            </w:r>
          </w:p>
        </w:tc>
      </w:tr>
      <w:tr w:rsidR="000F2F62" w:rsidRPr="0053170F" w14:paraId="2D9E21F0" w14:textId="77777777" w:rsidTr="00A82544">
        <w:tc>
          <w:tcPr>
            <w:cnfStyle w:val="001000000000" w:firstRow="0" w:lastRow="0" w:firstColumn="1" w:lastColumn="0" w:oddVBand="0" w:evenVBand="0" w:oddHBand="0" w:evenHBand="0" w:firstRowFirstColumn="0" w:firstRowLastColumn="0" w:lastRowFirstColumn="0" w:lastRowLastColumn="0"/>
            <w:tcW w:w="852" w:type="pct"/>
          </w:tcPr>
          <w:p w14:paraId="19475FCE" w14:textId="77777777" w:rsidR="000F2F62" w:rsidRPr="0053170F" w:rsidRDefault="000F2F62" w:rsidP="006F3551">
            <w:pPr>
              <w:jc w:val="both"/>
              <w:rPr>
                <w:rFonts w:ascii="Arial" w:hAnsi="Arial" w:cs="Arial"/>
                <w:b w:val="0"/>
                <w:bCs w:val="0"/>
                <w:sz w:val="24"/>
                <w:szCs w:val="24"/>
              </w:rPr>
            </w:pPr>
            <w:r w:rsidRPr="0053170F">
              <w:rPr>
                <w:rFonts w:ascii="Arial" w:hAnsi="Arial" w:cs="Arial"/>
                <w:b w:val="0"/>
                <w:bCs w:val="0"/>
                <w:sz w:val="24"/>
                <w:szCs w:val="24"/>
              </w:rPr>
              <w:t>Total assets</w:t>
            </w:r>
          </w:p>
        </w:tc>
        <w:tc>
          <w:tcPr>
            <w:tcW w:w="829" w:type="pct"/>
          </w:tcPr>
          <w:p w14:paraId="62331E27" w14:textId="77777777" w:rsidR="000F2F62" w:rsidRPr="0053170F" w:rsidRDefault="000F2F62" w:rsidP="006F3551">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4,716</w:t>
            </w:r>
          </w:p>
        </w:tc>
        <w:tc>
          <w:tcPr>
            <w:tcW w:w="830" w:type="pct"/>
          </w:tcPr>
          <w:p w14:paraId="5E18ABF9" w14:textId="77777777" w:rsidR="000F2F62" w:rsidRPr="0053170F" w:rsidRDefault="000F2F62" w:rsidP="006F3551">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4,216</w:t>
            </w:r>
          </w:p>
        </w:tc>
        <w:tc>
          <w:tcPr>
            <w:tcW w:w="830" w:type="pct"/>
          </w:tcPr>
          <w:p w14:paraId="738A63E5" w14:textId="77777777" w:rsidR="000F2F62" w:rsidRPr="0053170F" w:rsidRDefault="000F2F62" w:rsidP="006F3551">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4,813</w:t>
            </w:r>
          </w:p>
        </w:tc>
        <w:tc>
          <w:tcPr>
            <w:tcW w:w="830" w:type="pct"/>
          </w:tcPr>
          <w:p w14:paraId="1F272C5F" w14:textId="77777777" w:rsidR="000F2F62" w:rsidRPr="0053170F" w:rsidRDefault="000F2F62" w:rsidP="006F3551">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4,748</w:t>
            </w:r>
          </w:p>
        </w:tc>
        <w:tc>
          <w:tcPr>
            <w:tcW w:w="829" w:type="pct"/>
          </w:tcPr>
          <w:p w14:paraId="3CDE0CCE" w14:textId="77777777" w:rsidR="000F2F62" w:rsidRPr="0053170F" w:rsidRDefault="000F2F62" w:rsidP="006F3551">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5,345</w:t>
            </w:r>
          </w:p>
        </w:tc>
      </w:tr>
      <w:tr w:rsidR="000F2F62" w:rsidRPr="0053170F" w14:paraId="519FD1FC" w14:textId="77777777" w:rsidTr="00A825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pct"/>
          </w:tcPr>
          <w:p w14:paraId="2688CBA1" w14:textId="77777777" w:rsidR="000F2F62" w:rsidRPr="0053170F" w:rsidRDefault="000F2F62" w:rsidP="006F3551">
            <w:pPr>
              <w:jc w:val="both"/>
              <w:rPr>
                <w:rFonts w:ascii="Arial" w:hAnsi="Arial" w:cs="Arial"/>
                <w:b w:val="0"/>
                <w:bCs w:val="0"/>
                <w:sz w:val="24"/>
                <w:szCs w:val="24"/>
              </w:rPr>
            </w:pPr>
            <w:r w:rsidRPr="0053170F">
              <w:rPr>
                <w:rFonts w:ascii="Arial" w:hAnsi="Arial" w:cs="Arial"/>
                <w:b w:val="0"/>
                <w:bCs w:val="0"/>
                <w:sz w:val="24"/>
                <w:szCs w:val="24"/>
              </w:rPr>
              <w:t>Current assets</w:t>
            </w:r>
          </w:p>
        </w:tc>
        <w:tc>
          <w:tcPr>
            <w:tcW w:w="829" w:type="pct"/>
          </w:tcPr>
          <w:p w14:paraId="68F8B85A" w14:textId="77777777" w:rsidR="000F2F62" w:rsidRPr="0053170F" w:rsidRDefault="000F2F62" w:rsidP="006F355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2,066</w:t>
            </w:r>
          </w:p>
        </w:tc>
        <w:tc>
          <w:tcPr>
            <w:tcW w:w="830" w:type="pct"/>
          </w:tcPr>
          <w:p w14:paraId="28C53EDF" w14:textId="77777777" w:rsidR="000F2F62" w:rsidRPr="0053170F" w:rsidRDefault="000F2F62" w:rsidP="006F355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1,678</w:t>
            </w:r>
          </w:p>
        </w:tc>
        <w:tc>
          <w:tcPr>
            <w:tcW w:w="830" w:type="pct"/>
          </w:tcPr>
          <w:p w14:paraId="3209B340" w14:textId="77777777" w:rsidR="000F2F62" w:rsidRPr="0053170F" w:rsidRDefault="000F2F62" w:rsidP="006F355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2,129</w:t>
            </w:r>
          </w:p>
        </w:tc>
        <w:tc>
          <w:tcPr>
            <w:tcW w:w="830" w:type="pct"/>
          </w:tcPr>
          <w:p w14:paraId="392E679B" w14:textId="77777777" w:rsidR="000F2F62" w:rsidRPr="0053170F" w:rsidRDefault="000F2F62" w:rsidP="006F355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1,869</w:t>
            </w:r>
          </w:p>
        </w:tc>
        <w:tc>
          <w:tcPr>
            <w:tcW w:w="829" w:type="pct"/>
          </w:tcPr>
          <w:p w14:paraId="4449787B" w14:textId="77777777" w:rsidR="000F2F62" w:rsidRPr="0053170F" w:rsidRDefault="000F2F62" w:rsidP="006F355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2,049</w:t>
            </w:r>
          </w:p>
        </w:tc>
      </w:tr>
      <w:tr w:rsidR="000F2F62" w:rsidRPr="0053170F" w14:paraId="40199E8E" w14:textId="77777777" w:rsidTr="00A82544">
        <w:tc>
          <w:tcPr>
            <w:cnfStyle w:val="001000000000" w:firstRow="0" w:lastRow="0" w:firstColumn="1" w:lastColumn="0" w:oddVBand="0" w:evenVBand="0" w:oddHBand="0" w:evenHBand="0" w:firstRowFirstColumn="0" w:firstRowLastColumn="0" w:lastRowFirstColumn="0" w:lastRowLastColumn="0"/>
            <w:tcW w:w="852" w:type="pct"/>
          </w:tcPr>
          <w:p w14:paraId="7B479F70" w14:textId="77777777" w:rsidR="000F2F62" w:rsidRPr="0053170F" w:rsidRDefault="000F2F62" w:rsidP="006F3551">
            <w:pPr>
              <w:jc w:val="both"/>
              <w:rPr>
                <w:rFonts w:ascii="Arial" w:hAnsi="Arial" w:cs="Arial"/>
                <w:b w:val="0"/>
                <w:bCs w:val="0"/>
                <w:sz w:val="24"/>
                <w:szCs w:val="24"/>
              </w:rPr>
            </w:pPr>
            <w:r w:rsidRPr="0053170F">
              <w:rPr>
                <w:rFonts w:ascii="Arial" w:hAnsi="Arial" w:cs="Arial"/>
                <w:b w:val="0"/>
                <w:bCs w:val="0"/>
                <w:sz w:val="24"/>
                <w:szCs w:val="24"/>
              </w:rPr>
              <w:t>Current liabilities</w:t>
            </w:r>
          </w:p>
        </w:tc>
        <w:tc>
          <w:tcPr>
            <w:tcW w:w="829" w:type="pct"/>
          </w:tcPr>
          <w:p w14:paraId="05BC854D" w14:textId="77777777" w:rsidR="000F2F62" w:rsidRPr="0053170F" w:rsidRDefault="000F2F62" w:rsidP="006F3551">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1,624</w:t>
            </w:r>
          </w:p>
        </w:tc>
        <w:tc>
          <w:tcPr>
            <w:tcW w:w="830" w:type="pct"/>
          </w:tcPr>
          <w:p w14:paraId="2C5286F5" w14:textId="77777777" w:rsidR="000F2F62" w:rsidRPr="0053170F" w:rsidRDefault="000F2F62" w:rsidP="006F3551">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1,544</w:t>
            </w:r>
          </w:p>
        </w:tc>
        <w:tc>
          <w:tcPr>
            <w:tcW w:w="830" w:type="pct"/>
          </w:tcPr>
          <w:p w14:paraId="75103061" w14:textId="77777777" w:rsidR="000F2F62" w:rsidRPr="0053170F" w:rsidRDefault="000F2F62" w:rsidP="006F3551">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2,190</w:t>
            </w:r>
          </w:p>
        </w:tc>
        <w:tc>
          <w:tcPr>
            <w:tcW w:w="830" w:type="pct"/>
          </w:tcPr>
          <w:p w14:paraId="091CEF1B" w14:textId="77777777" w:rsidR="000F2F62" w:rsidRPr="0053170F" w:rsidRDefault="000F2F62" w:rsidP="006F3551">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1,928</w:t>
            </w:r>
          </w:p>
        </w:tc>
        <w:tc>
          <w:tcPr>
            <w:tcW w:w="829" w:type="pct"/>
          </w:tcPr>
          <w:p w14:paraId="360D87A5" w14:textId="77777777" w:rsidR="000F2F62" w:rsidRPr="0053170F" w:rsidRDefault="000F2F62" w:rsidP="006F3551">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2,100</w:t>
            </w:r>
          </w:p>
        </w:tc>
      </w:tr>
      <w:tr w:rsidR="000F2F62" w:rsidRPr="0053170F" w14:paraId="0EDAE50C" w14:textId="77777777" w:rsidTr="00A825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pct"/>
          </w:tcPr>
          <w:p w14:paraId="31E490B8" w14:textId="77777777" w:rsidR="000F2F62" w:rsidRPr="0053170F" w:rsidRDefault="000F2F62" w:rsidP="006F3551">
            <w:pPr>
              <w:jc w:val="both"/>
              <w:rPr>
                <w:rFonts w:ascii="Arial" w:hAnsi="Arial" w:cs="Arial"/>
                <w:b w:val="0"/>
                <w:bCs w:val="0"/>
                <w:sz w:val="24"/>
                <w:szCs w:val="24"/>
              </w:rPr>
            </w:pPr>
            <w:r w:rsidRPr="0053170F">
              <w:rPr>
                <w:rFonts w:ascii="Arial" w:hAnsi="Arial" w:cs="Arial"/>
                <w:b w:val="0"/>
                <w:bCs w:val="0"/>
                <w:sz w:val="24"/>
                <w:szCs w:val="24"/>
              </w:rPr>
              <w:t>Cash &amp; cash equivalents</w:t>
            </w:r>
          </w:p>
        </w:tc>
        <w:tc>
          <w:tcPr>
            <w:tcW w:w="829" w:type="pct"/>
          </w:tcPr>
          <w:p w14:paraId="2890A23C" w14:textId="77777777" w:rsidR="000F2F62" w:rsidRPr="0053170F" w:rsidRDefault="000F2F62" w:rsidP="006F355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1,450</w:t>
            </w:r>
          </w:p>
        </w:tc>
        <w:tc>
          <w:tcPr>
            <w:tcW w:w="830" w:type="pct"/>
          </w:tcPr>
          <w:p w14:paraId="4FACA4E6" w14:textId="77777777" w:rsidR="000F2F62" w:rsidRPr="0053170F" w:rsidRDefault="000F2F62" w:rsidP="006F355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976</w:t>
            </w:r>
          </w:p>
        </w:tc>
        <w:tc>
          <w:tcPr>
            <w:tcW w:w="830" w:type="pct"/>
          </w:tcPr>
          <w:p w14:paraId="2D3EE1E0" w14:textId="77777777" w:rsidR="000F2F62" w:rsidRPr="0053170F" w:rsidRDefault="000F2F62" w:rsidP="006F355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1,322</w:t>
            </w:r>
          </w:p>
        </w:tc>
        <w:tc>
          <w:tcPr>
            <w:tcW w:w="830" w:type="pct"/>
          </w:tcPr>
          <w:p w14:paraId="606C0B71" w14:textId="77777777" w:rsidR="000F2F62" w:rsidRPr="0053170F" w:rsidRDefault="000F2F62" w:rsidP="006F355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1,008</w:t>
            </w:r>
          </w:p>
        </w:tc>
        <w:tc>
          <w:tcPr>
            <w:tcW w:w="829" w:type="pct"/>
          </w:tcPr>
          <w:p w14:paraId="2BFFC951" w14:textId="77777777" w:rsidR="000F2F62" w:rsidRPr="0053170F" w:rsidRDefault="000F2F62" w:rsidP="006F355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1,129</w:t>
            </w:r>
          </w:p>
        </w:tc>
      </w:tr>
      <w:tr w:rsidR="000F2F62" w:rsidRPr="0053170F" w14:paraId="5A59C057" w14:textId="77777777" w:rsidTr="00A82544">
        <w:tc>
          <w:tcPr>
            <w:cnfStyle w:val="001000000000" w:firstRow="0" w:lastRow="0" w:firstColumn="1" w:lastColumn="0" w:oddVBand="0" w:evenVBand="0" w:oddHBand="0" w:evenHBand="0" w:firstRowFirstColumn="0" w:firstRowLastColumn="0" w:lastRowFirstColumn="0" w:lastRowLastColumn="0"/>
            <w:tcW w:w="852" w:type="pct"/>
          </w:tcPr>
          <w:p w14:paraId="7E91AECF" w14:textId="77777777" w:rsidR="000F2F62" w:rsidRPr="0053170F" w:rsidRDefault="000F2F62" w:rsidP="006F3551">
            <w:pPr>
              <w:jc w:val="both"/>
              <w:rPr>
                <w:rFonts w:ascii="Arial" w:hAnsi="Arial" w:cs="Arial"/>
                <w:b w:val="0"/>
                <w:bCs w:val="0"/>
                <w:sz w:val="24"/>
                <w:szCs w:val="24"/>
              </w:rPr>
            </w:pPr>
            <w:r w:rsidRPr="0053170F">
              <w:rPr>
                <w:rFonts w:ascii="Arial" w:hAnsi="Arial" w:cs="Arial"/>
                <w:b w:val="0"/>
                <w:bCs w:val="0"/>
                <w:sz w:val="24"/>
                <w:szCs w:val="24"/>
              </w:rPr>
              <w:lastRenderedPageBreak/>
              <w:t>Net cash from operating activities</w:t>
            </w:r>
          </w:p>
        </w:tc>
        <w:tc>
          <w:tcPr>
            <w:tcW w:w="829" w:type="pct"/>
          </w:tcPr>
          <w:p w14:paraId="35EC36E8" w14:textId="77777777" w:rsidR="000F2F62" w:rsidRPr="0053170F" w:rsidRDefault="000F2F62" w:rsidP="006F3551">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636</w:t>
            </w:r>
          </w:p>
        </w:tc>
        <w:tc>
          <w:tcPr>
            <w:tcW w:w="830" w:type="pct"/>
          </w:tcPr>
          <w:p w14:paraId="420337ED" w14:textId="77777777" w:rsidR="000F2F62" w:rsidRPr="0053170F" w:rsidRDefault="000F2F62" w:rsidP="006F3551">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646</w:t>
            </w:r>
          </w:p>
        </w:tc>
        <w:tc>
          <w:tcPr>
            <w:tcW w:w="830" w:type="pct"/>
          </w:tcPr>
          <w:p w14:paraId="10854A2E" w14:textId="77777777" w:rsidR="000F2F62" w:rsidRPr="0053170F" w:rsidRDefault="000F2F62" w:rsidP="006F3551">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893</w:t>
            </w:r>
          </w:p>
        </w:tc>
        <w:tc>
          <w:tcPr>
            <w:tcW w:w="830" w:type="pct"/>
          </w:tcPr>
          <w:p w14:paraId="647B7A56" w14:textId="77777777" w:rsidR="000F2F62" w:rsidRPr="0053170F" w:rsidRDefault="000F2F62" w:rsidP="006F3551">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724</w:t>
            </w:r>
          </w:p>
        </w:tc>
        <w:tc>
          <w:tcPr>
            <w:tcW w:w="829" w:type="pct"/>
          </w:tcPr>
          <w:p w14:paraId="701114D9" w14:textId="77777777" w:rsidR="000F2F62" w:rsidRPr="0053170F" w:rsidRDefault="000F2F62" w:rsidP="006F3551">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898</w:t>
            </w:r>
          </w:p>
        </w:tc>
      </w:tr>
      <w:tr w:rsidR="000F2F62" w:rsidRPr="0053170F" w14:paraId="65D1D737" w14:textId="77777777" w:rsidTr="00A825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pct"/>
          </w:tcPr>
          <w:p w14:paraId="4034BF05" w14:textId="77777777" w:rsidR="000F2F62" w:rsidRPr="0053170F" w:rsidRDefault="000F2F62" w:rsidP="006F3551">
            <w:pPr>
              <w:jc w:val="both"/>
              <w:rPr>
                <w:rFonts w:ascii="Arial" w:hAnsi="Arial" w:cs="Arial"/>
                <w:b w:val="0"/>
                <w:bCs w:val="0"/>
                <w:sz w:val="24"/>
                <w:szCs w:val="24"/>
              </w:rPr>
            </w:pPr>
            <w:r w:rsidRPr="0053170F">
              <w:rPr>
                <w:rFonts w:ascii="Arial" w:hAnsi="Arial" w:cs="Arial"/>
                <w:b w:val="0"/>
                <w:bCs w:val="0"/>
                <w:sz w:val="24"/>
                <w:szCs w:val="24"/>
              </w:rPr>
              <w:t>Basic EPS</w:t>
            </w:r>
          </w:p>
        </w:tc>
        <w:tc>
          <w:tcPr>
            <w:tcW w:w="829" w:type="pct"/>
          </w:tcPr>
          <w:p w14:paraId="4290EE7F" w14:textId="77777777" w:rsidR="000F2F62" w:rsidRPr="0053170F" w:rsidRDefault="000F2F62" w:rsidP="006F355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145.4¢</w:t>
            </w:r>
          </w:p>
        </w:tc>
        <w:tc>
          <w:tcPr>
            <w:tcW w:w="830" w:type="pct"/>
          </w:tcPr>
          <w:p w14:paraId="4D1A4325" w14:textId="77777777" w:rsidR="000F2F62" w:rsidRPr="0053170F" w:rsidRDefault="000F2F62" w:rsidP="006F355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207.2¢</w:t>
            </w:r>
          </w:p>
        </w:tc>
        <w:tc>
          <w:tcPr>
            <w:tcW w:w="830" w:type="pct"/>
          </w:tcPr>
          <w:p w14:paraId="038EC773" w14:textId="77777777" w:rsidR="000F2F62" w:rsidRPr="0053170F" w:rsidRDefault="000F2F62" w:rsidP="006F355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443.8¢</w:t>
            </w:r>
          </w:p>
        </w:tc>
        <w:tc>
          <w:tcPr>
            <w:tcW w:w="830" w:type="pct"/>
          </w:tcPr>
          <w:p w14:paraId="17863490" w14:textId="77777777" w:rsidR="000F2F62" w:rsidRPr="0053170F" w:rsidRDefault="000F2F62" w:rsidP="006F355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389.6¢</w:t>
            </w:r>
          </w:p>
        </w:tc>
        <w:tc>
          <w:tcPr>
            <w:tcW w:w="829" w:type="pct"/>
          </w:tcPr>
          <w:p w14:paraId="129B2B1E" w14:textId="77777777" w:rsidR="000F2F62" w:rsidRPr="0053170F" w:rsidRDefault="000F2F62" w:rsidP="006F355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490.9¢</w:t>
            </w:r>
          </w:p>
        </w:tc>
      </w:tr>
    </w:tbl>
    <w:p w14:paraId="7936D5D7" w14:textId="77777777" w:rsidR="00D33654" w:rsidRPr="0053170F" w:rsidRDefault="00D33654" w:rsidP="00D33654">
      <w:pPr>
        <w:jc w:val="both"/>
        <w:rPr>
          <w:rFonts w:ascii="Arial" w:hAnsi="Arial" w:cs="Arial"/>
          <w:sz w:val="24"/>
          <w:szCs w:val="24"/>
        </w:rPr>
      </w:pPr>
      <w:r w:rsidRPr="0053170F">
        <w:rPr>
          <w:rFonts w:ascii="Arial" w:hAnsi="Arial" w:cs="Arial"/>
          <w:sz w:val="24"/>
          <w:szCs w:val="24"/>
        </w:rPr>
        <w:t xml:space="preserve">Source: Author's calculations from IHG Annual Reports (IHG, 2022; IHG, 2023; IHG, 2024; IHG, 2025). </w:t>
      </w:r>
    </w:p>
    <w:p w14:paraId="47B68B99" w14:textId="77777777" w:rsidR="00D33654" w:rsidRPr="0053170F" w:rsidRDefault="00D33654" w:rsidP="00D33654">
      <w:pPr>
        <w:jc w:val="both"/>
        <w:rPr>
          <w:rFonts w:ascii="Arial" w:hAnsi="Arial" w:cs="Arial"/>
          <w:sz w:val="24"/>
          <w:szCs w:val="24"/>
        </w:rPr>
      </w:pPr>
      <w:r w:rsidRPr="0053170F">
        <w:rPr>
          <w:rFonts w:ascii="Arial" w:hAnsi="Arial" w:cs="Arial"/>
          <w:sz w:val="24"/>
          <w:szCs w:val="24"/>
        </w:rPr>
        <w:t>The five-year trend shows a significant improvement and recovery in IHG's operating performance after the impact of COVID-19. Total revenue will grow by around 78.5% from $2.907 billion in 2021 to $5.189 billion in 2025. The operating profit grew far more significantly from $494 million to $1.198 billion, or some 142.5%. That means that the hotel industry had large operating leverage, and profits improved when the demand in hotels picked up.</w:t>
      </w:r>
    </w:p>
    <w:p w14:paraId="41164C1E" w14:textId="77777777" w:rsidR="00D33654" w:rsidRPr="0053170F" w:rsidRDefault="00D33654" w:rsidP="00D33654">
      <w:pPr>
        <w:jc w:val="both"/>
        <w:rPr>
          <w:rFonts w:ascii="Arial" w:hAnsi="Arial" w:cs="Arial"/>
          <w:sz w:val="24"/>
          <w:szCs w:val="24"/>
        </w:rPr>
      </w:pPr>
      <w:r w:rsidRPr="0053170F">
        <w:rPr>
          <w:rFonts w:ascii="Arial" w:hAnsi="Arial" w:cs="Arial"/>
          <w:sz w:val="24"/>
          <w:szCs w:val="24"/>
        </w:rPr>
        <w:t xml:space="preserve">The biggest increase was between 2022 and 2023. Revenue grew by 15.9 per cent to $4.624 billion and operating profit expanded by 16.4 per cent to $1.066 billion. Profit for the year almost doubled from $376 million to $750 million. After an excellent performance during 2022 (+36.6%) and 2021 (+46.0%) in global travel, IHG's performance in 2023 was bolstered by a 16.1% rise in global RevPAR. </w:t>
      </w:r>
    </w:p>
    <w:p w14:paraId="0F72E515" w14:textId="77777777" w:rsidR="00D33654" w:rsidRPr="0053170F" w:rsidRDefault="00D33654" w:rsidP="00D33654">
      <w:pPr>
        <w:jc w:val="both"/>
        <w:rPr>
          <w:rFonts w:ascii="Arial" w:hAnsi="Arial" w:cs="Arial"/>
          <w:sz w:val="24"/>
          <w:szCs w:val="24"/>
        </w:rPr>
      </w:pPr>
      <w:r w:rsidRPr="0053170F">
        <w:rPr>
          <w:rFonts w:ascii="Arial" w:hAnsi="Arial" w:cs="Arial"/>
          <w:sz w:val="24"/>
          <w:szCs w:val="24"/>
        </w:rPr>
        <w:t xml:space="preserve">The figures 2024 show some volatility, though. Revenue continued to increase to $4.923 billion, but reported profit declined from $750 million to $628 million. Also, operating profit decreased marginally from $1.066 billion to $1.041 billion. This did not necessarily mean that IHG's main businesses were suffering as their underlying fee business also increased. IHG reported financial results in 2024 were strong, with a 3% rise in global RevPAR and a return to the shareholders of over $1 billion. </w:t>
      </w:r>
    </w:p>
    <w:p w14:paraId="025260A7" w14:textId="42D88636" w:rsidR="00F838D0" w:rsidRPr="0053170F" w:rsidRDefault="00D33654" w:rsidP="00D33654">
      <w:pPr>
        <w:jc w:val="both"/>
        <w:rPr>
          <w:rFonts w:ascii="Arial" w:hAnsi="Arial" w:cs="Arial"/>
          <w:sz w:val="24"/>
          <w:szCs w:val="24"/>
        </w:rPr>
      </w:pPr>
      <w:r w:rsidRPr="0053170F">
        <w:rPr>
          <w:rFonts w:ascii="Arial" w:hAnsi="Arial" w:cs="Arial"/>
          <w:sz w:val="24"/>
          <w:szCs w:val="24"/>
        </w:rPr>
        <w:t>The recovery started in 2025. Revenue grew 5.4% and operating profit grew by about 15.1%. After accounting for System Fund, reimbursable and exceptional items, IHG reported $1.265 billion of operating profit from reportable segments, up 13% compared to the prior period, and adjusted EPS grew 16% to 501.3 cents.</w:t>
      </w:r>
    </w:p>
    <w:p w14:paraId="5BBD3C36" w14:textId="77777777" w:rsidR="006937C2" w:rsidRPr="0053170F" w:rsidRDefault="006937C2" w:rsidP="00D33654">
      <w:pPr>
        <w:jc w:val="both"/>
        <w:rPr>
          <w:rFonts w:ascii="Arial" w:hAnsi="Arial" w:cs="Arial"/>
          <w:sz w:val="24"/>
          <w:szCs w:val="24"/>
        </w:rPr>
      </w:pPr>
    </w:p>
    <w:p w14:paraId="16FCE789" w14:textId="77777777" w:rsidR="00493C81" w:rsidRPr="0053170F" w:rsidRDefault="00493C81">
      <w:pPr>
        <w:rPr>
          <w:rFonts w:ascii="Arial" w:hAnsi="Arial" w:cs="Arial"/>
          <w:sz w:val="24"/>
          <w:szCs w:val="24"/>
        </w:rPr>
      </w:pPr>
      <w:r w:rsidRPr="0053170F">
        <w:rPr>
          <w:rFonts w:ascii="Arial" w:hAnsi="Arial" w:cs="Arial"/>
          <w:sz w:val="24"/>
          <w:szCs w:val="24"/>
        </w:rPr>
        <w:br w:type="page"/>
      </w:r>
    </w:p>
    <w:p w14:paraId="73AE65DA" w14:textId="51DC9996" w:rsidR="000D4834" w:rsidRPr="0053170F" w:rsidRDefault="000D4834" w:rsidP="00A1051F">
      <w:pPr>
        <w:pStyle w:val="Heading2"/>
        <w:rPr>
          <w:rFonts w:ascii="Arial" w:hAnsi="Arial" w:cs="Arial"/>
          <w:b/>
          <w:bCs/>
          <w:sz w:val="28"/>
          <w:szCs w:val="28"/>
        </w:rPr>
      </w:pPr>
      <w:bookmarkStart w:id="3" w:name="_Toc237461166"/>
      <w:r w:rsidRPr="0053170F">
        <w:rPr>
          <w:rFonts w:ascii="Arial" w:hAnsi="Arial" w:cs="Arial"/>
          <w:b/>
          <w:bCs/>
          <w:sz w:val="28"/>
          <w:szCs w:val="28"/>
        </w:rPr>
        <w:lastRenderedPageBreak/>
        <w:t>1.3 Profitability ratio analysis</w:t>
      </w:r>
      <w:bookmarkEnd w:id="3"/>
    </w:p>
    <w:p w14:paraId="048649AB" w14:textId="77777777" w:rsidR="000D4834" w:rsidRPr="0053170F" w:rsidRDefault="000D4834" w:rsidP="000D4834">
      <w:pPr>
        <w:jc w:val="both"/>
        <w:rPr>
          <w:rFonts w:ascii="Arial" w:hAnsi="Arial" w:cs="Arial"/>
          <w:b/>
          <w:bCs/>
          <w:sz w:val="28"/>
          <w:szCs w:val="28"/>
        </w:rPr>
      </w:pPr>
      <w:r w:rsidRPr="0053170F">
        <w:rPr>
          <w:rFonts w:ascii="Arial" w:hAnsi="Arial" w:cs="Arial"/>
          <w:b/>
          <w:bCs/>
          <w:sz w:val="28"/>
          <w:szCs w:val="28"/>
        </w:rPr>
        <w:t>Table 2: Profitability ratios</w:t>
      </w:r>
    </w:p>
    <w:tbl>
      <w:tblPr>
        <w:tblStyle w:val="GridTable4-Accent4"/>
        <w:tblW w:w="5000" w:type="pct"/>
        <w:tblLook w:val="04A0" w:firstRow="1" w:lastRow="0" w:firstColumn="1" w:lastColumn="0" w:noHBand="0" w:noVBand="1"/>
      </w:tblPr>
      <w:tblGrid>
        <w:gridCol w:w="1352"/>
        <w:gridCol w:w="1352"/>
        <w:gridCol w:w="1263"/>
        <w:gridCol w:w="1263"/>
        <w:gridCol w:w="1262"/>
        <w:gridCol w:w="1262"/>
        <w:gridCol w:w="1262"/>
      </w:tblGrid>
      <w:tr w:rsidR="00DD6FB2" w:rsidRPr="0053170F" w14:paraId="155DB502" w14:textId="77777777" w:rsidTr="00A825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9" w:type="pct"/>
          </w:tcPr>
          <w:p w14:paraId="2C006903" w14:textId="77777777" w:rsidR="00DD6FB2" w:rsidRPr="0053170F" w:rsidRDefault="00DD6FB2" w:rsidP="00E25129">
            <w:pPr>
              <w:jc w:val="both"/>
              <w:rPr>
                <w:rFonts w:ascii="Arial" w:hAnsi="Arial" w:cs="Arial"/>
                <w:b w:val="0"/>
                <w:bCs w:val="0"/>
                <w:sz w:val="24"/>
                <w:szCs w:val="24"/>
              </w:rPr>
            </w:pPr>
            <w:r w:rsidRPr="0053170F">
              <w:rPr>
                <w:rFonts w:ascii="Arial" w:hAnsi="Arial" w:cs="Arial"/>
                <w:b w:val="0"/>
                <w:bCs w:val="0"/>
                <w:sz w:val="24"/>
                <w:szCs w:val="24"/>
              </w:rPr>
              <w:t>Ratio</w:t>
            </w:r>
          </w:p>
        </w:tc>
        <w:tc>
          <w:tcPr>
            <w:tcW w:w="749" w:type="pct"/>
          </w:tcPr>
          <w:p w14:paraId="26C97334" w14:textId="77777777" w:rsidR="00DD6FB2" w:rsidRPr="0053170F" w:rsidRDefault="00DD6FB2" w:rsidP="00E25129">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Formula</w:t>
            </w:r>
          </w:p>
        </w:tc>
        <w:tc>
          <w:tcPr>
            <w:tcW w:w="700" w:type="pct"/>
          </w:tcPr>
          <w:p w14:paraId="195566F0" w14:textId="77777777" w:rsidR="00DD6FB2" w:rsidRPr="0053170F" w:rsidRDefault="00DD6FB2" w:rsidP="00E25129">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2021</w:t>
            </w:r>
          </w:p>
        </w:tc>
        <w:tc>
          <w:tcPr>
            <w:tcW w:w="700" w:type="pct"/>
          </w:tcPr>
          <w:p w14:paraId="7C5ABEE1" w14:textId="77777777" w:rsidR="00DD6FB2" w:rsidRPr="0053170F" w:rsidRDefault="00DD6FB2" w:rsidP="00E25129">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2022</w:t>
            </w:r>
          </w:p>
        </w:tc>
        <w:tc>
          <w:tcPr>
            <w:tcW w:w="700" w:type="pct"/>
          </w:tcPr>
          <w:p w14:paraId="4059B8B2" w14:textId="77777777" w:rsidR="00DD6FB2" w:rsidRPr="0053170F" w:rsidRDefault="00DD6FB2" w:rsidP="00E25129">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2023</w:t>
            </w:r>
          </w:p>
        </w:tc>
        <w:tc>
          <w:tcPr>
            <w:tcW w:w="700" w:type="pct"/>
          </w:tcPr>
          <w:p w14:paraId="4D0F615A" w14:textId="77777777" w:rsidR="00DD6FB2" w:rsidRPr="0053170F" w:rsidRDefault="00DD6FB2" w:rsidP="00E25129">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2024</w:t>
            </w:r>
          </w:p>
        </w:tc>
        <w:tc>
          <w:tcPr>
            <w:tcW w:w="700" w:type="pct"/>
          </w:tcPr>
          <w:p w14:paraId="6216879E" w14:textId="77777777" w:rsidR="00DD6FB2" w:rsidRPr="0053170F" w:rsidRDefault="00DD6FB2" w:rsidP="00E25129">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2025</w:t>
            </w:r>
          </w:p>
        </w:tc>
      </w:tr>
      <w:tr w:rsidR="00DD6FB2" w:rsidRPr="0053170F" w14:paraId="33DF96ED" w14:textId="77777777" w:rsidTr="00A825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9" w:type="pct"/>
          </w:tcPr>
          <w:p w14:paraId="46F5C3D3" w14:textId="77777777" w:rsidR="00DD6FB2" w:rsidRPr="0053170F" w:rsidRDefault="00DD6FB2" w:rsidP="00E25129">
            <w:pPr>
              <w:jc w:val="both"/>
              <w:rPr>
                <w:rFonts w:ascii="Arial" w:hAnsi="Arial" w:cs="Arial"/>
                <w:b w:val="0"/>
                <w:bCs w:val="0"/>
                <w:sz w:val="24"/>
                <w:szCs w:val="24"/>
              </w:rPr>
            </w:pPr>
            <w:r w:rsidRPr="0053170F">
              <w:rPr>
                <w:rFonts w:ascii="Arial" w:hAnsi="Arial" w:cs="Arial"/>
                <w:b w:val="0"/>
                <w:bCs w:val="0"/>
                <w:sz w:val="24"/>
                <w:szCs w:val="24"/>
              </w:rPr>
              <w:t>Operating profit margin</w:t>
            </w:r>
          </w:p>
        </w:tc>
        <w:tc>
          <w:tcPr>
            <w:tcW w:w="749" w:type="pct"/>
          </w:tcPr>
          <w:p w14:paraId="5D665509" w14:textId="77777777" w:rsidR="00DD6FB2" w:rsidRPr="0053170F" w:rsidRDefault="00DD6FB2" w:rsidP="00E25129">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Operating profit / Revenue ×100</w:t>
            </w:r>
          </w:p>
        </w:tc>
        <w:tc>
          <w:tcPr>
            <w:tcW w:w="700" w:type="pct"/>
          </w:tcPr>
          <w:p w14:paraId="39D91CE0" w14:textId="77777777" w:rsidR="00DD6FB2" w:rsidRPr="0053170F" w:rsidRDefault="00DD6FB2" w:rsidP="00E25129">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17.0%</w:t>
            </w:r>
          </w:p>
        </w:tc>
        <w:tc>
          <w:tcPr>
            <w:tcW w:w="700" w:type="pct"/>
          </w:tcPr>
          <w:p w14:paraId="593598B6" w14:textId="77777777" w:rsidR="00DD6FB2" w:rsidRPr="0053170F" w:rsidRDefault="00DD6FB2" w:rsidP="00E25129">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16.1%</w:t>
            </w:r>
          </w:p>
        </w:tc>
        <w:tc>
          <w:tcPr>
            <w:tcW w:w="700" w:type="pct"/>
          </w:tcPr>
          <w:p w14:paraId="78306810" w14:textId="77777777" w:rsidR="00DD6FB2" w:rsidRPr="0053170F" w:rsidRDefault="00DD6FB2" w:rsidP="00E25129">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23.1%</w:t>
            </w:r>
          </w:p>
        </w:tc>
        <w:tc>
          <w:tcPr>
            <w:tcW w:w="700" w:type="pct"/>
          </w:tcPr>
          <w:p w14:paraId="741527DE" w14:textId="77777777" w:rsidR="00DD6FB2" w:rsidRPr="0053170F" w:rsidRDefault="00DD6FB2" w:rsidP="00E25129">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21.1%</w:t>
            </w:r>
          </w:p>
        </w:tc>
        <w:tc>
          <w:tcPr>
            <w:tcW w:w="700" w:type="pct"/>
          </w:tcPr>
          <w:p w14:paraId="6AA76BCD" w14:textId="77777777" w:rsidR="00DD6FB2" w:rsidRPr="0053170F" w:rsidRDefault="00DD6FB2" w:rsidP="00E25129">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23.1%</w:t>
            </w:r>
          </w:p>
        </w:tc>
      </w:tr>
      <w:tr w:rsidR="00DD6FB2" w:rsidRPr="0053170F" w14:paraId="7027263F" w14:textId="77777777" w:rsidTr="00A82544">
        <w:tc>
          <w:tcPr>
            <w:cnfStyle w:val="001000000000" w:firstRow="0" w:lastRow="0" w:firstColumn="1" w:lastColumn="0" w:oddVBand="0" w:evenVBand="0" w:oddHBand="0" w:evenHBand="0" w:firstRowFirstColumn="0" w:firstRowLastColumn="0" w:lastRowFirstColumn="0" w:lastRowLastColumn="0"/>
            <w:tcW w:w="749" w:type="pct"/>
          </w:tcPr>
          <w:p w14:paraId="23ADDAD1" w14:textId="77777777" w:rsidR="00DD6FB2" w:rsidRPr="0053170F" w:rsidRDefault="00DD6FB2" w:rsidP="00E25129">
            <w:pPr>
              <w:jc w:val="both"/>
              <w:rPr>
                <w:rFonts w:ascii="Arial" w:hAnsi="Arial" w:cs="Arial"/>
                <w:b w:val="0"/>
                <w:bCs w:val="0"/>
                <w:sz w:val="24"/>
                <w:szCs w:val="24"/>
              </w:rPr>
            </w:pPr>
            <w:r w:rsidRPr="0053170F">
              <w:rPr>
                <w:rFonts w:ascii="Arial" w:hAnsi="Arial" w:cs="Arial"/>
                <w:b w:val="0"/>
                <w:bCs w:val="0"/>
                <w:sz w:val="24"/>
                <w:szCs w:val="24"/>
              </w:rPr>
              <w:t>Net profit margin</w:t>
            </w:r>
          </w:p>
        </w:tc>
        <w:tc>
          <w:tcPr>
            <w:tcW w:w="749" w:type="pct"/>
          </w:tcPr>
          <w:p w14:paraId="5FB039CC" w14:textId="77777777" w:rsidR="00DD6FB2" w:rsidRPr="0053170F" w:rsidRDefault="00DD6FB2" w:rsidP="00E25129">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Profit / Revenue ×100</w:t>
            </w:r>
          </w:p>
        </w:tc>
        <w:tc>
          <w:tcPr>
            <w:tcW w:w="700" w:type="pct"/>
          </w:tcPr>
          <w:p w14:paraId="06A637F5" w14:textId="77777777" w:rsidR="00DD6FB2" w:rsidRPr="0053170F" w:rsidRDefault="00DD6FB2" w:rsidP="00E25129">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9.1%</w:t>
            </w:r>
          </w:p>
        </w:tc>
        <w:tc>
          <w:tcPr>
            <w:tcW w:w="700" w:type="pct"/>
          </w:tcPr>
          <w:p w14:paraId="31BD543F" w14:textId="77777777" w:rsidR="00DD6FB2" w:rsidRPr="0053170F" w:rsidRDefault="00DD6FB2" w:rsidP="00E25129">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9.7%</w:t>
            </w:r>
          </w:p>
        </w:tc>
        <w:tc>
          <w:tcPr>
            <w:tcW w:w="700" w:type="pct"/>
          </w:tcPr>
          <w:p w14:paraId="4755CF1A" w14:textId="77777777" w:rsidR="00DD6FB2" w:rsidRPr="0053170F" w:rsidRDefault="00DD6FB2" w:rsidP="00E25129">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16.2%</w:t>
            </w:r>
          </w:p>
        </w:tc>
        <w:tc>
          <w:tcPr>
            <w:tcW w:w="700" w:type="pct"/>
          </w:tcPr>
          <w:p w14:paraId="41F6E699" w14:textId="77777777" w:rsidR="00DD6FB2" w:rsidRPr="0053170F" w:rsidRDefault="00DD6FB2" w:rsidP="00E25129">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12.8%</w:t>
            </w:r>
          </w:p>
        </w:tc>
        <w:tc>
          <w:tcPr>
            <w:tcW w:w="700" w:type="pct"/>
          </w:tcPr>
          <w:p w14:paraId="37F9405E" w14:textId="77777777" w:rsidR="00DD6FB2" w:rsidRPr="0053170F" w:rsidRDefault="00DD6FB2" w:rsidP="00E25129">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14.6%</w:t>
            </w:r>
          </w:p>
        </w:tc>
      </w:tr>
      <w:tr w:rsidR="00DD6FB2" w:rsidRPr="0053170F" w14:paraId="79F5B8D1" w14:textId="77777777" w:rsidTr="00A825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9" w:type="pct"/>
          </w:tcPr>
          <w:p w14:paraId="28F31F65" w14:textId="77777777" w:rsidR="00DD6FB2" w:rsidRPr="0053170F" w:rsidRDefault="00DD6FB2" w:rsidP="00E25129">
            <w:pPr>
              <w:jc w:val="both"/>
              <w:rPr>
                <w:rFonts w:ascii="Arial" w:hAnsi="Arial" w:cs="Arial"/>
                <w:b w:val="0"/>
                <w:bCs w:val="0"/>
                <w:sz w:val="24"/>
                <w:szCs w:val="24"/>
              </w:rPr>
            </w:pPr>
            <w:r w:rsidRPr="0053170F">
              <w:rPr>
                <w:rFonts w:ascii="Arial" w:hAnsi="Arial" w:cs="Arial"/>
                <w:b w:val="0"/>
                <w:bCs w:val="0"/>
                <w:sz w:val="24"/>
                <w:szCs w:val="24"/>
              </w:rPr>
              <w:t>ROA*</w:t>
            </w:r>
          </w:p>
        </w:tc>
        <w:tc>
          <w:tcPr>
            <w:tcW w:w="749" w:type="pct"/>
          </w:tcPr>
          <w:p w14:paraId="12083DBC" w14:textId="77777777" w:rsidR="00DD6FB2" w:rsidRPr="0053170F" w:rsidRDefault="00DD6FB2" w:rsidP="00E25129">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Profit / Average assets ×100</w:t>
            </w:r>
          </w:p>
        </w:tc>
        <w:tc>
          <w:tcPr>
            <w:tcW w:w="700" w:type="pct"/>
          </w:tcPr>
          <w:p w14:paraId="6135192E" w14:textId="77777777" w:rsidR="00DD6FB2" w:rsidRPr="0053170F" w:rsidRDefault="00DD6FB2" w:rsidP="00E25129">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5.6%</w:t>
            </w:r>
          </w:p>
        </w:tc>
        <w:tc>
          <w:tcPr>
            <w:tcW w:w="700" w:type="pct"/>
          </w:tcPr>
          <w:p w14:paraId="4D13E947" w14:textId="77777777" w:rsidR="00DD6FB2" w:rsidRPr="0053170F" w:rsidRDefault="00DD6FB2" w:rsidP="00E25129">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8.4%</w:t>
            </w:r>
          </w:p>
        </w:tc>
        <w:tc>
          <w:tcPr>
            <w:tcW w:w="700" w:type="pct"/>
          </w:tcPr>
          <w:p w14:paraId="0FE93465" w14:textId="77777777" w:rsidR="00DD6FB2" w:rsidRPr="0053170F" w:rsidRDefault="00DD6FB2" w:rsidP="00E25129">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16.6%</w:t>
            </w:r>
          </w:p>
        </w:tc>
        <w:tc>
          <w:tcPr>
            <w:tcW w:w="700" w:type="pct"/>
          </w:tcPr>
          <w:p w14:paraId="008BB3E1" w14:textId="77777777" w:rsidR="00DD6FB2" w:rsidRPr="0053170F" w:rsidRDefault="00DD6FB2" w:rsidP="00E25129">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13.1%</w:t>
            </w:r>
          </w:p>
        </w:tc>
        <w:tc>
          <w:tcPr>
            <w:tcW w:w="700" w:type="pct"/>
          </w:tcPr>
          <w:p w14:paraId="0A806029" w14:textId="77777777" w:rsidR="00DD6FB2" w:rsidRPr="0053170F" w:rsidRDefault="00DD6FB2" w:rsidP="00E25129">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15.0%</w:t>
            </w:r>
          </w:p>
        </w:tc>
      </w:tr>
    </w:tbl>
    <w:p w14:paraId="3FB1E832" w14:textId="77777777" w:rsidR="000D4834" w:rsidRPr="0053170F" w:rsidRDefault="000D4834" w:rsidP="000D4834">
      <w:pPr>
        <w:jc w:val="both"/>
        <w:rPr>
          <w:rFonts w:ascii="Arial" w:hAnsi="Arial" w:cs="Arial"/>
          <w:sz w:val="24"/>
          <w:szCs w:val="24"/>
        </w:rPr>
      </w:pPr>
      <w:r w:rsidRPr="0053170F">
        <w:rPr>
          <w:rFonts w:ascii="Arial" w:hAnsi="Arial" w:cs="Arial"/>
          <w:sz w:val="24"/>
          <w:szCs w:val="24"/>
        </w:rPr>
        <w:t>2021 ROA is based on year-end assets as 2020 data is not within the 5-year analytical period.</w:t>
      </w:r>
    </w:p>
    <w:p w14:paraId="27258A80" w14:textId="68A7ED57" w:rsidR="000D4834" w:rsidRPr="0053170F" w:rsidRDefault="000D4834" w:rsidP="000D4834">
      <w:pPr>
        <w:jc w:val="both"/>
        <w:rPr>
          <w:rFonts w:ascii="Arial" w:hAnsi="Arial" w:cs="Arial"/>
          <w:sz w:val="24"/>
          <w:szCs w:val="24"/>
        </w:rPr>
      </w:pPr>
      <w:r w:rsidRPr="0053170F">
        <w:rPr>
          <w:rFonts w:ascii="Arial" w:hAnsi="Arial" w:cs="Arial"/>
          <w:sz w:val="24"/>
          <w:szCs w:val="24"/>
        </w:rPr>
        <w:t>Profitability analysis is a definite structural improvement. Operating margin increased from 17.0% in 2021 to 23.1% in 2025. This is especially strong in 2023 reflecting the post-pandemic recovery, the benefits of IHG's fee-based business model and enhancing RevPAR.</w:t>
      </w:r>
    </w:p>
    <w:p w14:paraId="08EC5871" w14:textId="7BB69CBF" w:rsidR="00B74D11" w:rsidRPr="0053170F" w:rsidRDefault="000D4834" w:rsidP="00B74D11">
      <w:pPr>
        <w:jc w:val="both"/>
        <w:rPr>
          <w:rFonts w:ascii="Arial" w:hAnsi="Arial" w:cs="Arial"/>
          <w:sz w:val="24"/>
          <w:szCs w:val="24"/>
        </w:rPr>
      </w:pPr>
      <w:r w:rsidRPr="0053170F">
        <w:rPr>
          <w:rFonts w:ascii="Arial" w:hAnsi="Arial" w:cs="Arial"/>
          <w:sz w:val="24"/>
          <w:szCs w:val="24"/>
        </w:rPr>
        <w:t xml:space="preserve">Net margin increased from 9.1% in 2021 to 16.2% in 2023, before falling to 12.8% in 2024 and recovering to 14.6% in 2025. Financing costs and other below operating-profit items shown by the difference between operating profit and net profit. </w:t>
      </w:r>
    </w:p>
    <w:p w14:paraId="60E2B1AD" w14:textId="77777777" w:rsidR="000D4834" w:rsidRPr="0053170F" w:rsidRDefault="000D4834" w:rsidP="000D4834">
      <w:pPr>
        <w:jc w:val="both"/>
        <w:rPr>
          <w:rFonts w:ascii="Arial" w:hAnsi="Arial" w:cs="Arial"/>
          <w:sz w:val="24"/>
          <w:szCs w:val="24"/>
        </w:rPr>
      </w:pPr>
    </w:p>
    <w:p w14:paraId="1E4E340B" w14:textId="77777777" w:rsidR="000D4834" w:rsidRPr="0053170F" w:rsidRDefault="000D4834" w:rsidP="000D4834">
      <w:pPr>
        <w:jc w:val="both"/>
        <w:rPr>
          <w:rFonts w:ascii="Arial" w:hAnsi="Arial" w:cs="Arial"/>
          <w:sz w:val="24"/>
          <w:szCs w:val="24"/>
        </w:rPr>
      </w:pPr>
    </w:p>
    <w:p w14:paraId="392F396D" w14:textId="77777777" w:rsidR="000D4834" w:rsidRPr="0053170F" w:rsidRDefault="000D4834" w:rsidP="000D4834">
      <w:pPr>
        <w:jc w:val="both"/>
        <w:rPr>
          <w:rFonts w:ascii="Arial" w:hAnsi="Arial" w:cs="Arial"/>
          <w:sz w:val="24"/>
          <w:szCs w:val="24"/>
        </w:rPr>
      </w:pPr>
    </w:p>
    <w:p w14:paraId="63BAE39C" w14:textId="77777777" w:rsidR="000D4834" w:rsidRPr="0053170F" w:rsidRDefault="000D4834" w:rsidP="00A1051F">
      <w:pPr>
        <w:pStyle w:val="Heading2"/>
        <w:rPr>
          <w:rFonts w:ascii="Arial" w:hAnsi="Arial" w:cs="Arial"/>
          <w:b/>
          <w:bCs/>
          <w:sz w:val="28"/>
          <w:szCs w:val="28"/>
        </w:rPr>
      </w:pPr>
      <w:bookmarkStart w:id="4" w:name="_Toc237461167"/>
      <w:r w:rsidRPr="0053170F">
        <w:rPr>
          <w:rFonts w:ascii="Arial" w:hAnsi="Arial" w:cs="Arial"/>
          <w:b/>
          <w:bCs/>
          <w:sz w:val="28"/>
          <w:szCs w:val="28"/>
        </w:rPr>
        <w:t>1.4 Liquidity analysis</w:t>
      </w:r>
      <w:bookmarkEnd w:id="4"/>
    </w:p>
    <w:p w14:paraId="13BACFC9" w14:textId="77777777" w:rsidR="000D4834" w:rsidRPr="0053170F" w:rsidRDefault="000D4834" w:rsidP="000D4834">
      <w:pPr>
        <w:jc w:val="both"/>
        <w:rPr>
          <w:rFonts w:ascii="Arial" w:hAnsi="Arial" w:cs="Arial"/>
          <w:b/>
          <w:bCs/>
          <w:sz w:val="28"/>
          <w:szCs w:val="28"/>
        </w:rPr>
      </w:pPr>
      <w:r w:rsidRPr="0053170F">
        <w:rPr>
          <w:rFonts w:ascii="Arial" w:hAnsi="Arial" w:cs="Arial"/>
          <w:b/>
          <w:bCs/>
          <w:sz w:val="28"/>
          <w:szCs w:val="28"/>
        </w:rPr>
        <w:t>Table 3: Liquidity ratios, 2021–2025</w:t>
      </w:r>
    </w:p>
    <w:tbl>
      <w:tblPr>
        <w:tblStyle w:val="GridTable5Dark-Accent6"/>
        <w:tblW w:w="5000" w:type="pct"/>
        <w:tblLook w:val="04A0" w:firstRow="1" w:lastRow="0" w:firstColumn="1" w:lastColumn="0" w:noHBand="0" w:noVBand="1"/>
      </w:tblPr>
      <w:tblGrid>
        <w:gridCol w:w="1287"/>
        <w:gridCol w:w="1378"/>
        <w:gridCol w:w="1269"/>
        <w:gridCol w:w="1271"/>
        <w:gridCol w:w="1271"/>
        <w:gridCol w:w="1271"/>
        <w:gridCol w:w="1269"/>
      </w:tblGrid>
      <w:tr w:rsidR="00493C81" w:rsidRPr="0053170F" w14:paraId="488B1F3A" w14:textId="77777777" w:rsidTr="00A825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3" w:type="pct"/>
          </w:tcPr>
          <w:p w14:paraId="3E30F5D8" w14:textId="77777777" w:rsidR="00493C81" w:rsidRPr="0053170F" w:rsidRDefault="00493C81" w:rsidP="001E5C22">
            <w:pPr>
              <w:jc w:val="both"/>
              <w:rPr>
                <w:rFonts w:ascii="Arial" w:hAnsi="Arial" w:cs="Arial"/>
                <w:b w:val="0"/>
                <w:bCs w:val="0"/>
                <w:sz w:val="24"/>
                <w:szCs w:val="24"/>
              </w:rPr>
            </w:pPr>
            <w:r w:rsidRPr="0053170F">
              <w:rPr>
                <w:rFonts w:ascii="Arial" w:hAnsi="Arial" w:cs="Arial"/>
                <w:b w:val="0"/>
                <w:bCs w:val="0"/>
                <w:sz w:val="24"/>
                <w:szCs w:val="24"/>
              </w:rPr>
              <w:t>Liquidity ratio</w:t>
            </w:r>
          </w:p>
        </w:tc>
        <w:tc>
          <w:tcPr>
            <w:tcW w:w="764" w:type="pct"/>
          </w:tcPr>
          <w:p w14:paraId="77542C6B" w14:textId="77777777" w:rsidR="00493C81" w:rsidRPr="0053170F" w:rsidRDefault="00493C81" w:rsidP="001E5C22">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Formula</w:t>
            </w:r>
          </w:p>
        </w:tc>
        <w:tc>
          <w:tcPr>
            <w:tcW w:w="704" w:type="pct"/>
          </w:tcPr>
          <w:p w14:paraId="7338F39D" w14:textId="77777777" w:rsidR="00493C81" w:rsidRPr="0053170F" w:rsidRDefault="00493C81" w:rsidP="001E5C22">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2021</w:t>
            </w:r>
          </w:p>
        </w:tc>
        <w:tc>
          <w:tcPr>
            <w:tcW w:w="705" w:type="pct"/>
          </w:tcPr>
          <w:p w14:paraId="6AE6B9DB" w14:textId="77777777" w:rsidR="00493C81" w:rsidRPr="0053170F" w:rsidRDefault="00493C81" w:rsidP="001E5C22">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2022</w:t>
            </w:r>
          </w:p>
        </w:tc>
        <w:tc>
          <w:tcPr>
            <w:tcW w:w="705" w:type="pct"/>
          </w:tcPr>
          <w:p w14:paraId="3074EF16" w14:textId="77777777" w:rsidR="00493C81" w:rsidRPr="0053170F" w:rsidRDefault="00493C81" w:rsidP="001E5C22">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2023</w:t>
            </w:r>
          </w:p>
        </w:tc>
        <w:tc>
          <w:tcPr>
            <w:tcW w:w="705" w:type="pct"/>
          </w:tcPr>
          <w:p w14:paraId="1104E175" w14:textId="77777777" w:rsidR="00493C81" w:rsidRPr="0053170F" w:rsidRDefault="00493C81" w:rsidP="001E5C22">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2024</w:t>
            </w:r>
          </w:p>
        </w:tc>
        <w:tc>
          <w:tcPr>
            <w:tcW w:w="705" w:type="pct"/>
          </w:tcPr>
          <w:p w14:paraId="0349FD68" w14:textId="77777777" w:rsidR="00493C81" w:rsidRPr="0053170F" w:rsidRDefault="00493C81" w:rsidP="001E5C22">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2025</w:t>
            </w:r>
          </w:p>
        </w:tc>
      </w:tr>
      <w:tr w:rsidR="00493C81" w:rsidRPr="0053170F" w14:paraId="6B465612" w14:textId="77777777" w:rsidTr="00A825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3" w:type="pct"/>
          </w:tcPr>
          <w:p w14:paraId="1C39C081" w14:textId="77777777" w:rsidR="00493C81" w:rsidRPr="0053170F" w:rsidRDefault="00493C81" w:rsidP="001E5C22">
            <w:pPr>
              <w:jc w:val="both"/>
              <w:rPr>
                <w:rFonts w:ascii="Arial" w:hAnsi="Arial" w:cs="Arial"/>
                <w:b w:val="0"/>
                <w:bCs w:val="0"/>
                <w:sz w:val="24"/>
                <w:szCs w:val="24"/>
              </w:rPr>
            </w:pPr>
            <w:r w:rsidRPr="0053170F">
              <w:rPr>
                <w:rFonts w:ascii="Arial" w:hAnsi="Arial" w:cs="Arial"/>
                <w:b w:val="0"/>
                <w:bCs w:val="0"/>
                <w:sz w:val="24"/>
                <w:szCs w:val="24"/>
              </w:rPr>
              <w:t>Current ratio</w:t>
            </w:r>
          </w:p>
        </w:tc>
        <w:tc>
          <w:tcPr>
            <w:tcW w:w="764" w:type="pct"/>
          </w:tcPr>
          <w:p w14:paraId="6E9AC377" w14:textId="77777777" w:rsidR="00493C81" w:rsidRPr="0053170F" w:rsidRDefault="00493C81" w:rsidP="001E5C22">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Current assets / Current liabilities</w:t>
            </w:r>
          </w:p>
        </w:tc>
        <w:tc>
          <w:tcPr>
            <w:tcW w:w="704" w:type="pct"/>
          </w:tcPr>
          <w:p w14:paraId="4249ABAF" w14:textId="77777777" w:rsidR="00493C81" w:rsidRPr="0053170F" w:rsidRDefault="00493C81" w:rsidP="001E5C22">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1.27</w:t>
            </w:r>
          </w:p>
        </w:tc>
        <w:tc>
          <w:tcPr>
            <w:tcW w:w="705" w:type="pct"/>
          </w:tcPr>
          <w:p w14:paraId="1F4C315E" w14:textId="77777777" w:rsidR="00493C81" w:rsidRPr="0053170F" w:rsidRDefault="00493C81" w:rsidP="001E5C22">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1.09</w:t>
            </w:r>
          </w:p>
        </w:tc>
        <w:tc>
          <w:tcPr>
            <w:tcW w:w="705" w:type="pct"/>
          </w:tcPr>
          <w:p w14:paraId="490E9FFD" w14:textId="77777777" w:rsidR="00493C81" w:rsidRPr="0053170F" w:rsidRDefault="00493C81" w:rsidP="001E5C22">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0.97</w:t>
            </w:r>
          </w:p>
        </w:tc>
        <w:tc>
          <w:tcPr>
            <w:tcW w:w="705" w:type="pct"/>
          </w:tcPr>
          <w:p w14:paraId="511C99A1" w14:textId="77777777" w:rsidR="00493C81" w:rsidRPr="0053170F" w:rsidRDefault="00493C81" w:rsidP="001E5C22">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0.97</w:t>
            </w:r>
          </w:p>
        </w:tc>
        <w:tc>
          <w:tcPr>
            <w:tcW w:w="705" w:type="pct"/>
          </w:tcPr>
          <w:p w14:paraId="513EA4D5" w14:textId="77777777" w:rsidR="00493C81" w:rsidRPr="0053170F" w:rsidRDefault="00493C81" w:rsidP="001E5C22">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0.98</w:t>
            </w:r>
          </w:p>
        </w:tc>
      </w:tr>
      <w:tr w:rsidR="00493C81" w:rsidRPr="0053170F" w14:paraId="3A81D376" w14:textId="77777777" w:rsidTr="00A82544">
        <w:tc>
          <w:tcPr>
            <w:cnfStyle w:val="001000000000" w:firstRow="0" w:lastRow="0" w:firstColumn="1" w:lastColumn="0" w:oddVBand="0" w:evenVBand="0" w:oddHBand="0" w:evenHBand="0" w:firstRowFirstColumn="0" w:firstRowLastColumn="0" w:lastRowFirstColumn="0" w:lastRowLastColumn="0"/>
            <w:tcW w:w="713" w:type="pct"/>
          </w:tcPr>
          <w:p w14:paraId="0460D074" w14:textId="77777777" w:rsidR="00493C81" w:rsidRPr="0053170F" w:rsidRDefault="00493C81" w:rsidP="001E5C22">
            <w:pPr>
              <w:jc w:val="both"/>
              <w:rPr>
                <w:rFonts w:ascii="Arial" w:hAnsi="Arial" w:cs="Arial"/>
                <w:b w:val="0"/>
                <w:bCs w:val="0"/>
                <w:sz w:val="24"/>
                <w:szCs w:val="24"/>
              </w:rPr>
            </w:pPr>
            <w:r w:rsidRPr="0053170F">
              <w:rPr>
                <w:rFonts w:ascii="Arial" w:hAnsi="Arial" w:cs="Arial"/>
                <w:b w:val="0"/>
                <w:bCs w:val="0"/>
                <w:sz w:val="24"/>
                <w:szCs w:val="24"/>
              </w:rPr>
              <w:t>Quick ratio</w:t>
            </w:r>
          </w:p>
        </w:tc>
        <w:tc>
          <w:tcPr>
            <w:tcW w:w="764" w:type="pct"/>
          </w:tcPr>
          <w:p w14:paraId="11299270" w14:textId="77777777" w:rsidR="00493C81" w:rsidRPr="0053170F" w:rsidRDefault="00493C81" w:rsidP="001E5C22">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(Current assets − Inventory) / Current liabilities</w:t>
            </w:r>
          </w:p>
        </w:tc>
        <w:tc>
          <w:tcPr>
            <w:tcW w:w="704" w:type="pct"/>
          </w:tcPr>
          <w:p w14:paraId="02E3912F" w14:textId="77777777" w:rsidR="00493C81" w:rsidRPr="0053170F" w:rsidRDefault="00493C81" w:rsidP="001E5C22">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1.27</w:t>
            </w:r>
          </w:p>
        </w:tc>
        <w:tc>
          <w:tcPr>
            <w:tcW w:w="705" w:type="pct"/>
          </w:tcPr>
          <w:p w14:paraId="6F4557EB" w14:textId="77777777" w:rsidR="00493C81" w:rsidRPr="0053170F" w:rsidRDefault="00493C81" w:rsidP="001E5C22">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1.08</w:t>
            </w:r>
          </w:p>
        </w:tc>
        <w:tc>
          <w:tcPr>
            <w:tcW w:w="705" w:type="pct"/>
          </w:tcPr>
          <w:p w14:paraId="524AB3C8" w14:textId="77777777" w:rsidR="00493C81" w:rsidRPr="0053170F" w:rsidRDefault="00493C81" w:rsidP="001E5C22">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0.97</w:t>
            </w:r>
          </w:p>
        </w:tc>
        <w:tc>
          <w:tcPr>
            <w:tcW w:w="705" w:type="pct"/>
          </w:tcPr>
          <w:p w14:paraId="16DFCF4F" w14:textId="77777777" w:rsidR="00493C81" w:rsidRPr="0053170F" w:rsidRDefault="00493C81" w:rsidP="001E5C22">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0.97</w:t>
            </w:r>
          </w:p>
        </w:tc>
        <w:tc>
          <w:tcPr>
            <w:tcW w:w="705" w:type="pct"/>
          </w:tcPr>
          <w:p w14:paraId="2320C066" w14:textId="77777777" w:rsidR="00493C81" w:rsidRPr="0053170F" w:rsidRDefault="00493C81" w:rsidP="001E5C22">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0.97</w:t>
            </w:r>
          </w:p>
        </w:tc>
      </w:tr>
      <w:tr w:rsidR="00493C81" w:rsidRPr="0053170F" w14:paraId="5307C417" w14:textId="77777777" w:rsidTr="00A825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3" w:type="pct"/>
          </w:tcPr>
          <w:p w14:paraId="219A1782" w14:textId="77777777" w:rsidR="00493C81" w:rsidRPr="0053170F" w:rsidRDefault="00493C81" w:rsidP="001E5C22">
            <w:pPr>
              <w:jc w:val="both"/>
              <w:rPr>
                <w:rFonts w:ascii="Arial" w:hAnsi="Arial" w:cs="Arial"/>
                <w:b w:val="0"/>
                <w:bCs w:val="0"/>
                <w:sz w:val="24"/>
                <w:szCs w:val="24"/>
              </w:rPr>
            </w:pPr>
            <w:r w:rsidRPr="0053170F">
              <w:rPr>
                <w:rFonts w:ascii="Arial" w:hAnsi="Arial" w:cs="Arial"/>
                <w:b w:val="0"/>
                <w:bCs w:val="0"/>
                <w:sz w:val="24"/>
                <w:szCs w:val="24"/>
              </w:rPr>
              <w:t>Cash ratio</w:t>
            </w:r>
          </w:p>
        </w:tc>
        <w:tc>
          <w:tcPr>
            <w:tcW w:w="764" w:type="pct"/>
          </w:tcPr>
          <w:p w14:paraId="2F848E33" w14:textId="77777777" w:rsidR="00493C81" w:rsidRPr="0053170F" w:rsidRDefault="00493C81" w:rsidP="001E5C22">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Cash / Current liabilities</w:t>
            </w:r>
          </w:p>
        </w:tc>
        <w:tc>
          <w:tcPr>
            <w:tcW w:w="704" w:type="pct"/>
          </w:tcPr>
          <w:p w14:paraId="0B50084E" w14:textId="77777777" w:rsidR="00493C81" w:rsidRPr="0053170F" w:rsidRDefault="00493C81" w:rsidP="001E5C22">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0.89</w:t>
            </w:r>
          </w:p>
        </w:tc>
        <w:tc>
          <w:tcPr>
            <w:tcW w:w="705" w:type="pct"/>
          </w:tcPr>
          <w:p w14:paraId="185B60A5" w14:textId="77777777" w:rsidR="00493C81" w:rsidRPr="0053170F" w:rsidRDefault="00493C81" w:rsidP="001E5C22">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0.63</w:t>
            </w:r>
          </w:p>
        </w:tc>
        <w:tc>
          <w:tcPr>
            <w:tcW w:w="705" w:type="pct"/>
          </w:tcPr>
          <w:p w14:paraId="04975849" w14:textId="77777777" w:rsidR="00493C81" w:rsidRPr="0053170F" w:rsidRDefault="00493C81" w:rsidP="001E5C22">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0.60</w:t>
            </w:r>
          </w:p>
        </w:tc>
        <w:tc>
          <w:tcPr>
            <w:tcW w:w="705" w:type="pct"/>
          </w:tcPr>
          <w:p w14:paraId="3D22A0CB" w14:textId="77777777" w:rsidR="00493C81" w:rsidRPr="0053170F" w:rsidRDefault="00493C81" w:rsidP="001E5C22">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0.52</w:t>
            </w:r>
          </w:p>
        </w:tc>
        <w:tc>
          <w:tcPr>
            <w:tcW w:w="705" w:type="pct"/>
          </w:tcPr>
          <w:p w14:paraId="747F4F07" w14:textId="77777777" w:rsidR="00493C81" w:rsidRPr="0053170F" w:rsidRDefault="00493C81" w:rsidP="001E5C22">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0.54</w:t>
            </w:r>
          </w:p>
        </w:tc>
      </w:tr>
      <w:tr w:rsidR="00493C81" w:rsidRPr="0053170F" w14:paraId="4A3640BE" w14:textId="77777777" w:rsidTr="00A82544">
        <w:tc>
          <w:tcPr>
            <w:cnfStyle w:val="001000000000" w:firstRow="0" w:lastRow="0" w:firstColumn="1" w:lastColumn="0" w:oddVBand="0" w:evenVBand="0" w:oddHBand="0" w:evenHBand="0" w:firstRowFirstColumn="0" w:firstRowLastColumn="0" w:lastRowFirstColumn="0" w:lastRowLastColumn="0"/>
            <w:tcW w:w="713" w:type="pct"/>
          </w:tcPr>
          <w:p w14:paraId="6BFA8CA1" w14:textId="77777777" w:rsidR="00493C81" w:rsidRPr="0053170F" w:rsidRDefault="00493C81" w:rsidP="001E5C22">
            <w:pPr>
              <w:jc w:val="both"/>
              <w:rPr>
                <w:rFonts w:ascii="Arial" w:hAnsi="Arial" w:cs="Arial"/>
                <w:b w:val="0"/>
                <w:bCs w:val="0"/>
                <w:sz w:val="24"/>
                <w:szCs w:val="24"/>
              </w:rPr>
            </w:pPr>
            <w:r w:rsidRPr="0053170F">
              <w:rPr>
                <w:rFonts w:ascii="Arial" w:hAnsi="Arial" w:cs="Arial"/>
                <w:b w:val="0"/>
                <w:bCs w:val="0"/>
                <w:sz w:val="24"/>
                <w:szCs w:val="24"/>
              </w:rPr>
              <w:lastRenderedPageBreak/>
              <w:t>Working capital ($m)</w:t>
            </w:r>
          </w:p>
        </w:tc>
        <w:tc>
          <w:tcPr>
            <w:tcW w:w="764" w:type="pct"/>
          </w:tcPr>
          <w:p w14:paraId="05F1FA5F" w14:textId="77777777" w:rsidR="00493C81" w:rsidRPr="0053170F" w:rsidRDefault="00493C81" w:rsidP="001E5C22">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Current assets − Current liabilities</w:t>
            </w:r>
          </w:p>
        </w:tc>
        <w:tc>
          <w:tcPr>
            <w:tcW w:w="704" w:type="pct"/>
          </w:tcPr>
          <w:p w14:paraId="2F1EC7FC" w14:textId="77777777" w:rsidR="00493C81" w:rsidRPr="0053170F" w:rsidRDefault="00493C81" w:rsidP="001E5C22">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442</w:t>
            </w:r>
          </w:p>
        </w:tc>
        <w:tc>
          <w:tcPr>
            <w:tcW w:w="705" w:type="pct"/>
          </w:tcPr>
          <w:p w14:paraId="4AEACE3C" w14:textId="77777777" w:rsidR="00493C81" w:rsidRPr="0053170F" w:rsidRDefault="00493C81" w:rsidP="001E5C22">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134</w:t>
            </w:r>
          </w:p>
        </w:tc>
        <w:tc>
          <w:tcPr>
            <w:tcW w:w="705" w:type="pct"/>
          </w:tcPr>
          <w:p w14:paraId="2CF6BCC6" w14:textId="77777777" w:rsidR="00493C81" w:rsidRPr="0053170F" w:rsidRDefault="00493C81" w:rsidP="001E5C22">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(61)</w:t>
            </w:r>
          </w:p>
        </w:tc>
        <w:tc>
          <w:tcPr>
            <w:tcW w:w="705" w:type="pct"/>
          </w:tcPr>
          <w:p w14:paraId="10B4BDC4" w14:textId="77777777" w:rsidR="00493C81" w:rsidRPr="0053170F" w:rsidRDefault="00493C81" w:rsidP="001E5C22">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(59)</w:t>
            </w:r>
          </w:p>
        </w:tc>
        <w:tc>
          <w:tcPr>
            <w:tcW w:w="705" w:type="pct"/>
          </w:tcPr>
          <w:p w14:paraId="00E0C6C6" w14:textId="77777777" w:rsidR="00493C81" w:rsidRPr="0053170F" w:rsidRDefault="00493C81" w:rsidP="001E5C22">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(51)</w:t>
            </w:r>
          </w:p>
        </w:tc>
      </w:tr>
    </w:tbl>
    <w:p w14:paraId="37AA5B28" w14:textId="5ABBF23B" w:rsidR="000D4834" w:rsidRPr="0053170F" w:rsidRDefault="000D4834" w:rsidP="00E57E74">
      <w:pPr>
        <w:jc w:val="both"/>
        <w:rPr>
          <w:rFonts w:ascii="Arial" w:hAnsi="Arial" w:cs="Arial"/>
          <w:sz w:val="24"/>
          <w:szCs w:val="24"/>
        </w:rPr>
      </w:pPr>
      <w:r w:rsidRPr="0053170F">
        <w:rPr>
          <w:rFonts w:ascii="Arial" w:hAnsi="Arial" w:cs="Arial"/>
          <w:sz w:val="24"/>
          <w:szCs w:val="24"/>
        </w:rPr>
        <w:t xml:space="preserve">Author's calculations based on IHG Group statements of financial position. Current assets in 2025 are valued at $2.049bn, while the current liabilities are valued at $2.100bn, in 2024, current assets are valued at $1.869bn, and current liabilities are valued at $1.928bn. </w:t>
      </w:r>
    </w:p>
    <w:p w14:paraId="1D77E161" w14:textId="77777777" w:rsidR="000D4834" w:rsidRPr="0053170F" w:rsidRDefault="000D4834" w:rsidP="000D4834">
      <w:pPr>
        <w:jc w:val="both"/>
        <w:rPr>
          <w:rFonts w:ascii="Arial" w:hAnsi="Arial" w:cs="Arial"/>
          <w:sz w:val="24"/>
          <w:szCs w:val="24"/>
        </w:rPr>
      </w:pPr>
      <w:r w:rsidRPr="0053170F">
        <w:rPr>
          <w:rFonts w:ascii="Arial" w:hAnsi="Arial" w:cs="Arial"/>
          <w:sz w:val="24"/>
          <w:szCs w:val="24"/>
        </w:rPr>
        <w:t>Quick ratio is nearly the same as current ratio since inventory is very small, being $4 – $5 million per year. This implies that IHG's short-term liquidity is not significantly reliant on the inventory conversion. On the other hand, cash, trade receivables and contract related assets are the major sources of liquidity.</w:t>
      </w:r>
    </w:p>
    <w:p w14:paraId="79652283" w14:textId="77777777" w:rsidR="00B74D11" w:rsidRPr="0053170F" w:rsidRDefault="00B74D11" w:rsidP="000D4834">
      <w:pPr>
        <w:jc w:val="both"/>
        <w:rPr>
          <w:rFonts w:ascii="Arial" w:hAnsi="Arial" w:cs="Arial"/>
          <w:sz w:val="24"/>
          <w:szCs w:val="24"/>
        </w:rPr>
      </w:pPr>
    </w:p>
    <w:p w14:paraId="0D1D6F84" w14:textId="77777777" w:rsidR="002A778A" w:rsidRPr="0053170F" w:rsidRDefault="002A778A" w:rsidP="0055511C">
      <w:pPr>
        <w:pStyle w:val="Heading2"/>
        <w:rPr>
          <w:rFonts w:ascii="Arial" w:hAnsi="Arial" w:cs="Arial"/>
          <w:b/>
          <w:bCs/>
          <w:sz w:val="28"/>
          <w:szCs w:val="28"/>
        </w:rPr>
      </w:pPr>
      <w:bookmarkStart w:id="5" w:name="_Toc237461168"/>
      <w:r w:rsidRPr="0053170F">
        <w:rPr>
          <w:rFonts w:ascii="Arial" w:hAnsi="Arial" w:cs="Arial"/>
          <w:b/>
          <w:bCs/>
          <w:sz w:val="28"/>
          <w:szCs w:val="28"/>
        </w:rPr>
        <w:t>1.6 Efficiency ratios</w:t>
      </w:r>
      <w:bookmarkEnd w:id="5"/>
    </w:p>
    <w:p w14:paraId="3D4BCFC7" w14:textId="77777777" w:rsidR="002A778A" w:rsidRPr="0053170F" w:rsidRDefault="002A778A" w:rsidP="002A778A">
      <w:pPr>
        <w:jc w:val="both"/>
        <w:rPr>
          <w:rFonts w:ascii="Arial" w:hAnsi="Arial" w:cs="Arial"/>
          <w:b/>
          <w:bCs/>
          <w:sz w:val="28"/>
          <w:szCs w:val="28"/>
        </w:rPr>
      </w:pPr>
      <w:r w:rsidRPr="0053170F">
        <w:rPr>
          <w:rFonts w:ascii="Arial" w:hAnsi="Arial" w:cs="Arial"/>
          <w:b/>
          <w:bCs/>
          <w:sz w:val="28"/>
          <w:szCs w:val="28"/>
        </w:rPr>
        <w:t>Table 5: Efficiency ratios</w:t>
      </w:r>
    </w:p>
    <w:tbl>
      <w:tblPr>
        <w:tblStyle w:val="GridTable4-Accent3"/>
        <w:tblW w:w="5000" w:type="pct"/>
        <w:tblLook w:val="04A0" w:firstRow="1" w:lastRow="0" w:firstColumn="1" w:lastColumn="0" w:noHBand="0" w:noVBand="1"/>
      </w:tblPr>
      <w:tblGrid>
        <w:gridCol w:w="1606"/>
        <w:gridCol w:w="1481"/>
        <w:gridCol w:w="1483"/>
        <w:gridCol w:w="1482"/>
        <w:gridCol w:w="1482"/>
        <w:gridCol w:w="1482"/>
      </w:tblGrid>
      <w:tr w:rsidR="008806CF" w:rsidRPr="0053170F" w14:paraId="0DD7FEAF" w14:textId="77777777" w:rsidTr="008806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0" w:type="pct"/>
          </w:tcPr>
          <w:p w14:paraId="5695CB86" w14:textId="77777777" w:rsidR="008806CF" w:rsidRPr="0053170F" w:rsidRDefault="008806CF" w:rsidP="002C78C1">
            <w:pPr>
              <w:jc w:val="both"/>
              <w:rPr>
                <w:rFonts w:ascii="Arial" w:hAnsi="Arial" w:cs="Arial"/>
                <w:b w:val="0"/>
                <w:bCs w:val="0"/>
                <w:sz w:val="24"/>
                <w:szCs w:val="24"/>
              </w:rPr>
            </w:pPr>
            <w:r w:rsidRPr="0053170F">
              <w:rPr>
                <w:rFonts w:ascii="Arial" w:hAnsi="Arial" w:cs="Arial"/>
                <w:b w:val="0"/>
                <w:bCs w:val="0"/>
                <w:sz w:val="24"/>
                <w:szCs w:val="24"/>
              </w:rPr>
              <w:t>Ratio</w:t>
            </w:r>
          </w:p>
        </w:tc>
        <w:tc>
          <w:tcPr>
            <w:tcW w:w="821" w:type="pct"/>
          </w:tcPr>
          <w:p w14:paraId="4BADBF80" w14:textId="77777777" w:rsidR="008806CF" w:rsidRPr="0053170F" w:rsidRDefault="008806CF" w:rsidP="002C78C1">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2021</w:t>
            </w:r>
          </w:p>
        </w:tc>
        <w:tc>
          <w:tcPr>
            <w:tcW w:w="822" w:type="pct"/>
          </w:tcPr>
          <w:p w14:paraId="639879F3" w14:textId="77777777" w:rsidR="008806CF" w:rsidRPr="0053170F" w:rsidRDefault="008806CF" w:rsidP="002C78C1">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2022</w:t>
            </w:r>
          </w:p>
        </w:tc>
        <w:tc>
          <w:tcPr>
            <w:tcW w:w="822" w:type="pct"/>
          </w:tcPr>
          <w:p w14:paraId="6B8B410E" w14:textId="77777777" w:rsidR="008806CF" w:rsidRPr="0053170F" w:rsidRDefault="008806CF" w:rsidP="002C78C1">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2023</w:t>
            </w:r>
          </w:p>
        </w:tc>
        <w:tc>
          <w:tcPr>
            <w:tcW w:w="822" w:type="pct"/>
          </w:tcPr>
          <w:p w14:paraId="584BB7DC" w14:textId="77777777" w:rsidR="008806CF" w:rsidRPr="0053170F" w:rsidRDefault="008806CF" w:rsidP="002C78C1">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2024</w:t>
            </w:r>
          </w:p>
        </w:tc>
        <w:tc>
          <w:tcPr>
            <w:tcW w:w="822" w:type="pct"/>
          </w:tcPr>
          <w:p w14:paraId="6BD963D6" w14:textId="77777777" w:rsidR="008806CF" w:rsidRPr="0053170F" w:rsidRDefault="008806CF" w:rsidP="002C78C1">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2025</w:t>
            </w:r>
          </w:p>
        </w:tc>
      </w:tr>
      <w:tr w:rsidR="008806CF" w:rsidRPr="0053170F" w14:paraId="2D318D1A" w14:textId="77777777" w:rsidTr="00880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0" w:type="pct"/>
          </w:tcPr>
          <w:p w14:paraId="32522F74" w14:textId="77777777" w:rsidR="008806CF" w:rsidRPr="0053170F" w:rsidRDefault="008806CF" w:rsidP="002C78C1">
            <w:pPr>
              <w:jc w:val="both"/>
              <w:rPr>
                <w:rFonts w:ascii="Arial" w:hAnsi="Arial" w:cs="Arial"/>
                <w:b w:val="0"/>
                <w:bCs w:val="0"/>
                <w:sz w:val="24"/>
                <w:szCs w:val="24"/>
              </w:rPr>
            </w:pPr>
            <w:r w:rsidRPr="0053170F">
              <w:rPr>
                <w:rFonts w:ascii="Arial" w:hAnsi="Arial" w:cs="Arial"/>
                <w:b w:val="0"/>
                <w:bCs w:val="0"/>
                <w:sz w:val="24"/>
                <w:szCs w:val="24"/>
              </w:rPr>
              <w:t>Asset turnover (times)*</w:t>
            </w:r>
          </w:p>
        </w:tc>
        <w:tc>
          <w:tcPr>
            <w:tcW w:w="821" w:type="pct"/>
          </w:tcPr>
          <w:p w14:paraId="15F3519B" w14:textId="77777777" w:rsidR="008806CF" w:rsidRPr="0053170F" w:rsidRDefault="008806CF" w:rsidP="002C78C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0.62</w:t>
            </w:r>
          </w:p>
        </w:tc>
        <w:tc>
          <w:tcPr>
            <w:tcW w:w="822" w:type="pct"/>
          </w:tcPr>
          <w:p w14:paraId="328E6055" w14:textId="77777777" w:rsidR="008806CF" w:rsidRPr="0053170F" w:rsidRDefault="008806CF" w:rsidP="002C78C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0.87</w:t>
            </w:r>
          </w:p>
        </w:tc>
        <w:tc>
          <w:tcPr>
            <w:tcW w:w="822" w:type="pct"/>
          </w:tcPr>
          <w:p w14:paraId="1B125920" w14:textId="77777777" w:rsidR="008806CF" w:rsidRPr="0053170F" w:rsidRDefault="008806CF" w:rsidP="002C78C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1.02</w:t>
            </w:r>
          </w:p>
        </w:tc>
        <w:tc>
          <w:tcPr>
            <w:tcW w:w="822" w:type="pct"/>
          </w:tcPr>
          <w:p w14:paraId="29F1D59A" w14:textId="77777777" w:rsidR="008806CF" w:rsidRPr="0053170F" w:rsidRDefault="008806CF" w:rsidP="002C78C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1.03</w:t>
            </w:r>
          </w:p>
        </w:tc>
        <w:tc>
          <w:tcPr>
            <w:tcW w:w="822" w:type="pct"/>
          </w:tcPr>
          <w:p w14:paraId="3D9C3888" w14:textId="77777777" w:rsidR="008806CF" w:rsidRPr="0053170F" w:rsidRDefault="008806CF" w:rsidP="002C78C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1.03</w:t>
            </w:r>
          </w:p>
        </w:tc>
      </w:tr>
      <w:tr w:rsidR="008806CF" w:rsidRPr="0053170F" w14:paraId="06EC4EF5" w14:textId="77777777" w:rsidTr="008806CF">
        <w:tc>
          <w:tcPr>
            <w:cnfStyle w:val="001000000000" w:firstRow="0" w:lastRow="0" w:firstColumn="1" w:lastColumn="0" w:oddVBand="0" w:evenVBand="0" w:oddHBand="0" w:evenHBand="0" w:firstRowFirstColumn="0" w:firstRowLastColumn="0" w:lastRowFirstColumn="0" w:lastRowLastColumn="0"/>
            <w:tcW w:w="890" w:type="pct"/>
          </w:tcPr>
          <w:p w14:paraId="60FEF429" w14:textId="77777777" w:rsidR="008806CF" w:rsidRPr="0053170F" w:rsidRDefault="008806CF" w:rsidP="002C78C1">
            <w:pPr>
              <w:jc w:val="both"/>
              <w:rPr>
                <w:rFonts w:ascii="Arial" w:hAnsi="Arial" w:cs="Arial"/>
                <w:b w:val="0"/>
                <w:bCs w:val="0"/>
                <w:sz w:val="24"/>
                <w:szCs w:val="24"/>
              </w:rPr>
            </w:pPr>
            <w:r w:rsidRPr="0053170F">
              <w:rPr>
                <w:rFonts w:ascii="Arial" w:hAnsi="Arial" w:cs="Arial"/>
                <w:b w:val="0"/>
                <w:bCs w:val="0"/>
                <w:sz w:val="24"/>
                <w:szCs w:val="24"/>
              </w:rPr>
              <w:t>Receivables turnover (times)*</w:t>
            </w:r>
          </w:p>
        </w:tc>
        <w:tc>
          <w:tcPr>
            <w:tcW w:w="821" w:type="pct"/>
          </w:tcPr>
          <w:p w14:paraId="2FE9C14E" w14:textId="77777777" w:rsidR="008806CF" w:rsidRPr="0053170F" w:rsidRDefault="008806CF" w:rsidP="002C78C1">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5.06</w:t>
            </w:r>
          </w:p>
        </w:tc>
        <w:tc>
          <w:tcPr>
            <w:tcW w:w="822" w:type="pct"/>
          </w:tcPr>
          <w:p w14:paraId="35A9A334" w14:textId="77777777" w:rsidR="008806CF" w:rsidRPr="0053170F" w:rsidRDefault="008806CF" w:rsidP="002C78C1">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6.38</w:t>
            </w:r>
          </w:p>
        </w:tc>
        <w:tc>
          <w:tcPr>
            <w:tcW w:w="822" w:type="pct"/>
          </w:tcPr>
          <w:p w14:paraId="47E6E1E0" w14:textId="77777777" w:rsidR="008806CF" w:rsidRPr="0053170F" w:rsidRDefault="008806CF" w:rsidP="002C78C1">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6.67</w:t>
            </w:r>
          </w:p>
        </w:tc>
        <w:tc>
          <w:tcPr>
            <w:tcW w:w="822" w:type="pct"/>
          </w:tcPr>
          <w:p w14:paraId="7F741BFF" w14:textId="77777777" w:rsidR="008806CF" w:rsidRPr="0053170F" w:rsidRDefault="008806CF" w:rsidP="002C78C1">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6.46</w:t>
            </w:r>
          </w:p>
        </w:tc>
        <w:tc>
          <w:tcPr>
            <w:tcW w:w="822" w:type="pct"/>
          </w:tcPr>
          <w:p w14:paraId="24630CBC" w14:textId="77777777" w:rsidR="008806CF" w:rsidRPr="0053170F" w:rsidRDefault="008806CF" w:rsidP="002C78C1">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6.41</w:t>
            </w:r>
          </w:p>
        </w:tc>
      </w:tr>
      <w:tr w:rsidR="008806CF" w:rsidRPr="0053170F" w14:paraId="7A701AF6" w14:textId="77777777" w:rsidTr="00880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0" w:type="pct"/>
          </w:tcPr>
          <w:p w14:paraId="329DCB7F" w14:textId="77777777" w:rsidR="008806CF" w:rsidRPr="0053170F" w:rsidRDefault="008806CF" w:rsidP="002C78C1">
            <w:pPr>
              <w:jc w:val="both"/>
              <w:rPr>
                <w:rFonts w:ascii="Arial" w:hAnsi="Arial" w:cs="Arial"/>
                <w:b w:val="0"/>
                <w:bCs w:val="0"/>
                <w:sz w:val="24"/>
                <w:szCs w:val="24"/>
              </w:rPr>
            </w:pPr>
            <w:r w:rsidRPr="0053170F">
              <w:rPr>
                <w:rFonts w:ascii="Arial" w:hAnsi="Arial" w:cs="Arial"/>
                <w:b w:val="0"/>
                <w:bCs w:val="0"/>
                <w:sz w:val="24"/>
                <w:szCs w:val="24"/>
              </w:rPr>
              <w:t>Approx. receivable days</w:t>
            </w:r>
          </w:p>
        </w:tc>
        <w:tc>
          <w:tcPr>
            <w:tcW w:w="821" w:type="pct"/>
          </w:tcPr>
          <w:p w14:paraId="6A948D58" w14:textId="77777777" w:rsidR="008806CF" w:rsidRPr="0053170F" w:rsidRDefault="008806CF" w:rsidP="002C78C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72.1</w:t>
            </w:r>
          </w:p>
        </w:tc>
        <w:tc>
          <w:tcPr>
            <w:tcW w:w="822" w:type="pct"/>
          </w:tcPr>
          <w:p w14:paraId="5FFF4A60" w14:textId="77777777" w:rsidR="008806CF" w:rsidRPr="0053170F" w:rsidRDefault="008806CF" w:rsidP="002C78C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57.2</w:t>
            </w:r>
          </w:p>
        </w:tc>
        <w:tc>
          <w:tcPr>
            <w:tcW w:w="822" w:type="pct"/>
          </w:tcPr>
          <w:p w14:paraId="5FD523CF" w14:textId="77777777" w:rsidR="008806CF" w:rsidRPr="0053170F" w:rsidRDefault="008806CF" w:rsidP="002C78C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54.7</w:t>
            </w:r>
          </w:p>
        </w:tc>
        <w:tc>
          <w:tcPr>
            <w:tcW w:w="822" w:type="pct"/>
          </w:tcPr>
          <w:p w14:paraId="0ECB9B5D" w14:textId="77777777" w:rsidR="008806CF" w:rsidRPr="0053170F" w:rsidRDefault="008806CF" w:rsidP="002C78C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56.5</w:t>
            </w:r>
          </w:p>
        </w:tc>
        <w:tc>
          <w:tcPr>
            <w:tcW w:w="822" w:type="pct"/>
          </w:tcPr>
          <w:p w14:paraId="3413E620" w14:textId="77777777" w:rsidR="008806CF" w:rsidRPr="0053170F" w:rsidRDefault="008806CF" w:rsidP="002C78C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56.9</w:t>
            </w:r>
          </w:p>
        </w:tc>
      </w:tr>
    </w:tbl>
    <w:p w14:paraId="1C178D29" w14:textId="77777777" w:rsidR="002A778A" w:rsidRPr="0053170F" w:rsidRDefault="002A778A" w:rsidP="002A778A">
      <w:pPr>
        <w:jc w:val="both"/>
        <w:rPr>
          <w:rFonts w:ascii="Arial" w:hAnsi="Arial" w:cs="Arial"/>
          <w:sz w:val="24"/>
          <w:szCs w:val="24"/>
        </w:rPr>
      </w:pPr>
      <w:r w:rsidRPr="0053170F">
        <w:rPr>
          <w:rFonts w:ascii="Arial" w:hAnsi="Arial" w:cs="Arial"/>
          <w:sz w:val="24"/>
          <w:szCs w:val="24"/>
        </w:rPr>
        <w:t>Average assets/receivables if applicable; otherwise calculated as average/dollar.</w:t>
      </w:r>
    </w:p>
    <w:p w14:paraId="4E8F13C4" w14:textId="77777777" w:rsidR="002A778A" w:rsidRPr="0053170F" w:rsidRDefault="002A778A" w:rsidP="002A778A">
      <w:pPr>
        <w:jc w:val="both"/>
        <w:rPr>
          <w:rFonts w:ascii="Arial" w:hAnsi="Arial" w:cs="Arial"/>
          <w:sz w:val="24"/>
          <w:szCs w:val="24"/>
        </w:rPr>
      </w:pPr>
      <w:r w:rsidRPr="0053170F">
        <w:rPr>
          <w:rFonts w:ascii="Arial" w:hAnsi="Arial" w:cs="Arial"/>
          <w:sz w:val="24"/>
          <w:szCs w:val="24"/>
        </w:rPr>
        <w:t>IHG's asset turnover has also seen a significant improvement, from 0.62 times in 2021 to around 1.03 times in 2025. That's in line with the rise in hotel demand and also shows that IHG is running the business very much on a much higher return from its comparatively small asset base.</w:t>
      </w:r>
    </w:p>
    <w:p w14:paraId="3DAA8FF7" w14:textId="4E01AA84" w:rsidR="002A778A" w:rsidRPr="0053170F" w:rsidRDefault="002A778A" w:rsidP="002A778A">
      <w:pPr>
        <w:jc w:val="both"/>
        <w:rPr>
          <w:rFonts w:ascii="Arial" w:hAnsi="Arial" w:cs="Arial"/>
          <w:sz w:val="24"/>
          <w:szCs w:val="24"/>
        </w:rPr>
      </w:pPr>
      <w:r w:rsidRPr="0053170F">
        <w:rPr>
          <w:rFonts w:ascii="Arial" w:hAnsi="Arial" w:cs="Arial"/>
          <w:sz w:val="24"/>
          <w:szCs w:val="24"/>
        </w:rPr>
        <w:t>The management of receiving payments also significantly improved. The estimated receivable days decreased from approximately 72 days in 2021 to 57 days in 2025. This implies that there has been an improvement in collection since the disruption caused by the pandemic. The small rise from 54.7 days in 2023 to 56.9 days in 2025, however, needs to be watched, especially given the ongoing international business expansion.</w:t>
      </w:r>
    </w:p>
    <w:p w14:paraId="5361D0F1" w14:textId="77777777" w:rsidR="002A778A" w:rsidRPr="0053170F" w:rsidRDefault="002A778A" w:rsidP="002A778A">
      <w:pPr>
        <w:jc w:val="both"/>
        <w:rPr>
          <w:rFonts w:ascii="Arial" w:hAnsi="Arial" w:cs="Arial"/>
          <w:sz w:val="24"/>
          <w:szCs w:val="24"/>
        </w:rPr>
      </w:pPr>
    </w:p>
    <w:p w14:paraId="1EED8CFB" w14:textId="77777777" w:rsidR="0055511C" w:rsidRDefault="0055511C" w:rsidP="0055511C">
      <w:pPr>
        <w:pStyle w:val="Heading2"/>
        <w:rPr>
          <w:rFonts w:ascii="Arial" w:hAnsi="Arial" w:cs="Arial"/>
          <w:b/>
          <w:bCs/>
          <w:sz w:val="28"/>
          <w:szCs w:val="28"/>
        </w:rPr>
      </w:pPr>
    </w:p>
    <w:p w14:paraId="129C1084" w14:textId="77777777" w:rsidR="0055511C" w:rsidRDefault="0055511C" w:rsidP="0055511C">
      <w:pPr>
        <w:pStyle w:val="Heading2"/>
        <w:rPr>
          <w:rFonts w:ascii="Arial" w:hAnsi="Arial" w:cs="Arial"/>
          <w:b/>
          <w:bCs/>
          <w:sz w:val="28"/>
          <w:szCs w:val="28"/>
        </w:rPr>
      </w:pPr>
    </w:p>
    <w:p w14:paraId="6A99A210" w14:textId="1A463641" w:rsidR="002A778A" w:rsidRPr="0053170F" w:rsidRDefault="002A778A" w:rsidP="0055511C">
      <w:pPr>
        <w:pStyle w:val="Heading2"/>
        <w:rPr>
          <w:rFonts w:ascii="Arial" w:hAnsi="Arial" w:cs="Arial"/>
          <w:b/>
          <w:bCs/>
          <w:sz w:val="28"/>
          <w:szCs w:val="28"/>
        </w:rPr>
      </w:pPr>
      <w:bookmarkStart w:id="6" w:name="_Toc237461169"/>
      <w:r w:rsidRPr="0053170F">
        <w:rPr>
          <w:rFonts w:ascii="Arial" w:hAnsi="Arial" w:cs="Arial"/>
          <w:b/>
          <w:bCs/>
          <w:sz w:val="28"/>
          <w:szCs w:val="28"/>
        </w:rPr>
        <w:t>1.7 about gearing and financial risk</w:t>
      </w:r>
      <w:bookmarkEnd w:id="6"/>
    </w:p>
    <w:p w14:paraId="22EB2AF6" w14:textId="77777777" w:rsidR="002A778A" w:rsidRPr="0053170F" w:rsidRDefault="002A778A" w:rsidP="002A778A">
      <w:pPr>
        <w:jc w:val="both"/>
        <w:rPr>
          <w:rFonts w:ascii="Arial" w:hAnsi="Arial" w:cs="Arial"/>
          <w:b/>
          <w:bCs/>
          <w:sz w:val="28"/>
          <w:szCs w:val="28"/>
        </w:rPr>
      </w:pPr>
      <w:r w:rsidRPr="0053170F">
        <w:rPr>
          <w:rFonts w:ascii="Arial" w:hAnsi="Arial" w:cs="Arial"/>
          <w:b/>
          <w:bCs/>
          <w:sz w:val="28"/>
          <w:szCs w:val="28"/>
        </w:rPr>
        <w:t>Table 6: Gearing indicators</w:t>
      </w:r>
    </w:p>
    <w:tbl>
      <w:tblPr>
        <w:tblStyle w:val="GridTable4-Accent3"/>
        <w:tblW w:w="5000" w:type="pct"/>
        <w:tblLook w:val="04A0" w:firstRow="1" w:lastRow="0" w:firstColumn="1" w:lastColumn="0" w:noHBand="0" w:noVBand="1"/>
      </w:tblPr>
      <w:tblGrid>
        <w:gridCol w:w="1737"/>
        <w:gridCol w:w="1456"/>
        <w:gridCol w:w="1456"/>
        <w:gridCol w:w="1456"/>
        <w:gridCol w:w="1456"/>
        <w:gridCol w:w="1455"/>
      </w:tblGrid>
      <w:tr w:rsidR="008806CF" w:rsidRPr="0053170F" w14:paraId="26B550E2" w14:textId="77777777" w:rsidTr="008806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3" w:type="pct"/>
          </w:tcPr>
          <w:p w14:paraId="0FEEC529" w14:textId="77777777" w:rsidR="008806CF" w:rsidRPr="0053170F" w:rsidRDefault="008806CF" w:rsidP="00E54AAB">
            <w:pPr>
              <w:jc w:val="both"/>
              <w:rPr>
                <w:rFonts w:ascii="Arial" w:hAnsi="Arial" w:cs="Arial"/>
                <w:b w:val="0"/>
                <w:bCs w:val="0"/>
                <w:sz w:val="24"/>
                <w:szCs w:val="24"/>
              </w:rPr>
            </w:pPr>
            <w:r w:rsidRPr="0053170F">
              <w:rPr>
                <w:rFonts w:ascii="Arial" w:hAnsi="Arial" w:cs="Arial"/>
                <w:b w:val="0"/>
                <w:bCs w:val="0"/>
                <w:sz w:val="24"/>
                <w:szCs w:val="24"/>
              </w:rPr>
              <w:t>Measure</w:t>
            </w:r>
          </w:p>
        </w:tc>
        <w:tc>
          <w:tcPr>
            <w:tcW w:w="807" w:type="pct"/>
          </w:tcPr>
          <w:p w14:paraId="560E7D73" w14:textId="77777777" w:rsidR="008806CF" w:rsidRPr="0053170F" w:rsidRDefault="008806CF" w:rsidP="00E54AAB">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2021</w:t>
            </w:r>
          </w:p>
        </w:tc>
        <w:tc>
          <w:tcPr>
            <w:tcW w:w="807" w:type="pct"/>
          </w:tcPr>
          <w:p w14:paraId="04EF9087" w14:textId="77777777" w:rsidR="008806CF" w:rsidRPr="0053170F" w:rsidRDefault="008806CF" w:rsidP="00E54AAB">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2022</w:t>
            </w:r>
          </w:p>
        </w:tc>
        <w:tc>
          <w:tcPr>
            <w:tcW w:w="807" w:type="pct"/>
          </w:tcPr>
          <w:p w14:paraId="75884629" w14:textId="77777777" w:rsidR="008806CF" w:rsidRPr="0053170F" w:rsidRDefault="008806CF" w:rsidP="00E54AAB">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2023</w:t>
            </w:r>
          </w:p>
        </w:tc>
        <w:tc>
          <w:tcPr>
            <w:tcW w:w="807" w:type="pct"/>
          </w:tcPr>
          <w:p w14:paraId="07F878CD" w14:textId="77777777" w:rsidR="008806CF" w:rsidRPr="0053170F" w:rsidRDefault="008806CF" w:rsidP="00E54AAB">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2024</w:t>
            </w:r>
          </w:p>
        </w:tc>
        <w:tc>
          <w:tcPr>
            <w:tcW w:w="807" w:type="pct"/>
          </w:tcPr>
          <w:p w14:paraId="623F0525" w14:textId="77777777" w:rsidR="008806CF" w:rsidRPr="0053170F" w:rsidRDefault="008806CF" w:rsidP="00E54AAB">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2025</w:t>
            </w:r>
          </w:p>
        </w:tc>
      </w:tr>
      <w:tr w:rsidR="008806CF" w:rsidRPr="0053170F" w14:paraId="354AB07B" w14:textId="77777777" w:rsidTr="00880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3" w:type="pct"/>
          </w:tcPr>
          <w:p w14:paraId="14ECABEC" w14:textId="77777777" w:rsidR="008806CF" w:rsidRPr="0053170F" w:rsidRDefault="008806CF" w:rsidP="00E54AAB">
            <w:pPr>
              <w:jc w:val="both"/>
              <w:rPr>
                <w:rFonts w:ascii="Arial" w:hAnsi="Arial" w:cs="Arial"/>
                <w:b w:val="0"/>
                <w:bCs w:val="0"/>
                <w:sz w:val="24"/>
                <w:szCs w:val="24"/>
              </w:rPr>
            </w:pPr>
            <w:r w:rsidRPr="0053170F">
              <w:rPr>
                <w:rFonts w:ascii="Arial" w:hAnsi="Arial" w:cs="Arial"/>
                <w:b w:val="0"/>
                <w:bCs w:val="0"/>
                <w:sz w:val="24"/>
                <w:szCs w:val="24"/>
              </w:rPr>
              <w:t>Total debt + lease liabilities ($m)</w:t>
            </w:r>
          </w:p>
        </w:tc>
        <w:tc>
          <w:tcPr>
            <w:tcW w:w="807" w:type="pct"/>
          </w:tcPr>
          <w:p w14:paraId="568C2A97" w14:textId="77777777" w:rsidR="008806CF" w:rsidRPr="0053170F" w:rsidRDefault="008806CF" w:rsidP="00E54AAB">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3,264</w:t>
            </w:r>
          </w:p>
        </w:tc>
        <w:tc>
          <w:tcPr>
            <w:tcW w:w="807" w:type="pct"/>
          </w:tcPr>
          <w:p w14:paraId="5A4AC2FD" w14:textId="77777777" w:rsidR="008806CF" w:rsidRPr="0053170F" w:rsidRDefault="008806CF" w:rsidP="00E54AAB">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2,823</w:t>
            </w:r>
          </w:p>
        </w:tc>
        <w:tc>
          <w:tcPr>
            <w:tcW w:w="807" w:type="pct"/>
          </w:tcPr>
          <w:p w14:paraId="01273F7A" w14:textId="77777777" w:rsidR="008806CF" w:rsidRPr="0053170F" w:rsidRDefault="008806CF" w:rsidP="00E54AAB">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3,592</w:t>
            </w:r>
          </w:p>
        </w:tc>
        <w:tc>
          <w:tcPr>
            <w:tcW w:w="807" w:type="pct"/>
          </w:tcPr>
          <w:p w14:paraId="59BADD72" w14:textId="77777777" w:rsidR="008806CF" w:rsidRPr="0053170F" w:rsidRDefault="008806CF" w:rsidP="00E54AAB">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3,688</w:t>
            </w:r>
          </w:p>
        </w:tc>
        <w:tc>
          <w:tcPr>
            <w:tcW w:w="807" w:type="pct"/>
          </w:tcPr>
          <w:p w14:paraId="70CE4C1C" w14:textId="77777777" w:rsidR="008806CF" w:rsidRPr="0053170F" w:rsidRDefault="008806CF" w:rsidP="00E54AAB">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4,607</w:t>
            </w:r>
          </w:p>
        </w:tc>
      </w:tr>
      <w:tr w:rsidR="008806CF" w:rsidRPr="0053170F" w14:paraId="6154371C" w14:textId="77777777" w:rsidTr="008806CF">
        <w:tc>
          <w:tcPr>
            <w:cnfStyle w:val="001000000000" w:firstRow="0" w:lastRow="0" w:firstColumn="1" w:lastColumn="0" w:oddVBand="0" w:evenVBand="0" w:oddHBand="0" w:evenHBand="0" w:firstRowFirstColumn="0" w:firstRowLastColumn="0" w:lastRowFirstColumn="0" w:lastRowLastColumn="0"/>
            <w:tcW w:w="963" w:type="pct"/>
          </w:tcPr>
          <w:p w14:paraId="0D611E27" w14:textId="77777777" w:rsidR="008806CF" w:rsidRPr="0053170F" w:rsidRDefault="008806CF" w:rsidP="00E54AAB">
            <w:pPr>
              <w:jc w:val="both"/>
              <w:rPr>
                <w:rFonts w:ascii="Arial" w:hAnsi="Arial" w:cs="Arial"/>
                <w:b w:val="0"/>
                <w:bCs w:val="0"/>
                <w:sz w:val="24"/>
                <w:szCs w:val="24"/>
              </w:rPr>
            </w:pPr>
            <w:r w:rsidRPr="0053170F">
              <w:rPr>
                <w:rFonts w:ascii="Arial" w:hAnsi="Arial" w:cs="Arial"/>
                <w:b w:val="0"/>
                <w:bCs w:val="0"/>
                <w:sz w:val="24"/>
                <w:szCs w:val="24"/>
              </w:rPr>
              <w:t>Debt/assets</w:t>
            </w:r>
          </w:p>
        </w:tc>
        <w:tc>
          <w:tcPr>
            <w:tcW w:w="807" w:type="pct"/>
          </w:tcPr>
          <w:p w14:paraId="61CE6BDF" w14:textId="77777777" w:rsidR="008806CF" w:rsidRPr="0053170F" w:rsidRDefault="008806CF" w:rsidP="00E54AAB">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69.2%</w:t>
            </w:r>
          </w:p>
        </w:tc>
        <w:tc>
          <w:tcPr>
            <w:tcW w:w="807" w:type="pct"/>
          </w:tcPr>
          <w:p w14:paraId="470D4292" w14:textId="77777777" w:rsidR="008806CF" w:rsidRPr="0053170F" w:rsidRDefault="008806CF" w:rsidP="00E54AAB">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67.0%</w:t>
            </w:r>
          </w:p>
        </w:tc>
        <w:tc>
          <w:tcPr>
            <w:tcW w:w="807" w:type="pct"/>
          </w:tcPr>
          <w:p w14:paraId="62BFBED7" w14:textId="77777777" w:rsidR="008806CF" w:rsidRPr="0053170F" w:rsidRDefault="008806CF" w:rsidP="00E54AAB">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74.6%</w:t>
            </w:r>
          </w:p>
        </w:tc>
        <w:tc>
          <w:tcPr>
            <w:tcW w:w="807" w:type="pct"/>
          </w:tcPr>
          <w:p w14:paraId="71093C35" w14:textId="77777777" w:rsidR="008806CF" w:rsidRPr="0053170F" w:rsidRDefault="008806CF" w:rsidP="00E54AAB">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77.7%</w:t>
            </w:r>
          </w:p>
        </w:tc>
        <w:tc>
          <w:tcPr>
            <w:tcW w:w="807" w:type="pct"/>
          </w:tcPr>
          <w:p w14:paraId="0A57B1FF" w14:textId="77777777" w:rsidR="008806CF" w:rsidRPr="0053170F" w:rsidRDefault="008806CF" w:rsidP="00E54AAB">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86.2%</w:t>
            </w:r>
          </w:p>
        </w:tc>
      </w:tr>
      <w:tr w:rsidR="008806CF" w:rsidRPr="0053170F" w14:paraId="0CFB7D28" w14:textId="77777777" w:rsidTr="00880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3" w:type="pct"/>
          </w:tcPr>
          <w:p w14:paraId="76D32534" w14:textId="77777777" w:rsidR="008806CF" w:rsidRPr="0053170F" w:rsidRDefault="008806CF" w:rsidP="00E54AAB">
            <w:pPr>
              <w:jc w:val="both"/>
              <w:rPr>
                <w:rFonts w:ascii="Arial" w:hAnsi="Arial" w:cs="Arial"/>
                <w:b w:val="0"/>
                <w:bCs w:val="0"/>
                <w:sz w:val="24"/>
                <w:szCs w:val="24"/>
              </w:rPr>
            </w:pPr>
            <w:r w:rsidRPr="0053170F">
              <w:rPr>
                <w:rFonts w:ascii="Arial" w:hAnsi="Arial" w:cs="Arial"/>
                <w:b w:val="0"/>
                <w:bCs w:val="0"/>
                <w:sz w:val="24"/>
                <w:szCs w:val="24"/>
              </w:rPr>
              <w:t>Debt/revenue</w:t>
            </w:r>
          </w:p>
        </w:tc>
        <w:tc>
          <w:tcPr>
            <w:tcW w:w="807" w:type="pct"/>
          </w:tcPr>
          <w:p w14:paraId="1D473BA5" w14:textId="77777777" w:rsidR="008806CF" w:rsidRPr="0053170F" w:rsidRDefault="008806CF" w:rsidP="00E54AAB">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1.12x</w:t>
            </w:r>
          </w:p>
        </w:tc>
        <w:tc>
          <w:tcPr>
            <w:tcW w:w="807" w:type="pct"/>
          </w:tcPr>
          <w:p w14:paraId="50C7F73E" w14:textId="77777777" w:rsidR="008806CF" w:rsidRPr="0053170F" w:rsidRDefault="008806CF" w:rsidP="00E54AAB">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0.73x</w:t>
            </w:r>
          </w:p>
        </w:tc>
        <w:tc>
          <w:tcPr>
            <w:tcW w:w="807" w:type="pct"/>
          </w:tcPr>
          <w:p w14:paraId="2264D83F" w14:textId="77777777" w:rsidR="008806CF" w:rsidRPr="0053170F" w:rsidRDefault="008806CF" w:rsidP="00E54AAB">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0.78x</w:t>
            </w:r>
          </w:p>
        </w:tc>
        <w:tc>
          <w:tcPr>
            <w:tcW w:w="807" w:type="pct"/>
          </w:tcPr>
          <w:p w14:paraId="11C8B0BF" w14:textId="77777777" w:rsidR="008806CF" w:rsidRPr="0053170F" w:rsidRDefault="008806CF" w:rsidP="00E54AAB">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0.75x</w:t>
            </w:r>
          </w:p>
        </w:tc>
        <w:tc>
          <w:tcPr>
            <w:tcW w:w="807" w:type="pct"/>
          </w:tcPr>
          <w:p w14:paraId="5B314A47" w14:textId="77777777" w:rsidR="008806CF" w:rsidRPr="0053170F" w:rsidRDefault="008806CF" w:rsidP="00E54AAB">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0.89x</w:t>
            </w:r>
          </w:p>
        </w:tc>
      </w:tr>
      <w:tr w:rsidR="008806CF" w:rsidRPr="0053170F" w14:paraId="3478914A" w14:textId="77777777" w:rsidTr="008806CF">
        <w:tc>
          <w:tcPr>
            <w:cnfStyle w:val="001000000000" w:firstRow="0" w:lastRow="0" w:firstColumn="1" w:lastColumn="0" w:oddVBand="0" w:evenVBand="0" w:oddHBand="0" w:evenHBand="0" w:firstRowFirstColumn="0" w:firstRowLastColumn="0" w:lastRowFirstColumn="0" w:lastRowLastColumn="0"/>
            <w:tcW w:w="963" w:type="pct"/>
          </w:tcPr>
          <w:p w14:paraId="26FD2892" w14:textId="77777777" w:rsidR="008806CF" w:rsidRPr="0053170F" w:rsidRDefault="008806CF" w:rsidP="00E54AAB">
            <w:pPr>
              <w:jc w:val="both"/>
              <w:rPr>
                <w:rFonts w:ascii="Arial" w:hAnsi="Arial" w:cs="Arial"/>
                <w:b w:val="0"/>
                <w:bCs w:val="0"/>
                <w:sz w:val="24"/>
                <w:szCs w:val="24"/>
              </w:rPr>
            </w:pPr>
            <w:r w:rsidRPr="0053170F">
              <w:rPr>
                <w:rFonts w:ascii="Arial" w:hAnsi="Arial" w:cs="Arial"/>
                <w:b w:val="0"/>
                <w:bCs w:val="0"/>
                <w:sz w:val="24"/>
                <w:szCs w:val="24"/>
              </w:rPr>
              <w:t>Reported equity ($m)</w:t>
            </w:r>
          </w:p>
        </w:tc>
        <w:tc>
          <w:tcPr>
            <w:tcW w:w="807" w:type="pct"/>
          </w:tcPr>
          <w:p w14:paraId="590A35FD" w14:textId="77777777" w:rsidR="008806CF" w:rsidRPr="0053170F" w:rsidRDefault="008806CF" w:rsidP="00E54AAB">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(1,474)</w:t>
            </w:r>
          </w:p>
        </w:tc>
        <w:tc>
          <w:tcPr>
            <w:tcW w:w="807" w:type="pct"/>
          </w:tcPr>
          <w:p w14:paraId="77C619A7" w14:textId="77777777" w:rsidR="008806CF" w:rsidRPr="0053170F" w:rsidRDefault="008806CF" w:rsidP="00E54AAB">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(1,608)</w:t>
            </w:r>
          </w:p>
        </w:tc>
        <w:tc>
          <w:tcPr>
            <w:tcW w:w="807" w:type="pct"/>
          </w:tcPr>
          <w:p w14:paraId="05D30758" w14:textId="77777777" w:rsidR="008806CF" w:rsidRPr="0053170F" w:rsidRDefault="008806CF" w:rsidP="00E54AAB">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(1,946)</w:t>
            </w:r>
          </w:p>
        </w:tc>
        <w:tc>
          <w:tcPr>
            <w:tcW w:w="807" w:type="pct"/>
          </w:tcPr>
          <w:p w14:paraId="0BCD6F33" w14:textId="77777777" w:rsidR="008806CF" w:rsidRPr="0053170F" w:rsidRDefault="008806CF" w:rsidP="00E54AAB">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(2,308)</w:t>
            </w:r>
          </w:p>
        </w:tc>
        <w:tc>
          <w:tcPr>
            <w:tcW w:w="807" w:type="pct"/>
          </w:tcPr>
          <w:p w14:paraId="632F9BCA" w14:textId="77777777" w:rsidR="008806CF" w:rsidRPr="0053170F" w:rsidRDefault="008806CF" w:rsidP="00E54AAB">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(2,736)</w:t>
            </w:r>
          </w:p>
        </w:tc>
      </w:tr>
    </w:tbl>
    <w:p w14:paraId="111C9D3D" w14:textId="77777777" w:rsidR="002A778A" w:rsidRPr="0053170F" w:rsidRDefault="002A778A" w:rsidP="002A778A">
      <w:pPr>
        <w:jc w:val="both"/>
        <w:rPr>
          <w:rFonts w:ascii="Arial" w:hAnsi="Arial" w:cs="Arial"/>
          <w:sz w:val="24"/>
          <w:szCs w:val="24"/>
        </w:rPr>
      </w:pPr>
      <w:r w:rsidRPr="0053170F">
        <w:rPr>
          <w:rFonts w:ascii="Arial" w:hAnsi="Arial" w:cs="Arial"/>
          <w:sz w:val="24"/>
          <w:szCs w:val="24"/>
        </w:rPr>
        <w:t>The major negative in the structure is IHG's shareholders' equity. The reported equity decreased from the negative $1.474 billion in 2021 to the negative $2.736 billion in 2025. As a result, the traditional debt to equity ratio or ROE is not a meaningful measure in this case, because the denominator is minus.</w:t>
      </w:r>
    </w:p>
    <w:p w14:paraId="11C8DA59" w14:textId="77777777" w:rsidR="002A778A" w:rsidRPr="0053170F" w:rsidRDefault="002A778A" w:rsidP="002A778A">
      <w:pPr>
        <w:jc w:val="both"/>
        <w:rPr>
          <w:rFonts w:ascii="Arial" w:hAnsi="Arial" w:cs="Arial"/>
          <w:sz w:val="24"/>
          <w:szCs w:val="24"/>
        </w:rPr>
      </w:pPr>
      <w:r w:rsidRPr="0053170F">
        <w:rPr>
          <w:rFonts w:ascii="Arial" w:hAnsi="Arial" w:cs="Arial"/>
          <w:sz w:val="24"/>
          <w:szCs w:val="24"/>
        </w:rPr>
        <w:t>Rather, debt to assets and net debt should be highlighted. Total debt and lease liabilities rose significantly to just over $4.607 billion in 2025, or about 86% of total reported assets. This means higher "financial leverage.</w:t>
      </w:r>
    </w:p>
    <w:p w14:paraId="6D52CC06" w14:textId="77777777" w:rsidR="002A778A" w:rsidRPr="0053170F" w:rsidRDefault="002A778A" w:rsidP="002A778A">
      <w:pPr>
        <w:jc w:val="both"/>
        <w:rPr>
          <w:rFonts w:ascii="Arial" w:hAnsi="Arial" w:cs="Arial"/>
          <w:sz w:val="24"/>
          <w:szCs w:val="24"/>
        </w:rPr>
      </w:pPr>
      <w:r w:rsidRPr="0053170F">
        <w:rPr>
          <w:rFonts w:ascii="Arial" w:hAnsi="Arial" w:cs="Arial"/>
          <w:sz w:val="24"/>
          <w:szCs w:val="24"/>
        </w:rPr>
        <w:t>The investment and shareholder ratios include the following information:</w:t>
      </w:r>
    </w:p>
    <w:p w14:paraId="1C69F20D" w14:textId="77777777" w:rsidR="002A778A" w:rsidRPr="0053170F" w:rsidRDefault="002A778A" w:rsidP="002A778A">
      <w:pPr>
        <w:jc w:val="both"/>
        <w:rPr>
          <w:rFonts w:ascii="Arial" w:hAnsi="Arial" w:cs="Arial"/>
          <w:b/>
          <w:bCs/>
          <w:sz w:val="28"/>
          <w:szCs w:val="28"/>
        </w:rPr>
      </w:pPr>
      <w:r w:rsidRPr="0053170F">
        <w:rPr>
          <w:rFonts w:ascii="Arial" w:hAnsi="Arial" w:cs="Arial"/>
          <w:b/>
          <w:bCs/>
          <w:sz w:val="28"/>
          <w:szCs w:val="28"/>
        </w:rPr>
        <w:t>Table 7: Investment performance</w:t>
      </w:r>
    </w:p>
    <w:tbl>
      <w:tblPr>
        <w:tblStyle w:val="GridTable4-Accent3"/>
        <w:tblW w:w="5000" w:type="pct"/>
        <w:tblLook w:val="04A0" w:firstRow="1" w:lastRow="0" w:firstColumn="1" w:lastColumn="0" w:noHBand="0" w:noVBand="1"/>
      </w:tblPr>
      <w:tblGrid>
        <w:gridCol w:w="1525"/>
        <w:gridCol w:w="1498"/>
        <w:gridCol w:w="1499"/>
        <w:gridCol w:w="1498"/>
        <w:gridCol w:w="1498"/>
        <w:gridCol w:w="1498"/>
      </w:tblGrid>
      <w:tr w:rsidR="000114FF" w:rsidRPr="0053170F" w14:paraId="5DA8F241" w14:textId="77777777" w:rsidTr="000114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5" w:type="pct"/>
          </w:tcPr>
          <w:p w14:paraId="76E23AEF" w14:textId="77777777" w:rsidR="000114FF" w:rsidRPr="0053170F" w:rsidRDefault="000114FF" w:rsidP="002416A7">
            <w:pPr>
              <w:jc w:val="both"/>
              <w:rPr>
                <w:rFonts w:ascii="Arial" w:hAnsi="Arial" w:cs="Arial"/>
                <w:b w:val="0"/>
                <w:bCs w:val="0"/>
                <w:sz w:val="24"/>
                <w:szCs w:val="24"/>
              </w:rPr>
            </w:pPr>
            <w:r w:rsidRPr="0053170F">
              <w:rPr>
                <w:rFonts w:ascii="Arial" w:hAnsi="Arial" w:cs="Arial"/>
                <w:b w:val="0"/>
                <w:bCs w:val="0"/>
                <w:sz w:val="24"/>
                <w:szCs w:val="24"/>
              </w:rPr>
              <w:t>Measure</w:t>
            </w:r>
          </w:p>
        </w:tc>
        <w:tc>
          <w:tcPr>
            <w:tcW w:w="830" w:type="pct"/>
          </w:tcPr>
          <w:p w14:paraId="5FFBDF34" w14:textId="77777777" w:rsidR="000114FF" w:rsidRPr="0053170F" w:rsidRDefault="000114FF" w:rsidP="002416A7">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2021</w:t>
            </w:r>
          </w:p>
        </w:tc>
        <w:tc>
          <w:tcPr>
            <w:tcW w:w="831" w:type="pct"/>
          </w:tcPr>
          <w:p w14:paraId="5CAEBBCF" w14:textId="77777777" w:rsidR="000114FF" w:rsidRPr="0053170F" w:rsidRDefault="000114FF" w:rsidP="002416A7">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2022</w:t>
            </w:r>
          </w:p>
        </w:tc>
        <w:tc>
          <w:tcPr>
            <w:tcW w:w="831" w:type="pct"/>
          </w:tcPr>
          <w:p w14:paraId="3667DFF2" w14:textId="77777777" w:rsidR="000114FF" w:rsidRPr="0053170F" w:rsidRDefault="000114FF" w:rsidP="002416A7">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2023</w:t>
            </w:r>
          </w:p>
        </w:tc>
        <w:tc>
          <w:tcPr>
            <w:tcW w:w="831" w:type="pct"/>
          </w:tcPr>
          <w:p w14:paraId="4A072865" w14:textId="77777777" w:rsidR="000114FF" w:rsidRPr="0053170F" w:rsidRDefault="000114FF" w:rsidP="002416A7">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2024</w:t>
            </w:r>
          </w:p>
        </w:tc>
        <w:tc>
          <w:tcPr>
            <w:tcW w:w="831" w:type="pct"/>
          </w:tcPr>
          <w:p w14:paraId="0FA59099" w14:textId="77777777" w:rsidR="000114FF" w:rsidRPr="0053170F" w:rsidRDefault="000114FF" w:rsidP="002416A7">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2025</w:t>
            </w:r>
          </w:p>
        </w:tc>
      </w:tr>
      <w:tr w:rsidR="000114FF" w:rsidRPr="0053170F" w14:paraId="4AAA6368" w14:textId="77777777" w:rsidTr="000114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5" w:type="pct"/>
          </w:tcPr>
          <w:p w14:paraId="35629C0E" w14:textId="77777777" w:rsidR="000114FF" w:rsidRPr="0053170F" w:rsidRDefault="000114FF" w:rsidP="002416A7">
            <w:pPr>
              <w:jc w:val="both"/>
              <w:rPr>
                <w:rFonts w:ascii="Arial" w:hAnsi="Arial" w:cs="Arial"/>
                <w:b w:val="0"/>
                <w:bCs w:val="0"/>
                <w:sz w:val="24"/>
                <w:szCs w:val="24"/>
              </w:rPr>
            </w:pPr>
            <w:r w:rsidRPr="0053170F">
              <w:rPr>
                <w:rFonts w:ascii="Arial" w:hAnsi="Arial" w:cs="Arial"/>
                <w:b w:val="0"/>
                <w:bCs w:val="0"/>
                <w:sz w:val="24"/>
                <w:szCs w:val="24"/>
              </w:rPr>
              <w:t>Basic EPS</w:t>
            </w:r>
          </w:p>
        </w:tc>
        <w:tc>
          <w:tcPr>
            <w:tcW w:w="830" w:type="pct"/>
          </w:tcPr>
          <w:p w14:paraId="230982E7" w14:textId="77777777" w:rsidR="000114FF" w:rsidRPr="0053170F" w:rsidRDefault="000114FF" w:rsidP="002416A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145.4¢</w:t>
            </w:r>
          </w:p>
        </w:tc>
        <w:tc>
          <w:tcPr>
            <w:tcW w:w="831" w:type="pct"/>
          </w:tcPr>
          <w:p w14:paraId="3EEFAC23" w14:textId="77777777" w:rsidR="000114FF" w:rsidRPr="0053170F" w:rsidRDefault="000114FF" w:rsidP="002416A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207.2¢</w:t>
            </w:r>
          </w:p>
        </w:tc>
        <w:tc>
          <w:tcPr>
            <w:tcW w:w="831" w:type="pct"/>
          </w:tcPr>
          <w:p w14:paraId="0BAB9ADA" w14:textId="77777777" w:rsidR="000114FF" w:rsidRPr="0053170F" w:rsidRDefault="000114FF" w:rsidP="002416A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443.8¢</w:t>
            </w:r>
          </w:p>
        </w:tc>
        <w:tc>
          <w:tcPr>
            <w:tcW w:w="831" w:type="pct"/>
          </w:tcPr>
          <w:p w14:paraId="51605265" w14:textId="77777777" w:rsidR="000114FF" w:rsidRPr="0053170F" w:rsidRDefault="000114FF" w:rsidP="002416A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389.6¢</w:t>
            </w:r>
          </w:p>
        </w:tc>
        <w:tc>
          <w:tcPr>
            <w:tcW w:w="831" w:type="pct"/>
          </w:tcPr>
          <w:p w14:paraId="7745C52E" w14:textId="77777777" w:rsidR="000114FF" w:rsidRPr="0053170F" w:rsidRDefault="000114FF" w:rsidP="002416A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490.9¢</w:t>
            </w:r>
          </w:p>
        </w:tc>
      </w:tr>
      <w:tr w:rsidR="000114FF" w:rsidRPr="0053170F" w14:paraId="08C1F1B1" w14:textId="77777777" w:rsidTr="000114FF">
        <w:tc>
          <w:tcPr>
            <w:cnfStyle w:val="001000000000" w:firstRow="0" w:lastRow="0" w:firstColumn="1" w:lastColumn="0" w:oddVBand="0" w:evenVBand="0" w:oddHBand="0" w:evenHBand="0" w:firstRowFirstColumn="0" w:firstRowLastColumn="0" w:lastRowFirstColumn="0" w:lastRowLastColumn="0"/>
            <w:tcW w:w="845" w:type="pct"/>
          </w:tcPr>
          <w:p w14:paraId="05B463A1" w14:textId="77777777" w:rsidR="000114FF" w:rsidRPr="0053170F" w:rsidRDefault="000114FF" w:rsidP="002416A7">
            <w:pPr>
              <w:jc w:val="both"/>
              <w:rPr>
                <w:rFonts w:ascii="Arial" w:hAnsi="Arial" w:cs="Arial"/>
                <w:b w:val="0"/>
                <w:bCs w:val="0"/>
                <w:sz w:val="24"/>
                <w:szCs w:val="24"/>
              </w:rPr>
            </w:pPr>
            <w:r w:rsidRPr="0053170F">
              <w:rPr>
                <w:rFonts w:ascii="Arial" w:hAnsi="Arial" w:cs="Arial"/>
                <w:b w:val="0"/>
                <w:bCs w:val="0"/>
                <w:sz w:val="24"/>
                <w:szCs w:val="24"/>
              </w:rPr>
              <w:t>Profit attributable to parent ($m)</w:t>
            </w:r>
          </w:p>
        </w:tc>
        <w:tc>
          <w:tcPr>
            <w:tcW w:w="830" w:type="pct"/>
          </w:tcPr>
          <w:p w14:paraId="745EB89B" w14:textId="77777777" w:rsidR="000114FF" w:rsidRPr="0053170F" w:rsidRDefault="000114FF" w:rsidP="002416A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266</w:t>
            </w:r>
          </w:p>
        </w:tc>
        <w:tc>
          <w:tcPr>
            <w:tcW w:w="831" w:type="pct"/>
          </w:tcPr>
          <w:p w14:paraId="70DCF716" w14:textId="77777777" w:rsidR="000114FF" w:rsidRPr="0053170F" w:rsidRDefault="000114FF" w:rsidP="002416A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375</w:t>
            </w:r>
          </w:p>
        </w:tc>
        <w:tc>
          <w:tcPr>
            <w:tcW w:w="831" w:type="pct"/>
          </w:tcPr>
          <w:p w14:paraId="67FFECAB" w14:textId="77777777" w:rsidR="000114FF" w:rsidRPr="0053170F" w:rsidRDefault="000114FF" w:rsidP="002416A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750</w:t>
            </w:r>
          </w:p>
        </w:tc>
        <w:tc>
          <w:tcPr>
            <w:tcW w:w="831" w:type="pct"/>
          </w:tcPr>
          <w:p w14:paraId="602748B1" w14:textId="77777777" w:rsidR="000114FF" w:rsidRPr="0053170F" w:rsidRDefault="000114FF" w:rsidP="002416A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628</w:t>
            </w:r>
          </w:p>
        </w:tc>
        <w:tc>
          <w:tcPr>
            <w:tcW w:w="831" w:type="pct"/>
          </w:tcPr>
          <w:p w14:paraId="5E1C8FB5" w14:textId="77777777" w:rsidR="000114FF" w:rsidRPr="0053170F" w:rsidRDefault="000114FF" w:rsidP="002416A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758</w:t>
            </w:r>
          </w:p>
        </w:tc>
      </w:tr>
      <w:tr w:rsidR="000114FF" w:rsidRPr="0053170F" w14:paraId="7E056CA4" w14:textId="77777777" w:rsidTr="000114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5" w:type="pct"/>
          </w:tcPr>
          <w:p w14:paraId="1361CC19" w14:textId="77777777" w:rsidR="000114FF" w:rsidRPr="0053170F" w:rsidRDefault="000114FF" w:rsidP="002416A7">
            <w:pPr>
              <w:jc w:val="both"/>
              <w:rPr>
                <w:rFonts w:ascii="Arial" w:hAnsi="Arial" w:cs="Arial"/>
                <w:b w:val="0"/>
                <w:bCs w:val="0"/>
                <w:sz w:val="24"/>
                <w:szCs w:val="24"/>
              </w:rPr>
            </w:pPr>
            <w:r w:rsidRPr="0053170F">
              <w:rPr>
                <w:rFonts w:ascii="Arial" w:hAnsi="Arial" w:cs="Arial"/>
                <w:b w:val="0"/>
                <w:bCs w:val="0"/>
                <w:sz w:val="24"/>
                <w:szCs w:val="24"/>
              </w:rPr>
              <w:t>Dividends paid ($m)</w:t>
            </w:r>
          </w:p>
        </w:tc>
        <w:tc>
          <w:tcPr>
            <w:tcW w:w="830" w:type="pct"/>
          </w:tcPr>
          <w:p w14:paraId="29DFA8C9" w14:textId="77777777" w:rsidR="000114FF" w:rsidRPr="0053170F" w:rsidRDefault="000114FF" w:rsidP="002416A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—/low</w:t>
            </w:r>
          </w:p>
        </w:tc>
        <w:tc>
          <w:tcPr>
            <w:tcW w:w="831" w:type="pct"/>
          </w:tcPr>
          <w:p w14:paraId="045AE85C" w14:textId="77777777" w:rsidR="000114FF" w:rsidRPr="0053170F" w:rsidRDefault="000114FF" w:rsidP="002416A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233</w:t>
            </w:r>
          </w:p>
        </w:tc>
        <w:tc>
          <w:tcPr>
            <w:tcW w:w="831" w:type="pct"/>
          </w:tcPr>
          <w:p w14:paraId="2E90D3E2" w14:textId="77777777" w:rsidR="000114FF" w:rsidRPr="0053170F" w:rsidRDefault="000114FF" w:rsidP="002416A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245</w:t>
            </w:r>
          </w:p>
        </w:tc>
        <w:tc>
          <w:tcPr>
            <w:tcW w:w="831" w:type="pct"/>
          </w:tcPr>
          <w:p w14:paraId="051D635E" w14:textId="77777777" w:rsidR="000114FF" w:rsidRPr="0053170F" w:rsidRDefault="000114FF" w:rsidP="002416A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259</w:t>
            </w:r>
          </w:p>
        </w:tc>
        <w:tc>
          <w:tcPr>
            <w:tcW w:w="831" w:type="pct"/>
          </w:tcPr>
          <w:p w14:paraId="5379AD97" w14:textId="77777777" w:rsidR="000114FF" w:rsidRPr="0053170F" w:rsidRDefault="000114FF" w:rsidP="002416A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270</w:t>
            </w:r>
          </w:p>
        </w:tc>
      </w:tr>
      <w:tr w:rsidR="000114FF" w:rsidRPr="0053170F" w14:paraId="1BFE2B4F" w14:textId="77777777" w:rsidTr="000114FF">
        <w:tc>
          <w:tcPr>
            <w:cnfStyle w:val="001000000000" w:firstRow="0" w:lastRow="0" w:firstColumn="1" w:lastColumn="0" w:oddVBand="0" w:evenVBand="0" w:oddHBand="0" w:evenHBand="0" w:firstRowFirstColumn="0" w:firstRowLastColumn="0" w:lastRowFirstColumn="0" w:lastRowLastColumn="0"/>
            <w:tcW w:w="845" w:type="pct"/>
          </w:tcPr>
          <w:p w14:paraId="3125DA46" w14:textId="77777777" w:rsidR="000114FF" w:rsidRPr="0053170F" w:rsidRDefault="000114FF" w:rsidP="002416A7">
            <w:pPr>
              <w:jc w:val="both"/>
              <w:rPr>
                <w:rFonts w:ascii="Arial" w:hAnsi="Arial" w:cs="Arial"/>
                <w:b w:val="0"/>
                <w:bCs w:val="0"/>
                <w:sz w:val="24"/>
                <w:szCs w:val="24"/>
              </w:rPr>
            </w:pPr>
            <w:r w:rsidRPr="0053170F">
              <w:rPr>
                <w:rFonts w:ascii="Arial" w:hAnsi="Arial" w:cs="Arial"/>
                <w:b w:val="0"/>
                <w:bCs w:val="0"/>
                <w:sz w:val="24"/>
                <w:szCs w:val="24"/>
              </w:rPr>
              <w:t>Share buybacks ($m)</w:t>
            </w:r>
          </w:p>
        </w:tc>
        <w:tc>
          <w:tcPr>
            <w:tcW w:w="830" w:type="pct"/>
          </w:tcPr>
          <w:p w14:paraId="14336B4D" w14:textId="77777777" w:rsidR="000114FF" w:rsidRPr="0053170F" w:rsidRDefault="000114FF" w:rsidP="002416A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w:t>
            </w:r>
          </w:p>
        </w:tc>
        <w:tc>
          <w:tcPr>
            <w:tcW w:w="831" w:type="pct"/>
          </w:tcPr>
          <w:p w14:paraId="13A82179" w14:textId="77777777" w:rsidR="000114FF" w:rsidRPr="0053170F" w:rsidRDefault="000114FF" w:rsidP="002416A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482</w:t>
            </w:r>
          </w:p>
        </w:tc>
        <w:tc>
          <w:tcPr>
            <w:tcW w:w="831" w:type="pct"/>
          </w:tcPr>
          <w:p w14:paraId="3418D0C9" w14:textId="77777777" w:rsidR="000114FF" w:rsidRPr="0053170F" w:rsidRDefault="000114FF" w:rsidP="002416A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790</w:t>
            </w:r>
          </w:p>
        </w:tc>
        <w:tc>
          <w:tcPr>
            <w:tcW w:w="831" w:type="pct"/>
          </w:tcPr>
          <w:p w14:paraId="370E80D8" w14:textId="77777777" w:rsidR="000114FF" w:rsidRPr="0053170F" w:rsidRDefault="000114FF" w:rsidP="002416A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804</w:t>
            </w:r>
          </w:p>
        </w:tc>
        <w:tc>
          <w:tcPr>
            <w:tcW w:w="831" w:type="pct"/>
          </w:tcPr>
          <w:p w14:paraId="42719F6F" w14:textId="77777777" w:rsidR="000114FF" w:rsidRPr="0053170F" w:rsidRDefault="000114FF" w:rsidP="002416A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897</w:t>
            </w:r>
          </w:p>
        </w:tc>
      </w:tr>
    </w:tbl>
    <w:p w14:paraId="61C1850D" w14:textId="77777777" w:rsidR="002A778A" w:rsidRPr="0053170F" w:rsidRDefault="002A778A" w:rsidP="002A778A">
      <w:pPr>
        <w:jc w:val="both"/>
        <w:rPr>
          <w:rFonts w:ascii="Arial" w:hAnsi="Arial" w:cs="Arial"/>
          <w:sz w:val="24"/>
          <w:szCs w:val="24"/>
        </w:rPr>
      </w:pPr>
      <w:r w:rsidRPr="0053170F">
        <w:rPr>
          <w:rFonts w:ascii="Arial" w:hAnsi="Arial" w:cs="Arial"/>
          <w:sz w:val="24"/>
          <w:szCs w:val="24"/>
        </w:rPr>
        <w:t>IHG's investment results have improved considerably. Basic EPS has risen 490.9 cents to 237% higher in 2025 from 145.4 cents in 2021. Shares issued and repurchased in the program also have reduced the number of shares outstanding, helping to drive EPS growth.</w:t>
      </w:r>
    </w:p>
    <w:p w14:paraId="581A1C5D" w14:textId="77777777" w:rsidR="002A778A" w:rsidRPr="0053170F" w:rsidRDefault="002A778A" w:rsidP="002A778A">
      <w:pPr>
        <w:jc w:val="both"/>
        <w:rPr>
          <w:rFonts w:ascii="Arial" w:hAnsi="Arial" w:cs="Arial"/>
          <w:sz w:val="24"/>
          <w:szCs w:val="24"/>
        </w:rPr>
      </w:pPr>
      <w:r w:rsidRPr="0053170F">
        <w:rPr>
          <w:rFonts w:ascii="Arial" w:hAnsi="Arial" w:cs="Arial"/>
          <w:sz w:val="24"/>
          <w:szCs w:val="24"/>
        </w:rPr>
        <w:t xml:space="preserve">But the Board should be mindful of how to architect a balance between shareholder returns and financial sustainability. In 2025, IHG purchased about $897 million in shares, and paid out $270 million in dividends. For the year, this amounted to over $1.1 billion that was returned to the shareholders. </w:t>
      </w:r>
    </w:p>
    <w:p w14:paraId="5576C88D" w14:textId="7CBEF10D" w:rsidR="00F838D0" w:rsidRPr="0053170F" w:rsidRDefault="002A778A" w:rsidP="002A778A">
      <w:pPr>
        <w:jc w:val="both"/>
        <w:rPr>
          <w:rFonts w:ascii="Arial" w:hAnsi="Arial" w:cs="Arial"/>
          <w:sz w:val="24"/>
          <w:szCs w:val="24"/>
        </w:rPr>
      </w:pPr>
      <w:r w:rsidRPr="000F1279">
        <w:rPr>
          <w:rFonts w:ascii="Arial" w:hAnsi="Arial" w:cs="Arial"/>
          <w:b/>
          <w:bCs/>
          <w:sz w:val="24"/>
          <w:szCs w:val="24"/>
        </w:rPr>
        <w:lastRenderedPageBreak/>
        <w:t>It is a strategic trade-off from the CFO's point of view</w:t>
      </w:r>
      <w:r w:rsidRPr="0053170F">
        <w:rPr>
          <w:rFonts w:ascii="Arial" w:hAnsi="Arial" w:cs="Arial"/>
          <w:sz w:val="24"/>
          <w:szCs w:val="24"/>
        </w:rPr>
        <w:t>: EPS is higher when distributions are paid to shareholders, and the investor's confidence in the company is also boosted, but the higher the capital returned, the more the company is reduced to only return on basic dividends and be less able to fund the acquisition of new businesses, new technologies, sustainability and strategic growth.</w:t>
      </w:r>
    </w:p>
    <w:p w14:paraId="293C57A8" w14:textId="77777777" w:rsidR="00E67E34" w:rsidRPr="00345A28" w:rsidRDefault="00E67E34" w:rsidP="0055511C">
      <w:pPr>
        <w:pStyle w:val="Heading2"/>
        <w:rPr>
          <w:rFonts w:ascii="Arial" w:hAnsi="Arial" w:cs="Arial"/>
          <w:b/>
          <w:bCs/>
          <w:sz w:val="28"/>
          <w:szCs w:val="28"/>
        </w:rPr>
      </w:pPr>
      <w:bookmarkStart w:id="7" w:name="_Toc237461170"/>
      <w:r w:rsidRPr="00345A28">
        <w:rPr>
          <w:rFonts w:ascii="Arial" w:hAnsi="Arial" w:cs="Arial"/>
          <w:b/>
          <w:bCs/>
          <w:sz w:val="28"/>
          <w:szCs w:val="28"/>
        </w:rPr>
        <w:t>1.9 Cash-flow analysis</w:t>
      </w:r>
      <w:bookmarkEnd w:id="7"/>
    </w:p>
    <w:p w14:paraId="0AFB85C7" w14:textId="77777777" w:rsidR="00E67E34" w:rsidRPr="00345A28" w:rsidRDefault="00E67E34" w:rsidP="00E67E34">
      <w:pPr>
        <w:jc w:val="both"/>
        <w:rPr>
          <w:rFonts w:ascii="Arial" w:hAnsi="Arial" w:cs="Arial"/>
          <w:b/>
          <w:bCs/>
          <w:sz w:val="28"/>
          <w:szCs w:val="28"/>
        </w:rPr>
      </w:pPr>
      <w:r w:rsidRPr="00345A28">
        <w:rPr>
          <w:rFonts w:ascii="Arial" w:hAnsi="Arial" w:cs="Arial"/>
          <w:b/>
          <w:bCs/>
          <w:sz w:val="28"/>
          <w:szCs w:val="28"/>
        </w:rPr>
        <w:t>Table 8: Cash-flow performance</w:t>
      </w:r>
    </w:p>
    <w:tbl>
      <w:tblPr>
        <w:tblStyle w:val="GridTable4-Accent3"/>
        <w:tblW w:w="0" w:type="auto"/>
        <w:tblLook w:val="04A0" w:firstRow="1" w:lastRow="0" w:firstColumn="1" w:lastColumn="0" w:noHBand="0" w:noVBand="1"/>
      </w:tblPr>
      <w:tblGrid>
        <w:gridCol w:w="1657"/>
        <w:gridCol w:w="1470"/>
        <w:gridCol w:w="1472"/>
        <w:gridCol w:w="1472"/>
        <w:gridCol w:w="1472"/>
        <w:gridCol w:w="1473"/>
      </w:tblGrid>
      <w:tr w:rsidR="008E742C" w:rsidRPr="0053170F" w14:paraId="6A7C5F13" w14:textId="77777777" w:rsidTr="008E74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0CF2765D" w14:textId="77777777" w:rsidR="008E742C" w:rsidRPr="0053170F" w:rsidRDefault="008E742C" w:rsidP="001B5969">
            <w:pPr>
              <w:jc w:val="both"/>
              <w:rPr>
                <w:rFonts w:ascii="Arial" w:hAnsi="Arial" w:cs="Arial"/>
                <w:b w:val="0"/>
                <w:bCs w:val="0"/>
                <w:sz w:val="24"/>
                <w:szCs w:val="24"/>
              </w:rPr>
            </w:pPr>
            <w:r w:rsidRPr="0053170F">
              <w:rPr>
                <w:rFonts w:ascii="Arial" w:hAnsi="Arial" w:cs="Arial"/>
                <w:b w:val="0"/>
                <w:bCs w:val="0"/>
                <w:sz w:val="24"/>
                <w:szCs w:val="24"/>
              </w:rPr>
              <w:t>$m</w:t>
            </w:r>
          </w:p>
        </w:tc>
        <w:tc>
          <w:tcPr>
            <w:tcW w:w="1502" w:type="dxa"/>
          </w:tcPr>
          <w:p w14:paraId="4CB3920B" w14:textId="77777777" w:rsidR="008E742C" w:rsidRPr="0053170F" w:rsidRDefault="008E742C" w:rsidP="001B5969">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2021</w:t>
            </w:r>
          </w:p>
        </w:tc>
        <w:tc>
          <w:tcPr>
            <w:tcW w:w="1503" w:type="dxa"/>
          </w:tcPr>
          <w:p w14:paraId="1FF69C0C" w14:textId="77777777" w:rsidR="008E742C" w:rsidRPr="0053170F" w:rsidRDefault="008E742C" w:rsidP="001B5969">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2022</w:t>
            </w:r>
          </w:p>
        </w:tc>
        <w:tc>
          <w:tcPr>
            <w:tcW w:w="1503" w:type="dxa"/>
          </w:tcPr>
          <w:p w14:paraId="52CD28FD" w14:textId="77777777" w:rsidR="008E742C" w:rsidRPr="0053170F" w:rsidRDefault="008E742C" w:rsidP="001B5969">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2023</w:t>
            </w:r>
          </w:p>
        </w:tc>
        <w:tc>
          <w:tcPr>
            <w:tcW w:w="1503" w:type="dxa"/>
          </w:tcPr>
          <w:p w14:paraId="23AA4755" w14:textId="77777777" w:rsidR="008E742C" w:rsidRPr="0053170F" w:rsidRDefault="008E742C" w:rsidP="001B5969">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2024</w:t>
            </w:r>
          </w:p>
        </w:tc>
        <w:tc>
          <w:tcPr>
            <w:tcW w:w="1503" w:type="dxa"/>
          </w:tcPr>
          <w:p w14:paraId="567F3E0D" w14:textId="77777777" w:rsidR="008E742C" w:rsidRPr="0053170F" w:rsidRDefault="008E742C" w:rsidP="001B5969">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2025</w:t>
            </w:r>
          </w:p>
        </w:tc>
      </w:tr>
      <w:tr w:rsidR="008E742C" w:rsidRPr="0053170F" w14:paraId="1F641C2A" w14:textId="77777777" w:rsidTr="008E74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40583A63" w14:textId="77777777" w:rsidR="008E742C" w:rsidRPr="0053170F" w:rsidRDefault="008E742C" w:rsidP="001B5969">
            <w:pPr>
              <w:jc w:val="both"/>
              <w:rPr>
                <w:rFonts w:ascii="Arial" w:hAnsi="Arial" w:cs="Arial"/>
                <w:b w:val="0"/>
                <w:bCs w:val="0"/>
                <w:sz w:val="24"/>
                <w:szCs w:val="24"/>
              </w:rPr>
            </w:pPr>
            <w:r w:rsidRPr="0053170F">
              <w:rPr>
                <w:rFonts w:ascii="Arial" w:hAnsi="Arial" w:cs="Arial"/>
                <w:b w:val="0"/>
                <w:bCs w:val="0"/>
                <w:sz w:val="24"/>
                <w:szCs w:val="24"/>
              </w:rPr>
              <w:t>Net cash from operating activities</w:t>
            </w:r>
          </w:p>
        </w:tc>
        <w:tc>
          <w:tcPr>
            <w:tcW w:w="1502" w:type="dxa"/>
          </w:tcPr>
          <w:p w14:paraId="13C4C3AE" w14:textId="77777777" w:rsidR="008E742C" w:rsidRPr="0053170F" w:rsidRDefault="008E742C" w:rsidP="001B5969">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636</w:t>
            </w:r>
          </w:p>
        </w:tc>
        <w:tc>
          <w:tcPr>
            <w:tcW w:w="1503" w:type="dxa"/>
          </w:tcPr>
          <w:p w14:paraId="7E93AA45" w14:textId="77777777" w:rsidR="008E742C" w:rsidRPr="0053170F" w:rsidRDefault="008E742C" w:rsidP="001B5969">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646</w:t>
            </w:r>
          </w:p>
        </w:tc>
        <w:tc>
          <w:tcPr>
            <w:tcW w:w="1503" w:type="dxa"/>
          </w:tcPr>
          <w:p w14:paraId="01F824E3" w14:textId="77777777" w:rsidR="008E742C" w:rsidRPr="0053170F" w:rsidRDefault="008E742C" w:rsidP="001B5969">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893</w:t>
            </w:r>
          </w:p>
        </w:tc>
        <w:tc>
          <w:tcPr>
            <w:tcW w:w="1503" w:type="dxa"/>
          </w:tcPr>
          <w:p w14:paraId="27ABC9D8" w14:textId="77777777" w:rsidR="008E742C" w:rsidRPr="0053170F" w:rsidRDefault="008E742C" w:rsidP="001B5969">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724</w:t>
            </w:r>
          </w:p>
        </w:tc>
        <w:tc>
          <w:tcPr>
            <w:tcW w:w="1503" w:type="dxa"/>
          </w:tcPr>
          <w:p w14:paraId="046B31DA" w14:textId="77777777" w:rsidR="008E742C" w:rsidRPr="0053170F" w:rsidRDefault="008E742C" w:rsidP="001B5969">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898</w:t>
            </w:r>
          </w:p>
        </w:tc>
      </w:tr>
      <w:tr w:rsidR="008E742C" w:rsidRPr="0053170F" w14:paraId="06F50370" w14:textId="77777777" w:rsidTr="008E742C">
        <w:tc>
          <w:tcPr>
            <w:cnfStyle w:val="001000000000" w:firstRow="0" w:lastRow="0" w:firstColumn="1" w:lastColumn="0" w:oddVBand="0" w:evenVBand="0" w:oddHBand="0" w:evenHBand="0" w:firstRowFirstColumn="0" w:firstRowLastColumn="0" w:lastRowFirstColumn="0" w:lastRowLastColumn="0"/>
            <w:tcW w:w="1502" w:type="dxa"/>
          </w:tcPr>
          <w:p w14:paraId="5E9931ED" w14:textId="77777777" w:rsidR="008E742C" w:rsidRPr="0053170F" w:rsidRDefault="008E742C" w:rsidP="001B5969">
            <w:pPr>
              <w:jc w:val="both"/>
              <w:rPr>
                <w:rFonts w:ascii="Arial" w:hAnsi="Arial" w:cs="Arial"/>
                <w:b w:val="0"/>
                <w:bCs w:val="0"/>
                <w:sz w:val="24"/>
                <w:szCs w:val="24"/>
              </w:rPr>
            </w:pPr>
            <w:r w:rsidRPr="0053170F">
              <w:rPr>
                <w:rFonts w:ascii="Arial" w:hAnsi="Arial" w:cs="Arial"/>
                <w:b w:val="0"/>
                <w:bCs w:val="0"/>
                <w:sz w:val="24"/>
                <w:szCs w:val="24"/>
              </w:rPr>
              <w:t>CFO/revenue</w:t>
            </w:r>
          </w:p>
        </w:tc>
        <w:tc>
          <w:tcPr>
            <w:tcW w:w="1502" w:type="dxa"/>
          </w:tcPr>
          <w:p w14:paraId="361D338E" w14:textId="77777777" w:rsidR="008E742C" w:rsidRPr="0053170F" w:rsidRDefault="008E742C" w:rsidP="001B5969">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21.9%</w:t>
            </w:r>
          </w:p>
        </w:tc>
        <w:tc>
          <w:tcPr>
            <w:tcW w:w="1503" w:type="dxa"/>
          </w:tcPr>
          <w:p w14:paraId="194F9BFD" w14:textId="77777777" w:rsidR="008E742C" w:rsidRPr="0053170F" w:rsidRDefault="008E742C" w:rsidP="001B5969">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16.6%</w:t>
            </w:r>
          </w:p>
        </w:tc>
        <w:tc>
          <w:tcPr>
            <w:tcW w:w="1503" w:type="dxa"/>
          </w:tcPr>
          <w:p w14:paraId="1E2004BD" w14:textId="77777777" w:rsidR="008E742C" w:rsidRPr="0053170F" w:rsidRDefault="008E742C" w:rsidP="001B5969">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19.3%</w:t>
            </w:r>
          </w:p>
        </w:tc>
        <w:tc>
          <w:tcPr>
            <w:tcW w:w="1503" w:type="dxa"/>
          </w:tcPr>
          <w:p w14:paraId="4D62999B" w14:textId="77777777" w:rsidR="008E742C" w:rsidRPr="0053170F" w:rsidRDefault="008E742C" w:rsidP="001B5969">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14.7%</w:t>
            </w:r>
          </w:p>
        </w:tc>
        <w:tc>
          <w:tcPr>
            <w:tcW w:w="1503" w:type="dxa"/>
          </w:tcPr>
          <w:p w14:paraId="5AABAC12" w14:textId="77777777" w:rsidR="008E742C" w:rsidRPr="0053170F" w:rsidRDefault="008E742C" w:rsidP="001B5969">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17.3%</w:t>
            </w:r>
          </w:p>
        </w:tc>
      </w:tr>
      <w:tr w:rsidR="008E742C" w:rsidRPr="0053170F" w14:paraId="652342BF" w14:textId="77777777" w:rsidTr="008E74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00918B73" w14:textId="77777777" w:rsidR="008E742C" w:rsidRPr="0053170F" w:rsidRDefault="008E742C" w:rsidP="001B5969">
            <w:pPr>
              <w:jc w:val="both"/>
              <w:rPr>
                <w:rFonts w:ascii="Arial" w:hAnsi="Arial" w:cs="Arial"/>
                <w:b w:val="0"/>
                <w:bCs w:val="0"/>
                <w:sz w:val="24"/>
                <w:szCs w:val="24"/>
              </w:rPr>
            </w:pPr>
            <w:r w:rsidRPr="0053170F">
              <w:rPr>
                <w:rFonts w:ascii="Arial" w:hAnsi="Arial" w:cs="Arial"/>
                <w:b w:val="0"/>
                <w:bCs w:val="0"/>
                <w:sz w:val="24"/>
                <w:szCs w:val="24"/>
              </w:rPr>
              <w:t>Net investing cash flow</w:t>
            </w:r>
          </w:p>
        </w:tc>
        <w:tc>
          <w:tcPr>
            <w:tcW w:w="1502" w:type="dxa"/>
          </w:tcPr>
          <w:p w14:paraId="6A9F713F" w14:textId="77777777" w:rsidR="008E742C" w:rsidRPr="0053170F" w:rsidRDefault="008E742C" w:rsidP="001B5969">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w:t>
            </w:r>
          </w:p>
        </w:tc>
        <w:tc>
          <w:tcPr>
            <w:tcW w:w="1503" w:type="dxa"/>
          </w:tcPr>
          <w:p w14:paraId="01C8801E" w14:textId="77777777" w:rsidR="008E742C" w:rsidRPr="0053170F" w:rsidRDefault="008E742C" w:rsidP="001B5969">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(78)</w:t>
            </w:r>
          </w:p>
        </w:tc>
        <w:tc>
          <w:tcPr>
            <w:tcW w:w="1503" w:type="dxa"/>
          </w:tcPr>
          <w:p w14:paraId="03E7B201" w14:textId="77777777" w:rsidR="008E742C" w:rsidRPr="0053170F" w:rsidRDefault="008E742C" w:rsidP="001B5969">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(137)</w:t>
            </w:r>
          </w:p>
        </w:tc>
        <w:tc>
          <w:tcPr>
            <w:tcW w:w="1503" w:type="dxa"/>
          </w:tcPr>
          <w:p w14:paraId="6AA47F32" w14:textId="77777777" w:rsidR="008E742C" w:rsidRPr="0053170F" w:rsidRDefault="008E742C" w:rsidP="001B5969">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(99)</w:t>
            </w:r>
          </w:p>
        </w:tc>
        <w:tc>
          <w:tcPr>
            <w:tcW w:w="1503" w:type="dxa"/>
          </w:tcPr>
          <w:p w14:paraId="43B07FCA" w14:textId="77777777" w:rsidR="008E742C" w:rsidRPr="0053170F" w:rsidRDefault="008E742C" w:rsidP="001B5969">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(190)</w:t>
            </w:r>
          </w:p>
        </w:tc>
      </w:tr>
      <w:tr w:rsidR="008E742C" w:rsidRPr="0053170F" w14:paraId="5231ED8B" w14:textId="77777777" w:rsidTr="008E742C">
        <w:tc>
          <w:tcPr>
            <w:cnfStyle w:val="001000000000" w:firstRow="0" w:lastRow="0" w:firstColumn="1" w:lastColumn="0" w:oddVBand="0" w:evenVBand="0" w:oddHBand="0" w:evenHBand="0" w:firstRowFirstColumn="0" w:firstRowLastColumn="0" w:lastRowFirstColumn="0" w:lastRowLastColumn="0"/>
            <w:tcW w:w="1502" w:type="dxa"/>
          </w:tcPr>
          <w:p w14:paraId="14C4757A" w14:textId="77777777" w:rsidR="008E742C" w:rsidRPr="0053170F" w:rsidRDefault="008E742C" w:rsidP="001B5969">
            <w:pPr>
              <w:jc w:val="both"/>
              <w:rPr>
                <w:rFonts w:ascii="Arial" w:hAnsi="Arial" w:cs="Arial"/>
                <w:b w:val="0"/>
                <w:bCs w:val="0"/>
                <w:sz w:val="24"/>
                <w:szCs w:val="24"/>
              </w:rPr>
            </w:pPr>
            <w:r w:rsidRPr="0053170F">
              <w:rPr>
                <w:rFonts w:ascii="Arial" w:hAnsi="Arial" w:cs="Arial"/>
                <w:b w:val="0"/>
                <w:bCs w:val="0"/>
                <w:sz w:val="24"/>
                <w:szCs w:val="24"/>
              </w:rPr>
              <w:t>Financing cash flow</w:t>
            </w:r>
          </w:p>
        </w:tc>
        <w:tc>
          <w:tcPr>
            <w:tcW w:w="1502" w:type="dxa"/>
          </w:tcPr>
          <w:p w14:paraId="4FDB85DD" w14:textId="77777777" w:rsidR="008E742C" w:rsidRPr="0053170F" w:rsidRDefault="008E742C" w:rsidP="001B5969">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w:t>
            </w:r>
          </w:p>
        </w:tc>
        <w:tc>
          <w:tcPr>
            <w:tcW w:w="1503" w:type="dxa"/>
          </w:tcPr>
          <w:p w14:paraId="33AB4022" w14:textId="77777777" w:rsidR="008E742C" w:rsidRPr="0053170F" w:rsidRDefault="008E742C" w:rsidP="001B5969">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(961)</w:t>
            </w:r>
          </w:p>
        </w:tc>
        <w:tc>
          <w:tcPr>
            <w:tcW w:w="1503" w:type="dxa"/>
          </w:tcPr>
          <w:p w14:paraId="4BC831D1" w14:textId="77777777" w:rsidR="008E742C" w:rsidRPr="0053170F" w:rsidRDefault="008E742C" w:rsidP="001B5969">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(417)</w:t>
            </w:r>
          </w:p>
        </w:tc>
        <w:tc>
          <w:tcPr>
            <w:tcW w:w="1503" w:type="dxa"/>
          </w:tcPr>
          <w:p w14:paraId="5A2BF41E" w14:textId="77777777" w:rsidR="008E742C" w:rsidRPr="0053170F" w:rsidRDefault="008E742C" w:rsidP="001B5969">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(894)</w:t>
            </w:r>
          </w:p>
        </w:tc>
        <w:tc>
          <w:tcPr>
            <w:tcW w:w="1503" w:type="dxa"/>
          </w:tcPr>
          <w:p w14:paraId="634110E4" w14:textId="77777777" w:rsidR="008E742C" w:rsidRPr="0053170F" w:rsidRDefault="008E742C" w:rsidP="001B5969">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(614)</w:t>
            </w:r>
          </w:p>
        </w:tc>
      </w:tr>
      <w:tr w:rsidR="008E742C" w:rsidRPr="0053170F" w14:paraId="77C210CB" w14:textId="77777777" w:rsidTr="008E74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6072CADB" w14:textId="77777777" w:rsidR="008E742C" w:rsidRPr="0053170F" w:rsidRDefault="008E742C" w:rsidP="001B5969">
            <w:pPr>
              <w:jc w:val="both"/>
              <w:rPr>
                <w:rFonts w:ascii="Arial" w:hAnsi="Arial" w:cs="Arial"/>
                <w:b w:val="0"/>
                <w:bCs w:val="0"/>
                <w:sz w:val="24"/>
                <w:szCs w:val="24"/>
              </w:rPr>
            </w:pPr>
            <w:r w:rsidRPr="0053170F">
              <w:rPr>
                <w:rFonts w:ascii="Arial" w:hAnsi="Arial" w:cs="Arial"/>
                <w:b w:val="0"/>
                <w:bCs w:val="0"/>
                <w:sz w:val="24"/>
                <w:szCs w:val="24"/>
              </w:rPr>
              <w:t>Closing cash</w:t>
            </w:r>
          </w:p>
        </w:tc>
        <w:tc>
          <w:tcPr>
            <w:tcW w:w="1502" w:type="dxa"/>
          </w:tcPr>
          <w:p w14:paraId="2EDD19D6" w14:textId="77777777" w:rsidR="008E742C" w:rsidRPr="0053170F" w:rsidRDefault="008E742C" w:rsidP="001B5969">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1,450</w:t>
            </w:r>
          </w:p>
        </w:tc>
        <w:tc>
          <w:tcPr>
            <w:tcW w:w="1503" w:type="dxa"/>
          </w:tcPr>
          <w:p w14:paraId="7334FE41" w14:textId="77777777" w:rsidR="008E742C" w:rsidRPr="0053170F" w:rsidRDefault="008E742C" w:rsidP="001B5969">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976</w:t>
            </w:r>
          </w:p>
        </w:tc>
        <w:tc>
          <w:tcPr>
            <w:tcW w:w="1503" w:type="dxa"/>
          </w:tcPr>
          <w:p w14:paraId="530B09CF" w14:textId="77777777" w:rsidR="008E742C" w:rsidRPr="0053170F" w:rsidRDefault="008E742C" w:rsidP="001B5969">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1,322</w:t>
            </w:r>
          </w:p>
        </w:tc>
        <w:tc>
          <w:tcPr>
            <w:tcW w:w="1503" w:type="dxa"/>
          </w:tcPr>
          <w:p w14:paraId="69843053" w14:textId="77777777" w:rsidR="008E742C" w:rsidRPr="0053170F" w:rsidRDefault="008E742C" w:rsidP="001B5969">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991*</w:t>
            </w:r>
          </w:p>
        </w:tc>
        <w:tc>
          <w:tcPr>
            <w:tcW w:w="1503" w:type="dxa"/>
          </w:tcPr>
          <w:p w14:paraId="0F3ED019" w14:textId="77777777" w:rsidR="008E742C" w:rsidRPr="0053170F" w:rsidRDefault="008E742C" w:rsidP="001B5969">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1,126*</w:t>
            </w:r>
          </w:p>
        </w:tc>
      </w:tr>
    </w:tbl>
    <w:p w14:paraId="2753A646" w14:textId="77777777" w:rsidR="00E67E34" w:rsidRPr="0053170F" w:rsidRDefault="00E67E34" w:rsidP="00E67E34">
      <w:pPr>
        <w:jc w:val="both"/>
        <w:rPr>
          <w:rFonts w:ascii="Arial" w:hAnsi="Arial" w:cs="Arial"/>
          <w:sz w:val="24"/>
          <w:szCs w:val="24"/>
        </w:rPr>
      </w:pPr>
      <w:r w:rsidRPr="0053170F">
        <w:rPr>
          <w:rFonts w:ascii="Arial" w:hAnsi="Arial" w:cs="Arial"/>
          <w:sz w:val="24"/>
          <w:szCs w:val="24"/>
        </w:rPr>
        <w:t>The presentation of cash-flow statement is slightly different from that of the balance-sheet cash due to overdraft and presentation adjustments.</w:t>
      </w:r>
    </w:p>
    <w:p w14:paraId="4F1EA14C" w14:textId="77777777" w:rsidR="00E67E34" w:rsidRPr="0053170F" w:rsidRDefault="00E67E34" w:rsidP="00E67E34">
      <w:pPr>
        <w:jc w:val="both"/>
        <w:rPr>
          <w:rFonts w:ascii="Arial" w:hAnsi="Arial" w:cs="Arial"/>
          <w:sz w:val="24"/>
          <w:szCs w:val="24"/>
        </w:rPr>
      </w:pPr>
      <w:r w:rsidRPr="0053170F">
        <w:rPr>
          <w:rFonts w:ascii="Arial" w:hAnsi="Arial" w:cs="Arial"/>
          <w:sz w:val="24"/>
          <w:szCs w:val="24"/>
        </w:rPr>
        <w:t xml:space="preserve">A strong operating cash flow. It has continued to be positive over the last 5 years, rising from $636m in 2021 to $898m in 2025. The 2025 value is much higher than $724 million in 2024. Operating cash flow is the source of funds used in paying interest, taxes, capital expenditure and ordinary dividends and extra returns to shareholders as identified by IHG's annual report. </w:t>
      </w:r>
    </w:p>
    <w:p w14:paraId="67CF54D8" w14:textId="77777777" w:rsidR="00E67E34" w:rsidRPr="0053170F" w:rsidRDefault="00E67E34" w:rsidP="00E67E34">
      <w:pPr>
        <w:jc w:val="both"/>
        <w:rPr>
          <w:rFonts w:ascii="Arial" w:hAnsi="Arial" w:cs="Arial"/>
          <w:sz w:val="24"/>
          <w:szCs w:val="24"/>
        </w:rPr>
      </w:pPr>
      <w:r w:rsidRPr="0053170F">
        <w:rPr>
          <w:rFonts w:ascii="Arial" w:hAnsi="Arial" w:cs="Arial"/>
          <w:sz w:val="24"/>
          <w:szCs w:val="24"/>
        </w:rPr>
        <w:t xml:space="preserve">The encouraging 2025 recovery is evidenced by cash flow from operations of $1.361 billion, before interest and tax adjustments, which equates to a net cash from operating activities of around $898 million after interest and tax. </w:t>
      </w:r>
    </w:p>
    <w:p w14:paraId="659F2C2E" w14:textId="031F9CB5" w:rsidR="00E67E34" w:rsidRPr="0053170F" w:rsidRDefault="00E67E34" w:rsidP="00E67E34">
      <w:pPr>
        <w:jc w:val="both"/>
        <w:rPr>
          <w:rFonts w:ascii="Arial" w:hAnsi="Arial" w:cs="Arial"/>
          <w:sz w:val="24"/>
          <w:szCs w:val="24"/>
        </w:rPr>
      </w:pPr>
    </w:p>
    <w:p w14:paraId="11C45B80" w14:textId="202BC4C8" w:rsidR="00F838D0" w:rsidRPr="0053170F" w:rsidRDefault="00F838D0" w:rsidP="00E67E34">
      <w:pPr>
        <w:jc w:val="both"/>
        <w:rPr>
          <w:rFonts w:ascii="Arial" w:hAnsi="Arial" w:cs="Arial"/>
          <w:sz w:val="24"/>
          <w:szCs w:val="24"/>
        </w:rPr>
      </w:pPr>
    </w:p>
    <w:p w14:paraId="3FD93E50" w14:textId="77777777" w:rsidR="000F1279" w:rsidRDefault="000F1279">
      <w:pPr>
        <w:rPr>
          <w:rFonts w:ascii="Arial" w:hAnsi="Arial" w:cs="Arial"/>
          <w:b/>
          <w:bCs/>
          <w:sz w:val="28"/>
          <w:szCs w:val="28"/>
        </w:rPr>
      </w:pPr>
      <w:r>
        <w:rPr>
          <w:rFonts w:ascii="Arial" w:hAnsi="Arial" w:cs="Arial"/>
          <w:b/>
          <w:bCs/>
          <w:sz w:val="28"/>
          <w:szCs w:val="28"/>
        </w:rPr>
        <w:br w:type="page"/>
      </w:r>
    </w:p>
    <w:p w14:paraId="317A7FBF" w14:textId="3523F776" w:rsidR="00E710DD" w:rsidRPr="00345A28" w:rsidRDefault="00E710DD" w:rsidP="0055511C">
      <w:pPr>
        <w:pStyle w:val="Heading1"/>
        <w:rPr>
          <w:rFonts w:ascii="Arial" w:hAnsi="Arial" w:cs="Arial"/>
          <w:b/>
          <w:bCs/>
          <w:sz w:val="28"/>
          <w:szCs w:val="28"/>
        </w:rPr>
      </w:pPr>
      <w:bookmarkStart w:id="8" w:name="_Toc237461171"/>
      <w:r w:rsidRPr="00345A28">
        <w:rPr>
          <w:rFonts w:ascii="Arial" w:hAnsi="Arial" w:cs="Arial"/>
          <w:b/>
          <w:bCs/>
          <w:sz w:val="28"/>
          <w:szCs w:val="28"/>
        </w:rPr>
        <w:lastRenderedPageBreak/>
        <w:t>2. Working Capital Management Analysis - IHG PLC</w:t>
      </w:r>
      <w:bookmarkEnd w:id="8"/>
    </w:p>
    <w:p w14:paraId="438383F3" w14:textId="77777777" w:rsidR="00E710DD" w:rsidRPr="00345A28" w:rsidRDefault="00E710DD" w:rsidP="0055511C">
      <w:pPr>
        <w:pStyle w:val="Heading2"/>
        <w:rPr>
          <w:rFonts w:ascii="Arial" w:hAnsi="Arial" w:cs="Arial"/>
          <w:b/>
          <w:bCs/>
          <w:sz w:val="28"/>
          <w:szCs w:val="28"/>
        </w:rPr>
      </w:pPr>
      <w:bookmarkStart w:id="9" w:name="_Toc237461172"/>
      <w:r w:rsidRPr="00345A28">
        <w:rPr>
          <w:rFonts w:ascii="Arial" w:hAnsi="Arial" w:cs="Arial"/>
          <w:b/>
          <w:bCs/>
          <w:sz w:val="28"/>
          <w:szCs w:val="28"/>
        </w:rPr>
        <w:t>2.1 Introduction</w:t>
      </w:r>
      <w:bookmarkEnd w:id="9"/>
    </w:p>
    <w:p w14:paraId="2769D8A5" w14:textId="77777777" w:rsidR="00E710DD" w:rsidRPr="0053170F" w:rsidRDefault="00E710DD" w:rsidP="00E710DD">
      <w:pPr>
        <w:jc w:val="both"/>
        <w:rPr>
          <w:rFonts w:ascii="Arial" w:hAnsi="Arial" w:cs="Arial"/>
          <w:sz w:val="24"/>
          <w:szCs w:val="24"/>
        </w:rPr>
      </w:pPr>
      <w:r w:rsidRPr="0053170F">
        <w:rPr>
          <w:rFonts w:ascii="Arial" w:hAnsi="Arial" w:cs="Arial"/>
          <w:sz w:val="24"/>
          <w:szCs w:val="24"/>
        </w:rPr>
        <w:t>Working capital management deals with the management of short-term assets and liabilities of the company so that it can be able to pay off its short term liabilities without having too much of its short term assets. For a Group with a global business that is asset-light, with significant revenues based on management and franchise fees, rather than hotel ownership, working capital management is particularly important for InterContinental Hotels Group PLC (IHG). As a result, IHG has relatively little stock in the business and yet a considerable amount of trade receivables, deferred revenue, contract assets and trade payables.</w:t>
      </w:r>
    </w:p>
    <w:p w14:paraId="22A903D7" w14:textId="77777777" w:rsidR="00E710DD" w:rsidRPr="0053170F" w:rsidRDefault="00E710DD" w:rsidP="00E710DD">
      <w:pPr>
        <w:jc w:val="both"/>
        <w:rPr>
          <w:rFonts w:ascii="Arial" w:hAnsi="Arial" w:cs="Arial"/>
          <w:sz w:val="24"/>
          <w:szCs w:val="24"/>
        </w:rPr>
      </w:pPr>
      <w:r w:rsidRPr="0053170F">
        <w:rPr>
          <w:rFonts w:ascii="Arial" w:hAnsi="Arial" w:cs="Arial"/>
          <w:sz w:val="24"/>
          <w:szCs w:val="24"/>
        </w:rPr>
        <w:t xml:space="preserve">IHG's Working Capital position has significantly improved over the years 2021-2025. Compared to 2021, trade receivables rose from $399 million to $698 million in 2025, demonstrating the growth of business and improved trading. Concurrently, deferred revenue grew as a significant operating funding source. In 2025, IHG had $2.169 billion of deferred revenue, compared with $2.060 billion in 2024. </w:t>
      </w:r>
    </w:p>
    <w:p w14:paraId="49051709" w14:textId="77777777" w:rsidR="00E710DD" w:rsidRPr="0053170F" w:rsidRDefault="00E710DD" w:rsidP="00E710DD">
      <w:pPr>
        <w:jc w:val="both"/>
        <w:rPr>
          <w:rFonts w:ascii="Arial" w:hAnsi="Arial" w:cs="Arial"/>
          <w:sz w:val="24"/>
          <w:szCs w:val="24"/>
        </w:rPr>
      </w:pPr>
      <w:r w:rsidRPr="0053170F">
        <w:rPr>
          <w:rFonts w:ascii="Arial" w:hAnsi="Arial" w:cs="Arial"/>
          <w:sz w:val="24"/>
          <w:szCs w:val="24"/>
        </w:rPr>
        <w:t>This table displays the key working-capital components for the 2021–25 period.</w:t>
      </w:r>
    </w:p>
    <w:tbl>
      <w:tblPr>
        <w:tblStyle w:val="GridTable4-Accent3"/>
        <w:tblW w:w="0" w:type="auto"/>
        <w:tblLook w:val="04A0" w:firstRow="1" w:lastRow="0" w:firstColumn="1" w:lastColumn="0" w:noHBand="0" w:noVBand="1"/>
      </w:tblPr>
      <w:tblGrid>
        <w:gridCol w:w="1502"/>
        <w:gridCol w:w="1502"/>
        <w:gridCol w:w="1503"/>
        <w:gridCol w:w="1503"/>
        <w:gridCol w:w="1503"/>
        <w:gridCol w:w="1503"/>
      </w:tblGrid>
      <w:tr w:rsidR="008E742C" w:rsidRPr="0053170F" w14:paraId="36B700C3" w14:textId="77777777" w:rsidTr="008E74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146506FF" w14:textId="77777777" w:rsidR="008E742C" w:rsidRPr="0053170F" w:rsidRDefault="008E742C" w:rsidP="00651AB5">
            <w:pPr>
              <w:jc w:val="both"/>
              <w:rPr>
                <w:rFonts w:ascii="Arial" w:hAnsi="Arial" w:cs="Arial"/>
                <w:b w:val="0"/>
                <w:bCs w:val="0"/>
                <w:sz w:val="24"/>
                <w:szCs w:val="24"/>
              </w:rPr>
            </w:pPr>
            <w:r w:rsidRPr="0053170F">
              <w:rPr>
                <w:rFonts w:ascii="Arial" w:hAnsi="Arial" w:cs="Arial"/>
                <w:b w:val="0"/>
                <w:bCs w:val="0"/>
                <w:sz w:val="24"/>
                <w:szCs w:val="24"/>
              </w:rPr>
              <w:t>$ million</w:t>
            </w:r>
          </w:p>
        </w:tc>
        <w:tc>
          <w:tcPr>
            <w:tcW w:w="1502" w:type="dxa"/>
          </w:tcPr>
          <w:p w14:paraId="02CA33C4" w14:textId="77777777" w:rsidR="008E742C" w:rsidRPr="0053170F" w:rsidRDefault="008E742C" w:rsidP="00651AB5">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2021</w:t>
            </w:r>
          </w:p>
        </w:tc>
        <w:tc>
          <w:tcPr>
            <w:tcW w:w="1503" w:type="dxa"/>
          </w:tcPr>
          <w:p w14:paraId="2230927D" w14:textId="77777777" w:rsidR="008E742C" w:rsidRPr="0053170F" w:rsidRDefault="008E742C" w:rsidP="00651AB5">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2022</w:t>
            </w:r>
          </w:p>
        </w:tc>
        <w:tc>
          <w:tcPr>
            <w:tcW w:w="1503" w:type="dxa"/>
          </w:tcPr>
          <w:p w14:paraId="3C70864D" w14:textId="77777777" w:rsidR="008E742C" w:rsidRPr="0053170F" w:rsidRDefault="008E742C" w:rsidP="00651AB5">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2023</w:t>
            </w:r>
          </w:p>
        </w:tc>
        <w:tc>
          <w:tcPr>
            <w:tcW w:w="1503" w:type="dxa"/>
          </w:tcPr>
          <w:p w14:paraId="43DD0DFE" w14:textId="77777777" w:rsidR="008E742C" w:rsidRPr="0053170F" w:rsidRDefault="008E742C" w:rsidP="00651AB5">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2024</w:t>
            </w:r>
          </w:p>
        </w:tc>
        <w:tc>
          <w:tcPr>
            <w:tcW w:w="1503" w:type="dxa"/>
          </w:tcPr>
          <w:p w14:paraId="126E90D5" w14:textId="77777777" w:rsidR="008E742C" w:rsidRPr="0053170F" w:rsidRDefault="008E742C" w:rsidP="00651AB5">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2025</w:t>
            </w:r>
          </w:p>
        </w:tc>
      </w:tr>
      <w:tr w:rsidR="008E742C" w:rsidRPr="0053170F" w14:paraId="5EC9CAFE" w14:textId="77777777" w:rsidTr="008E74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25A51A53" w14:textId="77777777" w:rsidR="008E742C" w:rsidRPr="0053170F" w:rsidRDefault="008E742C" w:rsidP="00651AB5">
            <w:pPr>
              <w:jc w:val="both"/>
              <w:rPr>
                <w:rFonts w:ascii="Arial" w:hAnsi="Arial" w:cs="Arial"/>
                <w:b w:val="0"/>
                <w:bCs w:val="0"/>
                <w:sz w:val="24"/>
                <w:szCs w:val="24"/>
              </w:rPr>
            </w:pPr>
            <w:r w:rsidRPr="0053170F">
              <w:rPr>
                <w:rFonts w:ascii="Arial" w:hAnsi="Arial" w:cs="Arial"/>
                <w:b w:val="0"/>
                <w:bCs w:val="0"/>
                <w:sz w:val="24"/>
                <w:szCs w:val="24"/>
              </w:rPr>
              <w:t>Trade receivables</w:t>
            </w:r>
          </w:p>
        </w:tc>
        <w:tc>
          <w:tcPr>
            <w:tcW w:w="1502" w:type="dxa"/>
          </w:tcPr>
          <w:p w14:paraId="49EFA1B1" w14:textId="77777777" w:rsidR="008E742C" w:rsidRPr="0053170F" w:rsidRDefault="008E742C" w:rsidP="00651AB5">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399</w:t>
            </w:r>
          </w:p>
        </w:tc>
        <w:tc>
          <w:tcPr>
            <w:tcW w:w="1503" w:type="dxa"/>
          </w:tcPr>
          <w:p w14:paraId="091ADE58" w14:textId="77777777" w:rsidR="008E742C" w:rsidRPr="0053170F" w:rsidRDefault="008E742C" w:rsidP="00651AB5">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493</w:t>
            </w:r>
          </w:p>
        </w:tc>
        <w:tc>
          <w:tcPr>
            <w:tcW w:w="1503" w:type="dxa"/>
          </w:tcPr>
          <w:p w14:paraId="66D07DAE" w14:textId="77777777" w:rsidR="008E742C" w:rsidRPr="0053170F" w:rsidRDefault="008E742C" w:rsidP="00651AB5">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580</w:t>
            </w:r>
          </w:p>
        </w:tc>
        <w:tc>
          <w:tcPr>
            <w:tcW w:w="1503" w:type="dxa"/>
          </w:tcPr>
          <w:p w14:paraId="67726063" w14:textId="77777777" w:rsidR="008E742C" w:rsidRPr="0053170F" w:rsidRDefault="008E742C" w:rsidP="00651AB5">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651</w:t>
            </w:r>
          </w:p>
        </w:tc>
        <w:tc>
          <w:tcPr>
            <w:tcW w:w="1503" w:type="dxa"/>
          </w:tcPr>
          <w:p w14:paraId="29E8B08D" w14:textId="77777777" w:rsidR="008E742C" w:rsidRPr="0053170F" w:rsidRDefault="008E742C" w:rsidP="00651AB5">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698</w:t>
            </w:r>
          </w:p>
        </w:tc>
      </w:tr>
      <w:tr w:rsidR="008E742C" w:rsidRPr="0053170F" w14:paraId="10762201" w14:textId="77777777" w:rsidTr="008E742C">
        <w:tc>
          <w:tcPr>
            <w:cnfStyle w:val="001000000000" w:firstRow="0" w:lastRow="0" w:firstColumn="1" w:lastColumn="0" w:oddVBand="0" w:evenVBand="0" w:oddHBand="0" w:evenHBand="0" w:firstRowFirstColumn="0" w:firstRowLastColumn="0" w:lastRowFirstColumn="0" w:lastRowLastColumn="0"/>
            <w:tcW w:w="1502" w:type="dxa"/>
          </w:tcPr>
          <w:p w14:paraId="7E7D4DD5" w14:textId="77777777" w:rsidR="008E742C" w:rsidRPr="0053170F" w:rsidRDefault="008E742C" w:rsidP="00651AB5">
            <w:pPr>
              <w:jc w:val="both"/>
              <w:rPr>
                <w:rFonts w:ascii="Arial" w:hAnsi="Arial" w:cs="Arial"/>
                <w:b w:val="0"/>
                <w:bCs w:val="0"/>
                <w:sz w:val="24"/>
                <w:szCs w:val="24"/>
              </w:rPr>
            </w:pPr>
            <w:r w:rsidRPr="0053170F">
              <w:rPr>
                <w:rFonts w:ascii="Arial" w:hAnsi="Arial" w:cs="Arial"/>
                <w:b w:val="0"/>
                <w:bCs w:val="0"/>
                <w:sz w:val="24"/>
                <w:szCs w:val="24"/>
              </w:rPr>
              <w:t>Current trade &amp; other payables</w:t>
            </w:r>
          </w:p>
        </w:tc>
        <w:tc>
          <w:tcPr>
            <w:tcW w:w="1502" w:type="dxa"/>
          </w:tcPr>
          <w:p w14:paraId="281FE33C" w14:textId="77777777" w:rsidR="008E742C" w:rsidRPr="0053170F" w:rsidRDefault="008E742C" w:rsidP="00651AB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668</w:t>
            </w:r>
          </w:p>
        </w:tc>
        <w:tc>
          <w:tcPr>
            <w:tcW w:w="1503" w:type="dxa"/>
          </w:tcPr>
          <w:p w14:paraId="6A5D3C34" w14:textId="77777777" w:rsidR="008E742C" w:rsidRPr="0053170F" w:rsidRDefault="008E742C" w:rsidP="00651AB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786</w:t>
            </w:r>
          </w:p>
        </w:tc>
        <w:tc>
          <w:tcPr>
            <w:tcW w:w="1503" w:type="dxa"/>
          </w:tcPr>
          <w:p w14:paraId="15DB74B4" w14:textId="77777777" w:rsidR="008E742C" w:rsidRPr="0053170F" w:rsidRDefault="008E742C" w:rsidP="00651AB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711</w:t>
            </w:r>
          </w:p>
        </w:tc>
        <w:tc>
          <w:tcPr>
            <w:tcW w:w="1503" w:type="dxa"/>
          </w:tcPr>
          <w:p w14:paraId="1F18E0C1" w14:textId="77777777" w:rsidR="008E742C" w:rsidRPr="0053170F" w:rsidRDefault="008E742C" w:rsidP="00651AB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650</w:t>
            </w:r>
          </w:p>
        </w:tc>
        <w:tc>
          <w:tcPr>
            <w:tcW w:w="1503" w:type="dxa"/>
          </w:tcPr>
          <w:p w14:paraId="18730AE8" w14:textId="77777777" w:rsidR="008E742C" w:rsidRPr="0053170F" w:rsidRDefault="008E742C" w:rsidP="00651AB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715</w:t>
            </w:r>
          </w:p>
        </w:tc>
      </w:tr>
      <w:tr w:rsidR="008E742C" w:rsidRPr="0053170F" w14:paraId="594F75DC" w14:textId="77777777" w:rsidTr="008E74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1F032AED" w14:textId="77777777" w:rsidR="008E742C" w:rsidRPr="0053170F" w:rsidRDefault="008E742C" w:rsidP="00651AB5">
            <w:pPr>
              <w:jc w:val="both"/>
              <w:rPr>
                <w:rFonts w:ascii="Arial" w:hAnsi="Arial" w:cs="Arial"/>
                <w:b w:val="0"/>
                <w:bCs w:val="0"/>
                <w:sz w:val="24"/>
                <w:szCs w:val="24"/>
              </w:rPr>
            </w:pPr>
            <w:r w:rsidRPr="0053170F">
              <w:rPr>
                <w:rFonts w:ascii="Arial" w:hAnsi="Arial" w:cs="Arial"/>
                <w:b w:val="0"/>
                <w:bCs w:val="0"/>
                <w:sz w:val="24"/>
                <w:szCs w:val="24"/>
              </w:rPr>
              <w:t>Inventories</w:t>
            </w:r>
          </w:p>
        </w:tc>
        <w:tc>
          <w:tcPr>
            <w:tcW w:w="1502" w:type="dxa"/>
          </w:tcPr>
          <w:p w14:paraId="5792802A" w14:textId="77777777" w:rsidR="008E742C" w:rsidRPr="0053170F" w:rsidRDefault="008E742C" w:rsidP="00651AB5">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5</w:t>
            </w:r>
          </w:p>
        </w:tc>
        <w:tc>
          <w:tcPr>
            <w:tcW w:w="1503" w:type="dxa"/>
          </w:tcPr>
          <w:p w14:paraId="2A4BC2B2" w14:textId="77777777" w:rsidR="008E742C" w:rsidRPr="0053170F" w:rsidRDefault="008E742C" w:rsidP="00651AB5">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4</w:t>
            </w:r>
          </w:p>
        </w:tc>
        <w:tc>
          <w:tcPr>
            <w:tcW w:w="1503" w:type="dxa"/>
          </w:tcPr>
          <w:p w14:paraId="3778EEAC" w14:textId="77777777" w:rsidR="008E742C" w:rsidRPr="0053170F" w:rsidRDefault="008E742C" w:rsidP="00651AB5">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5</w:t>
            </w:r>
          </w:p>
        </w:tc>
        <w:tc>
          <w:tcPr>
            <w:tcW w:w="1503" w:type="dxa"/>
          </w:tcPr>
          <w:p w14:paraId="35690551" w14:textId="77777777" w:rsidR="008E742C" w:rsidRPr="0053170F" w:rsidRDefault="008E742C" w:rsidP="00651AB5">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4</w:t>
            </w:r>
          </w:p>
        </w:tc>
        <w:tc>
          <w:tcPr>
            <w:tcW w:w="1503" w:type="dxa"/>
          </w:tcPr>
          <w:p w14:paraId="18FDBD2F" w14:textId="77777777" w:rsidR="008E742C" w:rsidRPr="0053170F" w:rsidRDefault="008E742C" w:rsidP="00651AB5">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5</w:t>
            </w:r>
          </w:p>
        </w:tc>
      </w:tr>
      <w:tr w:rsidR="008E742C" w:rsidRPr="0053170F" w14:paraId="0A9A334A" w14:textId="77777777" w:rsidTr="008E742C">
        <w:tc>
          <w:tcPr>
            <w:cnfStyle w:val="001000000000" w:firstRow="0" w:lastRow="0" w:firstColumn="1" w:lastColumn="0" w:oddVBand="0" w:evenVBand="0" w:oddHBand="0" w:evenHBand="0" w:firstRowFirstColumn="0" w:firstRowLastColumn="0" w:lastRowFirstColumn="0" w:lastRowLastColumn="0"/>
            <w:tcW w:w="1502" w:type="dxa"/>
          </w:tcPr>
          <w:p w14:paraId="58696531" w14:textId="77777777" w:rsidR="008E742C" w:rsidRPr="0053170F" w:rsidRDefault="008E742C" w:rsidP="00651AB5">
            <w:pPr>
              <w:jc w:val="both"/>
              <w:rPr>
                <w:rFonts w:ascii="Arial" w:hAnsi="Arial" w:cs="Arial"/>
                <w:b w:val="0"/>
                <w:bCs w:val="0"/>
                <w:sz w:val="24"/>
                <w:szCs w:val="24"/>
              </w:rPr>
            </w:pPr>
            <w:r w:rsidRPr="0053170F">
              <w:rPr>
                <w:rFonts w:ascii="Arial" w:hAnsi="Arial" w:cs="Arial"/>
                <w:b w:val="0"/>
                <w:bCs w:val="0"/>
                <w:sz w:val="24"/>
                <w:szCs w:val="24"/>
              </w:rPr>
              <w:t>Deferred revenue</w:t>
            </w:r>
          </w:p>
        </w:tc>
        <w:tc>
          <w:tcPr>
            <w:tcW w:w="1502" w:type="dxa"/>
          </w:tcPr>
          <w:p w14:paraId="5E5BF4B2" w14:textId="77777777" w:rsidR="008E742C" w:rsidRPr="0053170F" w:rsidRDefault="008E742C" w:rsidP="00651AB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1,613</w:t>
            </w:r>
          </w:p>
        </w:tc>
        <w:tc>
          <w:tcPr>
            <w:tcW w:w="1503" w:type="dxa"/>
          </w:tcPr>
          <w:p w14:paraId="08C74016" w14:textId="77777777" w:rsidR="008E742C" w:rsidRPr="0053170F" w:rsidRDefault="008E742C" w:rsidP="00651AB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1,724</w:t>
            </w:r>
          </w:p>
        </w:tc>
        <w:tc>
          <w:tcPr>
            <w:tcW w:w="1503" w:type="dxa"/>
          </w:tcPr>
          <w:p w14:paraId="5EF2434A" w14:textId="77777777" w:rsidR="008E742C" w:rsidRPr="0053170F" w:rsidRDefault="008E742C" w:rsidP="00651AB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1,848</w:t>
            </w:r>
          </w:p>
        </w:tc>
        <w:tc>
          <w:tcPr>
            <w:tcW w:w="1503" w:type="dxa"/>
          </w:tcPr>
          <w:p w14:paraId="0F0C49AC" w14:textId="77777777" w:rsidR="008E742C" w:rsidRPr="0053170F" w:rsidRDefault="008E742C" w:rsidP="00651AB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2,060</w:t>
            </w:r>
          </w:p>
        </w:tc>
        <w:tc>
          <w:tcPr>
            <w:tcW w:w="1503" w:type="dxa"/>
          </w:tcPr>
          <w:p w14:paraId="65731284" w14:textId="77777777" w:rsidR="008E742C" w:rsidRPr="0053170F" w:rsidRDefault="008E742C" w:rsidP="00651AB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2,169</w:t>
            </w:r>
          </w:p>
        </w:tc>
      </w:tr>
      <w:tr w:rsidR="008E742C" w:rsidRPr="0053170F" w14:paraId="06B8F672" w14:textId="77777777" w:rsidTr="008E74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58AE4F7C" w14:textId="77777777" w:rsidR="008E742C" w:rsidRPr="0053170F" w:rsidRDefault="008E742C" w:rsidP="00651AB5">
            <w:pPr>
              <w:jc w:val="both"/>
              <w:rPr>
                <w:rFonts w:ascii="Arial" w:hAnsi="Arial" w:cs="Arial"/>
                <w:b w:val="0"/>
                <w:bCs w:val="0"/>
                <w:sz w:val="24"/>
                <w:szCs w:val="24"/>
              </w:rPr>
            </w:pPr>
            <w:r w:rsidRPr="0053170F">
              <w:rPr>
                <w:rFonts w:ascii="Arial" w:hAnsi="Arial" w:cs="Arial"/>
                <w:b w:val="0"/>
                <w:bCs w:val="0"/>
                <w:sz w:val="24"/>
                <w:szCs w:val="24"/>
              </w:rPr>
              <w:t>Current assets</w:t>
            </w:r>
          </w:p>
        </w:tc>
        <w:tc>
          <w:tcPr>
            <w:tcW w:w="1502" w:type="dxa"/>
          </w:tcPr>
          <w:p w14:paraId="322C2B54" w14:textId="77777777" w:rsidR="008E742C" w:rsidRPr="0053170F" w:rsidRDefault="008E742C" w:rsidP="00651AB5">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2,066</w:t>
            </w:r>
          </w:p>
        </w:tc>
        <w:tc>
          <w:tcPr>
            <w:tcW w:w="1503" w:type="dxa"/>
          </w:tcPr>
          <w:p w14:paraId="638702D7" w14:textId="77777777" w:rsidR="008E742C" w:rsidRPr="0053170F" w:rsidRDefault="008E742C" w:rsidP="00651AB5">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1,678</w:t>
            </w:r>
          </w:p>
        </w:tc>
        <w:tc>
          <w:tcPr>
            <w:tcW w:w="1503" w:type="dxa"/>
          </w:tcPr>
          <w:p w14:paraId="4D84DD54" w14:textId="77777777" w:rsidR="008E742C" w:rsidRPr="0053170F" w:rsidRDefault="008E742C" w:rsidP="00651AB5">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2,129</w:t>
            </w:r>
          </w:p>
        </w:tc>
        <w:tc>
          <w:tcPr>
            <w:tcW w:w="1503" w:type="dxa"/>
          </w:tcPr>
          <w:p w14:paraId="7D2BB694" w14:textId="77777777" w:rsidR="008E742C" w:rsidRPr="0053170F" w:rsidRDefault="008E742C" w:rsidP="00651AB5">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1,869</w:t>
            </w:r>
          </w:p>
        </w:tc>
        <w:tc>
          <w:tcPr>
            <w:tcW w:w="1503" w:type="dxa"/>
          </w:tcPr>
          <w:p w14:paraId="11084E85" w14:textId="77777777" w:rsidR="008E742C" w:rsidRPr="0053170F" w:rsidRDefault="008E742C" w:rsidP="00651AB5">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2,049</w:t>
            </w:r>
          </w:p>
        </w:tc>
      </w:tr>
      <w:tr w:rsidR="008E742C" w:rsidRPr="0053170F" w14:paraId="7225A01D" w14:textId="77777777" w:rsidTr="008E742C">
        <w:tc>
          <w:tcPr>
            <w:cnfStyle w:val="001000000000" w:firstRow="0" w:lastRow="0" w:firstColumn="1" w:lastColumn="0" w:oddVBand="0" w:evenVBand="0" w:oddHBand="0" w:evenHBand="0" w:firstRowFirstColumn="0" w:firstRowLastColumn="0" w:lastRowFirstColumn="0" w:lastRowLastColumn="0"/>
            <w:tcW w:w="1502" w:type="dxa"/>
          </w:tcPr>
          <w:p w14:paraId="00D33AC0" w14:textId="77777777" w:rsidR="008E742C" w:rsidRPr="0053170F" w:rsidRDefault="008E742C" w:rsidP="00651AB5">
            <w:pPr>
              <w:jc w:val="both"/>
              <w:rPr>
                <w:rFonts w:ascii="Arial" w:hAnsi="Arial" w:cs="Arial"/>
                <w:b w:val="0"/>
                <w:bCs w:val="0"/>
                <w:sz w:val="24"/>
                <w:szCs w:val="24"/>
              </w:rPr>
            </w:pPr>
            <w:r w:rsidRPr="0053170F">
              <w:rPr>
                <w:rFonts w:ascii="Arial" w:hAnsi="Arial" w:cs="Arial"/>
                <w:b w:val="0"/>
                <w:bCs w:val="0"/>
                <w:sz w:val="24"/>
                <w:szCs w:val="24"/>
              </w:rPr>
              <w:t>Current liabilities</w:t>
            </w:r>
          </w:p>
        </w:tc>
        <w:tc>
          <w:tcPr>
            <w:tcW w:w="1502" w:type="dxa"/>
          </w:tcPr>
          <w:p w14:paraId="4281883B" w14:textId="77777777" w:rsidR="008E742C" w:rsidRPr="0053170F" w:rsidRDefault="008E742C" w:rsidP="00651AB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1,624</w:t>
            </w:r>
          </w:p>
        </w:tc>
        <w:tc>
          <w:tcPr>
            <w:tcW w:w="1503" w:type="dxa"/>
          </w:tcPr>
          <w:p w14:paraId="7E5406EA" w14:textId="77777777" w:rsidR="008E742C" w:rsidRPr="0053170F" w:rsidRDefault="008E742C" w:rsidP="00651AB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1,544</w:t>
            </w:r>
          </w:p>
        </w:tc>
        <w:tc>
          <w:tcPr>
            <w:tcW w:w="1503" w:type="dxa"/>
          </w:tcPr>
          <w:p w14:paraId="789A2F3F" w14:textId="77777777" w:rsidR="008E742C" w:rsidRPr="0053170F" w:rsidRDefault="008E742C" w:rsidP="00651AB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2,190</w:t>
            </w:r>
          </w:p>
        </w:tc>
        <w:tc>
          <w:tcPr>
            <w:tcW w:w="1503" w:type="dxa"/>
          </w:tcPr>
          <w:p w14:paraId="4E1387FC" w14:textId="77777777" w:rsidR="008E742C" w:rsidRPr="0053170F" w:rsidRDefault="008E742C" w:rsidP="00651AB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1,928</w:t>
            </w:r>
          </w:p>
        </w:tc>
        <w:tc>
          <w:tcPr>
            <w:tcW w:w="1503" w:type="dxa"/>
          </w:tcPr>
          <w:p w14:paraId="5E54B160" w14:textId="77777777" w:rsidR="008E742C" w:rsidRPr="0053170F" w:rsidRDefault="008E742C" w:rsidP="00651AB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2,100</w:t>
            </w:r>
          </w:p>
        </w:tc>
      </w:tr>
      <w:tr w:rsidR="008E742C" w:rsidRPr="0053170F" w14:paraId="6AB92D54" w14:textId="77777777" w:rsidTr="008E74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287C7C7C" w14:textId="77777777" w:rsidR="008E742C" w:rsidRPr="0053170F" w:rsidRDefault="008E742C" w:rsidP="00651AB5">
            <w:pPr>
              <w:jc w:val="both"/>
              <w:rPr>
                <w:rFonts w:ascii="Arial" w:hAnsi="Arial" w:cs="Arial"/>
                <w:b w:val="0"/>
                <w:bCs w:val="0"/>
                <w:sz w:val="24"/>
                <w:szCs w:val="24"/>
              </w:rPr>
            </w:pPr>
            <w:r w:rsidRPr="0053170F">
              <w:rPr>
                <w:rFonts w:ascii="Arial" w:hAnsi="Arial" w:cs="Arial"/>
                <w:b w:val="0"/>
                <w:bCs w:val="0"/>
                <w:sz w:val="24"/>
                <w:szCs w:val="24"/>
              </w:rPr>
              <w:t>Working capital</w:t>
            </w:r>
          </w:p>
        </w:tc>
        <w:tc>
          <w:tcPr>
            <w:tcW w:w="1502" w:type="dxa"/>
          </w:tcPr>
          <w:p w14:paraId="4AC075F1" w14:textId="77777777" w:rsidR="008E742C" w:rsidRPr="0053170F" w:rsidRDefault="008E742C" w:rsidP="00651AB5">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442</w:t>
            </w:r>
          </w:p>
        </w:tc>
        <w:tc>
          <w:tcPr>
            <w:tcW w:w="1503" w:type="dxa"/>
          </w:tcPr>
          <w:p w14:paraId="547970AC" w14:textId="77777777" w:rsidR="008E742C" w:rsidRPr="0053170F" w:rsidRDefault="008E742C" w:rsidP="00651AB5">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134</w:t>
            </w:r>
          </w:p>
        </w:tc>
        <w:tc>
          <w:tcPr>
            <w:tcW w:w="1503" w:type="dxa"/>
          </w:tcPr>
          <w:p w14:paraId="51E45352" w14:textId="77777777" w:rsidR="008E742C" w:rsidRPr="0053170F" w:rsidRDefault="008E742C" w:rsidP="00651AB5">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(61)</w:t>
            </w:r>
          </w:p>
        </w:tc>
        <w:tc>
          <w:tcPr>
            <w:tcW w:w="1503" w:type="dxa"/>
          </w:tcPr>
          <w:p w14:paraId="3F5D4CA7" w14:textId="77777777" w:rsidR="008E742C" w:rsidRPr="0053170F" w:rsidRDefault="008E742C" w:rsidP="00651AB5">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(59)</w:t>
            </w:r>
          </w:p>
        </w:tc>
        <w:tc>
          <w:tcPr>
            <w:tcW w:w="1503" w:type="dxa"/>
          </w:tcPr>
          <w:p w14:paraId="795270AA" w14:textId="77777777" w:rsidR="008E742C" w:rsidRPr="0053170F" w:rsidRDefault="008E742C" w:rsidP="00651AB5">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(51)</w:t>
            </w:r>
          </w:p>
        </w:tc>
      </w:tr>
    </w:tbl>
    <w:p w14:paraId="2231F100" w14:textId="77777777" w:rsidR="00E710DD" w:rsidRPr="0053170F" w:rsidRDefault="00E710DD" w:rsidP="00E710DD">
      <w:pPr>
        <w:jc w:val="both"/>
        <w:rPr>
          <w:rFonts w:ascii="Arial" w:hAnsi="Arial" w:cs="Arial"/>
          <w:sz w:val="24"/>
          <w:szCs w:val="24"/>
        </w:rPr>
      </w:pPr>
      <w:r w:rsidRPr="0053170F">
        <w:rPr>
          <w:rFonts w:ascii="Arial" w:hAnsi="Arial" w:cs="Arial"/>
          <w:sz w:val="24"/>
          <w:szCs w:val="24"/>
        </w:rPr>
        <w:t xml:space="preserve">Data from IHG Annual Reports and financial statements (IHG, 2022, 2023, 2024, 2025). In 2021, IHG had trade receivables of $399 million, and trade and other payables rose from $668 million to $786 million in 2022. The amount of receivables in 2023 and 2024 was $580 million and $651 million, respectively. Trade receivables in the annual-report data for 2025 are $698 million. </w:t>
      </w:r>
    </w:p>
    <w:p w14:paraId="70F75408" w14:textId="77777777" w:rsidR="00E710DD" w:rsidRPr="0053170F" w:rsidRDefault="00E710DD" w:rsidP="00E710DD">
      <w:pPr>
        <w:jc w:val="both"/>
        <w:rPr>
          <w:rFonts w:ascii="Arial" w:hAnsi="Arial" w:cs="Arial"/>
          <w:sz w:val="24"/>
          <w:szCs w:val="24"/>
        </w:rPr>
      </w:pPr>
    </w:p>
    <w:p w14:paraId="5B5FA69F" w14:textId="77777777" w:rsidR="00E710DD" w:rsidRPr="0053170F" w:rsidRDefault="00E710DD" w:rsidP="00E710DD">
      <w:pPr>
        <w:jc w:val="both"/>
        <w:rPr>
          <w:rFonts w:ascii="Arial" w:hAnsi="Arial" w:cs="Arial"/>
          <w:sz w:val="24"/>
          <w:szCs w:val="24"/>
        </w:rPr>
      </w:pPr>
      <w:r w:rsidRPr="0053170F">
        <w:rPr>
          <w:rFonts w:ascii="Arial" w:hAnsi="Arial" w:cs="Arial"/>
          <w:sz w:val="24"/>
          <w:szCs w:val="24"/>
        </w:rPr>
        <w:t>Cash Operating Cycle of IHG</w:t>
      </w:r>
    </w:p>
    <w:p w14:paraId="7F881B5E" w14:textId="77777777" w:rsidR="00E710DD" w:rsidRPr="0053170F" w:rsidRDefault="00E710DD" w:rsidP="00E710DD">
      <w:pPr>
        <w:jc w:val="both"/>
        <w:rPr>
          <w:rFonts w:ascii="Arial" w:hAnsi="Arial" w:cs="Arial"/>
          <w:sz w:val="24"/>
          <w:szCs w:val="24"/>
        </w:rPr>
      </w:pPr>
      <w:r w:rsidRPr="0053170F">
        <w:rPr>
          <w:rFonts w:ascii="Arial" w:hAnsi="Arial" w:cs="Arial"/>
          <w:sz w:val="24"/>
          <w:szCs w:val="24"/>
        </w:rPr>
        <w:t>The traditional cash conversion cycle (CCC) is:</w:t>
      </w:r>
    </w:p>
    <w:p w14:paraId="238EDDC9" w14:textId="77777777" w:rsidR="00E710DD" w:rsidRPr="0053170F" w:rsidRDefault="00E710DD" w:rsidP="00E710DD">
      <w:pPr>
        <w:jc w:val="both"/>
        <w:rPr>
          <w:rFonts w:ascii="Arial" w:hAnsi="Arial" w:cs="Arial"/>
          <w:sz w:val="24"/>
          <w:szCs w:val="24"/>
        </w:rPr>
      </w:pPr>
      <w:r w:rsidRPr="0053170F">
        <w:rPr>
          <w:rFonts w:ascii="Arial" w:hAnsi="Arial" w:cs="Arial"/>
          <w:sz w:val="24"/>
          <w:szCs w:val="24"/>
        </w:rPr>
        <w:t>Days Sales Outstanding (DSO) + Days Inventory Outstanding (DIO) − Days Payables Outstanding (DPO) = CCC</w:t>
      </w:r>
    </w:p>
    <w:p w14:paraId="7BC535A8" w14:textId="77777777" w:rsidR="00E710DD" w:rsidRPr="0053170F" w:rsidRDefault="00E710DD" w:rsidP="00E710DD">
      <w:pPr>
        <w:jc w:val="both"/>
        <w:rPr>
          <w:rFonts w:ascii="Arial" w:hAnsi="Arial" w:cs="Arial"/>
          <w:sz w:val="24"/>
          <w:szCs w:val="24"/>
        </w:rPr>
      </w:pPr>
      <w:r w:rsidRPr="0053170F">
        <w:rPr>
          <w:rFonts w:ascii="Arial" w:hAnsi="Arial" w:cs="Arial"/>
          <w:sz w:val="24"/>
          <w:szCs w:val="24"/>
        </w:rPr>
        <w:lastRenderedPageBreak/>
        <w:t>The indicative cash operating cycle is provided for the 2021-2025 forecast period.</w:t>
      </w:r>
    </w:p>
    <w:tbl>
      <w:tblPr>
        <w:tblStyle w:val="GridTable4-Accent3"/>
        <w:tblW w:w="0" w:type="auto"/>
        <w:tblLook w:val="04A0" w:firstRow="1" w:lastRow="0" w:firstColumn="1" w:lastColumn="0" w:noHBand="0" w:noVBand="1"/>
      </w:tblPr>
      <w:tblGrid>
        <w:gridCol w:w="1502"/>
        <w:gridCol w:w="1502"/>
        <w:gridCol w:w="1503"/>
        <w:gridCol w:w="1503"/>
        <w:gridCol w:w="1503"/>
        <w:gridCol w:w="1503"/>
      </w:tblGrid>
      <w:tr w:rsidR="008E742C" w:rsidRPr="0053170F" w14:paraId="373D951C" w14:textId="77777777" w:rsidTr="008E74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67F01918" w14:textId="77777777" w:rsidR="008E742C" w:rsidRPr="0053170F" w:rsidRDefault="008E742C" w:rsidP="00B60BF4">
            <w:pPr>
              <w:jc w:val="both"/>
              <w:rPr>
                <w:rFonts w:ascii="Arial" w:hAnsi="Arial" w:cs="Arial"/>
                <w:b w:val="0"/>
                <w:bCs w:val="0"/>
                <w:sz w:val="24"/>
                <w:szCs w:val="24"/>
              </w:rPr>
            </w:pPr>
            <w:r w:rsidRPr="0053170F">
              <w:rPr>
                <w:rFonts w:ascii="Arial" w:hAnsi="Arial" w:cs="Arial"/>
                <w:b w:val="0"/>
                <w:bCs w:val="0"/>
                <w:sz w:val="24"/>
                <w:szCs w:val="24"/>
              </w:rPr>
              <w:t>Ratio / days</w:t>
            </w:r>
          </w:p>
        </w:tc>
        <w:tc>
          <w:tcPr>
            <w:tcW w:w="1502" w:type="dxa"/>
          </w:tcPr>
          <w:p w14:paraId="00FF9A38" w14:textId="77777777" w:rsidR="008E742C" w:rsidRPr="0053170F" w:rsidRDefault="008E742C" w:rsidP="00B60BF4">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2021</w:t>
            </w:r>
          </w:p>
        </w:tc>
        <w:tc>
          <w:tcPr>
            <w:tcW w:w="1503" w:type="dxa"/>
          </w:tcPr>
          <w:p w14:paraId="68CC0A6B" w14:textId="77777777" w:rsidR="008E742C" w:rsidRPr="0053170F" w:rsidRDefault="008E742C" w:rsidP="00B60BF4">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2022</w:t>
            </w:r>
          </w:p>
        </w:tc>
        <w:tc>
          <w:tcPr>
            <w:tcW w:w="1503" w:type="dxa"/>
          </w:tcPr>
          <w:p w14:paraId="76B88DED" w14:textId="77777777" w:rsidR="008E742C" w:rsidRPr="0053170F" w:rsidRDefault="008E742C" w:rsidP="00B60BF4">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2023</w:t>
            </w:r>
          </w:p>
        </w:tc>
        <w:tc>
          <w:tcPr>
            <w:tcW w:w="1503" w:type="dxa"/>
          </w:tcPr>
          <w:p w14:paraId="2129A759" w14:textId="77777777" w:rsidR="008E742C" w:rsidRPr="0053170F" w:rsidRDefault="008E742C" w:rsidP="00B60BF4">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2024</w:t>
            </w:r>
          </w:p>
        </w:tc>
        <w:tc>
          <w:tcPr>
            <w:tcW w:w="1503" w:type="dxa"/>
          </w:tcPr>
          <w:p w14:paraId="5605CAB0" w14:textId="77777777" w:rsidR="008E742C" w:rsidRPr="0053170F" w:rsidRDefault="008E742C" w:rsidP="00B60BF4">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2025</w:t>
            </w:r>
          </w:p>
        </w:tc>
      </w:tr>
      <w:tr w:rsidR="008E742C" w:rsidRPr="0053170F" w14:paraId="12698FDB" w14:textId="77777777" w:rsidTr="008E74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508E1E79" w14:textId="77777777" w:rsidR="008E742C" w:rsidRPr="0053170F" w:rsidRDefault="008E742C" w:rsidP="00B60BF4">
            <w:pPr>
              <w:jc w:val="both"/>
              <w:rPr>
                <w:rFonts w:ascii="Arial" w:hAnsi="Arial" w:cs="Arial"/>
                <w:b w:val="0"/>
                <w:bCs w:val="0"/>
                <w:sz w:val="24"/>
                <w:szCs w:val="24"/>
              </w:rPr>
            </w:pPr>
            <w:r w:rsidRPr="0053170F">
              <w:rPr>
                <w:rFonts w:ascii="Arial" w:hAnsi="Arial" w:cs="Arial"/>
                <w:b w:val="0"/>
                <w:bCs w:val="0"/>
                <w:sz w:val="24"/>
                <w:szCs w:val="24"/>
              </w:rPr>
              <w:t>DSO = Trade receivables / revenue × 365</w:t>
            </w:r>
          </w:p>
        </w:tc>
        <w:tc>
          <w:tcPr>
            <w:tcW w:w="1502" w:type="dxa"/>
          </w:tcPr>
          <w:p w14:paraId="7733F6D9" w14:textId="77777777" w:rsidR="008E742C" w:rsidRPr="0053170F" w:rsidRDefault="008E742C" w:rsidP="00B60BF4">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50.1</w:t>
            </w:r>
          </w:p>
        </w:tc>
        <w:tc>
          <w:tcPr>
            <w:tcW w:w="1503" w:type="dxa"/>
          </w:tcPr>
          <w:p w14:paraId="1F91DC71" w14:textId="77777777" w:rsidR="008E742C" w:rsidRPr="0053170F" w:rsidRDefault="008E742C" w:rsidP="00B60BF4">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46.2</w:t>
            </w:r>
          </w:p>
        </w:tc>
        <w:tc>
          <w:tcPr>
            <w:tcW w:w="1503" w:type="dxa"/>
          </w:tcPr>
          <w:p w14:paraId="39C2AD66" w14:textId="77777777" w:rsidR="008E742C" w:rsidRPr="0053170F" w:rsidRDefault="008E742C" w:rsidP="00B60BF4">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45.8</w:t>
            </w:r>
          </w:p>
        </w:tc>
        <w:tc>
          <w:tcPr>
            <w:tcW w:w="1503" w:type="dxa"/>
          </w:tcPr>
          <w:p w14:paraId="7C82ED6E" w14:textId="77777777" w:rsidR="008E742C" w:rsidRPr="0053170F" w:rsidRDefault="008E742C" w:rsidP="00B60BF4">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48.3</w:t>
            </w:r>
          </w:p>
        </w:tc>
        <w:tc>
          <w:tcPr>
            <w:tcW w:w="1503" w:type="dxa"/>
          </w:tcPr>
          <w:p w14:paraId="45DB8AD3" w14:textId="77777777" w:rsidR="008E742C" w:rsidRPr="0053170F" w:rsidRDefault="008E742C" w:rsidP="00B60BF4">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49.1</w:t>
            </w:r>
          </w:p>
        </w:tc>
      </w:tr>
      <w:tr w:rsidR="008E742C" w:rsidRPr="0053170F" w14:paraId="4435A808" w14:textId="77777777" w:rsidTr="008E742C">
        <w:tc>
          <w:tcPr>
            <w:cnfStyle w:val="001000000000" w:firstRow="0" w:lastRow="0" w:firstColumn="1" w:lastColumn="0" w:oddVBand="0" w:evenVBand="0" w:oddHBand="0" w:evenHBand="0" w:firstRowFirstColumn="0" w:firstRowLastColumn="0" w:lastRowFirstColumn="0" w:lastRowLastColumn="0"/>
            <w:tcW w:w="1502" w:type="dxa"/>
          </w:tcPr>
          <w:p w14:paraId="76C077CE" w14:textId="77777777" w:rsidR="008E742C" w:rsidRPr="0053170F" w:rsidRDefault="008E742C" w:rsidP="00B60BF4">
            <w:pPr>
              <w:jc w:val="both"/>
              <w:rPr>
                <w:rFonts w:ascii="Arial" w:hAnsi="Arial" w:cs="Arial"/>
                <w:b w:val="0"/>
                <w:bCs w:val="0"/>
                <w:sz w:val="24"/>
                <w:szCs w:val="24"/>
              </w:rPr>
            </w:pPr>
            <w:r w:rsidRPr="0053170F">
              <w:rPr>
                <w:rFonts w:ascii="Arial" w:hAnsi="Arial" w:cs="Arial"/>
                <w:b w:val="0"/>
                <w:bCs w:val="0"/>
                <w:sz w:val="24"/>
                <w:szCs w:val="24"/>
              </w:rPr>
              <w:t>DIO = Inventory / revenue × 365</w:t>
            </w:r>
          </w:p>
        </w:tc>
        <w:tc>
          <w:tcPr>
            <w:tcW w:w="1502" w:type="dxa"/>
          </w:tcPr>
          <w:p w14:paraId="50C12354" w14:textId="77777777" w:rsidR="008E742C" w:rsidRPr="0053170F" w:rsidRDefault="008E742C" w:rsidP="00B60BF4">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0.6</w:t>
            </w:r>
          </w:p>
        </w:tc>
        <w:tc>
          <w:tcPr>
            <w:tcW w:w="1503" w:type="dxa"/>
          </w:tcPr>
          <w:p w14:paraId="1C753358" w14:textId="77777777" w:rsidR="008E742C" w:rsidRPr="0053170F" w:rsidRDefault="008E742C" w:rsidP="00B60BF4">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0.4</w:t>
            </w:r>
          </w:p>
        </w:tc>
        <w:tc>
          <w:tcPr>
            <w:tcW w:w="1503" w:type="dxa"/>
          </w:tcPr>
          <w:p w14:paraId="573F8B0A" w14:textId="77777777" w:rsidR="008E742C" w:rsidRPr="0053170F" w:rsidRDefault="008E742C" w:rsidP="00B60BF4">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0.4</w:t>
            </w:r>
          </w:p>
        </w:tc>
        <w:tc>
          <w:tcPr>
            <w:tcW w:w="1503" w:type="dxa"/>
          </w:tcPr>
          <w:p w14:paraId="3BC5D0D4" w14:textId="77777777" w:rsidR="008E742C" w:rsidRPr="0053170F" w:rsidRDefault="008E742C" w:rsidP="00B60BF4">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0.3</w:t>
            </w:r>
          </w:p>
        </w:tc>
        <w:tc>
          <w:tcPr>
            <w:tcW w:w="1503" w:type="dxa"/>
          </w:tcPr>
          <w:p w14:paraId="2EE938D2" w14:textId="77777777" w:rsidR="008E742C" w:rsidRPr="0053170F" w:rsidRDefault="008E742C" w:rsidP="00B60BF4">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0.4</w:t>
            </w:r>
          </w:p>
        </w:tc>
      </w:tr>
      <w:tr w:rsidR="008E742C" w:rsidRPr="0053170F" w14:paraId="2759A36B" w14:textId="77777777" w:rsidTr="008E74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597C0948" w14:textId="77777777" w:rsidR="008E742C" w:rsidRPr="0053170F" w:rsidRDefault="008E742C" w:rsidP="00B60BF4">
            <w:pPr>
              <w:jc w:val="both"/>
              <w:rPr>
                <w:rFonts w:ascii="Arial" w:hAnsi="Arial" w:cs="Arial"/>
                <w:b w:val="0"/>
                <w:bCs w:val="0"/>
                <w:sz w:val="24"/>
                <w:szCs w:val="24"/>
              </w:rPr>
            </w:pPr>
            <w:r w:rsidRPr="0053170F">
              <w:rPr>
                <w:rFonts w:ascii="Arial" w:hAnsi="Arial" w:cs="Arial"/>
                <w:b w:val="0"/>
                <w:bCs w:val="0"/>
                <w:sz w:val="24"/>
                <w:szCs w:val="24"/>
              </w:rPr>
              <w:t>DPO proxy = Current payables / revenue × 365</w:t>
            </w:r>
          </w:p>
        </w:tc>
        <w:tc>
          <w:tcPr>
            <w:tcW w:w="1502" w:type="dxa"/>
          </w:tcPr>
          <w:p w14:paraId="067CE8D9" w14:textId="77777777" w:rsidR="008E742C" w:rsidRPr="0053170F" w:rsidRDefault="008E742C" w:rsidP="00B60BF4">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83.9</w:t>
            </w:r>
          </w:p>
        </w:tc>
        <w:tc>
          <w:tcPr>
            <w:tcW w:w="1503" w:type="dxa"/>
          </w:tcPr>
          <w:p w14:paraId="00FD9092" w14:textId="77777777" w:rsidR="008E742C" w:rsidRPr="0053170F" w:rsidRDefault="008E742C" w:rsidP="00B60BF4">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73.7</w:t>
            </w:r>
          </w:p>
        </w:tc>
        <w:tc>
          <w:tcPr>
            <w:tcW w:w="1503" w:type="dxa"/>
          </w:tcPr>
          <w:p w14:paraId="1A9FEC4F" w14:textId="77777777" w:rsidR="008E742C" w:rsidRPr="0053170F" w:rsidRDefault="008E742C" w:rsidP="00B60BF4">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56.1</w:t>
            </w:r>
          </w:p>
        </w:tc>
        <w:tc>
          <w:tcPr>
            <w:tcW w:w="1503" w:type="dxa"/>
          </w:tcPr>
          <w:p w14:paraId="0439602E" w14:textId="77777777" w:rsidR="008E742C" w:rsidRPr="0053170F" w:rsidRDefault="008E742C" w:rsidP="00B60BF4">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48.2</w:t>
            </w:r>
          </w:p>
        </w:tc>
        <w:tc>
          <w:tcPr>
            <w:tcW w:w="1503" w:type="dxa"/>
          </w:tcPr>
          <w:p w14:paraId="282B7CA6" w14:textId="77777777" w:rsidR="008E742C" w:rsidRPr="0053170F" w:rsidRDefault="008E742C" w:rsidP="00B60BF4">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50.3</w:t>
            </w:r>
          </w:p>
        </w:tc>
      </w:tr>
      <w:tr w:rsidR="008E742C" w:rsidRPr="0053170F" w14:paraId="62B76BAF" w14:textId="77777777" w:rsidTr="008E742C">
        <w:tc>
          <w:tcPr>
            <w:cnfStyle w:val="001000000000" w:firstRow="0" w:lastRow="0" w:firstColumn="1" w:lastColumn="0" w:oddVBand="0" w:evenVBand="0" w:oddHBand="0" w:evenHBand="0" w:firstRowFirstColumn="0" w:firstRowLastColumn="0" w:lastRowFirstColumn="0" w:lastRowLastColumn="0"/>
            <w:tcW w:w="1502" w:type="dxa"/>
          </w:tcPr>
          <w:p w14:paraId="34DEF70F" w14:textId="77777777" w:rsidR="008E742C" w:rsidRPr="0053170F" w:rsidRDefault="008E742C" w:rsidP="00B60BF4">
            <w:pPr>
              <w:jc w:val="both"/>
              <w:rPr>
                <w:rFonts w:ascii="Arial" w:hAnsi="Arial" w:cs="Arial"/>
                <w:b w:val="0"/>
                <w:bCs w:val="0"/>
                <w:sz w:val="24"/>
                <w:szCs w:val="24"/>
              </w:rPr>
            </w:pPr>
            <w:r w:rsidRPr="0053170F">
              <w:rPr>
                <w:rFonts w:ascii="Arial" w:hAnsi="Arial" w:cs="Arial"/>
                <w:b w:val="0"/>
                <w:bCs w:val="0"/>
                <w:sz w:val="24"/>
                <w:szCs w:val="24"/>
              </w:rPr>
              <w:t>Indicative CCC</w:t>
            </w:r>
          </w:p>
        </w:tc>
        <w:tc>
          <w:tcPr>
            <w:tcW w:w="1502" w:type="dxa"/>
          </w:tcPr>
          <w:p w14:paraId="68B8B89A" w14:textId="77777777" w:rsidR="008E742C" w:rsidRPr="0053170F" w:rsidRDefault="008E742C" w:rsidP="00B60BF4">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−33.1</w:t>
            </w:r>
          </w:p>
        </w:tc>
        <w:tc>
          <w:tcPr>
            <w:tcW w:w="1503" w:type="dxa"/>
          </w:tcPr>
          <w:p w14:paraId="118ECC58" w14:textId="77777777" w:rsidR="008E742C" w:rsidRPr="0053170F" w:rsidRDefault="008E742C" w:rsidP="00B60BF4">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−27.1</w:t>
            </w:r>
          </w:p>
        </w:tc>
        <w:tc>
          <w:tcPr>
            <w:tcW w:w="1503" w:type="dxa"/>
          </w:tcPr>
          <w:p w14:paraId="2E42066A" w14:textId="77777777" w:rsidR="008E742C" w:rsidRPr="0053170F" w:rsidRDefault="008E742C" w:rsidP="00B60BF4">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−9.9</w:t>
            </w:r>
          </w:p>
        </w:tc>
        <w:tc>
          <w:tcPr>
            <w:tcW w:w="1503" w:type="dxa"/>
          </w:tcPr>
          <w:p w14:paraId="35FCDE0F" w14:textId="77777777" w:rsidR="008E742C" w:rsidRPr="0053170F" w:rsidRDefault="008E742C" w:rsidP="00B60BF4">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0.4</w:t>
            </w:r>
          </w:p>
        </w:tc>
        <w:tc>
          <w:tcPr>
            <w:tcW w:w="1503" w:type="dxa"/>
          </w:tcPr>
          <w:p w14:paraId="40DFBF37" w14:textId="77777777" w:rsidR="008E742C" w:rsidRPr="0053170F" w:rsidRDefault="008E742C" w:rsidP="00B60BF4">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−0.8</w:t>
            </w:r>
          </w:p>
        </w:tc>
      </w:tr>
    </w:tbl>
    <w:p w14:paraId="32FEB4FC" w14:textId="77777777" w:rsidR="00E710DD" w:rsidRPr="0053170F" w:rsidRDefault="00E710DD" w:rsidP="00E710DD">
      <w:pPr>
        <w:jc w:val="both"/>
        <w:rPr>
          <w:rFonts w:ascii="Arial" w:hAnsi="Arial" w:cs="Arial"/>
          <w:sz w:val="24"/>
          <w:szCs w:val="24"/>
        </w:rPr>
      </w:pPr>
      <w:r w:rsidRPr="0053170F">
        <w:rPr>
          <w:rFonts w:ascii="Arial" w:hAnsi="Arial" w:cs="Arial"/>
          <w:sz w:val="24"/>
          <w:szCs w:val="24"/>
        </w:rPr>
        <w:t>Author's calculations based on revenue, trade receivables, current trade and other payables and inventories reported in the annual reports of the IHG.</w:t>
      </w:r>
    </w:p>
    <w:p w14:paraId="7071E68F" w14:textId="77777777" w:rsidR="00E710DD" w:rsidRPr="0053170F" w:rsidRDefault="00E710DD" w:rsidP="00E710DD">
      <w:pPr>
        <w:jc w:val="both"/>
        <w:rPr>
          <w:rFonts w:ascii="Arial" w:hAnsi="Arial" w:cs="Arial"/>
          <w:sz w:val="24"/>
          <w:szCs w:val="24"/>
        </w:rPr>
      </w:pPr>
      <w:r w:rsidRPr="0053170F">
        <w:rPr>
          <w:rFonts w:ascii="Arial" w:hAnsi="Arial" w:cs="Arial"/>
          <w:sz w:val="24"/>
          <w:szCs w:val="24"/>
        </w:rPr>
        <w:t>There is an interesting transition in the data. In 2021, IHG's indicative CCC was around −33 days, which indicated that the Group's operating relationships were providing cash to the Group well in advance of its short-term obligations. By 2024 the cycle had almost reached the zero line before becoming slightly negative at about −0.8 days in 2025.</w:t>
      </w:r>
    </w:p>
    <w:p w14:paraId="5CA6F2EF" w14:textId="77777777" w:rsidR="00E710DD" w:rsidRPr="0053170F" w:rsidRDefault="00E710DD" w:rsidP="00E710DD">
      <w:pPr>
        <w:jc w:val="both"/>
        <w:rPr>
          <w:rFonts w:ascii="Arial" w:hAnsi="Arial" w:cs="Arial"/>
          <w:sz w:val="24"/>
          <w:szCs w:val="24"/>
        </w:rPr>
      </w:pPr>
      <w:r w:rsidRPr="0053170F">
        <w:rPr>
          <w:rFonts w:ascii="Arial" w:hAnsi="Arial" w:cs="Arial"/>
          <w:sz w:val="24"/>
          <w:szCs w:val="24"/>
        </w:rPr>
        <w:t xml:space="preserve">The DSO increased from 45.8 days in 2023 to 49.1 days in 2025. This deterioration is fairly minimal and ought to be watched as receivables are cash earned yet not gathered. IHG's trade accounts receivable at the end of 2025 were $698 million, while they stood at $651 million at the end of 2024. </w:t>
      </w:r>
    </w:p>
    <w:p w14:paraId="05346128" w14:textId="77777777" w:rsidR="00E710DD" w:rsidRPr="0053170F" w:rsidRDefault="00E710DD" w:rsidP="00E710DD">
      <w:pPr>
        <w:jc w:val="both"/>
        <w:rPr>
          <w:rFonts w:ascii="Arial" w:hAnsi="Arial" w:cs="Arial"/>
          <w:sz w:val="24"/>
          <w:szCs w:val="24"/>
        </w:rPr>
      </w:pPr>
      <w:r w:rsidRPr="0053170F">
        <w:rPr>
          <w:rFonts w:ascii="Arial" w:hAnsi="Arial" w:cs="Arial"/>
          <w:sz w:val="24"/>
          <w:szCs w:val="24"/>
        </w:rPr>
        <w:t>The negative or near zero cash operating cycle is not a reflection of the fact that IHG does not have any liquidity risk. Rather, it shows that the business model of IHG is conducive to efficient working capital. Its biggest liability is not inventory build-up, but the collection of the receivables, contractual obligations, management of deferred revenues, foreign exchange fluctuations and debt maturities.</w:t>
      </w:r>
    </w:p>
    <w:p w14:paraId="774D4511" w14:textId="457FE39E" w:rsidR="00F838D0" w:rsidRPr="0053170F" w:rsidRDefault="00E710DD" w:rsidP="00E710DD">
      <w:pPr>
        <w:jc w:val="both"/>
        <w:rPr>
          <w:rFonts w:ascii="Arial" w:hAnsi="Arial" w:cs="Arial"/>
          <w:sz w:val="24"/>
          <w:szCs w:val="24"/>
        </w:rPr>
      </w:pPr>
      <w:r w:rsidRPr="0053170F">
        <w:rPr>
          <w:rFonts w:ascii="Arial" w:hAnsi="Arial" w:cs="Arial"/>
          <w:sz w:val="24"/>
          <w:szCs w:val="24"/>
        </w:rPr>
        <w:t>The current ratio decreased from 1.27 in 2021 to around 0.98 in 2025 for IHG. But the Group still has plenty of operating cash. Net cash from operating activities was $898 million in 2025 compared to $724 million in 2024 and adjusted free cash flow was $893 million.</w:t>
      </w:r>
    </w:p>
    <w:p w14:paraId="11556AC2" w14:textId="77777777" w:rsidR="00A75B62" w:rsidRPr="004D2A7B" w:rsidRDefault="00A75B62" w:rsidP="0055511C">
      <w:pPr>
        <w:pStyle w:val="Heading2"/>
        <w:rPr>
          <w:rFonts w:ascii="Arial" w:hAnsi="Arial" w:cs="Arial"/>
          <w:b/>
          <w:bCs/>
          <w:sz w:val="28"/>
          <w:szCs w:val="28"/>
        </w:rPr>
      </w:pPr>
      <w:bookmarkStart w:id="10" w:name="_Toc237461173"/>
      <w:r w:rsidRPr="004D2A7B">
        <w:rPr>
          <w:rFonts w:ascii="Arial" w:hAnsi="Arial" w:cs="Arial"/>
          <w:b/>
          <w:bCs/>
          <w:sz w:val="28"/>
          <w:szCs w:val="28"/>
        </w:rPr>
        <w:t>2.3 Recommended working-capital reforms</w:t>
      </w:r>
      <w:bookmarkEnd w:id="10"/>
    </w:p>
    <w:p w14:paraId="3E868245" w14:textId="247BBE4F" w:rsidR="00A75B62" w:rsidRPr="0053170F" w:rsidRDefault="00A75B62" w:rsidP="000F1279">
      <w:pPr>
        <w:jc w:val="both"/>
        <w:rPr>
          <w:rFonts w:ascii="Arial" w:hAnsi="Arial" w:cs="Arial"/>
          <w:sz w:val="24"/>
          <w:szCs w:val="24"/>
        </w:rPr>
      </w:pPr>
      <w:r w:rsidRPr="0053170F">
        <w:rPr>
          <w:rFonts w:ascii="Arial" w:hAnsi="Arial" w:cs="Arial"/>
          <w:sz w:val="24"/>
          <w:szCs w:val="24"/>
        </w:rPr>
        <w:t>Generally, the more predictable cash flow is the result of the advantages that are gained from FX exposure, centralised treasury and hedging, and reducing the volatility of cash flow.</w:t>
      </w:r>
    </w:p>
    <w:p w14:paraId="019B6FD1" w14:textId="77777777" w:rsidR="000F1279" w:rsidRDefault="000F1279">
      <w:pPr>
        <w:rPr>
          <w:rFonts w:ascii="Arial" w:hAnsi="Arial" w:cs="Arial"/>
          <w:b/>
          <w:bCs/>
          <w:sz w:val="28"/>
          <w:szCs w:val="28"/>
        </w:rPr>
      </w:pPr>
      <w:r>
        <w:rPr>
          <w:rFonts w:ascii="Arial" w:hAnsi="Arial" w:cs="Arial"/>
          <w:b/>
          <w:bCs/>
          <w:sz w:val="28"/>
          <w:szCs w:val="28"/>
        </w:rPr>
        <w:br w:type="page"/>
      </w:r>
    </w:p>
    <w:p w14:paraId="451051F3" w14:textId="5DBEF3CA" w:rsidR="00A75B62" w:rsidRPr="004D2A7B" w:rsidRDefault="00A75B62" w:rsidP="0055511C">
      <w:pPr>
        <w:pStyle w:val="Heading3"/>
        <w:rPr>
          <w:rFonts w:ascii="Arial" w:hAnsi="Arial" w:cs="Arial"/>
          <w:b/>
          <w:bCs/>
        </w:rPr>
      </w:pPr>
      <w:bookmarkStart w:id="11" w:name="_Toc237461174"/>
      <w:r w:rsidRPr="004D2A7B">
        <w:rPr>
          <w:rFonts w:ascii="Arial" w:hAnsi="Arial" w:cs="Arial"/>
          <w:b/>
          <w:bCs/>
        </w:rPr>
        <w:lastRenderedPageBreak/>
        <w:t>1. Accelerate receivables collection</w:t>
      </w:r>
      <w:bookmarkEnd w:id="11"/>
    </w:p>
    <w:p w14:paraId="1E24A102" w14:textId="77777777" w:rsidR="00A75B62" w:rsidRPr="0053170F" w:rsidRDefault="00A75B62" w:rsidP="00A75B62">
      <w:pPr>
        <w:jc w:val="both"/>
        <w:rPr>
          <w:rFonts w:ascii="Arial" w:hAnsi="Arial" w:cs="Arial"/>
          <w:sz w:val="24"/>
          <w:szCs w:val="24"/>
        </w:rPr>
      </w:pPr>
      <w:r w:rsidRPr="0053170F">
        <w:rPr>
          <w:rFonts w:ascii="Arial" w:hAnsi="Arial" w:cs="Arial"/>
          <w:sz w:val="24"/>
          <w:szCs w:val="24"/>
        </w:rPr>
        <w:t>IHG to launch an automated dashboard-based receivables-management programme for the world, tracking outstanding balances by region, hotel owner, franchisee and ageing category.</w:t>
      </w:r>
    </w:p>
    <w:p w14:paraId="7E41995F" w14:textId="77777777" w:rsidR="00A75B62" w:rsidRPr="0053170F" w:rsidRDefault="00A75B62" w:rsidP="00A75B62">
      <w:pPr>
        <w:jc w:val="both"/>
        <w:rPr>
          <w:rFonts w:ascii="Arial" w:hAnsi="Arial" w:cs="Arial"/>
          <w:sz w:val="24"/>
          <w:szCs w:val="24"/>
        </w:rPr>
      </w:pPr>
      <w:r w:rsidRPr="0053170F">
        <w:rPr>
          <w:rFonts w:ascii="Arial" w:hAnsi="Arial" w:cs="Arial"/>
          <w:sz w:val="24"/>
          <w:szCs w:val="24"/>
        </w:rPr>
        <w:t xml:space="preserve">This is especially true given a massive increase in IHG's trade receivables following the pandemic. IHG reported significant credit loss exposure and ageing in 2021, with receivables over 361 days overdue. </w:t>
      </w:r>
    </w:p>
    <w:p w14:paraId="42587F58" w14:textId="446B64D2" w:rsidR="002A70A0" w:rsidRPr="004D2A7B" w:rsidRDefault="002D4047" w:rsidP="0055511C">
      <w:pPr>
        <w:pStyle w:val="Heading3"/>
        <w:rPr>
          <w:rFonts w:ascii="Arial" w:hAnsi="Arial" w:cs="Arial"/>
          <w:b/>
          <w:bCs/>
        </w:rPr>
      </w:pPr>
      <w:bookmarkStart w:id="12" w:name="_Toc237461175"/>
      <w:r w:rsidRPr="004D2A7B">
        <w:rPr>
          <w:rFonts w:ascii="Arial" w:hAnsi="Arial" w:cs="Arial"/>
          <w:b/>
          <w:bCs/>
        </w:rPr>
        <w:t>2</w:t>
      </w:r>
      <w:r w:rsidR="002A70A0" w:rsidRPr="004D2A7B">
        <w:rPr>
          <w:rFonts w:ascii="Arial" w:hAnsi="Arial" w:cs="Arial"/>
          <w:b/>
          <w:bCs/>
        </w:rPr>
        <w:t>. Make more efficient use of advance payments</w:t>
      </w:r>
      <w:bookmarkEnd w:id="12"/>
    </w:p>
    <w:p w14:paraId="581A29CF" w14:textId="77777777" w:rsidR="002A70A0" w:rsidRPr="0053170F" w:rsidRDefault="002A70A0" w:rsidP="002A70A0">
      <w:pPr>
        <w:jc w:val="both"/>
        <w:rPr>
          <w:rFonts w:ascii="Arial" w:hAnsi="Arial" w:cs="Arial"/>
          <w:sz w:val="24"/>
          <w:szCs w:val="24"/>
        </w:rPr>
      </w:pPr>
      <w:r w:rsidRPr="0053170F">
        <w:rPr>
          <w:rFonts w:ascii="Arial" w:hAnsi="Arial" w:cs="Arial"/>
          <w:sz w:val="24"/>
          <w:szCs w:val="24"/>
        </w:rPr>
        <w:t>IHG needs to intentionally build its negative working-capital position by increasing prepaid sales, monetising loyalty programmes and increasing application fees/relinencing.</w:t>
      </w:r>
    </w:p>
    <w:p w14:paraId="7EC2D80A" w14:textId="77777777" w:rsidR="002A70A0" w:rsidRPr="0053170F" w:rsidRDefault="002A70A0" w:rsidP="002A70A0">
      <w:pPr>
        <w:jc w:val="both"/>
        <w:rPr>
          <w:rFonts w:ascii="Arial" w:hAnsi="Arial" w:cs="Arial"/>
          <w:sz w:val="24"/>
          <w:szCs w:val="24"/>
        </w:rPr>
      </w:pPr>
      <w:r w:rsidRPr="0053170F">
        <w:rPr>
          <w:rFonts w:ascii="Arial" w:hAnsi="Arial" w:cs="Arial"/>
          <w:sz w:val="24"/>
          <w:szCs w:val="24"/>
        </w:rPr>
        <w:t xml:space="preserve">The increase in deferred revenue to $2.169 billion in 2025 already provides a glimpse of how this can be done in IHG. </w:t>
      </w:r>
    </w:p>
    <w:p w14:paraId="20624B9C" w14:textId="77777777" w:rsidR="002A70A0" w:rsidRPr="004D2A7B" w:rsidRDefault="002A70A0" w:rsidP="0055511C">
      <w:pPr>
        <w:pStyle w:val="Heading3"/>
        <w:rPr>
          <w:rFonts w:ascii="Arial" w:hAnsi="Arial" w:cs="Arial"/>
          <w:b/>
          <w:bCs/>
        </w:rPr>
      </w:pPr>
      <w:bookmarkStart w:id="13" w:name="_Toc237461176"/>
      <w:r w:rsidRPr="004D2A7B">
        <w:rPr>
          <w:rFonts w:ascii="Arial" w:hAnsi="Arial" w:cs="Arial"/>
          <w:b/>
          <w:bCs/>
        </w:rPr>
        <w:t>3. Supplier-payment optimisation</w:t>
      </w:r>
      <w:bookmarkEnd w:id="13"/>
    </w:p>
    <w:p w14:paraId="75FB65CD" w14:textId="77777777" w:rsidR="002A70A0" w:rsidRPr="0053170F" w:rsidRDefault="002A70A0" w:rsidP="002A70A0">
      <w:pPr>
        <w:jc w:val="both"/>
        <w:rPr>
          <w:rFonts w:ascii="Arial" w:hAnsi="Arial" w:cs="Arial"/>
          <w:sz w:val="24"/>
          <w:szCs w:val="24"/>
        </w:rPr>
      </w:pPr>
      <w:r w:rsidRPr="0053170F">
        <w:rPr>
          <w:rFonts w:ascii="Arial" w:hAnsi="Arial" w:cs="Arial"/>
          <w:sz w:val="24"/>
          <w:szCs w:val="24"/>
        </w:rPr>
        <w:t>IHG can leverage the power of centralised procurement to secure longer payment terms from key suppliers without hurting the suppliers' relationship. A supply-chain-finance programme could enable smaller suppliers to also get paid earlier from a bank with commercial terms being kept intact.</w:t>
      </w:r>
    </w:p>
    <w:p w14:paraId="41BD7A62" w14:textId="77777777" w:rsidR="000C1231" w:rsidRPr="0053170F" w:rsidRDefault="002A70A0" w:rsidP="002A70A0">
      <w:pPr>
        <w:jc w:val="both"/>
        <w:rPr>
          <w:rFonts w:ascii="Arial" w:hAnsi="Arial" w:cs="Arial"/>
          <w:sz w:val="24"/>
          <w:szCs w:val="24"/>
        </w:rPr>
      </w:pPr>
      <w:r w:rsidRPr="0053170F">
        <w:rPr>
          <w:rFonts w:ascii="Arial" w:hAnsi="Arial" w:cs="Arial"/>
          <w:sz w:val="24"/>
          <w:szCs w:val="24"/>
        </w:rPr>
        <w:t>This would reduce the amount of cash required for IHG while creating little to no extra burden for smaller suppliers.</w:t>
      </w:r>
    </w:p>
    <w:p w14:paraId="0E62E290" w14:textId="4CBB45A6" w:rsidR="002A70A0" w:rsidRPr="004D2A7B" w:rsidRDefault="000C1231" w:rsidP="0055511C">
      <w:pPr>
        <w:pStyle w:val="Heading3"/>
        <w:rPr>
          <w:rFonts w:ascii="Arial" w:hAnsi="Arial" w:cs="Arial"/>
          <w:b/>
          <w:bCs/>
        </w:rPr>
      </w:pPr>
      <w:bookmarkStart w:id="14" w:name="_Toc237461177"/>
      <w:r w:rsidRPr="004D2A7B">
        <w:rPr>
          <w:rFonts w:ascii="Arial" w:hAnsi="Arial" w:cs="Arial"/>
          <w:b/>
          <w:bCs/>
        </w:rPr>
        <w:t xml:space="preserve">4. </w:t>
      </w:r>
      <w:r w:rsidR="002A70A0" w:rsidRPr="004D2A7B">
        <w:rPr>
          <w:rFonts w:ascii="Arial" w:hAnsi="Arial" w:cs="Arial"/>
          <w:b/>
          <w:bCs/>
        </w:rPr>
        <w:t>set a liquidity bottom.</w:t>
      </w:r>
      <w:bookmarkEnd w:id="14"/>
    </w:p>
    <w:p w14:paraId="029A6DB5" w14:textId="77777777" w:rsidR="002A70A0" w:rsidRPr="0053170F" w:rsidRDefault="002A70A0" w:rsidP="002A70A0">
      <w:pPr>
        <w:jc w:val="both"/>
        <w:rPr>
          <w:rFonts w:ascii="Arial" w:hAnsi="Arial" w:cs="Arial"/>
          <w:sz w:val="24"/>
          <w:szCs w:val="24"/>
        </w:rPr>
      </w:pPr>
      <w:r w:rsidRPr="0053170F">
        <w:rPr>
          <w:rFonts w:ascii="Arial" w:hAnsi="Arial" w:cs="Arial"/>
          <w:sz w:val="24"/>
          <w:szCs w:val="24"/>
        </w:rPr>
        <w:t>IHG's current ratio has declined to below one, so the Board should set an internal minimum threshold for liquidity, such as cash and committed liquidity facilities, which will provide for at least 12 months of forecast debt service, committed capital expenditures and stress-tested operating requirements.</w:t>
      </w:r>
    </w:p>
    <w:p w14:paraId="796F5F7D" w14:textId="77777777" w:rsidR="002A70A0" w:rsidRPr="0053170F" w:rsidRDefault="002A70A0" w:rsidP="002A70A0">
      <w:pPr>
        <w:jc w:val="both"/>
        <w:rPr>
          <w:rFonts w:ascii="Arial" w:hAnsi="Arial" w:cs="Arial"/>
          <w:sz w:val="24"/>
          <w:szCs w:val="24"/>
        </w:rPr>
      </w:pPr>
      <w:r w:rsidRPr="0053170F">
        <w:rPr>
          <w:rFonts w:ascii="Arial" w:hAnsi="Arial" w:cs="Arial"/>
          <w:sz w:val="24"/>
          <w:szCs w:val="24"/>
        </w:rPr>
        <w:t>This option is better than just trying to maintain a certain textbook current ratio of 2:1 due to the fact that this is not suitable for hotel franchisors who have a light asset base.</w:t>
      </w:r>
    </w:p>
    <w:p w14:paraId="40AF3B18" w14:textId="77777777" w:rsidR="002A70A0" w:rsidRPr="0053170F" w:rsidRDefault="002A70A0" w:rsidP="002A70A0">
      <w:pPr>
        <w:jc w:val="both"/>
        <w:rPr>
          <w:rFonts w:ascii="Arial" w:hAnsi="Arial" w:cs="Arial"/>
          <w:sz w:val="24"/>
          <w:szCs w:val="24"/>
        </w:rPr>
      </w:pPr>
    </w:p>
    <w:p w14:paraId="1D7ADBDE" w14:textId="77777777" w:rsidR="002A70A0" w:rsidRPr="004D2A7B" w:rsidRDefault="002A70A0" w:rsidP="0055511C">
      <w:pPr>
        <w:pStyle w:val="Heading2"/>
        <w:rPr>
          <w:rFonts w:ascii="Arial" w:hAnsi="Arial" w:cs="Arial"/>
          <w:b/>
          <w:bCs/>
          <w:sz w:val="28"/>
          <w:szCs w:val="28"/>
        </w:rPr>
      </w:pPr>
      <w:bookmarkStart w:id="15" w:name="_Toc237461178"/>
      <w:r w:rsidRPr="004D2A7B">
        <w:rPr>
          <w:rFonts w:ascii="Arial" w:hAnsi="Arial" w:cs="Arial"/>
          <w:b/>
          <w:bCs/>
          <w:sz w:val="28"/>
          <w:szCs w:val="28"/>
        </w:rPr>
        <w:t>2.4 Short-term financing vs. long-term financing</w:t>
      </w:r>
      <w:bookmarkEnd w:id="15"/>
    </w:p>
    <w:p w14:paraId="26C60EBA" w14:textId="6904B831" w:rsidR="002A70A0" w:rsidRPr="0053170F" w:rsidRDefault="002A70A0" w:rsidP="002A70A0">
      <w:pPr>
        <w:jc w:val="both"/>
        <w:rPr>
          <w:rFonts w:ascii="Arial" w:hAnsi="Arial" w:cs="Arial"/>
          <w:sz w:val="24"/>
          <w:szCs w:val="24"/>
        </w:rPr>
      </w:pPr>
      <w:r w:rsidRPr="0053170F">
        <w:rPr>
          <w:rFonts w:ascii="Arial" w:hAnsi="Arial" w:cs="Arial"/>
          <w:sz w:val="24"/>
          <w:szCs w:val="24"/>
        </w:rPr>
        <w:t>Any securities combining bonds and stocks</w:t>
      </w:r>
      <w:r w:rsidRPr="0053170F">
        <w:rPr>
          <w:rFonts w:ascii="Arial" w:hAnsi="Arial" w:cs="Arial"/>
          <w:sz w:val="24"/>
          <w:szCs w:val="24"/>
        </w:rPr>
        <w:tab/>
        <w:t>Capital structure less flexible than bonds and stocks</w:t>
      </w:r>
      <w:r w:rsidRPr="0053170F">
        <w:rPr>
          <w:rFonts w:ascii="Arial" w:hAnsi="Arial" w:cs="Arial"/>
          <w:sz w:val="24"/>
          <w:szCs w:val="24"/>
        </w:rPr>
        <w:tab/>
        <w:t>Complex and potentially expensive</w:t>
      </w:r>
      <w:r w:rsidRPr="0053170F">
        <w:rPr>
          <w:rFonts w:ascii="Arial" w:hAnsi="Arial" w:cs="Arial"/>
          <w:sz w:val="24"/>
          <w:szCs w:val="24"/>
        </w:rPr>
        <w:tab/>
        <w:t>Consider selectively</w:t>
      </w:r>
    </w:p>
    <w:p w14:paraId="172FAB5F" w14:textId="77777777" w:rsidR="002A70A0" w:rsidRPr="0053170F" w:rsidRDefault="002A70A0" w:rsidP="002A70A0">
      <w:pPr>
        <w:jc w:val="both"/>
        <w:rPr>
          <w:rFonts w:ascii="Arial" w:hAnsi="Arial" w:cs="Arial"/>
          <w:sz w:val="24"/>
          <w:szCs w:val="24"/>
        </w:rPr>
      </w:pPr>
      <w:r w:rsidRPr="0053170F">
        <w:rPr>
          <w:rFonts w:ascii="Arial" w:hAnsi="Arial" w:cs="Arial"/>
          <w:sz w:val="24"/>
          <w:szCs w:val="24"/>
        </w:rPr>
        <w:t>The disposal of assets</w:t>
      </w:r>
      <w:r w:rsidRPr="0053170F">
        <w:rPr>
          <w:rFonts w:ascii="Arial" w:hAnsi="Arial" w:cs="Arial"/>
          <w:sz w:val="24"/>
          <w:szCs w:val="24"/>
        </w:rPr>
        <w:tab/>
        <w:t>The generation of cash through the disposal of assets without incurring new debt</w:t>
      </w:r>
      <w:r w:rsidRPr="0053170F">
        <w:rPr>
          <w:rFonts w:ascii="Arial" w:hAnsi="Arial" w:cs="Arial"/>
          <w:sz w:val="24"/>
          <w:szCs w:val="24"/>
        </w:rPr>
        <w:tab/>
        <w:t>The possible impact on future earnings from selective divestment of assets.</w:t>
      </w:r>
    </w:p>
    <w:p w14:paraId="1ACE1F06" w14:textId="77777777" w:rsidR="002A70A0" w:rsidRPr="0053170F" w:rsidRDefault="002A70A0" w:rsidP="002A70A0">
      <w:pPr>
        <w:jc w:val="both"/>
        <w:rPr>
          <w:rFonts w:ascii="Arial" w:hAnsi="Arial" w:cs="Arial"/>
          <w:sz w:val="24"/>
          <w:szCs w:val="24"/>
        </w:rPr>
      </w:pPr>
      <w:r w:rsidRPr="0053170F">
        <w:rPr>
          <w:rFonts w:ascii="Arial" w:hAnsi="Arial" w:cs="Arial"/>
          <w:sz w:val="24"/>
          <w:szCs w:val="24"/>
        </w:rPr>
        <w:t xml:space="preserve">IHG already show a preference for long term debt and a committed bank facility. It set up a $1.35 billion revolving credit facility, backed by leverage and interest-cover covenants in 2022. </w:t>
      </w:r>
    </w:p>
    <w:p w14:paraId="6FD9DF59" w14:textId="77777777" w:rsidR="002A70A0" w:rsidRPr="0053170F" w:rsidRDefault="002A70A0" w:rsidP="002A70A0">
      <w:pPr>
        <w:jc w:val="both"/>
        <w:rPr>
          <w:rFonts w:ascii="Arial" w:hAnsi="Arial" w:cs="Arial"/>
          <w:sz w:val="24"/>
          <w:szCs w:val="24"/>
        </w:rPr>
      </w:pPr>
      <w:r w:rsidRPr="0053170F">
        <w:rPr>
          <w:rFonts w:ascii="Arial" w:hAnsi="Arial" w:cs="Arial"/>
          <w:sz w:val="24"/>
          <w:szCs w:val="24"/>
        </w:rPr>
        <w:lastRenderedPageBreak/>
        <w:t>A high dependence on short-term borrowing would introduce refinancing risk, especially in the case of a fall in demand for hospitality services and a rise in global interest rates. On the other hand, if all short-run needs were to be met by long-term bonds, these would lead to unnecessary interest costs.</w:t>
      </w:r>
    </w:p>
    <w:p w14:paraId="35F617BF" w14:textId="77777777" w:rsidR="00967A7F" w:rsidRPr="004D2A7B" w:rsidRDefault="00967A7F" w:rsidP="0055511C">
      <w:pPr>
        <w:pStyle w:val="Heading1"/>
        <w:rPr>
          <w:rFonts w:ascii="Arial" w:hAnsi="Arial" w:cs="Arial"/>
          <w:b/>
          <w:bCs/>
          <w:sz w:val="28"/>
          <w:szCs w:val="28"/>
        </w:rPr>
      </w:pPr>
      <w:bookmarkStart w:id="16" w:name="_Toc237461179"/>
      <w:r w:rsidRPr="004D2A7B">
        <w:rPr>
          <w:rFonts w:ascii="Arial" w:hAnsi="Arial" w:cs="Arial"/>
          <w:b/>
          <w:bCs/>
          <w:sz w:val="28"/>
          <w:szCs w:val="28"/>
        </w:rPr>
        <w:t>3. Strategic Financial Restructuring Plan (IHG PLC)</w:t>
      </w:r>
      <w:bookmarkEnd w:id="16"/>
    </w:p>
    <w:p w14:paraId="3CF9CB76" w14:textId="77777777" w:rsidR="00967A7F" w:rsidRPr="004D2A7B" w:rsidRDefault="00967A7F" w:rsidP="0055511C">
      <w:pPr>
        <w:pStyle w:val="Heading2"/>
        <w:rPr>
          <w:rFonts w:ascii="Arial" w:hAnsi="Arial" w:cs="Arial"/>
          <w:b/>
          <w:bCs/>
          <w:sz w:val="28"/>
          <w:szCs w:val="28"/>
        </w:rPr>
      </w:pPr>
      <w:bookmarkStart w:id="17" w:name="_Toc237461180"/>
      <w:r w:rsidRPr="004D2A7B">
        <w:rPr>
          <w:rFonts w:ascii="Arial" w:hAnsi="Arial" w:cs="Arial"/>
          <w:b/>
          <w:bCs/>
          <w:sz w:val="28"/>
          <w:szCs w:val="28"/>
        </w:rPr>
        <w:t>3.1 Strategic rationale</w:t>
      </w:r>
      <w:bookmarkEnd w:id="17"/>
    </w:p>
    <w:p w14:paraId="55FF35DF" w14:textId="77777777" w:rsidR="00967A7F" w:rsidRPr="0053170F" w:rsidRDefault="00967A7F" w:rsidP="00967A7F">
      <w:pPr>
        <w:jc w:val="both"/>
        <w:rPr>
          <w:rFonts w:ascii="Arial" w:hAnsi="Arial" w:cs="Arial"/>
          <w:sz w:val="24"/>
          <w:szCs w:val="24"/>
        </w:rPr>
      </w:pPr>
      <w:r w:rsidRPr="0053170F">
        <w:rPr>
          <w:rFonts w:ascii="Arial" w:hAnsi="Arial" w:cs="Arial"/>
          <w:sz w:val="24"/>
          <w:szCs w:val="24"/>
        </w:rPr>
        <w:t>The operating performance is strong and there is no need for IHG to have a traditional crisis restructuring at this time. The right way to do this, on the other hand, is to restructure the finances in a preventative manner so as to safeguard the Group's balance sheet and ensure ongoing international expansion.</w:t>
      </w:r>
    </w:p>
    <w:p w14:paraId="3AC29B35" w14:textId="77777777" w:rsidR="00967A7F" w:rsidRPr="0053170F" w:rsidRDefault="00967A7F" w:rsidP="00967A7F">
      <w:pPr>
        <w:jc w:val="both"/>
        <w:rPr>
          <w:rFonts w:ascii="Arial" w:hAnsi="Arial" w:cs="Arial"/>
          <w:sz w:val="24"/>
          <w:szCs w:val="24"/>
        </w:rPr>
      </w:pPr>
      <w:r w:rsidRPr="0053170F">
        <w:rPr>
          <w:rFonts w:ascii="Arial" w:hAnsi="Arial" w:cs="Arial"/>
          <w:sz w:val="24"/>
          <w:szCs w:val="24"/>
        </w:rPr>
        <w:t xml:space="preserve">In 2025, IHG has reported $898 million of operating cash flow, $893 million of adjusted free cash flow and an adjusted EBITDA of $1.332 billion. However, net debt rose by $551 million in the year as IHG paid back over $1.1 billion to shareholders and made acquisitions of $120 million while facing a net debt $69 million adverse foreign exchange impact. This led to a net debt/adjusted EBITDA ratio of 2.5x. </w:t>
      </w:r>
    </w:p>
    <w:p w14:paraId="56C90902" w14:textId="77777777" w:rsidR="00967A7F" w:rsidRPr="0053170F" w:rsidRDefault="00967A7F" w:rsidP="00967A7F">
      <w:pPr>
        <w:jc w:val="both"/>
        <w:rPr>
          <w:rFonts w:ascii="Arial" w:hAnsi="Arial" w:cs="Arial"/>
          <w:sz w:val="24"/>
          <w:szCs w:val="24"/>
        </w:rPr>
      </w:pPr>
      <w:r w:rsidRPr="0053170F">
        <w:rPr>
          <w:rFonts w:ascii="Arial" w:hAnsi="Arial" w:cs="Arial"/>
          <w:sz w:val="24"/>
          <w:szCs w:val="24"/>
        </w:rPr>
        <w:t>This gives rise to the main restructuring question:</w:t>
      </w:r>
    </w:p>
    <w:p w14:paraId="796B79E0" w14:textId="77777777" w:rsidR="00967A7F" w:rsidRPr="0053170F" w:rsidRDefault="00967A7F" w:rsidP="00967A7F">
      <w:pPr>
        <w:jc w:val="both"/>
        <w:rPr>
          <w:rFonts w:ascii="Arial" w:hAnsi="Arial" w:cs="Arial"/>
          <w:sz w:val="24"/>
          <w:szCs w:val="24"/>
        </w:rPr>
      </w:pPr>
      <w:r w:rsidRPr="0053170F">
        <w:rPr>
          <w:rFonts w:ascii="Arial" w:hAnsi="Arial" w:cs="Arial"/>
          <w:sz w:val="24"/>
          <w:szCs w:val="24"/>
        </w:rPr>
        <w:t>IHG has enough cash to support its growth plans, but is the capital return and acquisition of the companies using up more cash than they should, given that the group continues to increase its leverage?</w:t>
      </w:r>
    </w:p>
    <w:p w14:paraId="2B2F72A6" w14:textId="77777777" w:rsidR="00967A7F" w:rsidRPr="0053170F" w:rsidRDefault="00967A7F" w:rsidP="00967A7F">
      <w:pPr>
        <w:jc w:val="both"/>
        <w:rPr>
          <w:rFonts w:ascii="Arial" w:hAnsi="Arial" w:cs="Arial"/>
          <w:sz w:val="24"/>
          <w:szCs w:val="24"/>
        </w:rPr>
      </w:pPr>
    </w:p>
    <w:p w14:paraId="4C414A62" w14:textId="7100DF99" w:rsidR="00967A7F" w:rsidRPr="004D2A7B" w:rsidRDefault="00967A7F" w:rsidP="0055511C">
      <w:pPr>
        <w:pStyle w:val="Heading2"/>
        <w:rPr>
          <w:rFonts w:ascii="Arial" w:hAnsi="Arial" w:cs="Arial"/>
          <w:b/>
          <w:bCs/>
          <w:sz w:val="28"/>
          <w:szCs w:val="28"/>
        </w:rPr>
      </w:pPr>
      <w:bookmarkStart w:id="18" w:name="_Toc237461181"/>
      <w:r w:rsidRPr="004D2A7B">
        <w:rPr>
          <w:rFonts w:ascii="Arial" w:hAnsi="Arial" w:cs="Arial"/>
          <w:b/>
          <w:bCs/>
          <w:sz w:val="28"/>
          <w:szCs w:val="28"/>
        </w:rPr>
        <w:t>3.2 Recommended restructuring options</w:t>
      </w:r>
      <w:bookmarkEnd w:id="18"/>
    </w:p>
    <w:p w14:paraId="7FCF5D5A" w14:textId="77777777" w:rsidR="00967A7F" w:rsidRPr="004D2A7B" w:rsidRDefault="00967A7F" w:rsidP="0055511C">
      <w:pPr>
        <w:pStyle w:val="Heading3"/>
        <w:rPr>
          <w:rFonts w:ascii="Arial" w:hAnsi="Arial" w:cs="Arial"/>
          <w:b/>
          <w:bCs/>
        </w:rPr>
      </w:pPr>
      <w:bookmarkStart w:id="19" w:name="_Toc237461182"/>
      <w:r w:rsidRPr="004D2A7B">
        <w:rPr>
          <w:rFonts w:ascii="Arial" w:hAnsi="Arial" w:cs="Arial"/>
          <w:b/>
          <w:bCs/>
        </w:rPr>
        <w:t>A. Moderate shareholder distributions (Option 1):</w:t>
      </w:r>
      <w:bookmarkEnd w:id="19"/>
    </w:p>
    <w:p w14:paraId="513D3809" w14:textId="77777777" w:rsidR="00967A7F" w:rsidRPr="0053170F" w:rsidRDefault="00967A7F" w:rsidP="00967A7F">
      <w:pPr>
        <w:jc w:val="both"/>
        <w:rPr>
          <w:rFonts w:ascii="Arial" w:hAnsi="Arial" w:cs="Arial"/>
          <w:sz w:val="24"/>
          <w:szCs w:val="24"/>
        </w:rPr>
      </w:pPr>
      <w:r w:rsidRPr="0053170F">
        <w:rPr>
          <w:rFonts w:ascii="Arial" w:hAnsi="Arial" w:cs="Arial"/>
          <w:sz w:val="24"/>
          <w:szCs w:val="24"/>
        </w:rPr>
        <w:t>The first response to restructuring should be to tie share repurchases to free cash flow and leverage.</w:t>
      </w:r>
    </w:p>
    <w:p w14:paraId="349B924D" w14:textId="77777777" w:rsidR="00967A7F" w:rsidRPr="0053170F" w:rsidRDefault="00967A7F" w:rsidP="00967A7F">
      <w:pPr>
        <w:jc w:val="both"/>
        <w:rPr>
          <w:rFonts w:ascii="Arial" w:hAnsi="Arial" w:cs="Arial"/>
          <w:sz w:val="24"/>
          <w:szCs w:val="24"/>
        </w:rPr>
      </w:pPr>
      <w:r w:rsidRPr="0053170F">
        <w:rPr>
          <w:rFonts w:ascii="Arial" w:hAnsi="Arial" w:cs="Arial"/>
          <w:sz w:val="24"/>
          <w:szCs w:val="24"/>
        </w:rPr>
        <w:t xml:space="preserve">In December 2025, IHG finished a USD 900 million share repurchase-programme and distributed over USD 1.1 billion to shareholders in 2025. The Board has agreed to another $950m buyback programme for 2026. </w:t>
      </w:r>
    </w:p>
    <w:p w14:paraId="4F48766E" w14:textId="77777777" w:rsidR="00967A7F" w:rsidRPr="0053170F" w:rsidRDefault="00967A7F" w:rsidP="00967A7F">
      <w:pPr>
        <w:jc w:val="both"/>
        <w:rPr>
          <w:rFonts w:ascii="Arial" w:hAnsi="Arial" w:cs="Arial"/>
          <w:sz w:val="24"/>
          <w:szCs w:val="24"/>
        </w:rPr>
      </w:pPr>
      <w:r w:rsidRPr="0053170F">
        <w:rPr>
          <w:rFonts w:ascii="Arial" w:hAnsi="Arial" w:cs="Arial"/>
          <w:sz w:val="24"/>
          <w:szCs w:val="24"/>
        </w:rPr>
        <w:t>Buybacks boost the EPS and bring back excess cash from the shareholder's viewpoint. A CFO on the other hand, would want to limit the effects of aggressive repurchases on financial resiliency if net debt is rising.</w:t>
      </w:r>
    </w:p>
    <w:p w14:paraId="29F4275D" w14:textId="77777777" w:rsidR="00967A7F" w:rsidRPr="0053170F" w:rsidRDefault="00967A7F" w:rsidP="005E4F8C">
      <w:pPr>
        <w:jc w:val="both"/>
        <w:rPr>
          <w:rFonts w:ascii="Arial" w:hAnsi="Arial" w:cs="Arial"/>
          <w:sz w:val="24"/>
          <w:szCs w:val="24"/>
        </w:rPr>
      </w:pPr>
      <w:r w:rsidRPr="0053170F">
        <w:rPr>
          <w:rFonts w:ascii="Arial" w:hAnsi="Arial" w:cs="Arial"/>
          <w:sz w:val="24"/>
          <w:szCs w:val="24"/>
        </w:rPr>
        <w:t>I'd therefore suggest a more flexible rule on capital return:</w:t>
      </w:r>
    </w:p>
    <w:p w14:paraId="466682DD" w14:textId="766533AF" w:rsidR="00F838D0" w:rsidRPr="0053170F" w:rsidRDefault="00967A7F" w:rsidP="00967A7F">
      <w:pPr>
        <w:jc w:val="both"/>
        <w:rPr>
          <w:rFonts w:ascii="Arial" w:hAnsi="Arial" w:cs="Arial"/>
          <w:sz w:val="24"/>
          <w:szCs w:val="24"/>
        </w:rPr>
      </w:pPr>
      <w:r w:rsidRPr="0053170F">
        <w:rPr>
          <w:rFonts w:ascii="Arial" w:hAnsi="Arial" w:cs="Arial"/>
          <w:sz w:val="24"/>
          <w:szCs w:val="24"/>
        </w:rPr>
        <w:t xml:space="preserve">Keep the same number of children in the ordinary ward;make strategic investments first, and then fund your business operations;keep the agreed liquidity support level;Cut back or eliminate discretionary buybacks when net debt/EBITDA is above about 2.5–3.0x or stress test liquidity is below the Board's minimum level. </w:t>
      </w:r>
    </w:p>
    <w:p w14:paraId="38D75A01" w14:textId="77777777" w:rsidR="00687AC0" w:rsidRPr="004D2A7B" w:rsidRDefault="00687AC0" w:rsidP="0055511C">
      <w:pPr>
        <w:pStyle w:val="Heading2"/>
        <w:rPr>
          <w:rFonts w:ascii="Arial" w:hAnsi="Arial" w:cs="Arial"/>
          <w:b/>
          <w:bCs/>
          <w:sz w:val="28"/>
          <w:szCs w:val="28"/>
        </w:rPr>
      </w:pPr>
      <w:bookmarkStart w:id="20" w:name="_Toc237461183"/>
      <w:r w:rsidRPr="004D2A7B">
        <w:rPr>
          <w:rFonts w:ascii="Arial" w:hAnsi="Arial" w:cs="Arial"/>
          <w:b/>
          <w:bCs/>
          <w:sz w:val="28"/>
          <w:szCs w:val="28"/>
        </w:rPr>
        <w:lastRenderedPageBreak/>
        <w:t>3.3 Selective divestiture</w:t>
      </w:r>
      <w:bookmarkEnd w:id="20"/>
    </w:p>
    <w:p w14:paraId="38A49834" w14:textId="77777777" w:rsidR="00687AC0" w:rsidRPr="0053170F" w:rsidRDefault="00687AC0" w:rsidP="00687AC0">
      <w:pPr>
        <w:jc w:val="both"/>
        <w:rPr>
          <w:rFonts w:ascii="Arial" w:hAnsi="Arial" w:cs="Arial"/>
          <w:sz w:val="24"/>
          <w:szCs w:val="24"/>
        </w:rPr>
      </w:pPr>
      <w:r w:rsidRPr="0053170F">
        <w:rPr>
          <w:rFonts w:ascii="Arial" w:hAnsi="Arial" w:cs="Arial"/>
          <w:sz w:val="24"/>
          <w:szCs w:val="24"/>
        </w:rPr>
        <w:t>IHG should re-evaluate non-core investments, owned properties and minority interests and look to divest assets with below cost of capital returns.</w:t>
      </w:r>
    </w:p>
    <w:p w14:paraId="1D6FD371" w14:textId="77777777" w:rsidR="00687AC0" w:rsidRPr="0053170F" w:rsidRDefault="00687AC0" w:rsidP="00687AC0">
      <w:pPr>
        <w:jc w:val="both"/>
        <w:rPr>
          <w:rFonts w:ascii="Arial" w:hAnsi="Arial" w:cs="Arial"/>
          <w:sz w:val="24"/>
          <w:szCs w:val="24"/>
        </w:rPr>
      </w:pPr>
      <w:r w:rsidRPr="0053170F">
        <w:rPr>
          <w:rFonts w:ascii="Arial" w:hAnsi="Arial" w:cs="Arial"/>
          <w:sz w:val="24"/>
          <w:szCs w:val="24"/>
        </w:rPr>
        <w:t>The rationale is in line with IHG's asset light approach, which involves shifting funds from low return ownership to managing assets, franchising, technology, loyalty and brand expansion.</w:t>
      </w:r>
    </w:p>
    <w:p w14:paraId="660F53A4" w14:textId="77777777" w:rsidR="00687AC0" w:rsidRPr="0053170F" w:rsidRDefault="00687AC0" w:rsidP="00687AC0">
      <w:pPr>
        <w:jc w:val="both"/>
        <w:rPr>
          <w:rFonts w:ascii="Arial" w:hAnsi="Arial" w:cs="Arial"/>
          <w:sz w:val="24"/>
          <w:szCs w:val="24"/>
        </w:rPr>
      </w:pPr>
      <w:r w:rsidRPr="0053170F">
        <w:rPr>
          <w:rFonts w:ascii="Arial" w:hAnsi="Arial" w:cs="Arial"/>
          <w:sz w:val="24"/>
          <w:szCs w:val="24"/>
        </w:rPr>
        <w:t>An assessment of any disposal should be made in the context of:</w:t>
      </w:r>
    </w:p>
    <w:p w14:paraId="7508A041" w14:textId="77777777" w:rsidR="00687AC0" w:rsidRPr="0053170F" w:rsidRDefault="00687AC0" w:rsidP="00687AC0">
      <w:pPr>
        <w:jc w:val="both"/>
        <w:rPr>
          <w:rFonts w:ascii="Arial" w:hAnsi="Arial" w:cs="Arial"/>
          <w:sz w:val="24"/>
          <w:szCs w:val="24"/>
        </w:rPr>
      </w:pPr>
      <w:r w:rsidRPr="0053170F">
        <w:rPr>
          <w:rFonts w:ascii="Arial" w:hAnsi="Arial" w:cs="Arial"/>
          <w:sz w:val="24"/>
          <w:szCs w:val="24"/>
        </w:rPr>
        <w:t>NPV of cash flows remaining after transaction − NPV of disposal proceeds + tax consequences − transaction costs.</w:t>
      </w:r>
    </w:p>
    <w:p w14:paraId="66F8CA1B" w14:textId="77777777" w:rsidR="00687AC0" w:rsidRPr="0053170F" w:rsidRDefault="00687AC0" w:rsidP="00687AC0">
      <w:pPr>
        <w:jc w:val="both"/>
        <w:rPr>
          <w:rFonts w:ascii="Arial" w:hAnsi="Arial" w:cs="Arial"/>
          <w:sz w:val="24"/>
          <w:szCs w:val="24"/>
        </w:rPr>
      </w:pPr>
      <w:r w:rsidRPr="0053170F">
        <w:rPr>
          <w:rFonts w:ascii="Arial" w:hAnsi="Arial" w:cs="Arial"/>
          <w:sz w:val="24"/>
          <w:szCs w:val="24"/>
        </w:rPr>
        <w:t>The present value of future fee and operating income should be taken into account in making a decision to sell a property simply because it generates cash today.</w:t>
      </w:r>
    </w:p>
    <w:p w14:paraId="716E6E9C" w14:textId="77777777" w:rsidR="00687AC0" w:rsidRPr="0053170F" w:rsidRDefault="00687AC0" w:rsidP="00687AC0">
      <w:pPr>
        <w:jc w:val="both"/>
        <w:rPr>
          <w:rFonts w:ascii="Arial" w:hAnsi="Arial" w:cs="Arial"/>
          <w:sz w:val="24"/>
          <w:szCs w:val="24"/>
        </w:rPr>
      </w:pPr>
    </w:p>
    <w:p w14:paraId="349639BA" w14:textId="77777777" w:rsidR="00687AC0" w:rsidRPr="004D2A7B" w:rsidRDefault="00687AC0" w:rsidP="0055511C">
      <w:pPr>
        <w:pStyle w:val="Heading2"/>
        <w:rPr>
          <w:rFonts w:ascii="Arial" w:hAnsi="Arial" w:cs="Arial"/>
          <w:b/>
          <w:bCs/>
          <w:sz w:val="28"/>
          <w:szCs w:val="28"/>
        </w:rPr>
      </w:pPr>
      <w:bookmarkStart w:id="21" w:name="_Toc237461184"/>
      <w:r w:rsidRPr="004D2A7B">
        <w:rPr>
          <w:rFonts w:ascii="Arial" w:hAnsi="Arial" w:cs="Arial"/>
          <w:b/>
          <w:bCs/>
          <w:sz w:val="28"/>
          <w:szCs w:val="28"/>
        </w:rPr>
        <w:t>3.4 Debt restructuring</w:t>
      </w:r>
      <w:bookmarkEnd w:id="21"/>
    </w:p>
    <w:p w14:paraId="02317382" w14:textId="77777777" w:rsidR="00687AC0" w:rsidRPr="0053170F" w:rsidRDefault="00687AC0" w:rsidP="00687AC0">
      <w:pPr>
        <w:jc w:val="both"/>
        <w:rPr>
          <w:rFonts w:ascii="Arial" w:hAnsi="Arial" w:cs="Arial"/>
          <w:sz w:val="24"/>
          <w:szCs w:val="24"/>
        </w:rPr>
      </w:pPr>
      <w:r w:rsidRPr="0053170F">
        <w:rPr>
          <w:rFonts w:ascii="Arial" w:hAnsi="Arial" w:cs="Arial"/>
          <w:sz w:val="24"/>
          <w:szCs w:val="24"/>
        </w:rPr>
        <w:t>The Group should strive to further shape its debt maturity profile by increasing the average debt maturity.The Group should aim to further mature its debt position into a longer and more diversified one.</w:t>
      </w:r>
    </w:p>
    <w:p w14:paraId="3E28FB06" w14:textId="77777777" w:rsidR="00687AC0" w:rsidRPr="0053170F" w:rsidRDefault="00687AC0" w:rsidP="00687AC0">
      <w:pPr>
        <w:jc w:val="both"/>
        <w:rPr>
          <w:rFonts w:ascii="Arial" w:hAnsi="Arial" w:cs="Arial"/>
          <w:sz w:val="24"/>
          <w:szCs w:val="24"/>
        </w:rPr>
      </w:pPr>
      <w:r w:rsidRPr="0053170F">
        <w:rPr>
          <w:rFonts w:ascii="Arial" w:hAnsi="Arial" w:cs="Arial"/>
          <w:sz w:val="24"/>
          <w:szCs w:val="24"/>
        </w:rPr>
        <w:t xml:space="preserve">This is also significant because IHG's net debt grew significantly. Reported net debt at the end of 2024 was $2.782 billion, with the Group reporting an increase in net debt of $551 million by the end of 2025, giving them a net debt/adjusted EBITDA ratio of 2.5x. </w:t>
      </w:r>
    </w:p>
    <w:p w14:paraId="4532E2E2" w14:textId="77777777" w:rsidR="00687AC0" w:rsidRPr="0053170F" w:rsidRDefault="00687AC0" w:rsidP="00687AC0">
      <w:pPr>
        <w:jc w:val="both"/>
        <w:rPr>
          <w:rFonts w:ascii="Arial" w:hAnsi="Arial" w:cs="Arial"/>
          <w:sz w:val="24"/>
          <w:szCs w:val="24"/>
        </w:rPr>
      </w:pPr>
      <w:r w:rsidRPr="0053170F">
        <w:rPr>
          <w:rFonts w:ascii="Arial" w:hAnsi="Arial" w:cs="Arial"/>
          <w:sz w:val="24"/>
          <w:szCs w:val="24"/>
        </w:rPr>
        <w:t>The recommended structure is:</w:t>
      </w:r>
    </w:p>
    <w:p w14:paraId="4C36D071" w14:textId="77777777" w:rsidR="00687AC0" w:rsidRPr="0053170F" w:rsidRDefault="00687AC0" w:rsidP="00687AC0">
      <w:pPr>
        <w:jc w:val="both"/>
        <w:rPr>
          <w:rFonts w:ascii="Arial" w:hAnsi="Arial" w:cs="Arial"/>
          <w:sz w:val="24"/>
          <w:szCs w:val="24"/>
        </w:rPr>
      </w:pPr>
      <w:r w:rsidRPr="0053170F">
        <w:rPr>
          <w:rFonts w:ascii="Arial" w:hAnsi="Arial" w:cs="Arial"/>
          <w:sz w:val="24"/>
          <w:szCs w:val="24"/>
        </w:rPr>
        <w:t>Long Term Bonds + Committed Revolving Facilities + internally generated Free Cash Flow.</w:t>
      </w:r>
    </w:p>
    <w:p w14:paraId="6DE75ECF" w14:textId="77777777" w:rsidR="00687AC0" w:rsidRPr="0053170F" w:rsidRDefault="00687AC0" w:rsidP="00687AC0">
      <w:pPr>
        <w:jc w:val="both"/>
        <w:rPr>
          <w:rFonts w:ascii="Arial" w:hAnsi="Arial" w:cs="Arial"/>
          <w:sz w:val="24"/>
          <w:szCs w:val="24"/>
        </w:rPr>
      </w:pPr>
      <w:r w:rsidRPr="0053170F">
        <w:rPr>
          <w:rFonts w:ascii="Arial" w:hAnsi="Arial" w:cs="Arial"/>
          <w:sz w:val="24"/>
          <w:szCs w:val="24"/>
        </w:rPr>
        <w:t>IHG should refinance less than is necessary in the short term and have sufficient undrawn committed facilities.</w:t>
      </w:r>
    </w:p>
    <w:p w14:paraId="602D0A48" w14:textId="77777777" w:rsidR="00687AC0" w:rsidRPr="0053170F" w:rsidRDefault="00687AC0" w:rsidP="00687AC0">
      <w:pPr>
        <w:jc w:val="both"/>
        <w:rPr>
          <w:rFonts w:ascii="Arial" w:hAnsi="Arial" w:cs="Arial"/>
          <w:sz w:val="24"/>
          <w:szCs w:val="24"/>
        </w:rPr>
      </w:pPr>
    </w:p>
    <w:p w14:paraId="3AF05954" w14:textId="77777777" w:rsidR="00687AC0" w:rsidRPr="004D2A7B" w:rsidRDefault="00687AC0" w:rsidP="0055511C">
      <w:pPr>
        <w:pStyle w:val="Heading2"/>
        <w:rPr>
          <w:rFonts w:ascii="Arial" w:hAnsi="Arial" w:cs="Arial"/>
          <w:b/>
          <w:bCs/>
          <w:sz w:val="28"/>
          <w:szCs w:val="28"/>
        </w:rPr>
      </w:pPr>
      <w:bookmarkStart w:id="22" w:name="_Toc237461185"/>
      <w:r w:rsidRPr="004D2A7B">
        <w:rPr>
          <w:rFonts w:ascii="Arial" w:hAnsi="Arial" w:cs="Arial"/>
          <w:b/>
          <w:bCs/>
          <w:sz w:val="28"/>
          <w:szCs w:val="28"/>
        </w:rPr>
        <w:t>3.5 Effect on the shareholder value, debt and flexibility of operation</w:t>
      </w:r>
      <w:bookmarkEnd w:id="22"/>
    </w:p>
    <w:p w14:paraId="428DB5FF" w14:textId="77777777" w:rsidR="00687AC0" w:rsidRPr="0053170F" w:rsidRDefault="00687AC0" w:rsidP="00687AC0">
      <w:pPr>
        <w:jc w:val="both"/>
        <w:rPr>
          <w:rFonts w:ascii="Arial" w:hAnsi="Arial" w:cs="Arial"/>
          <w:sz w:val="24"/>
          <w:szCs w:val="24"/>
        </w:rPr>
      </w:pPr>
      <w:r w:rsidRPr="0053170F">
        <w:rPr>
          <w:rFonts w:ascii="Arial" w:hAnsi="Arial" w:cs="Arial"/>
          <w:sz w:val="24"/>
          <w:szCs w:val="24"/>
        </w:rPr>
        <w:t>The following summarizes the relationship between capital and the economic profit of the projects.The following illustrates the relationship between the capital and the economic profit of the projects, prioritise them for expansion.</w:t>
      </w:r>
    </w:p>
    <w:p w14:paraId="518BE27C" w14:textId="77777777" w:rsidR="00687AC0" w:rsidRPr="0053170F" w:rsidRDefault="00687AC0" w:rsidP="00687AC0">
      <w:pPr>
        <w:jc w:val="both"/>
        <w:rPr>
          <w:rFonts w:ascii="Arial" w:hAnsi="Arial" w:cs="Arial"/>
          <w:sz w:val="24"/>
          <w:szCs w:val="24"/>
        </w:rPr>
      </w:pPr>
      <w:r w:rsidRPr="0053170F">
        <w:rPr>
          <w:rFonts w:ascii="Arial" w:hAnsi="Arial" w:cs="Arial"/>
          <w:sz w:val="24"/>
          <w:szCs w:val="24"/>
        </w:rPr>
        <w:t>Flexibility is the key driver of the rise in capacity, with debt limits, discretionary leverage and acquisition capacity also contributing to the increase.</w:t>
      </w:r>
    </w:p>
    <w:p w14:paraId="7E7C89A2" w14:textId="77777777" w:rsidR="00687AC0" w:rsidRPr="0053170F" w:rsidRDefault="00687AC0" w:rsidP="00687AC0">
      <w:pPr>
        <w:jc w:val="both"/>
        <w:rPr>
          <w:rFonts w:ascii="Arial" w:hAnsi="Arial" w:cs="Arial"/>
          <w:sz w:val="24"/>
          <w:szCs w:val="24"/>
        </w:rPr>
      </w:pPr>
      <w:r w:rsidRPr="0053170F">
        <w:rPr>
          <w:rFonts w:ascii="Arial" w:hAnsi="Arial" w:cs="Arial"/>
          <w:sz w:val="24"/>
          <w:szCs w:val="24"/>
        </w:rPr>
        <w:t>Hedging and maturity management is a component of risk</w:t>
      </w:r>
      <w:r w:rsidRPr="0053170F">
        <w:rPr>
          <w:rFonts w:ascii="Arial" w:hAnsi="Arial" w:cs="Arial"/>
          <w:sz w:val="24"/>
          <w:szCs w:val="24"/>
        </w:rPr>
        <w:tab/>
        <w:t>FX exposure and interest exposure.Hedging and maturity management is a part of risk</w:t>
      </w:r>
      <w:r w:rsidRPr="0053170F">
        <w:rPr>
          <w:rFonts w:ascii="Arial" w:hAnsi="Arial" w:cs="Arial"/>
          <w:sz w:val="24"/>
          <w:szCs w:val="24"/>
        </w:rPr>
        <w:tab/>
        <w:t>FX exposure and interest exposure.</w:t>
      </w:r>
    </w:p>
    <w:p w14:paraId="0AB8FCD9" w14:textId="77777777" w:rsidR="00687AC0" w:rsidRPr="0053170F" w:rsidRDefault="00687AC0" w:rsidP="00687AC0">
      <w:pPr>
        <w:jc w:val="both"/>
        <w:rPr>
          <w:rFonts w:ascii="Arial" w:hAnsi="Arial" w:cs="Arial"/>
          <w:sz w:val="24"/>
          <w:szCs w:val="24"/>
        </w:rPr>
      </w:pPr>
      <w:r w:rsidRPr="0053170F">
        <w:rPr>
          <w:rFonts w:ascii="Arial" w:hAnsi="Arial" w:cs="Arial"/>
          <w:sz w:val="24"/>
          <w:szCs w:val="24"/>
        </w:rPr>
        <w:t xml:space="preserve">The restructuring should take a qualitative perspective on shareholder returns instead of quantitative. A $950 million buyback which boosts EPS today will attract higher </w:t>
      </w:r>
      <w:r w:rsidRPr="0053170F">
        <w:rPr>
          <w:rFonts w:ascii="Arial" w:hAnsi="Arial" w:cs="Arial"/>
          <w:sz w:val="24"/>
          <w:szCs w:val="24"/>
        </w:rPr>
        <w:lastRenderedPageBreak/>
        <w:t>interest rates for the company to borrow at, and may actually wipe out value if the marginal cost of debt is higher than the value added from the buyback.</w:t>
      </w:r>
    </w:p>
    <w:p w14:paraId="31A16210" w14:textId="77777777" w:rsidR="00687AC0" w:rsidRPr="0053170F" w:rsidRDefault="00687AC0" w:rsidP="00687AC0">
      <w:pPr>
        <w:jc w:val="both"/>
        <w:rPr>
          <w:rFonts w:ascii="Arial" w:hAnsi="Arial" w:cs="Arial"/>
          <w:sz w:val="24"/>
          <w:szCs w:val="24"/>
        </w:rPr>
      </w:pPr>
    </w:p>
    <w:p w14:paraId="173BCEDD" w14:textId="77777777" w:rsidR="00687AC0" w:rsidRPr="004D2A7B" w:rsidRDefault="00687AC0" w:rsidP="0055511C">
      <w:pPr>
        <w:pStyle w:val="Heading2"/>
        <w:rPr>
          <w:rFonts w:ascii="Arial" w:hAnsi="Arial" w:cs="Arial"/>
          <w:b/>
          <w:sz w:val="28"/>
          <w:szCs w:val="28"/>
        </w:rPr>
      </w:pPr>
      <w:bookmarkStart w:id="23" w:name="_Toc237461186"/>
      <w:r w:rsidRPr="004D2A7B">
        <w:rPr>
          <w:rFonts w:ascii="Arial" w:hAnsi="Arial" w:cs="Arial"/>
          <w:b/>
          <w:sz w:val="28"/>
          <w:szCs w:val="28"/>
        </w:rPr>
        <w:t>3.6 International considerations</w:t>
      </w:r>
      <w:bookmarkEnd w:id="23"/>
    </w:p>
    <w:p w14:paraId="6C7BBFF6" w14:textId="77777777" w:rsidR="00687AC0" w:rsidRPr="0053170F" w:rsidRDefault="00687AC0" w:rsidP="00687AC0">
      <w:pPr>
        <w:jc w:val="both"/>
        <w:rPr>
          <w:rFonts w:ascii="Arial" w:hAnsi="Arial" w:cs="Arial"/>
          <w:sz w:val="24"/>
          <w:szCs w:val="24"/>
        </w:rPr>
      </w:pPr>
      <w:r w:rsidRPr="0053170F">
        <w:rPr>
          <w:rFonts w:ascii="Arial" w:hAnsi="Arial" w:cs="Arial"/>
          <w:sz w:val="24"/>
          <w:szCs w:val="24"/>
        </w:rPr>
        <w:t>IHG is active in the Americas, Europe, Middle East, Africa, Asia and Greater China. Thus, international taxation, currency risk and inflation are important factors to be taken into account when making a restructuring decision.</w:t>
      </w:r>
    </w:p>
    <w:p w14:paraId="62802BBD" w14:textId="77777777" w:rsidR="00687AC0" w:rsidRPr="0053170F" w:rsidRDefault="00687AC0" w:rsidP="00687AC0">
      <w:pPr>
        <w:jc w:val="both"/>
        <w:rPr>
          <w:rFonts w:ascii="Arial" w:hAnsi="Arial" w:cs="Arial"/>
          <w:sz w:val="24"/>
          <w:szCs w:val="24"/>
        </w:rPr>
      </w:pPr>
      <w:r w:rsidRPr="0053170F">
        <w:rPr>
          <w:rFonts w:ascii="Arial" w:hAnsi="Arial" w:cs="Arial"/>
          <w:sz w:val="24"/>
          <w:szCs w:val="24"/>
        </w:rPr>
        <w:t>Currency risk</w:t>
      </w:r>
    </w:p>
    <w:p w14:paraId="6A1AD6BC" w14:textId="77777777" w:rsidR="00687AC0" w:rsidRPr="0053170F" w:rsidRDefault="00687AC0" w:rsidP="00687AC0">
      <w:pPr>
        <w:jc w:val="both"/>
        <w:rPr>
          <w:rFonts w:ascii="Arial" w:hAnsi="Arial" w:cs="Arial"/>
          <w:sz w:val="24"/>
          <w:szCs w:val="24"/>
        </w:rPr>
      </w:pPr>
      <w:r w:rsidRPr="0053170F">
        <w:rPr>
          <w:rFonts w:ascii="Arial" w:hAnsi="Arial" w:cs="Arial"/>
          <w:sz w:val="24"/>
          <w:szCs w:val="24"/>
        </w:rPr>
        <w:t xml:space="preserve">IHG has access to various currencies, such as the US dollar and sterling and euro. The estimate of foreign-exchange movements in its 2025 results has a negative effect of $69 million on net debt. </w:t>
      </w:r>
    </w:p>
    <w:p w14:paraId="22ACEBC6" w14:textId="77777777" w:rsidR="00687AC0" w:rsidRPr="0053170F" w:rsidRDefault="00687AC0" w:rsidP="00687AC0">
      <w:pPr>
        <w:jc w:val="both"/>
        <w:rPr>
          <w:rFonts w:ascii="Arial" w:hAnsi="Arial" w:cs="Arial"/>
          <w:sz w:val="24"/>
          <w:szCs w:val="24"/>
        </w:rPr>
      </w:pPr>
      <w:r w:rsidRPr="0053170F">
        <w:rPr>
          <w:rFonts w:ascii="Arial" w:hAnsi="Arial" w:cs="Arial"/>
          <w:sz w:val="24"/>
          <w:szCs w:val="24"/>
        </w:rPr>
        <w:t>The CFO should therefore implement a centralised treasury policy with the help of the following:</w:t>
      </w:r>
    </w:p>
    <w:p w14:paraId="5EDDDFF9" w14:textId="77777777" w:rsidR="00687AC0" w:rsidRPr="0053170F" w:rsidRDefault="00687AC0" w:rsidP="00687AC0">
      <w:pPr>
        <w:jc w:val="both"/>
        <w:rPr>
          <w:rFonts w:ascii="Arial" w:hAnsi="Arial" w:cs="Arial"/>
          <w:sz w:val="24"/>
          <w:szCs w:val="24"/>
        </w:rPr>
      </w:pPr>
      <w:r w:rsidRPr="0053170F">
        <w:rPr>
          <w:rFonts w:ascii="Arial" w:hAnsi="Arial" w:cs="Arial"/>
          <w:sz w:val="24"/>
          <w:szCs w:val="24"/>
        </w:rPr>
        <w:t>•</w:t>
      </w:r>
      <w:r w:rsidRPr="0053170F">
        <w:rPr>
          <w:rFonts w:ascii="Arial" w:hAnsi="Arial" w:cs="Arial"/>
          <w:sz w:val="24"/>
          <w:szCs w:val="24"/>
        </w:rPr>
        <w:tab/>
        <w:t xml:space="preserve">natural hedging; </w:t>
      </w:r>
    </w:p>
    <w:p w14:paraId="00E63385" w14:textId="77777777" w:rsidR="00687AC0" w:rsidRPr="0053170F" w:rsidRDefault="00687AC0" w:rsidP="00687AC0">
      <w:pPr>
        <w:jc w:val="both"/>
        <w:rPr>
          <w:rFonts w:ascii="Arial" w:hAnsi="Arial" w:cs="Arial"/>
          <w:sz w:val="24"/>
          <w:szCs w:val="24"/>
        </w:rPr>
      </w:pPr>
      <w:r w:rsidRPr="0053170F">
        <w:rPr>
          <w:rFonts w:ascii="Arial" w:hAnsi="Arial" w:cs="Arial"/>
          <w:sz w:val="24"/>
          <w:szCs w:val="24"/>
        </w:rPr>
        <w:t>•</w:t>
      </w:r>
      <w:r w:rsidRPr="0053170F">
        <w:rPr>
          <w:rFonts w:ascii="Arial" w:hAnsi="Arial" w:cs="Arial"/>
          <w:sz w:val="24"/>
          <w:szCs w:val="24"/>
        </w:rPr>
        <w:tab/>
        <w:t xml:space="preserve">forward contracts; </w:t>
      </w:r>
    </w:p>
    <w:p w14:paraId="1A53238D" w14:textId="77777777" w:rsidR="00687AC0" w:rsidRPr="0053170F" w:rsidRDefault="00687AC0" w:rsidP="00687AC0">
      <w:pPr>
        <w:jc w:val="both"/>
        <w:rPr>
          <w:rFonts w:ascii="Arial" w:hAnsi="Arial" w:cs="Arial"/>
          <w:sz w:val="24"/>
          <w:szCs w:val="24"/>
        </w:rPr>
      </w:pPr>
      <w:r w:rsidRPr="0053170F">
        <w:rPr>
          <w:rFonts w:ascii="Arial" w:hAnsi="Arial" w:cs="Arial"/>
          <w:sz w:val="24"/>
          <w:szCs w:val="24"/>
        </w:rPr>
        <w:t>•</w:t>
      </w:r>
      <w:r w:rsidRPr="0053170F">
        <w:rPr>
          <w:rFonts w:ascii="Arial" w:hAnsi="Arial" w:cs="Arial"/>
          <w:sz w:val="24"/>
          <w:szCs w:val="24"/>
        </w:rPr>
        <w:tab/>
        <w:t xml:space="preserve">currency swaps; </w:t>
      </w:r>
    </w:p>
    <w:p w14:paraId="02878E7A" w14:textId="77777777" w:rsidR="00687AC0" w:rsidRPr="0053170F" w:rsidRDefault="00687AC0" w:rsidP="00687AC0">
      <w:pPr>
        <w:jc w:val="both"/>
        <w:rPr>
          <w:rFonts w:ascii="Arial" w:hAnsi="Arial" w:cs="Arial"/>
          <w:sz w:val="24"/>
          <w:szCs w:val="24"/>
        </w:rPr>
      </w:pPr>
      <w:r w:rsidRPr="0053170F">
        <w:rPr>
          <w:rFonts w:ascii="Arial" w:hAnsi="Arial" w:cs="Arial"/>
          <w:sz w:val="24"/>
          <w:szCs w:val="24"/>
        </w:rPr>
        <w:t>•</w:t>
      </w:r>
      <w:r w:rsidRPr="0053170F">
        <w:rPr>
          <w:rFonts w:ascii="Arial" w:hAnsi="Arial" w:cs="Arial"/>
          <w:sz w:val="24"/>
          <w:szCs w:val="24"/>
        </w:rPr>
        <w:tab/>
        <w:t xml:space="preserve">converting debt into operating cash flows; </w:t>
      </w:r>
    </w:p>
    <w:p w14:paraId="25718A6B" w14:textId="77777777" w:rsidR="00687AC0" w:rsidRPr="0053170F" w:rsidRDefault="00687AC0" w:rsidP="00687AC0">
      <w:pPr>
        <w:jc w:val="both"/>
        <w:rPr>
          <w:rFonts w:ascii="Arial" w:hAnsi="Arial" w:cs="Arial"/>
          <w:sz w:val="24"/>
          <w:szCs w:val="24"/>
        </w:rPr>
      </w:pPr>
      <w:r w:rsidRPr="0053170F">
        <w:rPr>
          <w:rFonts w:ascii="Arial" w:hAnsi="Arial" w:cs="Arial"/>
          <w:sz w:val="24"/>
          <w:szCs w:val="24"/>
        </w:rPr>
        <w:t>•</w:t>
      </w:r>
      <w:r w:rsidRPr="0053170F">
        <w:rPr>
          <w:rFonts w:ascii="Arial" w:hAnsi="Arial" w:cs="Arial"/>
          <w:sz w:val="24"/>
          <w:szCs w:val="24"/>
        </w:rPr>
        <w:tab/>
        <w:t xml:space="preserve">Periodic stress testing on regular FX. </w:t>
      </w:r>
    </w:p>
    <w:p w14:paraId="0FD7ED87" w14:textId="77777777" w:rsidR="00687AC0" w:rsidRPr="0053170F" w:rsidRDefault="00687AC0" w:rsidP="00687AC0">
      <w:pPr>
        <w:jc w:val="both"/>
        <w:rPr>
          <w:rFonts w:ascii="Arial" w:hAnsi="Arial" w:cs="Arial"/>
          <w:sz w:val="24"/>
          <w:szCs w:val="24"/>
        </w:rPr>
      </w:pPr>
      <w:r w:rsidRPr="0053170F">
        <w:rPr>
          <w:rFonts w:ascii="Arial" w:hAnsi="Arial" w:cs="Arial"/>
          <w:sz w:val="24"/>
          <w:szCs w:val="24"/>
        </w:rPr>
        <w:t xml:space="preserve">The IHG already utilize currency swaps to control certain foreign-currency debt exposures. </w:t>
      </w:r>
    </w:p>
    <w:p w14:paraId="69BFFAD1" w14:textId="77777777" w:rsidR="00687AC0" w:rsidRPr="0053170F" w:rsidRDefault="00687AC0" w:rsidP="00687AC0">
      <w:pPr>
        <w:jc w:val="both"/>
        <w:rPr>
          <w:rFonts w:ascii="Arial" w:hAnsi="Arial" w:cs="Arial"/>
          <w:sz w:val="24"/>
          <w:szCs w:val="24"/>
        </w:rPr>
      </w:pPr>
      <w:r w:rsidRPr="0053170F">
        <w:rPr>
          <w:rFonts w:ascii="Arial" w:hAnsi="Arial" w:cs="Arial"/>
          <w:sz w:val="24"/>
          <w:szCs w:val="24"/>
        </w:rPr>
        <w:t>Inflation</w:t>
      </w:r>
    </w:p>
    <w:p w14:paraId="050610EA" w14:textId="77777777" w:rsidR="00687AC0" w:rsidRPr="0053170F" w:rsidRDefault="00687AC0" w:rsidP="00687AC0">
      <w:pPr>
        <w:jc w:val="both"/>
        <w:rPr>
          <w:rFonts w:ascii="Arial" w:hAnsi="Arial" w:cs="Arial"/>
          <w:sz w:val="24"/>
          <w:szCs w:val="24"/>
        </w:rPr>
      </w:pPr>
      <w:r w:rsidRPr="0053170F">
        <w:rPr>
          <w:rFonts w:ascii="Arial" w:hAnsi="Arial" w:cs="Arial"/>
          <w:sz w:val="24"/>
          <w:szCs w:val="24"/>
        </w:rPr>
        <w:t>Inflation can increase:</w:t>
      </w:r>
    </w:p>
    <w:p w14:paraId="54C388DE" w14:textId="77777777" w:rsidR="00687AC0" w:rsidRPr="0053170F" w:rsidRDefault="00687AC0" w:rsidP="00687AC0">
      <w:pPr>
        <w:jc w:val="both"/>
        <w:rPr>
          <w:rFonts w:ascii="Arial" w:hAnsi="Arial" w:cs="Arial"/>
          <w:sz w:val="24"/>
          <w:szCs w:val="24"/>
        </w:rPr>
      </w:pPr>
      <w:r w:rsidRPr="0053170F">
        <w:rPr>
          <w:rFonts w:ascii="Arial" w:hAnsi="Arial" w:cs="Arial"/>
          <w:sz w:val="24"/>
          <w:szCs w:val="24"/>
        </w:rPr>
        <w:t>•</w:t>
      </w:r>
      <w:r w:rsidRPr="0053170F">
        <w:rPr>
          <w:rFonts w:ascii="Arial" w:hAnsi="Arial" w:cs="Arial"/>
          <w:sz w:val="24"/>
          <w:szCs w:val="24"/>
        </w:rPr>
        <w:tab/>
        <w:t xml:space="preserve">hotel labour costs; </w:t>
      </w:r>
    </w:p>
    <w:p w14:paraId="6C669EC3" w14:textId="77777777" w:rsidR="00687AC0" w:rsidRPr="0053170F" w:rsidRDefault="00687AC0" w:rsidP="00687AC0">
      <w:pPr>
        <w:jc w:val="both"/>
        <w:rPr>
          <w:rFonts w:ascii="Arial" w:hAnsi="Arial" w:cs="Arial"/>
          <w:sz w:val="24"/>
          <w:szCs w:val="24"/>
        </w:rPr>
      </w:pPr>
      <w:r w:rsidRPr="0053170F">
        <w:rPr>
          <w:rFonts w:ascii="Arial" w:hAnsi="Arial" w:cs="Arial"/>
          <w:sz w:val="24"/>
          <w:szCs w:val="24"/>
        </w:rPr>
        <w:t>•</w:t>
      </w:r>
      <w:r w:rsidRPr="0053170F">
        <w:rPr>
          <w:rFonts w:ascii="Arial" w:hAnsi="Arial" w:cs="Arial"/>
          <w:sz w:val="24"/>
          <w:szCs w:val="24"/>
        </w:rPr>
        <w:tab/>
        <w:t xml:space="preserve">utilities; </w:t>
      </w:r>
    </w:p>
    <w:p w14:paraId="37E5912E" w14:textId="77777777" w:rsidR="00687AC0" w:rsidRPr="0053170F" w:rsidRDefault="00687AC0" w:rsidP="00687AC0">
      <w:pPr>
        <w:jc w:val="both"/>
        <w:rPr>
          <w:rFonts w:ascii="Arial" w:hAnsi="Arial" w:cs="Arial"/>
          <w:sz w:val="24"/>
          <w:szCs w:val="24"/>
        </w:rPr>
      </w:pPr>
      <w:r w:rsidRPr="0053170F">
        <w:rPr>
          <w:rFonts w:ascii="Arial" w:hAnsi="Arial" w:cs="Arial"/>
          <w:sz w:val="24"/>
          <w:szCs w:val="24"/>
        </w:rPr>
        <w:t>•</w:t>
      </w:r>
      <w:r w:rsidRPr="0053170F">
        <w:rPr>
          <w:rFonts w:ascii="Arial" w:hAnsi="Arial" w:cs="Arial"/>
          <w:sz w:val="24"/>
          <w:szCs w:val="24"/>
        </w:rPr>
        <w:tab/>
        <w:t xml:space="preserve">technology expenses; </w:t>
      </w:r>
    </w:p>
    <w:p w14:paraId="7CFF72BD" w14:textId="77777777" w:rsidR="00687AC0" w:rsidRPr="0053170F" w:rsidRDefault="00687AC0" w:rsidP="00687AC0">
      <w:pPr>
        <w:jc w:val="both"/>
        <w:rPr>
          <w:rFonts w:ascii="Arial" w:hAnsi="Arial" w:cs="Arial"/>
          <w:sz w:val="24"/>
          <w:szCs w:val="24"/>
        </w:rPr>
      </w:pPr>
      <w:r w:rsidRPr="0053170F">
        <w:rPr>
          <w:rFonts w:ascii="Arial" w:hAnsi="Arial" w:cs="Arial"/>
          <w:sz w:val="24"/>
          <w:szCs w:val="24"/>
        </w:rPr>
        <w:t>•</w:t>
      </w:r>
      <w:r w:rsidRPr="0053170F">
        <w:rPr>
          <w:rFonts w:ascii="Arial" w:hAnsi="Arial" w:cs="Arial"/>
          <w:sz w:val="24"/>
          <w:szCs w:val="24"/>
        </w:rPr>
        <w:tab/>
        <w:t xml:space="preserve">supplier prices; </w:t>
      </w:r>
    </w:p>
    <w:p w14:paraId="6EE1C57A" w14:textId="77777777" w:rsidR="00687AC0" w:rsidRPr="0053170F" w:rsidRDefault="00687AC0" w:rsidP="00687AC0">
      <w:pPr>
        <w:jc w:val="both"/>
        <w:rPr>
          <w:rFonts w:ascii="Arial" w:hAnsi="Arial" w:cs="Arial"/>
          <w:sz w:val="24"/>
          <w:szCs w:val="24"/>
        </w:rPr>
      </w:pPr>
      <w:r w:rsidRPr="0053170F">
        <w:rPr>
          <w:rFonts w:ascii="Arial" w:hAnsi="Arial" w:cs="Arial"/>
          <w:sz w:val="24"/>
          <w:szCs w:val="24"/>
        </w:rPr>
        <w:t>•</w:t>
      </w:r>
      <w:r w:rsidRPr="0053170F">
        <w:rPr>
          <w:rFonts w:ascii="Arial" w:hAnsi="Arial" w:cs="Arial"/>
          <w:sz w:val="24"/>
          <w:szCs w:val="24"/>
        </w:rPr>
        <w:tab/>
        <w:t xml:space="preserve">construction and refurbishment costs. </w:t>
      </w:r>
    </w:p>
    <w:p w14:paraId="510B50A3" w14:textId="77777777" w:rsidR="00687AC0" w:rsidRPr="0053170F" w:rsidRDefault="00687AC0" w:rsidP="00687AC0">
      <w:pPr>
        <w:jc w:val="both"/>
        <w:rPr>
          <w:rFonts w:ascii="Arial" w:hAnsi="Arial" w:cs="Arial"/>
          <w:sz w:val="24"/>
          <w:szCs w:val="24"/>
        </w:rPr>
      </w:pPr>
    </w:p>
    <w:p w14:paraId="3A214EE3" w14:textId="77777777" w:rsidR="00687AC0" w:rsidRPr="00780AC5" w:rsidRDefault="00687AC0" w:rsidP="0055511C">
      <w:pPr>
        <w:pStyle w:val="Heading2"/>
        <w:rPr>
          <w:rFonts w:ascii="Arial" w:hAnsi="Arial" w:cs="Arial"/>
          <w:b/>
          <w:bCs/>
        </w:rPr>
      </w:pPr>
      <w:bookmarkStart w:id="24" w:name="_Toc237461187"/>
      <w:r w:rsidRPr="00780AC5">
        <w:rPr>
          <w:rFonts w:ascii="Arial" w:hAnsi="Arial" w:cs="Arial"/>
          <w:b/>
          <w:bCs/>
          <w:sz w:val="28"/>
          <w:szCs w:val="28"/>
        </w:rPr>
        <w:t>3.7 International taxation</w:t>
      </w:r>
      <w:bookmarkEnd w:id="24"/>
    </w:p>
    <w:p w14:paraId="2ADC33DB" w14:textId="77777777" w:rsidR="00687AC0" w:rsidRPr="0053170F" w:rsidRDefault="00687AC0" w:rsidP="00687AC0">
      <w:pPr>
        <w:jc w:val="both"/>
        <w:rPr>
          <w:rFonts w:ascii="Arial" w:hAnsi="Arial" w:cs="Arial"/>
          <w:sz w:val="24"/>
          <w:szCs w:val="24"/>
        </w:rPr>
      </w:pPr>
      <w:r w:rsidRPr="0053170F">
        <w:rPr>
          <w:rFonts w:ascii="Arial" w:hAnsi="Arial" w:cs="Arial"/>
          <w:sz w:val="24"/>
          <w:szCs w:val="24"/>
        </w:rPr>
        <w:t>When restructuring internationally, it is important to take into account how UK tax will interact with taxes in jurisdictions where IHG makes income.</w:t>
      </w:r>
    </w:p>
    <w:p w14:paraId="5CBE26C8" w14:textId="77777777" w:rsidR="00687AC0" w:rsidRPr="0053170F" w:rsidRDefault="00687AC0" w:rsidP="00687AC0">
      <w:pPr>
        <w:jc w:val="both"/>
        <w:rPr>
          <w:rFonts w:ascii="Arial" w:hAnsi="Arial" w:cs="Arial"/>
          <w:sz w:val="24"/>
          <w:szCs w:val="24"/>
        </w:rPr>
      </w:pPr>
      <w:r w:rsidRPr="0053170F">
        <w:rPr>
          <w:rFonts w:ascii="Arial" w:hAnsi="Arial" w:cs="Arial"/>
          <w:sz w:val="24"/>
          <w:szCs w:val="24"/>
        </w:rPr>
        <w:t>The Group should have a tax efficient, but ethically sound, structure. Tax planning should be based on legitimate reliefs and treaties but artificial arrangements which are used purely to transfer profits to a low tax jurisdiction should not be used.</w:t>
      </w:r>
    </w:p>
    <w:p w14:paraId="05E2B8C7" w14:textId="77777777" w:rsidR="00687AC0" w:rsidRPr="0053170F" w:rsidRDefault="00687AC0" w:rsidP="00687AC0">
      <w:pPr>
        <w:jc w:val="both"/>
        <w:rPr>
          <w:rFonts w:ascii="Arial" w:hAnsi="Arial" w:cs="Arial"/>
          <w:sz w:val="24"/>
          <w:szCs w:val="24"/>
        </w:rPr>
      </w:pPr>
      <w:r w:rsidRPr="0053170F">
        <w:rPr>
          <w:rFonts w:ascii="Arial" w:hAnsi="Arial" w:cs="Arial"/>
          <w:sz w:val="24"/>
          <w:szCs w:val="24"/>
        </w:rPr>
        <w:lastRenderedPageBreak/>
        <w:t>This is of particular importance for a multinational as aggressive tax avoidance may cause damage to the reputation and conflict with IHG's commitments to stakeholders.</w:t>
      </w:r>
    </w:p>
    <w:p w14:paraId="65D74FE8" w14:textId="77777777" w:rsidR="00687AC0" w:rsidRPr="0053170F" w:rsidRDefault="00687AC0" w:rsidP="00687AC0">
      <w:pPr>
        <w:jc w:val="both"/>
        <w:rPr>
          <w:rFonts w:ascii="Arial" w:hAnsi="Arial" w:cs="Arial"/>
          <w:sz w:val="24"/>
          <w:szCs w:val="24"/>
        </w:rPr>
      </w:pPr>
      <w:r w:rsidRPr="0053170F">
        <w:rPr>
          <w:rFonts w:ascii="Arial" w:hAnsi="Arial" w:cs="Arial"/>
          <w:sz w:val="24"/>
          <w:szCs w:val="24"/>
        </w:rPr>
        <w:t>So the restructuring team should look at the following:</w:t>
      </w:r>
    </w:p>
    <w:p w14:paraId="1021582B" w14:textId="77777777" w:rsidR="00687AC0" w:rsidRPr="0053170F" w:rsidRDefault="00687AC0" w:rsidP="00687AC0">
      <w:pPr>
        <w:jc w:val="both"/>
        <w:rPr>
          <w:rFonts w:ascii="Arial" w:hAnsi="Arial" w:cs="Arial"/>
          <w:sz w:val="24"/>
          <w:szCs w:val="24"/>
        </w:rPr>
      </w:pPr>
      <w:r w:rsidRPr="0053170F">
        <w:rPr>
          <w:rFonts w:ascii="Arial" w:hAnsi="Arial" w:cs="Arial"/>
          <w:sz w:val="24"/>
          <w:szCs w:val="24"/>
        </w:rPr>
        <w:t>•</w:t>
      </w:r>
      <w:r w:rsidRPr="0053170F">
        <w:rPr>
          <w:rFonts w:ascii="Arial" w:hAnsi="Arial" w:cs="Arial"/>
          <w:sz w:val="24"/>
          <w:szCs w:val="24"/>
        </w:rPr>
        <w:tab/>
        <w:t xml:space="preserve">withholding taxes; </w:t>
      </w:r>
    </w:p>
    <w:p w14:paraId="6A4017C6" w14:textId="77777777" w:rsidR="00687AC0" w:rsidRPr="0053170F" w:rsidRDefault="00687AC0" w:rsidP="00687AC0">
      <w:pPr>
        <w:jc w:val="both"/>
        <w:rPr>
          <w:rFonts w:ascii="Arial" w:hAnsi="Arial" w:cs="Arial"/>
          <w:sz w:val="24"/>
          <w:szCs w:val="24"/>
        </w:rPr>
      </w:pPr>
      <w:r w:rsidRPr="0053170F">
        <w:rPr>
          <w:rFonts w:ascii="Arial" w:hAnsi="Arial" w:cs="Arial"/>
          <w:sz w:val="24"/>
          <w:szCs w:val="24"/>
        </w:rPr>
        <w:t>•</w:t>
      </w:r>
      <w:r w:rsidRPr="0053170F">
        <w:rPr>
          <w:rFonts w:ascii="Arial" w:hAnsi="Arial" w:cs="Arial"/>
          <w:sz w:val="24"/>
          <w:szCs w:val="24"/>
        </w:rPr>
        <w:tab/>
        <w:t xml:space="preserve">transfer pricing; </w:t>
      </w:r>
    </w:p>
    <w:p w14:paraId="37DD02F0" w14:textId="77777777" w:rsidR="00687AC0" w:rsidRPr="0053170F" w:rsidRDefault="00687AC0" w:rsidP="00687AC0">
      <w:pPr>
        <w:jc w:val="both"/>
        <w:rPr>
          <w:rFonts w:ascii="Arial" w:hAnsi="Arial" w:cs="Arial"/>
          <w:sz w:val="24"/>
          <w:szCs w:val="24"/>
        </w:rPr>
      </w:pPr>
      <w:r w:rsidRPr="0053170F">
        <w:rPr>
          <w:rFonts w:ascii="Arial" w:hAnsi="Arial" w:cs="Arial"/>
          <w:sz w:val="24"/>
          <w:szCs w:val="24"/>
        </w:rPr>
        <w:t>•</w:t>
      </w:r>
      <w:r w:rsidRPr="0053170F">
        <w:rPr>
          <w:rFonts w:ascii="Arial" w:hAnsi="Arial" w:cs="Arial"/>
          <w:sz w:val="24"/>
          <w:szCs w:val="24"/>
        </w:rPr>
        <w:tab/>
        <w:t xml:space="preserve">permanent-establishment risks; </w:t>
      </w:r>
    </w:p>
    <w:p w14:paraId="34C67C44" w14:textId="77777777" w:rsidR="00687AC0" w:rsidRPr="0053170F" w:rsidRDefault="00687AC0" w:rsidP="00687AC0">
      <w:pPr>
        <w:jc w:val="both"/>
        <w:rPr>
          <w:rFonts w:ascii="Arial" w:hAnsi="Arial" w:cs="Arial"/>
          <w:sz w:val="24"/>
          <w:szCs w:val="24"/>
        </w:rPr>
      </w:pPr>
      <w:r w:rsidRPr="0053170F">
        <w:rPr>
          <w:rFonts w:ascii="Arial" w:hAnsi="Arial" w:cs="Arial"/>
          <w:sz w:val="24"/>
          <w:szCs w:val="24"/>
        </w:rPr>
        <w:t>•</w:t>
      </w:r>
      <w:r w:rsidRPr="0053170F">
        <w:rPr>
          <w:rFonts w:ascii="Arial" w:hAnsi="Arial" w:cs="Arial"/>
          <w:sz w:val="24"/>
          <w:szCs w:val="24"/>
        </w:rPr>
        <w:tab/>
        <w:t xml:space="preserve">tax consequences of dividends; </w:t>
      </w:r>
    </w:p>
    <w:p w14:paraId="3D9A16B1" w14:textId="77777777" w:rsidR="00687AC0" w:rsidRPr="0053170F" w:rsidRDefault="00687AC0" w:rsidP="00687AC0">
      <w:pPr>
        <w:jc w:val="both"/>
        <w:rPr>
          <w:rFonts w:ascii="Arial" w:hAnsi="Arial" w:cs="Arial"/>
          <w:sz w:val="24"/>
          <w:szCs w:val="24"/>
        </w:rPr>
      </w:pPr>
      <w:r w:rsidRPr="0053170F">
        <w:rPr>
          <w:rFonts w:ascii="Arial" w:hAnsi="Arial" w:cs="Arial"/>
          <w:sz w:val="24"/>
          <w:szCs w:val="24"/>
        </w:rPr>
        <w:t>•</w:t>
      </w:r>
      <w:r w:rsidRPr="0053170F">
        <w:rPr>
          <w:rFonts w:ascii="Arial" w:hAnsi="Arial" w:cs="Arial"/>
          <w:sz w:val="24"/>
          <w:szCs w:val="24"/>
        </w:rPr>
        <w:tab/>
        <w:t xml:space="preserve">acquisition-related tax; </w:t>
      </w:r>
    </w:p>
    <w:p w14:paraId="5B6563E8" w14:textId="77777777" w:rsidR="00687AC0" w:rsidRPr="0053170F" w:rsidRDefault="00687AC0" w:rsidP="00687AC0">
      <w:pPr>
        <w:jc w:val="both"/>
        <w:rPr>
          <w:rFonts w:ascii="Arial" w:hAnsi="Arial" w:cs="Arial"/>
          <w:sz w:val="24"/>
          <w:szCs w:val="24"/>
        </w:rPr>
      </w:pPr>
      <w:r w:rsidRPr="0053170F">
        <w:rPr>
          <w:rFonts w:ascii="Arial" w:hAnsi="Arial" w:cs="Arial"/>
          <w:sz w:val="24"/>
          <w:szCs w:val="24"/>
        </w:rPr>
        <w:t>•</w:t>
      </w:r>
      <w:r w:rsidRPr="0053170F">
        <w:rPr>
          <w:rFonts w:ascii="Arial" w:hAnsi="Arial" w:cs="Arial"/>
          <w:sz w:val="24"/>
          <w:szCs w:val="24"/>
        </w:rPr>
        <w:tab/>
        <w:t xml:space="preserve">interest deductibility; </w:t>
      </w:r>
    </w:p>
    <w:p w14:paraId="5BB6B2CA" w14:textId="77777777" w:rsidR="00687AC0" w:rsidRPr="0053170F" w:rsidRDefault="00687AC0" w:rsidP="00687AC0">
      <w:pPr>
        <w:jc w:val="both"/>
        <w:rPr>
          <w:rFonts w:ascii="Arial" w:hAnsi="Arial" w:cs="Arial"/>
          <w:sz w:val="24"/>
          <w:szCs w:val="24"/>
        </w:rPr>
      </w:pPr>
      <w:r w:rsidRPr="0053170F">
        <w:rPr>
          <w:rFonts w:ascii="Arial" w:hAnsi="Arial" w:cs="Arial"/>
          <w:sz w:val="24"/>
          <w:szCs w:val="24"/>
        </w:rPr>
        <w:t>•</w:t>
      </w:r>
      <w:r w:rsidRPr="0053170F">
        <w:rPr>
          <w:rFonts w:ascii="Arial" w:hAnsi="Arial" w:cs="Arial"/>
          <w:sz w:val="24"/>
          <w:szCs w:val="24"/>
        </w:rPr>
        <w:tab/>
        <w:t xml:space="preserve">International tax developments in the OECD. </w:t>
      </w:r>
    </w:p>
    <w:p w14:paraId="29BA0A9B" w14:textId="46A2E5AB" w:rsidR="0080201F" w:rsidRPr="0053170F" w:rsidRDefault="00687AC0" w:rsidP="0080201F">
      <w:pPr>
        <w:jc w:val="both"/>
        <w:rPr>
          <w:rFonts w:ascii="Arial" w:hAnsi="Arial" w:cs="Arial"/>
          <w:sz w:val="24"/>
          <w:szCs w:val="24"/>
        </w:rPr>
      </w:pPr>
      <w:r w:rsidRPr="0053170F">
        <w:rPr>
          <w:rFonts w:ascii="Arial" w:hAnsi="Arial" w:cs="Arial"/>
          <w:sz w:val="24"/>
          <w:szCs w:val="24"/>
        </w:rPr>
        <w:t>The goal is to reduce the sustainable effective tax cost with full compliance of the tax laws and spirit of the IHG's jurisdictions.</w:t>
      </w:r>
    </w:p>
    <w:p w14:paraId="61359EC5" w14:textId="77777777" w:rsidR="0080201F" w:rsidRPr="0053170F" w:rsidRDefault="0080201F" w:rsidP="0080201F">
      <w:pPr>
        <w:jc w:val="both"/>
        <w:rPr>
          <w:rFonts w:ascii="Arial" w:hAnsi="Arial" w:cs="Arial"/>
          <w:sz w:val="24"/>
          <w:szCs w:val="24"/>
        </w:rPr>
      </w:pPr>
      <w:r w:rsidRPr="0053170F">
        <w:rPr>
          <w:rFonts w:ascii="Arial" w:hAnsi="Arial" w:cs="Arial"/>
          <w:sz w:val="24"/>
          <w:szCs w:val="24"/>
        </w:rPr>
        <w:t>A five-year restructuring plan was recommended, which is now in place.A five year restructuring plan was recommended, and is now in place.</w:t>
      </w:r>
    </w:p>
    <w:p w14:paraId="6118C9D3" w14:textId="77777777" w:rsidR="0080201F" w:rsidRPr="0053170F" w:rsidRDefault="0080201F" w:rsidP="0080201F">
      <w:pPr>
        <w:jc w:val="both"/>
        <w:rPr>
          <w:rFonts w:ascii="Arial" w:hAnsi="Arial" w:cs="Arial"/>
          <w:sz w:val="24"/>
          <w:szCs w:val="24"/>
        </w:rPr>
      </w:pPr>
      <w:r w:rsidRPr="0053170F">
        <w:rPr>
          <w:rFonts w:ascii="Arial" w:hAnsi="Arial" w:cs="Arial"/>
          <w:sz w:val="24"/>
          <w:szCs w:val="24"/>
        </w:rPr>
        <w:t>Financial restructuring plan, 2026–2030 (proposed)</w:t>
      </w:r>
    </w:p>
    <w:p w14:paraId="587C3E43" w14:textId="77777777" w:rsidR="0080201F" w:rsidRPr="0053170F" w:rsidRDefault="0080201F" w:rsidP="0080201F">
      <w:pPr>
        <w:jc w:val="both"/>
        <w:rPr>
          <w:rFonts w:ascii="Arial" w:hAnsi="Arial" w:cs="Arial"/>
          <w:sz w:val="24"/>
          <w:szCs w:val="24"/>
        </w:rPr>
      </w:pPr>
      <w:r w:rsidRPr="0053170F">
        <w:rPr>
          <w:rFonts w:ascii="Arial" w:hAnsi="Arial" w:cs="Arial"/>
          <w:sz w:val="24"/>
          <w:szCs w:val="24"/>
        </w:rPr>
        <w:t xml:space="preserve">IHG's financial proof is that the Group must not be radically restructured, but requires a more disciplined capital-allocation framework. In 2025, the business had $898 million of operating cash flow and $893 million of adjusted free cash flow, highlighting strong internal financing capability. </w:t>
      </w:r>
    </w:p>
    <w:p w14:paraId="316D775E" w14:textId="77777777" w:rsidR="0080201F" w:rsidRPr="0053170F" w:rsidRDefault="0080201F" w:rsidP="0080201F">
      <w:pPr>
        <w:jc w:val="both"/>
        <w:rPr>
          <w:rFonts w:ascii="Arial" w:hAnsi="Arial" w:cs="Arial"/>
          <w:sz w:val="24"/>
          <w:szCs w:val="24"/>
        </w:rPr>
      </w:pPr>
      <w:r w:rsidRPr="0053170F">
        <w:rPr>
          <w:rFonts w:ascii="Arial" w:hAnsi="Arial" w:cs="Arial"/>
          <w:sz w:val="24"/>
          <w:szCs w:val="24"/>
        </w:rPr>
        <w:t>The net debt position is, however, increasing at the same time as the balance sheet is being strengthened by more than $1.1 billion in shareholder distributions. The suggested approach is then one of financial restructuring and not rescue restructuring.</w:t>
      </w:r>
    </w:p>
    <w:p w14:paraId="4F89219F" w14:textId="77777777" w:rsidR="0080201F" w:rsidRPr="0053170F" w:rsidRDefault="0080201F" w:rsidP="0080201F">
      <w:pPr>
        <w:jc w:val="both"/>
        <w:rPr>
          <w:rFonts w:ascii="Arial" w:hAnsi="Arial" w:cs="Arial"/>
          <w:sz w:val="24"/>
          <w:szCs w:val="24"/>
        </w:rPr>
      </w:pPr>
      <w:r w:rsidRPr="0053170F">
        <w:rPr>
          <w:rFonts w:ascii="Arial" w:hAnsi="Arial" w:cs="Arial"/>
          <w:sz w:val="24"/>
          <w:szCs w:val="24"/>
        </w:rPr>
        <w:t>The CFO should have four priorities:</w:t>
      </w:r>
    </w:p>
    <w:p w14:paraId="5ADBADBF" w14:textId="57E51AE4" w:rsidR="0080201F" w:rsidRPr="0053170F" w:rsidRDefault="00B27230" w:rsidP="0080201F">
      <w:pPr>
        <w:jc w:val="both"/>
        <w:rPr>
          <w:rFonts w:ascii="Arial" w:hAnsi="Arial" w:cs="Arial"/>
          <w:sz w:val="24"/>
          <w:szCs w:val="24"/>
        </w:rPr>
      </w:pPr>
      <w:r w:rsidRPr="0053170F">
        <w:rPr>
          <w:rFonts w:ascii="Arial" w:hAnsi="Arial" w:cs="Arial"/>
          <w:sz w:val="24"/>
          <w:szCs w:val="24"/>
        </w:rPr>
        <w:t>1.</w:t>
      </w:r>
      <w:r w:rsidR="00EC609E" w:rsidRPr="0053170F">
        <w:rPr>
          <w:rFonts w:ascii="Arial" w:hAnsi="Arial" w:cs="Arial"/>
          <w:sz w:val="24"/>
          <w:szCs w:val="24"/>
        </w:rPr>
        <w:t xml:space="preserve"> </w:t>
      </w:r>
      <w:r w:rsidR="0080201F" w:rsidRPr="0053170F">
        <w:rPr>
          <w:rFonts w:ascii="Arial" w:hAnsi="Arial" w:cs="Arial"/>
          <w:sz w:val="24"/>
          <w:szCs w:val="24"/>
        </w:rPr>
        <w:t xml:space="preserve">Maintain liquidity by maintaining a minimum level of cash and committed facility. </w:t>
      </w:r>
    </w:p>
    <w:p w14:paraId="38A56230" w14:textId="77777777" w:rsidR="0080201F" w:rsidRPr="0053170F" w:rsidRDefault="0080201F" w:rsidP="0080201F">
      <w:pPr>
        <w:jc w:val="both"/>
        <w:rPr>
          <w:rFonts w:ascii="Arial" w:hAnsi="Arial" w:cs="Arial"/>
          <w:sz w:val="24"/>
          <w:szCs w:val="24"/>
        </w:rPr>
      </w:pPr>
      <w:r w:rsidRPr="0053170F">
        <w:rPr>
          <w:rFonts w:ascii="Arial" w:hAnsi="Arial" w:cs="Arial"/>
          <w:sz w:val="24"/>
          <w:szCs w:val="24"/>
        </w:rPr>
        <w:t xml:space="preserve">2. Optimize working capital by accelerating the collection of receivables and increased utilization of advance-payment facilities. </w:t>
      </w:r>
    </w:p>
    <w:p w14:paraId="3BB49132" w14:textId="77777777" w:rsidR="0080201F" w:rsidRPr="0053170F" w:rsidRDefault="0080201F" w:rsidP="0080201F">
      <w:pPr>
        <w:jc w:val="both"/>
        <w:rPr>
          <w:rFonts w:ascii="Arial" w:hAnsi="Arial" w:cs="Arial"/>
          <w:sz w:val="24"/>
          <w:szCs w:val="24"/>
        </w:rPr>
      </w:pPr>
      <w:r w:rsidRPr="0053170F">
        <w:rPr>
          <w:rFonts w:ascii="Arial" w:hAnsi="Arial" w:cs="Arial"/>
          <w:sz w:val="24"/>
          <w:szCs w:val="24"/>
        </w:rPr>
        <w:t xml:space="preserve">3. Restrict leverage – make some buybacks discretionary based on free cash flow and net-debt/EBITDA. </w:t>
      </w:r>
    </w:p>
    <w:p w14:paraId="19330920" w14:textId="062B2974" w:rsidR="0080201F" w:rsidRPr="0053170F" w:rsidRDefault="00B27230" w:rsidP="0080201F">
      <w:pPr>
        <w:jc w:val="both"/>
        <w:rPr>
          <w:rFonts w:ascii="Arial" w:hAnsi="Arial" w:cs="Arial"/>
          <w:sz w:val="24"/>
          <w:szCs w:val="24"/>
        </w:rPr>
      </w:pPr>
      <w:r w:rsidRPr="0053170F">
        <w:rPr>
          <w:rFonts w:ascii="Arial" w:hAnsi="Arial" w:cs="Arial"/>
          <w:sz w:val="24"/>
          <w:szCs w:val="24"/>
        </w:rPr>
        <w:t>4</w:t>
      </w:r>
      <w:r w:rsidR="0080201F" w:rsidRPr="0053170F">
        <w:rPr>
          <w:rFonts w:ascii="Arial" w:hAnsi="Arial" w:cs="Arial"/>
          <w:sz w:val="24"/>
          <w:szCs w:val="24"/>
        </w:rPr>
        <w:t xml:space="preserve">. Invest in international growth, technology, ESG and strategic acquisitions to drive high return investment, not just to maximize EPS in a short-term manner. </w:t>
      </w:r>
    </w:p>
    <w:p w14:paraId="2A9FCB49" w14:textId="45A6FD83" w:rsidR="0080201F" w:rsidRPr="0053170F" w:rsidRDefault="0080201F" w:rsidP="0080201F">
      <w:pPr>
        <w:jc w:val="both"/>
        <w:rPr>
          <w:rFonts w:ascii="Arial" w:hAnsi="Arial" w:cs="Arial"/>
          <w:sz w:val="24"/>
          <w:szCs w:val="24"/>
        </w:rPr>
      </w:pPr>
    </w:p>
    <w:p w14:paraId="6416AB9D" w14:textId="77777777" w:rsidR="009A33D6" w:rsidRPr="00437EBC" w:rsidRDefault="009A33D6" w:rsidP="0055511C">
      <w:pPr>
        <w:pStyle w:val="Heading1"/>
        <w:rPr>
          <w:rFonts w:ascii="Arial" w:hAnsi="Arial" w:cs="Arial"/>
          <w:b/>
          <w:bCs/>
          <w:sz w:val="28"/>
          <w:szCs w:val="28"/>
        </w:rPr>
      </w:pPr>
      <w:bookmarkStart w:id="25" w:name="_Toc237461188"/>
      <w:r w:rsidRPr="00437EBC">
        <w:rPr>
          <w:rFonts w:ascii="Arial" w:hAnsi="Arial" w:cs="Arial"/>
          <w:b/>
          <w:bCs/>
          <w:sz w:val="28"/>
          <w:szCs w:val="28"/>
        </w:rPr>
        <w:lastRenderedPageBreak/>
        <w:t>4. Investment Appraisal and Capital Budgeting</w:t>
      </w:r>
      <w:bookmarkEnd w:id="25"/>
    </w:p>
    <w:p w14:paraId="54C2A556" w14:textId="77777777" w:rsidR="009A33D6" w:rsidRPr="00437EBC" w:rsidRDefault="009A33D6" w:rsidP="0055511C">
      <w:pPr>
        <w:pStyle w:val="Heading2"/>
        <w:rPr>
          <w:rFonts w:ascii="Arial" w:hAnsi="Arial" w:cs="Arial"/>
          <w:b/>
          <w:bCs/>
          <w:sz w:val="28"/>
          <w:szCs w:val="28"/>
        </w:rPr>
      </w:pPr>
      <w:bookmarkStart w:id="26" w:name="_Toc237461189"/>
      <w:r w:rsidRPr="00437EBC">
        <w:rPr>
          <w:rFonts w:ascii="Arial" w:hAnsi="Arial" w:cs="Arial"/>
          <w:b/>
          <w:bCs/>
          <w:sz w:val="28"/>
          <w:szCs w:val="28"/>
        </w:rPr>
        <w:t>4.1 Introduction</w:t>
      </w:r>
      <w:bookmarkEnd w:id="26"/>
    </w:p>
    <w:p w14:paraId="4A4DC562" w14:textId="77777777" w:rsidR="009A33D6" w:rsidRPr="0053170F" w:rsidRDefault="009A33D6" w:rsidP="009A33D6">
      <w:pPr>
        <w:jc w:val="both"/>
        <w:rPr>
          <w:rFonts w:ascii="Arial" w:hAnsi="Arial" w:cs="Arial"/>
          <w:sz w:val="24"/>
          <w:szCs w:val="24"/>
        </w:rPr>
      </w:pPr>
      <w:r w:rsidRPr="0053170F">
        <w:rPr>
          <w:rFonts w:ascii="Arial" w:hAnsi="Arial" w:cs="Arial"/>
          <w:sz w:val="24"/>
          <w:szCs w:val="24"/>
        </w:rPr>
        <w:t>Investment appraisal is a vital aspect of financial management since it decides the success or otherwise of proposed projects in terms of generating or destroying shareholder value. Continued investment in IHG's brands, technology, hotel development, loyalty, digital and international expansion is key to the Group's strategy, which makes investment decisions of special importance for InterContinental Hotels Group PLC (IHG). IHG's asset light business model enables the company's growth mainly through management and franchise contracts, resulting in less investment than the hotel companies that own significant property portfolios.</w:t>
      </w:r>
    </w:p>
    <w:p w14:paraId="249A2515" w14:textId="77777777" w:rsidR="009A33D6" w:rsidRPr="0053170F" w:rsidRDefault="009A33D6" w:rsidP="009A33D6">
      <w:pPr>
        <w:jc w:val="both"/>
        <w:rPr>
          <w:rFonts w:ascii="Arial" w:hAnsi="Arial" w:cs="Arial"/>
          <w:sz w:val="24"/>
          <w:szCs w:val="24"/>
        </w:rPr>
      </w:pPr>
      <w:r w:rsidRPr="0053170F">
        <w:rPr>
          <w:rFonts w:ascii="Arial" w:hAnsi="Arial" w:cs="Arial"/>
          <w:sz w:val="24"/>
          <w:szCs w:val="24"/>
        </w:rPr>
        <w:t>This section involves three mutually exclusive projects of £50 million each that are being evaluated through the use of the following investment appraisal methods: Payback Period (PBP), Accounting Rate of Return (ARR), Net Present Value (NPV), Profitability Index (PI) and Internal Rate of Return (IRR). The discount rate is taken as 8% and the straight line method of depreciation is used to a scrap value of zero over 5 years. The goal is to find the project that will give the highest financial contribution, taking into account the recent profitability, liquidity, leverage and non-financial risks of IHG.</w:t>
      </w:r>
    </w:p>
    <w:p w14:paraId="72B67911" w14:textId="77777777" w:rsidR="009A33D6" w:rsidRPr="0053170F" w:rsidRDefault="009A33D6" w:rsidP="009A33D6">
      <w:pPr>
        <w:jc w:val="both"/>
        <w:rPr>
          <w:rFonts w:ascii="Arial" w:hAnsi="Arial" w:cs="Arial"/>
          <w:sz w:val="24"/>
          <w:szCs w:val="24"/>
        </w:rPr>
      </w:pPr>
    </w:p>
    <w:p w14:paraId="5D4F8499" w14:textId="77777777" w:rsidR="009A33D6" w:rsidRPr="00437EBC" w:rsidRDefault="009A33D6" w:rsidP="0055511C">
      <w:pPr>
        <w:pStyle w:val="Heading2"/>
        <w:rPr>
          <w:rFonts w:ascii="Arial" w:hAnsi="Arial" w:cs="Arial"/>
          <w:b/>
          <w:bCs/>
          <w:sz w:val="28"/>
          <w:szCs w:val="28"/>
        </w:rPr>
      </w:pPr>
      <w:bookmarkStart w:id="27" w:name="_Toc237461190"/>
      <w:r w:rsidRPr="00437EBC">
        <w:rPr>
          <w:rFonts w:ascii="Arial" w:hAnsi="Arial" w:cs="Arial"/>
          <w:b/>
          <w:bCs/>
          <w:sz w:val="28"/>
          <w:szCs w:val="28"/>
        </w:rPr>
        <w:t>4.2 Project information and assumptions</w:t>
      </w:r>
      <w:bookmarkEnd w:id="27"/>
    </w:p>
    <w:p w14:paraId="4E9ED280" w14:textId="0B18E348" w:rsidR="009A33D6" w:rsidRPr="00437EBC" w:rsidRDefault="009A33D6" w:rsidP="009A33D6">
      <w:pPr>
        <w:jc w:val="both"/>
        <w:rPr>
          <w:rFonts w:ascii="Arial" w:hAnsi="Arial" w:cs="Arial"/>
          <w:b/>
          <w:bCs/>
          <w:sz w:val="28"/>
          <w:szCs w:val="28"/>
        </w:rPr>
      </w:pPr>
      <w:r w:rsidRPr="00437EBC">
        <w:rPr>
          <w:rFonts w:ascii="Arial" w:hAnsi="Arial" w:cs="Arial"/>
          <w:b/>
          <w:bCs/>
          <w:sz w:val="28"/>
          <w:szCs w:val="28"/>
        </w:rPr>
        <w:t>Proposed investment projects (Table 1</w:t>
      </w:r>
      <w:r w:rsidR="00AB5485" w:rsidRPr="00437EBC">
        <w:rPr>
          <w:rFonts w:ascii="Arial" w:hAnsi="Arial" w:cs="Arial"/>
          <w:b/>
          <w:bCs/>
          <w:sz w:val="28"/>
          <w:szCs w:val="28"/>
        </w:rPr>
        <w:t>1</w:t>
      </w:r>
      <w:r w:rsidRPr="00437EBC">
        <w:rPr>
          <w:rFonts w:ascii="Arial" w:hAnsi="Arial" w:cs="Arial"/>
          <w:b/>
          <w:bCs/>
          <w:sz w:val="28"/>
          <w:szCs w:val="28"/>
        </w:rPr>
        <w:t>)</w:t>
      </w:r>
    </w:p>
    <w:tbl>
      <w:tblPr>
        <w:tblStyle w:val="GridTable4-Accent3"/>
        <w:tblW w:w="0" w:type="auto"/>
        <w:tblLook w:val="04A0" w:firstRow="1" w:lastRow="0" w:firstColumn="1" w:lastColumn="0" w:noHBand="0" w:noVBand="1"/>
      </w:tblPr>
      <w:tblGrid>
        <w:gridCol w:w="2254"/>
        <w:gridCol w:w="2254"/>
        <w:gridCol w:w="2254"/>
        <w:gridCol w:w="2254"/>
      </w:tblGrid>
      <w:tr w:rsidR="00C1241F" w:rsidRPr="0053170F" w14:paraId="73519122" w14:textId="77777777" w:rsidTr="00C124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4DEA822" w14:textId="77777777" w:rsidR="00C1241F" w:rsidRPr="0053170F" w:rsidRDefault="00C1241F" w:rsidP="00747199">
            <w:pPr>
              <w:jc w:val="both"/>
              <w:rPr>
                <w:rFonts w:ascii="Arial" w:hAnsi="Arial" w:cs="Arial"/>
                <w:b w:val="0"/>
                <w:bCs w:val="0"/>
                <w:sz w:val="24"/>
                <w:szCs w:val="24"/>
              </w:rPr>
            </w:pPr>
            <w:r w:rsidRPr="0053170F">
              <w:rPr>
                <w:rFonts w:ascii="Arial" w:hAnsi="Arial" w:cs="Arial"/>
                <w:b w:val="0"/>
                <w:bCs w:val="0"/>
                <w:sz w:val="24"/>
                <w:szCs w:val="24"/>
              </w:rPr>
              <w:t>Initial investment costs (£ m):</w:t>
            </w:r>
          </w:p>
        </w:tc>
        <w:tc>
          <w:tcPr>
            <w:tcW w:w="2254" w:type="dxa"/>
          </w:tcPr>
          <w:p w14:paraId="6CE4DAB8" w14:textId="77777777" w:rsidR="00C1241F" w:rsidRPr="0053170F" w:rsidRDefault="00C1241F" w:rsidP="00747199">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2000</w:t>
            </w:r>
          </w:p>
        </w:tc>
        <w:tc>
          <w:tcPr>
            <w:tcW w:w="2254" w:type="dxa"/>
          </w:tcPr>
          <w:p w14:paraId="22A7B1CB" w14:textId="77777777" w:rsidR="00C1241F" w:rsidRPr="0053170F" w:rsidRDefault="00C1241F" w:rsidP="00747199">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3000</w:t>
            </w:r>
          </w:p>
        </w:tc>
        <w:tc>
          <w:tcPr>
            <w:tcW w:w="2254" w:type="dxa"/>
          </w:tcPr>
          <w:p w14:paraId="165C706C" w14:textId="77777777" w:rsidR="00C1241F" w:rsidRPr="0053170F" w:rsidRDefault="00C1241F" w:rsidP="00747199">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4000</w:t>
            </w:r>
          </w:p>
        </w:tc>
      </w:tr>
      <w:tr w:rsidR="00C1241F" w:rsidRPr="0053170F" w14:paraId="083B42AB" w14:textId="77777777" w:rsidTr="00C124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B39C482" w14:textId="77777777" w:rsidR="00C1241F" w:rsidRPr="0053170F" w:rsidRDefault="00C1241F" w:rsidP="00747199">
            <w:pPr>
              <w:jc w:val="both"/>
              <w:rPr>
                <w:rFonts w:ascii="Arial" w:hAnsi="Arial" w:cs="Arial"/>
                <w:b w:val="0"/>
                <w:bCs w:val="0"/>
                <w:sz w:val="24"/>
                <w:szCs w:val="24"/>
              </w:rPr>
            </w:pPr>
            <w:r w:rsidRPr="0053170F">
              <w:rPr>
                <w:rFonts w:ascii="Arial" w:hAnsi="Arial" w:cs="Arial"/>
                <w:b w:val="0"/>
                <w:bCs w:val="0"/>
                <w:sz w:val="24"/>
                <w:szCs w:val="24"/>
              </w:rPr>
              <w:t>Initial investment</w:t>
            </w:r>
          </w:p>
        </w:tc>
        <w:tc>
          <w:tcPr>
            <w:tcW w:w="2254" w:type="dxa"/>
          </w:tcPr>
          <w:p w14:paraId="12346C25" w14:textId="77777777" w:rsidR="00C1241F" w:rsidRPr="0053170F" w:rsidRDefault="00C1241F" w:rsidP="00747199">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50</w:t>
            </w:r>
          </w:p>
        </w:tc>
        <w:tc>
          <w:tcPr>
            <w:tcW w:w="2254" w:type="dxa"/>
          </w:tcPr>
          <w:p w14:paraId="002594C6" w14:textId="77777777" w:rsidR="00C1241F" w:rsidRPr="0053170F" w:rsidRDefault="00C1241F" w:rsidP="00747199">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50</w:t>
            </w:r>
          </w:p>
        </w:tc>
        <w:tc>
          <w:tcPr>
            <w:tcW w:w="2254" w:type="dxa"/>
          </w:tcPr>
          <w:p w14:paraId="3CC90E6D" w14:textId="77777777" w:rsidR="00C1241F" w:rsidRPr="0053170F" w:rsidRDefault="00C1241F" w:rsidP="00747199">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50</w:t>
            </w:r>
          </w:p>
        </w:tc>
      </w:tr>
      <w:tr w:rsidR="00C1241F" w:rsidRPr="0053170F" w14:paraId="27335901" w14:textId="77777777" w:rsidTr="00C1241F">
        <w:tc>
          <w:tcPr>
            <w:cnfStyle w:val="001000000000" w:firstRow="0" w:lastRow="0" w:firstColumn="1" w:lastColumn="0" w:oddVBand="0" w:evenVBand="0" w:oddHBand="0" w:evenHBand="0" w:firstRowFirstColumn="0" w:firstRowLastColumn="0" w:lastRowFirstColumn="0" w:lastRowLastColumn="0"/>
            <w:tcW w:w="2254" w:type="dxa"/>
          </w:tcPr>
          <w:p w14:paraId="64795E87" w14:textId="77777777" w:rsidR="00C1241F" w:rsidRPr="0053170F" w:rsidRDefault="00C1241F" w:rsidP="00747199">
            <w:pPr>
              <w:jc w:val="both"/>
              <w:rPr>
                <w:rFonts w:ascii="Arial" w:hAnsi="Arial" w:cs="Arial"/>
                <w:b w:val="0"/>
                <w:bCs w:val="0"/>
                <w:sz w:val="24"/>
                <w:szCs w:val="24"/>
              </w:rPr>
            </w:pPr>
            <w:r w:rsidRPr="0053170F">
              <w:rPr>
                <w:rFonts w:ascii="Arial" w:hAnsi="Arial" w:cs="Arial"/>
                <w:b w:val="0"/>
                <w:bCs w:val="0"/>
                <w:sz w:val="24"/>
                <w:szCs w:val="24"/>
              </w:rPr>
              <w:t>Year 1 cash inflow</w:t>
            </w:r>
          </w:p>
        </w:tc>
        <w:tc>
          <w:tcPr>
            <w:tcW w:w="2254" w:type="dxa"/>
          </w:tcPr>
          <w:p w14:paraId="1F2C5B07" w14:textId="77777777" w:rsidR="00C1241F" w:rsidRPr="0053170F" w:rsidRDefault="00C1241F" w:rsidP="00747199">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10</w:t>
            </w:r>
          </w:p>
        </w:tc>
        <w:tc>
          <w:tcPr>
            <w:tcW w:w="2254" w:type="dxa"/>
          </w:tcPr>
          <w:p w14:paraId="03ACEA4C" w14:textId="77777777" w:rsidR="00C1241F" w:rsidRPr="0053170F" w:rsidRDefault="00C1241F" w:rsidP="00747199">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11</w:t>
            </w:r>
          </w:p>
        </w:tc>
        <w:tc>
          <w:tcPr>
            <w:tcW w:w="2254" w:type="dxa"/>
          </w:tcPr>
          <w:p w14:paraId="1BA5156B" w14:textId="77777777" w:rsidR="00C1241F" w:rsidRPr="0053170F" w:rsidRDefault="00C1241F" w:rsidP="00747199">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5</w:t>
            </w:r>
          </w:p>
        </w:tc>
      </w:tr>
      <w:tr w:rsidR="00C1241F" w:rsidRPr="0053170F" w14:paraId="7312DD96" w14:textId="77777777" w:rsidTr="00C124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7EA3880" w14:textId="77777777" w:rsidR="00C1241F" w:rsidRPr="0053170F" w:rsidRDefault="00C1241F" w:rsidP="00747199">
            <w:pPr>
              <w:jc w:val="both"/>
              <w:rPr>
                <w:rFonts w:ascii="Arial" w:hAnsi="Arial" w:cs="Arial"/>
                <w:b w:val="0"/>
                <w:bCs w:val="0"/>
                <w:sz w:val="24"/>
                <w:szCs w:val="24"/>
              </w:rPr>
            </w:pPr>
            <w:r w:rsidRPr="0053170F">
              <w:rPr>
                <w:rFonts w:ascii="Arial" w:hAnsi="Arial" w:cs="Arial"/>
                <w:b w:val="0"/>
                <w:bCs w:val="0"/>
                <w:sz w:val="24"/>
                <w:szCs w:val="24"/>
              </w:rPr>
              <w:t>Year 2 cash inflow</w:t>
            </w:r>
          </w:p>
        </w:tc>
        <w:tc>
          <w:tcPr>
            <w:tcW w:w="2254" w:type="dxa"/>
          </w:tcPr>
          <w:p w14:paraId="6F868F17" w14:textId="77777777" w:rsidR="00C1241F" w:rsidRPr="0053170F" w:rsidRDefault="00C1241F" w:rsidP="00747199">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12</w:t>
            </w:r>
          </w:p>
        </w:tc>
        <w:tc>
          <w:tcPr>
            <w:tcW w:w="2254" w:type="dxa"/>
          </w:tcPr>
          <w:p w14:paraId="182C6AA8" w14:textId="77777777" w:rsidR="00C1241F" w:rsidRPr="0053170F" w:rsidRDefault="00C1241F" w:rsidP="00747199">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11</w:t>
            </w:r>
          </w:p>
        </w:tc>
        <w:tc>
          <w:tcPr>
            <w:tcW w:w="2254" w:type="dxa"/>
          </w:tcPr>
          <w:p w14:paraId="7B0467E6" w14:textId="77777777" w:rsidR="00C1241F" w:rsidRPr="0053170F" w:rsidRDefault="00C1241F" w:rsidP="00747199">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10</w:t>
            </w:r>
          </w:p>
        </w:tc>
      </w:tr>
      <w:tr w:rsidR="00C1241F" w:rsidRPr="0053170F" w14:paraId="33385101" w14:textId="77777777" w:rsidTr="00C1241F">
        <w:tc>
          <w:tcPr>
            <w:cnfStyle w:val="001000000000" w:firstRow="0" w:lastRow="0" w:firstColumn="1" w:lastColumn="0" w:oddVBand="0" w:evenVBand="0" w:oddHBand="0" w:evenHBand="0" w:firstRowFirstColumn="0" w:firstRowLastColumn="0" w:lastRowFirstColumn="0" w:lastRowLastColumn="0"/>
            <w:tcW w:w="2254" w:type="dxa"/>
          </w:tcPr>
          <w:p w14:paraId="35CBA739" w14:textId="77777777" w:rsidR="00C1241F" w:rsidRPr="0053170F" w:rsidRDefault="00C1241F" w:rsidP="00747199">
            <w:pPr>
              <w:jc w:val="both"/>
              <w:rPr>
                <w:rFonts w:ascii="Arial" w:hAnsi="Arial" w:cs="Arial"/>
                <w:b w:val="0"/>
                <w:bCs w:val="0"/>
                <w:sz w:val="24"/>
                <w:szCs w:val="24"/>
              </w:rPr>
            </w:pPr>
            <w:r w:rsidRPr="0053170F">
              <w:rPr>
                <w:rFonts w:ascii="Arial" w:hAnsi="Arial" w:cs="Arial"/>
                <w:b w:val="0"/>
                <w:bCs w:val="0"/>
                <w:sz w:val="24"/>
                <w:szCs w:val="24"/>
              </w:rPr>
              <w:t>Year 3 cash inflow</w:t>
            </w:r>
          </w:p>
        </w:tc>
        <w:tc>
          <w:tcPr>
            <w:tcW w:w="2254" w:type="dxa"/>
          </w:tcPr>
          <w:p w14:paraId="60DB068E" w14:textId="77777777" w:rsidR="00C1241F" w:rsidRPr="0053170F" w:rsidRDefault="00C1241F" w:rsidP="00747199">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14</w:t>
            </w:r>
          </w:p>
        </w:tc>
        <w:tc>
          <w:tcPr>
            <w:tcW w:w="2254" w:type="dxa"/>
          </w:tcPr>
          <w:p w14:paraId="4D974F0D" w14:textId="77777777" w:rsidR="00C1241F" w:rsidRPr="0053170F" w:rsidRDefault="00C1241F" w:rsidP="00747199">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11</w:t>
            </w:r>
          </w:p>
        </w:tc>
        <w:tc>
          <w:tcPr>
            <w:tcW w:w="2254" w:type="dxa"/>
          </w:tcPr>
          <w:p w14:paraId="40C07AEB" w14:textId="77777777" w:rsidR="00C1241F" w:rsidRPr="0053170F" w:rsidRDefault="00C1241F" w:rsidP="00747199">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20</w:t>
            </w:r>
          </w:p>
        </w:tc>
      </w:tr>
      <w:tr w:rsidR="00C1241F" w:rsidRPr="0053170F" w14:paraId="1D0DF3BC" w14:textId="77777777" w:rsidTr="00C124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2885FB8" w14:textId="77777777" w:rsidR="00C1241F" w:rsidRPr="0053170F" w:rsidRDefault="00C1241F" w:rsidP="00747199">
            <w:pPr>
              <w:jc w:val="both"/>
              <w:rPr>
                <w:rFonts w:ascii="Arial" w:hAnsi="Arial" w:cs="Arial"/>
                <w:b w:val="0"/>
                <w:bCs w:val="0"/>
                <w:sz w:val="24"/>
                <w:szCs w:val="24"/>
              </w:rPr>
            </w:pPr>
            <w:r w:rsidRPr="0053170F">
              <w:rPr>
                <w:rFonts w:ascii="Arial" w:hAnsi="Arial" w:cs="Arial"/>
                <w:b w:val="0"/>
                <w:bCs w:val="0"/>
                <w:sz w:val="24"/>
                <w:szCs w:val="24"/>
              </w:rPr>
              <w:t>Year 4 cash inflow</w:t>
            </w:r>
          </w:p>
        </w:tc>
        <w:tc>
          <w:tcPr>
            <w:tcW w:w="2254" w:type="dxa"/>
          </w:tcPr>
          <w:p w14:paraId="14CCCCD8" w14:textId="77777777" w:rsidR="00C1241F" w:rsidRPr="0053170F" w:rsidRDefault="00C1241F" w:rsidP="00747199">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10</w:t>
            </w:r>
          </w:p>
        </w:tc>
        <w:tc>
          <w:tcPr>
            <w:tcW w:w="2254" w:type="dxa"/>
          </w:tcPr>
          <w:p w14:paraId="0FDB3A63" w14:textId="77777777" w:rsidR="00C1241F" w:rsidRPr="0053170F" w:rsidRDefault="00C1241F" w:rsidP="00747199">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11</w:t>
            </w:r>
          </w:p>
        </w:tc>
        <w:tc>
          <w:tcPr>
            <w:tcW w:w="2254" w:type="dxa"/>
          </w:tcPr>
          <w:p w14:paraId="685B991E" w14:textId="77777777" w:rsidR="00C1241F" w:rsidRPr="0053170F" w:rsidRDefault="00C1241F" w:rsidP="00747199">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25</w:t>
            </w:r>
          </w:p>
        </w:tc>
      </w:tr>
      <w:tr w:rsidR="00C1241F" w:rsidRPr="0053170F" w14:paraId="3142C17E" w14:textId="77777777" w:rsidTr="00C1241F">
        <w:tc>
          <w:tcPr>
            <w:cnfStyle w:val="001000000000" w:firstRow="0" w:lastRow="0" w:firstColumn="1" w:lastColumn="0" w:oddVBand="0" w:evenVBand="0" w:oddHBand="0" w:evenHBand="0" w:firstRowFirstColumn="0" w:firstRowLastColumn="0" w:lastRowFirstColumn="0" w:lastRowLastColumn="0"/>
            <w:tcW w:w="2254" w:type="dxa"/>
          </w:tcPr>
          <w:p w14:paraId="3B4C32FD" w14:textId="77777777" w:rsidR="00C1241F" w:rsidRPr="0053170F" w:rsidRDefault="00C1241F" w:rsidP="00747199">
            <w:pPr>
              <w:jc w:val="both"/>
              <w:rPr>
                <w:rFonts w:ascii="Arial" w:hAnsi="Arial" w:cs="Arial"/>
                <w:b w:val="0"/>
                <w:bCs w:val="0"/>
                <w:sz w:val="24"/>
                <w:szCs w:val="24"/>
              </w:rPr>
            </w:pPr>
            <w:r w:rsidRPr="0053170F">
              <w:rPr>
                <w:rFonts w:ascii="Arial" w:hAnsi="Arial" w:cs="Arial"/>
                <w:b w:val="0"/>
                <w:bCs w:val="0"/>
                <w:sz w:val="24"/>
                <w:szCs w:val="24"/>
              </w:rPr>
              <w:t>Year 5 cash inflow</w:t>
            </w:r>
          </w:p>
        </w:tc>
        <w:tc>
          <w:tcPr>
            <w:tcW w:w="2254" w:type="dxa"/>
          </w:tcPr>
          <w:p w14:paraId="754CD685" w14:textId="77777777" w:rsidR="00C1241F" w:rsidRPr="0053170F" w:rsidRDefault="00C1241F" w:rsidP="00747199">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8</w:t>
            </w:r>
          </w:p>
        </w:tc>
        <w:tc>
          <w:tcPr>
            <w:tcW w:w="2254" w:type="dxa"/>
          </w:tcPr>
          <w:p w14:paraId="1FCE9884" w14:textId="77777777" w:rsidR="00C1241F" w:rsidRPr="0053170F" w:rsidRDefault="00C1241F" w:rsidP="00747199">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11</w:t>
            </w:r>
          </w:p>
        </w:tc>
        <w:tc>
          <w:tcPr>
            <w:tcW w:w="2254" w:type="dxa"/>
          </w:tcPr>
          <w:p w14:paraId="53BDBE84" w14:textId="77777777" w:rsidR="00C1241F" w:rsidRPr="0053170F" w:rsidRDefault="00C1241F" w:rsidP="00747199">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5</w:t>
            </w:r>
          </w:p>
        </w:tc>
      </w:tr>
      <w:tr w:rsidR="00C1241F" w:rsidRPr="0053170F" w14:paraId="034804DA" w14:textId="77777777" w:rsidTr="00C124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905DC0F" w14:textId="77777777" w:rsidR="00C1241F" w:rsidRPr="0053170F" w:rsidRDefault="00C1241F" w:rsidP="00747199">
            <w:pPr>
              <w:jc w:val="both"/>
              <w:rPr>
                <w:rFonts w:ascii="Arial" w:hAnsi="Arial" w:cs="Arial"/>
                <w:b w:val="0"/>
                <w:bCs w:val="0"/>
                <w:sz w:val="24"/>
                <w:szCs w:val="24"/>
              </w:rPr>
            </w:pPr>
            <w:r w:rsidRPr="0053170F">
              <w:rPr>
                <w:rFonts w:ascii="Arial" w:hAnsi="Arial" w:cs="Arial"/>
                <w:b w:val="0"/>
                <w:bCs w:val="0"/>
                <w:sz w:val="24"/>
                <w:szCs w:val="24"/>
              </w:rPr>
              <w:t>Total cash inflows</w:t>
            </w:r>
          </w:p>
        </w:tc>
        <w:tc>
          <w:tcPr>
            <w:tcW w:w="2254" w:type="dxa"/>
          </w:tcPr>
          <w:p w14:paraId="20D80AC3" w14:textId="77777777" w:rsidR="00C1241F" w:rsidRPr="0053170F" w:rsidRDefault="00C1241F" w:rsidP="00747199">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54</w:t>
            </w:r>
          </w:p>
        </w:tc>
        <w:tc>
          <w:tcPr>
            <w:tcW w:w="2254" w:type="dxa"/>
          </w:tcPr>
          <w:p w14:paraId="1B21901E" w14:textId="77777777" w:rsidR="00C1241F" w:rsidRPr="0053170F" w:rsidRDefault="00C1241F" w:rsidP="00747199">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55</w:t>
            </w:r>
          </w:p>
        </w:tc>
        <w:tc>
          <w:tcPr>
            <w:tcW w:w="2254" w:type="dxa"/>
          </w:tcPr>
          <w:p w14:paraId="71A287FE" w14:textId="77777777" w:rsidR="00C1241F" w:rsidRPr="0053170F" w:rsidRDefault="00C1241F" w:rsidP="00747199">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65</w:t>
            </w:r>
          </w:p>
        </w:tc>
      </w:tr>
    </w:tbl>
    <w:p w14:paraId="1FFDFAD7" w14:textId="77777777" w:rsidR="009A33D6" w:rsidRPr="0053170F" w:rsidRDefault="009A33D6" w:rsidP="009A33D6">
      <w:pPr>
        <w:jc w:val="both"/>
        <w:rPr>
          <w:rFonts w:ascii="Arial" w:hAnsi="Arial" w:cs="Arial"/>
          <w:sz w:val="24"/>
          <w:szCs w:val="24"/>
        </w:rPr>
      </w:pPr>
      <w:r w:rsidRPr="0053170F">
        <w:rPr>
          <w:rFonts w:ascii="Arial" w:hAnsi="Arial" w:cs="Arial"/>
          <w:sz w:val="24"/>
          <w:szCs w:val="24"/>
        </w:rPr>
        <w:t>The following assumptions are made:</w:t>
      </w:r>
    </w:p>
    <w:p w14:paraId="6D8CC406" w14:textId="77777777" w:rsidR="009A33D6" w:rsidRPr="0053170F" w:rsidRDefault="009A33D6" w:rsidP="009A33D6">
      <w:pPr>
        <w:jc w:val="both"/>
        <w:rPr>
          <w:rFonts w:ascii="Arial" w:hAnsi="Arial" w:cs="Arial"/>
          <w:sz w:val="24"/>
          <w:szCs w:val="24"/>
        </w:rPr>
      </w:pPr>
      <w:r w:rsidRPr="0053170F">
        <w:rPr>
          <w:rFonts w:ascii="Arial" w:hAnsi="Arial" w:cs="Arial"/>
          <w:sz w:val="24"/>
          <w:szCs w:val="24"/>
        </w:rPr>
        <w:t>•</w:t>
      </w:r>
      <w:r w:rsidRPr="0053170F">
        <w:rPr>
          <w:rFonts w:ascii="Arial" w:hAnsi="Arial" w:cs="Arial"/>
          <w:sz w:val="24"/>
          <w:szCs w:val="24"/>
        </w:rPr>
        <w:tab/>
        <w:t>Initial investment = £50 million.</w:t>
      </w:r>
    </w:p>
    <w:p w14:paraId="4C4903AE" w14:textId="77777777" w:rsidR="009A33D6" w:rsidRPr="0053170F" w:rsidRDefault="009A33D6" w:rsidP="009A33D6">
      <w:pPr>
        <w:jc w:val="both"/>
        <w:rPr>
          <w:rFonts w:ascii="Arial" w:hAnsi="Arial" w:cs="Arial"/>
          <w:sz w:val="24"/>
          <w:szCs w:val="24"/>
        </w:rPr>
      </w:pPr>
      <w:r w:rsidRPr="0053170F">
        <w:rPr>
          <w:rFonts w:ascii="Arial" w:hAnsi="Arial" w:cs="Arial"/>
          <w:sz w:val="24"/>
          <w:szCs w:val="24"/>
        </w:rPr>
        <w:t>The project life is 5 years.</w:t>
      </w:r>
    </w:p>
    <w:p w14:paraId="281EFA76" w14:textId="77777777" w:rsidR="009A33D6" w:rsidRPr="0053170F" w:rsidRDefault="009A33D6" w:rsidP="009A33D6">
      <w:pPr>
        <w:jc w:val="both"/>
        <w:rPr>
          <w:rFonts w:ascii="Arial" w:hAnsi="Arial" w:cs="Arial"/>
          <w:sz w:val="24"/>
          <w:szCs w:val="24"/>
        </w:rPr>
      </w:pPr>
      <w:r w:rsidRPr="0053170F">
        <w:rPr>
          <w:rFonts w:ascii="Arial" w:hAnsi="Arial" w:cs="Arial"/>
          <w:sz w:val="24"/>
          <w:szCs w:val="24"/>
        </w:rPr>
        <w:t>•</w:t>
      </w:r>
      <w:r w:rsidRPr="0053170F">
        <w:rPr>
          <w:rFonts w:ascii="Arial" w:hAnsi="Arial" w:cs="Arial"/>
          <w:sz w:val="24"/>
          <w:szCs w:val="24"/>
        </w:rPr>
        <w:tab/>
        <w:t>Discount rate = 8%.</w:t>
      </w:r>
    </w:p>
    <w:p w14:paraId="477B48F3" w14:textId="77777777" w:rsidR="009A33D6" w:rsidRPr="0053170F" w:rsidRDefault="009A33D6" w:rsidP="009A33D6">
      <w:pPr>
        <w:jc w:val="both"/>
        <w:rPr>
          <w:rFonts w:ascii="Arial" w:hAnsi="Arial" w:cs="Arial"/>
          <w:sz w:val="24"/>
          <w:szCs w:val="24"/>
        </w:rPr>
      </w:pPr>
      <w:r w:rsidRPr="0053170F">
        <w:rPr>
          <w:rFonts w:ascii="Arial" w:hAnsi="Arial" w:cs="Arial"/>
          <w:sz w:val="24"/>
          <w:szCs w:val="24"/>
        </w:rPr>
        <w:t>•</w:t>
      </w:r>
      <w:r w:rsidRPr="0053170F">
        <w:rPr>
          <w:rFonts w:ascii="Arial" w:hAnsi="Arial" w:cs="Arial"/>
          <w:sz w:val="24"/>
          <w:szCs w:val="24"/>
        </w:rPr>
        <w:tab/>
        <w:t>No residual value.</w:t>
      </w:r>
    </w:p>
    <w:p w14:paraId="5FAA6213" w14:textId="77777777" w:rsidR="009A33D6" w:rsidRPr="0053170F" w:rsidRDefault="009A33D6" w:rsidP="009A33D6">
      <w:pPr>
        <w:jc w:val="both"/>
        <w:rPr>
          <w:rFonts w:ascii="Arial" w:hAnsi="Arial" w:cs="Arial"/>
          <w:sz w:val="24"/>
          <w:szCs w:val="24"/>
        </w:rPr>
      </w:pPr>
      <w:r w:rsidRPr="0053170F">
        <w:rPr>
          <w:rFonts w:ascii="Arial" w:hAnsi="Arial" w:cs="Arial"/>
          <w:sz w:val="24"/>
          <w:szCs w:val="24"/>
        </w:rPr>
        <w:t>Using straight line depreciation to £0 – £50m / 5 = £10m per year.</w:t>
      </w:r>
    </w:p>
    <w:p w14:paraId="26815DE7" w14:textId="77777777" w:rsidR="009A33D6" w:rsidRPr="0053170F" w:rsidRDefault="009A33D6" w:rsidP="009A33D6">
      <w:pPr>
        <w:jc w:val="both"/>
        <w:rPr>
          <w:rFonts w:ascii="Arial" w:hAnsi="Arial" w:cs="Arial"/>
          <w:sz w:val="24"/>
          <w:szCs w:val="24"/>
        </w:rPr>
      </w:pPr>
      <w:r w:rsidRPr="0053170F">
        <w:rPr>
          <w:rFonts w:ascii="Arial" w:hAnsi="Arial" w:cs="Arial"/>
          <w:sz w:val="24"/>
          <w:szCs w:val="24"/>
        </w:rPr>
        <w:t>Cash inflows are taken to be the net annual operating cash inflows.</w:t>
      </w:r>
    </w:p>
    <w:p w14:paraId="4BFC2914" w14:textId="77777777" w:rsidR="009A33D6" w:rsidRPr="0053170F" w:rsidRDefault="009A33D6" w:rsidP="009A33D6">
      <w:pPr>
        <w:jc w:val="both"/>
        <w:rPr>
          <w:rFonts w:ascii="Arial" w:hAnsi="Arial" w:cs="Arial"/>
          <w:sz w:val="24"/>
          <w:szCs w:val="24"/>
        </w:rPr>
      </w:pPr>
      <w:r w:rsidRPr="0053170F">
        <w:rPr>
          <w:rFonts w:ascii="Arial" w:hAnsi="Arial" w:cs="Arial"/>
          <w:sz w:val="24"/>
          <w:szCs w:val="24"/>
        </w:rPr>
        <w:t>There are no tax effects identified in the question and tax effects are not taken into account.</w:t>
      </w:r>
    </w:p>
    <w:p w14:paraId="23C0CD04" w14:textId="77777777" w:rsidR="009A33D6" w:rsidRPr="0053170F" w:rsidRDefault="009A33D6" w:rsidP="009A33D6">
      <w:pPr>
        <w:jc w:val="both"/>
        <w:rPr>
          <w:rFonts w:ascii="Arial" w:hAnsi="Arial" w:cs="Arial"/>
          <w:sz w:val="24"/>
          <w:szCs w:val="24"/>
        </w:rPr>
      </w:pPr>
      <w:r w:rsidRPr="0053170F">
        <w:rPr>
          <w:rFonts w:ascii="Arial" w:hAnsi="Arial" w:cs="Arial"/>
          <w:sz w:val="24"/>
          <w:szCs w:val="24"/>
        </w:rPr>
        <w:lastRenderedPageBreak/>
        <w:t>The cash flows are assumed to include working-capital movements.</w:t>
      </w:r>
    </w:p>
    <w:p w14:paraId="3685E9BF" w14:textId="77777777" w:rsidR="009A33D6" w:rsidRPr="0053170F" w:rsidRDefault="009A33D6" w:rsidP="009A33D6">
      <w:pPr>
        <w:jc w:val="both"/>
        <w:rPr>
          <w:rFonts w:ascii="Arial" w:hAnsi="Arial" w:cs="Arial"/>
          <w:sz w:val="24"/>
          <w:szCs w:val="24"/>
        </w:rPr>
      </w:pPr>
      <w:r w:rsidRPr="0053170F">
        <w:rPr>
          <w:rFonts w:ascii="Arial" w:hAnsi="Arial" w:cs="Arial"/>
          <w:sz w:val="24"/>
          <w:szCs w:val="24"/>
        </w:rPr>
        <w:t>Projects are treated separately in the first phase and then for a funding limit of £100m in the second phase.</w:t>
      </w:r>
    </w:p>
    <w:p w14:paraId="4A650F51" w14:textId="77777777" w:rsidR="009A33D6" w:rsidRPr="00BE5951" w:rsidRDefault="009A33D6" w:rsidP="0055511C">
      <w:pPr>
        <w:pStyle w:val="Heading2"/>
        <w:rPr>
          <w:rFonts w:ascii="Arial" w:hAnsi="Arial" w:cs="Arial"/>
          <w:b/>
          <w:bCs/>
          <w:sz w:val="28"/>
          <w:szCs w:val="28"/>
        </w:rPr>
      </w:pPr>
      <w:bookmarkStart w:id="28" w:name="_Toc237461191"/>
      <w:r w:rsidRPr="00BE5951">
        <w:rPr>
          <w:rFonts w:ascii="Arial" w:hAnsi="Arial" w:cs="Arial"/>
          <w:b/>
          <w:bCs/>
          <w:sz w:val="28"/>
          <w:szCs w:val="28"/>
        </w:rPr>
        <w:t>4.3 Payback Period</w:t>
      </w:r>
      <w:bookmarkEnd w:id="28"/>
    </w:p>
    <w:p w14:paraId="2209627B" w14:textId="77777777" w:rsidR="009A33D6" w:rsidRPr="0053170F" w:rsidRDefault="009A33D6" w:rsidP="009A33D6">
      <w:pPr>
        <w:jc w:val="both"/>
        <w:rPr>
          <w:rFonts w:ascii="Arial" w:hAnsi="Arial" w:cs="Arial"/>
          <w:sz w:val="24"/>
          <w:szCs w:val="24"/>
        </w:rPr>
      </w:pPr>
      <w:r w:rsidRPr="0053170F">
        <w:rPr>
          <w:rFonts w:ascii="Arial" w:hAnsi="Arial" w:cs="Arial"/>
          <w:sz w:val="24"/>
          <w:szCs w:val="24"/>
        </w:rPr>
        <w:t>Payback Period is the time it takes to get back the initial investment from undiscounted net cash flows.</w:t>
      </w:r>
    </w:p>
    <w:p w14:paraId="5D13CA2B" w14:textId="77777777" w:rsidR="009A33D6" w:rsidRPr="00BE5951" w:rsidRDefault="009A33D6" w:rsidP="009A33D6">
      <w:pPr>
        <w:jc w:val="both"/>
        <w:rPr>
          <w:rFonts w:ascii="Arial" w:hAnsi="Arial" w:cs="Arial"/>
          <w:b/>
          <w:bCs/>
          <w:sz w:val="24"/>
          <w:szCs w:val="24"/>
        </w:rPr>
      </w:pPr>
      <w:r w:rsidRPr="00BE5951">
        <w:rPr>
          <w:rFonts w:ascii="Arial" w:hAnsi="Arial" w:cs="Arial"/>
          <w:b/>
          <w:bCs/>
          <w:sz w:val="24"/>
          <w:szCs w:val="24"/>
        </w:rPr>
        <w:t>Project A</w:t>
      </w:r>
    </w:p>
    <w:p w14:paraId="5B3FCA62" w14:textId="77777777" w:rsidR="009A33D6" w:rsidRPr="0053170F" w:rsidRDefault="009A33D6" w:rsidP="009A33D6">
      <w:pPr>
        <w:jc w:val="both"/>
        <w:rPr>
          <w:rFonts w:ascii="Arial" w:hAnsi="Arial" w:cs="Arial"/>
          <w:sz w:val="24"/>
          <w:szCs w:val="24"/>
        </w:rPr>
      </w:pPr>
      <w:r w:rsidRPr="0053170F">
        <w:rPr>
          <w:rFonts w:ascii="Arial" w:hAnsi="Arial" w:cs="Arial"/>
          <w:sz w:val="24"/>
          <w:szCs w:val="24"/>
        </w:rPr>
        <w:t>Cumulative cash flow:</w:t>
      </w:r>
    </w:p>
    <w:p w14:paraId="3943E79F" w14:textId="77777777" w:rsidR="009A33D6" w:rsidRPr="0053170F" w:rsidRDefault="009A33D6" w:rsidP="009A33D6">
      <w:pPr>
        <w:jc w:val="both"/>
        <w:rPr>
          <w:rFonts w:ascii="Arial" w:hAnsi="Arial" w:cs="Arial"/>
          <w:sz w:val="24"/>
          <w:szCs w:val="24"/>
        </w:rPr>
      </w:pPr>
      <w:r w:rsidRPr="0053170F">
        <w:rPr>
          <w:rFonts w:ascii="Arial" w:hAnsi="Arial" w:cs="Arial"/>
          <w:sz w:val="24"/>
          <w:szCs w:val="24"/>
        </w:rPr>
        <w:t>•</w:t>
      </w:r>
      <w:r w:rsidRPr="0053170F">
        <w:rPr>
          <w:rFonts w:ascii="Arial" w:hAnsi="Arial" w:cs="Arial"/>
          <w:sz w:val="24"/>
          <w:szCs w:val="24"/>
        </w:rPr>
        <w:tab/>
        <w:t>Year 1 = £10m</w:t>
      </w:r>
    </w:p>
    <w:p w14:paraId="7D198651" w14:textId="77777777" w:rsidR="009A33D6" w:rsidRPr="0053170F" w:rsidRDefault="009A33D6" w:rsidP="009A33D6">
      <w:pPr>
        <w:jc w:val="both"/>
        <w:rPr>
          <w:rFonts w:ascii="Arial" w:hAnsi="Arial" w:cs="Arial"/>
          <w:sz w:val="24"/>
          <w:szCs w:val="24"/>
        </w:rPr>
      </w:pPr>
      <w:r w:rsidRPr="0053170F">
        <w:rPr>
          <w:rFonts w:ascii="Arial" w:hAnsi="Arial" w:cs="Arial"/>
          <w:sz w:val="24"/>
          <w:szCs w:val="24"/>
        </w:rPr>
        <w:t>•</w:t>
      </w:r>
      <w:r w:rsidRPr="0053170F">
        <w:rPr>
          <w:rFonts w:ascii="Arial" w:hAnsi="Arial" w:cs="Arial"/>
          <w:sz w:val="24"/>
          <w:szCs w:val="24"/>
        </w:rPr>
        <w:tab/>
        <w:t>Year 2 = £22m</w:t>
      </w:r>
    </w:p>
    <w:p w14:paraId="5742BD2C" w14:textId="77777777" w:rsidR="009A33D6" w:rsidRPr="0053170F" w:rsidRDefault="009A33D6" w:rsidP="009A33D6">
      <w:pPr>
        <w:jc w:val="both"/>
        <w:rPr>
          <w:rFonts w:ascii="Arial" w:hAnsi="Arial" w:cs="Arial"/>
          <w:sz w:val="24"/>
          <w:szCs w:val="24"/>
        </w:rPr>
      </w:pPr>
      <w:r w:rsidRPr="0053170F">
        <w:rPr>
          <w:rFonts w:ascii="Arial" w:hAnsi="Arial" w:cs="Arial"/>
          <w:sz w:val="24"/>
          <w:szCs w:val="24"/>
        </w:rPr>
        <w:t>•</w:t>
      </w:r>
      <w:r w:rsidRPr="0053170F">
        <w:rPr>
          <w:rFonts w:ascii="Arial" w:hAnsi="Arial" w:cs="Arial"/>
          <w:sz w:val="24"/>
          <w:szCs w:val="24"/>
        </w:rPr>
        <w:tab/>
        <w:t>Year 3 = £36m</w:t>
      </w:r>
    </w:p>
    <w:p w14:paraId="3660229E" w14:textId="77777777" w:rsidR="009A33D6" w:rsidRPr="0053170F" w:rsidRDefault="009A33D6" w:rsidP="009A33D6">
      <w:pPr>
        <w:jc w:val="both"/>
        <w:rPr>
          <w:rFonts w:ascii="Arial" w:hAnsi="Arial" w:cs="Arial"/>
          <w:sz w:val="24"/>
          <w:szCs w:val="24"/>
        </w:rPr>
      </w:pPr>
      <w:r w:rsidRPr="0053170F">
        <w:rPr>
          <w:rFonts w:ascii="Arial" w:hAnsi="Arial" w:cs="Arial"/>
          <w:sz w:val="24"/>
          <w:szCs w:val="24"/>
        </w:rPr>
        <w:t>•</w:t>
      </w:r>
      <w:r w:rsidRPr="0053170F">
        <w:rPr>
          <w:rFonts w:ascii="Arial" w:hAnsi="Arial" w:cs="Arial"/>
          <w:sz w:val="24"/>
          <w:szCs w:val="24"/>
        </w:rPr>
        <w:tab/>
        <w:t>Year 4 = £46m</w:t>
      </w:r>
    </w:p>
    <w:p w14:paraId="211CD4E0" w14:textId="77777777" w:rsidR="009A33D6" w:rsidRPr="0053170F" w:rsidRDefault="009A33D6" w:rsidP="009A33D6">
      <w:pPr>
        <w:jc w:val="both"/>
        <w:rPr>
          <w:rFonts w:ascii="Arial" w:hAnsi="Arial" w:cs="Arial"/>
          <w:sz w:val="24"/>
          <w:szCs w:val="24"/>
        </w:rPr>
      </w:pPr>
      <w:r w:rsidRPr="0053170F">
        <w:rPr>
          <w:rFonts w:ascii="Arial" w:hAnsi="Arial" w:cs="Arial"/>
          <w:sz w:val="24"/>
          <w:szCs w:val="24"/>
        </w:rPr>
        <w:t>•</w:t>
      </w:r>
      <w:r w:rsidRPr="0053170F">
        <w:rPr>
          <w:rFonts w:ascii="Arial" w:hAnsi="Arial" w:cs="Arial"/>
          <w:sz w:val="24"/>
          <w:szCs w:val="24"/>
        </w:rPr>
        <w:tab/>
        <w:t>Year 5 = £54m</w:t>
      </w:r>
    </w:p>
    <w:p w14:paraId="6A1F682B" w14:textId="77777777" w:rsidR="009A33D6" w:rsidRPr="0053170F" w:rsidRDefault="009A33D6" w:rsidP="009A33D6">
      <w:pPr>
        <w:jc w:val="both"/>
        <w:rPr>
          <w:rFonts w:ascii="Arial" w:hAnsi="Arial" w:cs="Arial"/>
          <w:sz w:val="24"/>
          <w:szCs w:val="24"/>
        </w:rPr>
      </w:pPr>
      <w:r w:rsidRPr="0053170F">
        <w:rPr>
          <w:rFonts w:ascii="Arial" w:hAnsi="Arial" w:cs="Arial"/>
          <w:sz w:val="24"/>
          <w:szCs w:val="24"/>
        </w:rPr>
        <w:t>The balance of the investment at the end of Year 4 is:</w:t>
      </w:r>
    </w:p>
    <w:p w14:paraId="51EC2ECF" w14:textId="77777777" w:rsidR="009A33D6" w:rsidRPr="0053170F" w:rsidRDefault="009A33D6" w:rsidP="009A33D6">
      <w:pPr>
        <w:jc w:val="both"/>
        <w:rPr>
          <w:rFonts w:ascii="Arial" w:hAnsi="Arial" w:cs="Arial"/>
          <w:sz w:val="24"/>
          <w:szCs w:val="24"/>
        </w:rPr>
      </w:pPr>
      <w:r w:rsidRPr="0053170F">
        <w:rPr>
          <w:rFonts w:ascii="Arial" w:hAnsi="Arial" w:cs="Arial"/>
          <w:sz w:val="24"/>
          <w:szCs w:val="24"/>
        </w:rPr>
        <w:t>£50m − £46m = £4m</w:t>
      </w:r>
    </w:p>
    <w:p w14:paraId="6CCC9855" w14:textId="77777777" w:rsidR="009A33D6" w:rsidRPr="0053170F" w:rsidRDefault="009A33D6" w:rsidP="009A33D6">
      <w:pPr>
        <w:jc w:val="both"/>
        <w:rPr>
          <w:rFonts w:ascii="Arial" w:hAnsi="Arial" w:cs="Arial"/>
          <w:sz w:val="24"/>
          <w:szCs w:val="24"/>
        </w:rPr>
      </w:pPr>
      <w:r w:rsidRPr="0053170F">
        <w:rPr>
          <w:rFonts w:ascii="Arial" w:hAnsi="Arial" w:cs="Arial"/>
          <w:sz w:val="24"/>
          <w:szCs w:val="24"/>
        </w:rPr>
        <w:t>Therefore:</w:t>
      </w:r>
    </w:p>
    <w:p w14:paraId="7FFCEC9C" w14:textId="77777777" w:rsidR="009A33D6" w:rsidRPr="0053170F" w:rsidRDefault="009A33D6" w:rsidP="009A33D6">
      <w:pPr>
        <w:jc w:val="both"/>
        <w:rPr>
          <w:rFonts w:ascii="Arial" w:hAnsi="Arial" w:cs="Arial"/>
          <w:sz w:val="24"/>
          <w:szCs w:val="24"/>
        </w:rPr>
      </w:pPr>
      <w:r w:rsidRPr="0053170F">
        <w:rPr>
          <w:rFonts w:ascii="Arial" w:hAnsi="Arial" w:cs="Arial"/>
          <w:sz w:val="24"/>
          <w:szCs w:val="24"/>
        </w:rPr>
        <w:t>PBP = 4 + (£4m / £8m) = 4.50 years</w:t>
      </w:r>
    </w:p>
    <w:p w14:paraId="250E2711" w14:textId="77777777" w:rsidR="009A33D6" w:rsidRPr="00BE5951" w:rsidRDefault="009A33D6" w:rsidP="009A33D6">
      <w:pPr>
        <w:jc w:val="both"/>
        <w:rPr>
          <w:rFonts w:ascii="Arial" w:hAnsi="Arial" w:cs="Arial"/>
          <w:b/>
          <w:bCs/>
          <w:sz w:val="24"/>
          <w:szCs w:val="24"/>
        </w:rPr>
      </w:pPr>
      <w:r w:rsidRPr="00BE5951">
        <w:rPr>
          <w:rFonts w:ascii="Arial" w:hAnsi="Arial" w:cs="Arial"/>
          <w:b/>
          <w:bCs/>
          <w:sz w:val="24"/>
          <w:szCs w:val="24"/>
        </w:rPr>
        <w:t>Project B</w:t>
      </w:r>
    </w:p>
    <w:p w14:paraId="2AFD7D89" w14:textId="77777777" w:rsidR="009A33D6" w:rsidRPr="0053170F" w:rsidRDefault="009A33D6" w:rsidP="009A33D6">
      <w:pPr>
        <w:jc w:val="both"/>
        <w:rPr>
          <w:rFonts w:ascii="Arial" w:hAnsi="Arial" w:cs="Arial"/>
          <w:sz w:val="24"/>
          <w:szCs w:val="24"/>
        </w:rPr>
      </w:pPr>
      <w:r w:rsidRPr="0053170F">
        <w:rPr>
          <w:rFonts w:ascii="Arial" w:hAnsi="Arial" w:cs="Arial"/>
          <w:sz w:val="24"/>
          <w:szCs w:val="24"/>
        </w:rPr>
        <w:t>Cumulative cash flow:</w:t>
      </w:r>
    </w:p>
    <w:p w14:paraId="59C5B9C0" w14:textId="77777777" w:rsidR="009A33D6" w:rsidRPr="0053170F" w:rsidRDefault="009A33D6" w:rsidP="009A33D6">
      <w:pPr>
        <w:jc w:val="both"/>
        <w:rPr>
          <w:rFonts w:ascii="Arial" w:hAnsi="Arial" w:cs="Arial"/>
          <w:sz w:val="24"/>
          <w:szCs w:val="24"/>
        </w:rPr>
      </w:pPr>
      <w:r w:rsidRPr="0053170F">
        <w:rPr>
          <w:rFonts w:ascii="Arial" w:hAnsi="Arial" w:cs="Arial"/>
          <w:sz w:val="24"/>
          <w:szCs w:val="24"/>
        </w:rPr>
        <w:t>•</w:t>
      </w:r>
      <w:r w:rsidRPr="0053170F">
        <w:rPr>
          <w:rFonts w:ascii="Arial" w:hAnsi="Arial" w:cs="Arial"/>
          <w:sz w:val="24"/>
          <w:szCs w:val="24"/>
        </w:rPr>
        <w:tab/>
        <w:t>Year 1 = £11m</w:t>
      </w:r>
    </w:p>
    <w:p w14:paraId="1173D172" w14:textId="77777777" w:rsidR="009A33D6" w:rsidRPr="0053170F" w:rsidRDefault="009A33D6" w:rsidP="009A33D6">
      <w:pPr>
        <w:jc w:val="both"/>
        <w:rPr>
          <w:rFonts w:ascii="Arial" w:hAnsi="Arial" w:cs="Arial"/>
          <w:sz w:val="24"/>
          <w:szCs w:val="24"/>
        </w:rPr>
      </w:pPr>
      <w:r w:rsidRPr="0053170F">
        <w:rPr>
          <w:rFonts w:ascii="Arial" w:hAnsi="Arial" w:cs="Arial"/>
          <w:sz w:val="24"/>
          <w:szCs w:val="24"/>
        </w:rPr>
        <w:t>•</w:t>
      </w:r>
      <w:r w:rsidRPr="0053170F">
        <w:rPr>
          <w:rFonts w:ascii="Arial" w:hAnsi="Arial" w:cs="Arial"/>
          <w:sz w:val="24"/>
          <w:szCs w:val="24"/>
        </w:rPr>
        <w:tab/>
        <w:t>Year 2 = £22m</w:t>
      </w:r>
    </w:p>
    <w:p w14:paraId="2336BBF6" w14:textId="77777777" w:rsidR="009A33D6" w:rsidRPr="0053170F" w:rsidRDefault="009A33D6" w:rsidP="009A33D6">
      <w:pPr>
        <w:jc w:val="both"/>
        <w:rPr>
          <w:rFonts w:ascii="Arial" w:hAnsi="Arial" w:cs="Arial"/>
          <w:sz w:val="24"/>
          <w:szCs w:val="24"/>
        </w:rPr>
      </w:pPr>
      <w:r w:rsidRPr="0053170F">
        <w:rPr>
          <w:rFonts w:ascii="Arial" w:hAnsi="Arial" w:cs="Arial"/>
          <w:sz w:val="24"/>
          <w:szCs w:val="24"/>
        </w:rPr>
        <w:t>•</w:t>
      </w:r>
      <w:r w:rsidRPr="0053170F">
        <w:rPr>
          <w:rFonts w:ascii="Arial" w:hAnsi="Arial" w:cs="Arial"/>
          <w:sz w:val="24"/>
          <w:szCs w:val="24"/>
        </w:rPr>
        <w:tab/>
        <w:t>Year 3 = £33m</w:t>
      </w:r>
    </w:p>
    <w:p w14:paraId="05D59307" w14:textId="77777777" w:rsidR="009A33D6" w:rsidRPr="0053170F" w:rsidRDefault="009A33D6" w:rsidP="009A33D6">
      <w:pPr>
        <w:jc w:val="both"/>
        <w:rPr>
          <w:rFonts w:ascii="Arial" w:hAnsi="Arial" w:cs="Arial"/>
          <w:sz w:val="24"/>
          <w:szCs w:val="24"/>
        </w:rPr>
      </w:pPr>
      <w:r w:rsidRPr="0053170F">
        <w:rPr>
          <w:rFonts w:ascii="Arial" w:hAnsi="Arial" w:cs="Arial"/>
          <w:sz w:val="24"/>
          <w:szCs w:val="24"/>
        </w:rPr>
        <w:t>•</w:t>
      </w:r>
      <w:r w:rsidRPr="0053170F">
        <w:rPr>
          <w:rFonts w:ascii="Arial" w:hAnsi="Arial" w:cs="Arial"/>
          <w:sz w:val="24"/>
          <w:szCs w:val="24"/>
        </w:rPr>
        <w:tab/>
        <w:t>Year 4 = £44m</w:t>
      </w:r>
    </w:p>
    <w:p w14:paraId="6D763208" w14:textId="77777777" w:rsidR="009A33D6" w:rsidRPr="0053170F" w:rsidRDefault="009A33D6" w:rsidP="009A33D6">
      <w:pPr>
        <w:jc w:val="both"/>
        <w:rPr>
          <w:rFonts w:ascii="Arial" w:hAnsi="Arial" w:cs="Arial"/>
          <w:sz w:val="24"/>
          <w:szCs w:val="24"/>
        </w:rPr>
      </w:pPr>
      <w:r w:rsidRPr="0053170F">
        <w:rPr>
          <w:rFonts w:ascii="Arial" w:hAnsi="Arial" w:cs="Arial"/>
          <w:sz w:val="24"/>
          <w:szCs w:val="24"/>
        </w:rPr>
        <w:t>•</w:t>
      </w:r>
      <w:r w:rsidRPr="0053170F">
        <w:rPr>
          <w:rFonts w:ascii="Arial" w:hAnsi="Arial" w:cs="Arial"/>
          <w:sz w:val="24"/>
          <w:szCs w:val="24"/>
        </w:rPr>
        <w:tab/>
        <w:t>Year 5 = £55m</w:t>
      </w:r>
    </w:p>
    <w:p w14:paraId="6A6A497A" w14:textId="77777777" w:rsidR="009A33D6" w:rsidRPr="0053170F" w:rsidRDefault="009A33D6" w:rsidP="009A33D6">
      <w:pPr>
        <w:jc w:val="both"/>
        <w:rPr>
          <w:rFonts w:ascii="Arial" w:hAnsi="Arial" w:cs="Arial"/>
          <w:sz w:val="24"/>
          <w:szCs w:val="24"/>
        </w:rPr>
      </w:pPr>
      <w:r w:rsidRPr="0053170F">
        <w:rPr>
          <w:rFonts w:ascii="Arial" w:hAnsi="Arial" w:cs="Arial"/>
          <w:sz w:val="24"/>
          <w:szCs w:val="24"/>
        </w:rPr>
        <w:t>The remaining £6m will be recovered in Year 5:</w:t>
      </w:r>
    </w:p>
    <w:p w14:paraId="0A91AECE" w14:textId="77777777" w:rsidR="009A33D6" w:rsidRPr="0053170F" w:rsidRDefault="009A33D6" w:rsidP="009A33D6">
      <w:pPr>
        <w:jc w:val="both"/>
        <w:rPr>
          <w:rFonts w:ascii="Arial" w:hAnsi="Arial" w:cs="Arial"/>
          <w:sz w:val="24"/>
          <w:szCs w:val="24"/>
        </w:rPr>
      </w:pPr>
      <w:r w:rsidRPr="0053170F">
        <w:rPr>
          <w:rFonts w:ascii="Arial" w:hAnsi="Arial" w:cs="Arial"/>
          <w:sz w:val="24"/>
          <w:szCs w:val="24"/>
        </w:rPr>
        <w:t>PBP = 4 + (£6m / £11m) = 4.55 years</w:t>
      </w:r>
    </w:p>
    <w:p w14:paraId="11EBD461" w14:textId="77777777" w:rsidR="009A33D6" w:rsidRPr="005C28E1" w:rsidRDefault="009A33D6" w:rsidP="009A33D6">
      <w:pPr>
        <w:jc w:val="both"/>
        <w:rPr>
          <w:rFonts w:ascii="Arial" w:hAnsi="Arial" w:cs="Arial"/>
          <w:b/>
          <w:bCs/>
          <w:sz w:val="24"/>
          <w:szCs w:val="24"/>
        </w:rPr>
      </w:pPr>
      <w:r w:rsidRPr="005C28E1">
        <w:rPr>
          <w:rFonts w:ascii="Arial" w:hAnsi="Arial" w:cs="Arial"/>
          <w:b/>
          <w:bCs/>
          <w:sz w:val="24"/>
          <w:szCs w:val="24"/>
        </w:rPr>
        <w:t>Project C</w:t>
      </w:r>
    </w:p>
    <w:p w14:paraId="1F3F41EA" w14:textId="77777777" w:rsidR="009A33D6" w:rsidRPr="0053170F" w:rsidRDefault="009A33D6" w:rsidP="009A33D6">
      <w:pPr>
        <w:jc w:val="both"/>
        <w:rPr>
          <w:rFonts w:ascii="Arial" w:hAnsi="Arial" w:cs="Arial"/>
          <w:sz w:val="24"/>
          <w:szCs w:val="24"/>
        </w:rPr>
      </w:pPr>
      <w:r w:rsidRPr="0053170F">
        <w:rPr>
          <w:rFonts w:ascii="Arial" w:hAnsi="Arial" w:cs="Arial"/>
          <w:sz w:val="24"/>
          <w:szCs w:val="24"/>
        </w:rPr>
        <w:t>Cumulative cash flow:</w:t>
      </w:r>
    </w:p>
    <w:p w14:paraId="58D07C15" w14:textId="77777777" w:rsidR="009A33D6" w:rsidRPr="0053170F" w:rsidRDefault="009A33D6" w:rsidP="009A33D6">
      <w:pPr>
        <w:jc w:val="both"/>
        <w:rPr>
          <w:rFonts w:ascii="Arial" w:hAnsi="Arial" w:cs="Arial"/>
          <w:sz w:val="24"/>
          <w:szCs w:val="24"/>
        </w:rPr>
      </w:pPr>
      <w:r w:rsidRPr="0053170F">
        <w:rPr>
          <w:rFonts w:ascii="Arial" w:hAnsi="Arial" w:cs="Arial"/>
          <w:sz w:val="24"/>
          <w:szCs w:val="24"/>
        </w:rPr>
        <w:t>•</w:t>
      </w:r>
      <w:r w:rsidRPr="0053170F">
        <w:rPr>
          <w:rFonts w:ascii="Arial" w:hAnsi="Arial" w:cs="Arial"/>
          <w:sz w:val="24"/>
          <w:szCs w:val="24"/>
        </w:rPr>
        <w:tab/>
        <w:t>Year 1 = £5m</w:t>
      </w:r>
    </w:p>
    <w:p w14:paraId="513515CF" w14:textId="77777777" w:rsidR="009A33D6" w:rsidRPr="0053170F" w:rsidRDefault="009A33D6" w:rsidP="009A33D6">
      <w:pPr>
        <w:jc w:val="both"/>
        <w:rPr>
          <w:rFonts w:ascii="Arial" w:hAnsi="Arial" w:cs="Arial"/>
          <w:sz w:val="24"/>
          <w:szCs w:val="24"/>
        </w:rPr>
      </w:pPr>
      <w:r w:rsidRPr="0053170F">
        <w:rPr>
          <w:rFonts w:ascii="Arial" w:hAnsi="Arial" w:cs="Arial"/>
          <w:sz w:val="24"/>
          <w:szCs w:val="24"/>
        </w:rPr>
        <w:t>•</w:t>
      </w:r>
      <w:r w:rsidRPr="0053170F">
        <w:rPr>
          <w:rFonts w:ascii="Arial" w:hAnsi="Arial" w:cs="Arial"/>
          <w:sz w:val="24"/>
          <w:szCs w:val="24"/>
        </w:rPr>
        <w:tab/>
        <w:t>Year 2 = £15m</w:t>
      </w:r>
    </w:p>
    <w:p w14:paraId="7C927A6A" w14:textId="77777777" w:rsidR="009A33D6" w:rsidRPr="0053170F" w:rsidRDefault="009A33D6" w:rsidP="009A33D6">
      <w:pPr>
        <w:jc w:val="both"/>
        <w:rPr>
          <w:rFonts w:ascii="Arial" w:hAnsi="Arial" w:cs="Arial"/>
          <w:sz w:val="24"/>
          <w:szCs w:val="24"/>
        </w:rPr>
      </w:pPr>
      <w:r w:rsidRPr="0053170F">
        <w:rPr>
          <w:rFonts w:ascii="Arial" w:hAnsi="Arial" w:cs="Arial"/>
          <w:sz w:val="24"/>
          <w:szCs w:val="24"/>
        </w:rPr>
        <w:t>•</w:t>
      </w:r>
      <w:r w:rsidRPr="0053170F">
        <w:rPr>
          <w:rFonts w:ascii="Arial" w:hAnsi="Arial" w:cs="Arial"/>
          <w:sz w:val="24"/>
          <w:szCs w:val="24"/>
        </w:rPr>
        <w:tab/>
        <w:t>Year 3 = £35m</w:t>
      </w:r>
    </w:p>
    <w:p w14:paraId="1A6F3B02" w14:textId="77777777" w:rsidR="009A33D6" w:rsidRPr="0053170F" w:rsidRDefault="009A33D6" w:rsidP="009A33D6">
      <w:pPr>
        <w:jc w:val="both"/>
        <w:rPr>
          <w:rFonts w:ascii="Arial" w:hAnsi="Arial" w:cs="Arial"/>
          <w:sz w:val="24"/>
          <w:szCs w:val="24"/>
        </w:rPr>
      </w:pPr>
      <w:r w:rsidRPr="0053170F">
        <w:rPr>
          <w:rFonts w:ascii="Arial" w:hAnsi="Arial" w:cs="Arial"/>
          <w:sz w:val="24"/>
          <w:szCs w:val="24"/>
        </w:rPr>
        <w:lastRenderedPageBreak/>
        <w:t>•</w:t>
      </w:r>
      <w:r w:rsidRPr="0053170F">
        <w:rPr>
          <w:rFonts w:ascii="Arial" w:hAnsi="Arial" w:cs="Arial"/>
          <w:sz w:val="24"/>
          <w:szCs w:val="24"/>
        </w:rPr>
        <w:tab/>
        <w:t>Year 4 = £60m</w:t>
      </w:r>
    </w:p>
    <w:p w14:paraId="38377100" w14:textId="77777777" w:rsidR="009A33D6" w:rsidRPr="0053170F" w:rsidRDefault="009A33D6" w:rsidP="009A33D6">
      <w:pPr>
        <w:jc w:val="both"/>
        <w:rPr>
          <w:rFonts w:ascii="Arial" w:hAnsi="Arial" w:cs="Arial"/>
          <w:sz w:val="24"/>
          <w:szCs w:val="24"/>
        </w:rPr>
      </w:pPr>
      <w:r w:rsidRPr="0053170F">
        <w:rPr>
          <w:rFonts w:ascii="Arial" w:hAnsi="Arial" w:cs="Arial"/>
          <w:sz w:val="24"/>
          <w:szCs w:val="24"/>
        </w:rPr>
        <w:t>The rest of the £15m is repaid in year 4:</w:t>
      </w:r>
    </w:p>
    <w:p w14:paraId="38DA2E14" w14:textId="24964EBD" w:rsidR="009A33D6" w:rsidRPr="0053170F" w:rsidRDefault="009A33D6" w:rsidP="009A33D6">
      <w:pPr>
        <w:jc w:val="both"/>
        <w:rPr>
          <w:rFonts w:ascii="Arial" w:hAnsi="Arial" w:cs="Arial"/>
          <w:sz w:val="24"/>
          <w:szCs w:val="24"/>
        </w:rPr>
      </w:pPr>
      <w:r w:rsidRPr="0053170F">
        <w:rPr>
          <w:rFonts w:ascii="Arial" w:hAnsi="Arial" w:cs="Arial"/>
          <w:sz w:val="24"/>
          <w:szCs w:val="24"/>
        </w:rPr>
        <w:t>PBP = 3 + (£15m / £25m) = 3.60 years</w:t>
      </w:r>
    </w:p>
    <w:tbl>
      <w:tblPr>
        <w:tblStyle w:val="TableGrid"/>
        <w:tblW w:w="0" w:type="auto"/>
        <w:tblLook w:val="04A0" w:firstRow="1" w:lastRow="0" w:firstColumn="1" w:lastColumn="0" w:noHBand="0" w:noVBand="1"/>
      </w:tblPr>
      <w:tblGrid>
        <w:gridCol w:w="3005"/>
        <w:gridCol w:w="3005"/>
        <w:gridCol w:w="3006"/>
      </w:tblGrid>
      <w:tr w:rsidR="005C28E1" w:rsidRPr="005C28E1" w14:paraId="3696BFE4" w14:textId="77777777">
        <w:tc>
          <w:tcPr>
            <w:tcW w:w="3005" w:type="dxa"/>
          </w:tcPr>
          <w:p w14:paraId="35EED755" w14:textId="77777777" w:rsidR="005C28E1" w:rsidRPr="005C28E1" w:rsidRDefault="005C28E1" w:rsidP="00E95F84">
            <w:pPr>
              <w:jc w:val="both"/>
              <w:rPr>
                <w:rFonts w:ascii="Arial" w:hAnsi="Arial" w:cs="Arial"/>
                <w:sz w:val="24"/>
                <w:szCs w:val="24"/>
              </w:rPr>
            </w:pPr>
            <w:r w:rsidRPr="005C28E1">
              <w:rPr>
                <w:rFonts w:ascii="Arial" w:hAnsi="Arial" w:cs="Arial"/>
                <w:sz w:val="24"/>
                <w:szCs w:val="24"/>
              </w:rPr>
              <w:t>Project</w:t>
            </w:r>
          </w:p>
        </w:tc>
        <w:tc>
          <w:tcPr>
            <w:tcW w:w="3005" w:type="dxa"/>
          </w:tcPr>
          <w:p w14:paraId="26C7953F" w14:textId="77777777" w:rsidR="005C28E1" w:rsidRPr="005C28E1" w:rsidRDefault="005C28E1" w:rsidP="00E95F84">
            <w:pPr>
              <w:jc w:val="both"/>
              <w:rPr>
                <w:rFonts w:ascii="Arial" w:hAnsi="Arial" w:cs="Arial"/>
                <w:sz w:val="24"/>
                <w:szCs w:val="24"/>
              </w:rPr>
            </w:pPr>
            <w:r w:rsidRPr="005C28E1">
              <w:rPr>
                <w:rFonts w:ascii="Arial" w:hAnsi="Arial" w:cs="Arial"/>
                <w:sz w:val="24"/>
                <w:szCs w:val="24"/>
              </w:rPr>
              <w:t>Payback period (years)</w:t>
            </w:r>
          </w:p>
        </w:tc>
        <w:tc>
          <w:tcPr>
            <w:tcW w:w="3006" w:type="dxa"/>
          </w:tcPr>
          <w:p w14:paraId="51B562A9" w14:textId="77777777" w:rsidR="005C28E1" w:rsidRPr="005C28E1" w:rsidRDefault="005C28E1" w:rsidP="00E95F84">
            <w:pPr>
              <w:jc w:val="both"/>
              <w:rPr>
                <w:rFonts w:ascii="Arial" w:hAnsi="Arial" w:cs="Arial"/>
                <w:sz w:val="24"/>
                <w:szCs w:val="24"/>
              </w:rPr>
            </w:pPr>
            <w:r w:rsidRPr="005C28E1">
              <w:rPr>
                <w:rFonts w:ascii="Arial" w:hAnsi="Arial" w:cs="Arial"/>
                <w:sz w:val="24"/>
                <w:szCs w:val="24"/>
              </w:rPr>
              <w:t>Ranking</w:t>
            </w:r>
          </w:p>
        </w:tc>
      </w:tr>
      <w:tr w:rsidR="005C28E1" w:rsidRPr="005C28E1" w14:paraId="7783A884" w14:textId="77777777">
        <w:tc>
          <w:tcPr>
            <w:tcW w:w="3005" w:type="dxa"/>
          </w:tcPr>
          <w:p w14:paraId="504C6724" w14:textId="77777777" w:rsidR="005C28E1" w:rsidRPr="005C28E1" w:rsidRDefault="005C28E1" w:rsidP="00E95F84">
            <w:pPr>
              <w:jc w:val="both"/>
              <w:rPr>
                <w:rFonts w:ascii="Arial" w:hAnsi="Arial" w:cs="Arial"/>
                <w:sz w:val="24"/>
                <w:szCs w:val="24"/>
              </w:rPr>
            </w:pPr>
            <w:r w:rsidRPr="005C28E1">
              <w:rPr>
                <w:rFonts w:ascii="Arial" w:hAnsi="Arial" w:cs="Arial"/>
                <w:sz w:val="24"/>
                <w:szCs w:val="24"/>
              </w:rPr>
              <w:t>A</w:t>
            </w:r>
          </w:p>
        </w:tc>
        <w:tc>
          <w:tcPr>
            <w:tcW w:w="3005" w:type="dxa"/>
          </w:tcPr>
          <w:p w14:paraId="1E1DBDB3" w14:textId="77777777" w:rsidR="005C28E1" w:rsidRPr="005C28E1" w:rsidRDefault="005C28E1" w:rsidP="00E95F84">
            <w:pPr>
              <w:jc w:val="both"/>
              <w:rPr>
                <w:rFonts w:ascii="Arial" w:hAnsi="Arial" w:cs="Arial"/>
                <w:sz w:val="24"/>
                <w:szCs w:val="24"/>
              </w:rPr>
            </w:pPr>
            <w:r w:rsidRPr="005C28E1">
              <w:rPr>
                <w:rFonts w:ascii="Arial" w:hAnsi="Arial" w:cs="Arial"/>
                <w:sz w:val="24"/>
                <w:szCs w:val="24"/>
              </w:rPr>
              <w:t>4.50 years</w:t>
            </w:r>
          </w:p>
        </w:tc>
        <w:tc>
          <w:tcPr>
            <w:tcW w:w="3006" w:type="dxa"/>
          </w:tcPr>
          <w:p w14:paraId="76034BE6" w14:textId="77777777" w:rsidR="005C28E1" w:rsidRPr="005C28E1" w:rsidRDefault="005C28E1" w:rsidP="00E95F84">
            <w:pPr>
              <w:jc w:val="both"/>
              <w:rPr>
                <w:rFonts w:ascii="Arial" w:hAnsi="Arial" w:cs="Arial"/>
                <w:sz w:val="24"/>
                <w:szCs w:val="24"/>
              </w:rPr>
            </w:pPr>
            <w:r w:rsidRPr="005C28E1">
              <w:rPr>
                <w:rFonts w:ascii="Arial" w:hAnsi="Arial" w:cs="Arial"/>
                <w:sz w:val="24"/>
                <w:szCs w:val="24"/>
              </w:rPr>
              <w:t>2</w:t>
            </w:r>
          </w:p>
        </w:tc>
      </w:tr>
      <w:tr w:rsidR="005C28E1" w:rsidRPr="005C28E1" w14:paraId="20D77311" w14:textId="77777777">
        <w:tc>
          <w:tcPr>
            <w:tcW w:w="3005" w:type="dxa"/>
          </w:tcPr>
          <w:p w14:paraId="10E4DACC" w14:textId="77777777" w:rsidR="005C28E1" w:rsidRPr="005C28E1" w:rsidRDefault="005C28E1" w:rsidP="00E95F84">
            <w:pPr>
              <w:jc w:val="both"/>
              <w:rPr>
                <w:rFonts w:ascii="Arial" w:hAnsi="Arial" w:cs="Arial"/>
                <w:sz w:val="24"/>
                <w:szCs w:val="24"/>
              </w:rPr>
            </w:pPr>
            <w:r w:rsidRPr="005C28E1">
              <w:rPr>
                <w:rFonts w:ascii="Arial" w:hAnsi="Arial" w:cs="Arial"/>
                <w:sz w:val="24"/>
                <w:szCs w:val="24"/>
              </w:rPr>
              <w:t>B</w:t>
            </w:r>
          </w:p>
        </w:tc>
        <w:tc>
          <w:tcPr>
            <w:tcW w:w="3005" w:type="dxa"/>
          </w:tcPr>
          <w:p w14:paraId="36AA8DEA" w14:textId="77777777" w:rsidR="005C28E1" w:rsidRPr="005C28E1" w:rsidRDefault="005C28E1" w:rsidP="00E95F84">
            <w:pPr>
              <w:jc w:val="both"/>
              <w:rPr>
                <w:rFonts w:ascii="Arial" w:hAnsi="Arial" w:cs="Arial"/>
                <w:sz w:val="24"/>
                <w:szCs w:val="24"/>
              </w:rPr>
            </w:pPr>
            <w:r w:rsidRPr="005C28E1">
              <w:rPr>
                <w:rFonts w:ascii="Arial" w:hAnsi="Arial" w:cs="Arial"/>
                <w:sz w:val="24"/>
                <w:szCs w:val="24"/>
              </w:rPr>
              <w:t>4.55 years</w:t>
            </w:r>
          </w:p>
        </w:tc>
        <w:tc>
          <w:tcPr>
            <w:tcW w:w="3006" w:type="dxa"/>
          </w:tcPr>
          <w:p w14:paraId="481320A0" w14:textId="77777777" w:rsidR="005C28E1" w:rsidRPr="005C28E1" w:rsidRDefault="005C28E1" w:rsidP="00E95F84">
            <w:pPr>
              <w:jc w:val="both"/>
              <w:rPr>
                <w:rFonts w:ascii="Arial" w:hAnsi="Arial" w:cs="Arial"/>
                <w:sz w:val="24"/>
                <w:szCs w:val="24"/>
              </w:rPr>
            </w:pPr>
            <w:r w:rsidRPr="005C28E1">
              <w:rPr>
                <w:rFonts w:ascii="Arial" w:hAnsi="Arial" w:cs="Arial"/>
                <w:sz w:val="24"/>
                <w:szCs w:val="24"/>
              </w:rPr>
              <w:t>3</w:t>
            </w:r>
          </w:p>
        </w:tc>
      </w:tr>
      <w:tr w:rsidR="005C28E1" w:rsidRPr="005C28E1" w14:paraId="72B843EB" w14:textId="77777777">
        <w:tc>
          <w:tcPr>
            <w:tcW w:w="3005" w:type="dxa"/>
          </w:tcPr>
          <w:p w14:paraId="04661DF5" w14:textId="77777777" w:rsidR="005C28E1" w:rsidRPr="005C28E1" w:rsidRDefault="005C28E1" w:rsidP="00E95F84">
            <w:pPr>
              <w:jc w:val="both"/>
              <w:rPr>
                <w:rFonts w:ascii="Arial" w:hAnsi="Arial" w:cs="Arial"/>
                <w:sz w:val="24"/>
                <w:szCs w:val="24"/>
              </w:rPr>
            </w:pPr>
            <w:r w:rsidRPr="005C28E1">
              <w:rPr>
                <w:rFonts w:ascii="Arial" w:hAnsi="Arial" w:cs="Arial"/>
                <w:sz w:val="24"/>
                <w:szCs w:val="24"/>
              </w:rPr>
              <w:t>C</w:t>
            </w:r>
          </w:p>
        </w:tc>
        <w:tc>
          <w:tcPr>
            <w:tcW w:w="3005" w:type="dxa"/>
          </w:tcPr>
          <w:p w14:paraId="5C97FE1E" w14:textId="77777777" w:rsidR="005C28E1" w:rsidRPr="005C28E1" w:rsidRDefault="005C28E1" w:rsidP="00E95F84">
            <w:pPr>
              <w:jc w:val="both"/>
              <w:rPr>
                <w:rFonts w:ascii="Arial" w:hAnsi="Arial" w:cs="Arial"/>
                <w:sz w:val="24"/>
                <w:szCs w:val="24"/>
              </w:rPr>
            </w:pPr>
            <w:r w:rsidRPr="005C28E1">
              <w:rPr>
                <w:rFonts w:ascii="Arial" w:hAnsi="Arial" w:cs="Arial"/>
                <w:sz w:val="24"/>
                <w:szCs w:val="24"/>
              </w:rPr>
              <w:t>3.60 years</w:t>
            </w:r>
          </w:p>
        </w:tc>
        <w:tc>
          <w:tcPr>
            <w:tcW w:w="3006" w:type="dxa"/>
          </w:tcPr>
          <w:p w14:paraId="4DFCB4FE" w14:textId="77777777" w:rsidR="005C28E1" w:rsidRPr="005C28E1" w:rsidRDefault="005C28E1" w:rsidP="00E95F84">
            <w:pPr>
              <w:jc w:val="both"/>
              <w:rPr>
                <w:rFonts w:ascii="Arial" w:hAnsi="Arial" w:cs="Arial"/>
                <w:sz w:val="24"/>
                <w:szCs w:val="24"/>
              </w:rPr>
            </w:pPr>
            <w:r w:rsidRPr="005C28E1">
              <w:rPr>
                <w:rFonts w:ascii="Arial" w:hAnsi="Arial" w:cs="Arial"/>
                <w:sz w:val="24"/>
                <w:szCs w:val="24"/>
              </w:rPr>
              <w:t>1</w:t>
            </w:r>
          </w:p>
        </w:tc>
      </w:tr>
    </w:tbl>
    <w:p w14:paraId="09458ED4" w14:textId="77777777" w:rsidR="009A33D6" w:rsidRPr="0053170F" w:rsidRDefault="009A33D6" w:rsidP="009A33D6">
      <w:pPr>
        <w:jc w:val="both"/>
        <w:rPr>
          <w:rFonts w:ascii="Arial" w:hAnsi="Arial" w:cs="Arial"/>
          <w:sz w:val="24"/>
          <w:szCs w:val="24"/>
        </w:rPr>
      </w:pPr>
      <w:r w:rsidRPr="0053170F">
        <w:rPr>
          <w:rFonts w:ascii="Arial" w:hAnsi="Arial" w:cs="Arial"/>
          <w:sz w:val="24"/>
          <w:szCs w:val="24"/>
        </w:rPr>
        <w:t>Project C is definitely better based on the criterion of the return time. It pays back the initial investment about 1 year sooner than Projects A and B. This would be a particularly appealing property for IHG as their ratio is somewhere around 0.98, and there is a rise in net debt. The shorter the time capital is at risk, the faster capital will be recovered.</w:t>
      </w:r>
    </w:p>
    <w:p w14:paraId="4E340603" w14:textId="4C851F46" w:rsidR="00832B54" w:rsidRPr="0053170F" w:rsidRDefault="009A33D6" w:rsidP="009A33D6">
      <w:pPr>
        <w:jc w:val="both"/>
        <w:rPr>
          <w:rFonts w:ascii="Arial" w:hAnsi="Arial" w:cs="Arial"/>
          <w:sz w:val="24"/>
          <w:szCs w:val="24"/>
        </w:rPr>
      </w:pPr>
      <w:r w:rsidRPr="0053170F">
        <w:rPr>
          <w:rFonts w:ascii="Arial" w:hAnsi="Arial" w:cs="Arial"/>
          <w:sz w:val="24"/>
          <w:szCs w:val="24"/>
        </w:rPr>
        <w:t>But PBP does not consider cash flows beyond the recovery point and is not time value of money. It should not be the only basis for making a decision so.</w:t>
      </w:r>
    </w:p>
    <w:p w14:paraId="7B172883" w14:textId="77777777" w:rsidR="00BB6C54" w:rsidRPr="005C28E1" w:rsidRDefault="00BB6C54" w:rsidP="0055511C">
      <w:pPr>
        <w:pStyle w:val="Heading2"/>
        <w:rPr>
          <w:rFonts w:ascii="Arial" w:hAnsi="Arial" w:cs="Arial"/>
          <w:b/>
          <w:bCs/>
          <w:sz w:val="28"/>
          <w:szCs w:val="28"/>
        </w:rPr>
      </w:pPr>
      <w:bookmarkStart w:id="29" w:name="_Toc237461192"/>
      <w:r w:rsidRPr="005C28E1">
        <w:rPr>
          <w:rFonts w:ascii="Arial" w:hAnsi="Arial" w:cs="Arial"/>
          <w:b/>
          <w:bCs/>
          <w:sz w:val="28"/>
          <w:szCs w:val="28"/>
        </w:rPr>
        <w:t>4.4 Accounting Rate of Return</w:t>
      </w:r>
      <w:bookmarkEnd w:id="29"/>
    </w:p>
    <w:p w14:paraId="427A3661" w14:textId="77777777" w:rsidR="00BB6C54" w:rsidRPr="0053170F" w:rsidRDefault="00BB6C54" w:rsidP="00BB6C54">
      <w:pPr>
        <w:jc w:val="both"/>
        <w:rPr>
          <w:rFonts w:ascii="Arial" w:hAnsi="Arial" w:cs="Arial"/>
          <w:sz w:val="24"/>
          <w:szCs w:val="24"/>
        </w:rPr>
      </w:pPr>
      <w:r w:rsidRPr="0053170F">
        <w:rPr>
          <w:rFonts w:ascii="Arial" w:hAnsi="Arial" w:cs="Arial"/>
          <w:sz w:val="24"/>
          <w:szCs w:val="24"/>
        </w:rPr>
        <w:t>ARR is the mean of the annual accounting profit over the mean of the accounting investment.</w:t>
      </w:r>
    </w:p>
    <w:p w14:paraId="65850CC4" w14:textId="77777777" w:rsidR="00BB6C54" w:rsidRPr="0053170F" w:rsidRDefault="00BB6C54" w:rsidP="00BB6C54">
      <w:pPr>
        <w:jc w:val="both"/>
        <w:rPr>
          <w:rFonts w:ascii="Arial" w:hAnsi="Arial" w:cs="Arial"/>
          <w:sz w:val="24"/>
          <w:szCs w:val="24"/>
        </w:rPr>
      </w:pPr>
      <w:r w:rsidRPr="0053170F">
        <w:rPr>
          <w:rFonts w:ascii="Arial" w:hAnsi="Arial" w:cs="Arial"/>
          <w:sz w:val="24"/>
          <w:szCs w:val="24"/>
        </w:rPr>
        <w:t>It is straight-line depreciated to zero because the investment:</w:t>
      </w:r>
    </w:p>
    <w:p w14:paraId="3C4799C3" w14:textId="77777777" w:rsidR="00BB6C54" w:rsidRPr="0053170F" w:rsidRDefault="00BB6C54" w:rsidP="00BB6C54">
      <w:pPr>
        <w:jc w:val="both"/>
        <w:rPr>
          <w:rFonts w:ascii="Arial" w:hAnsi="Arial" w:cs="Arial"/>
          <w:sz w:val="24"/>
          <w:szCs w:val="24"/>
        </w:rPr>
      </w:pPr>
      <w:r w:rsidRPr="0053170F">
        <w:rPr>
          <w:rFonts w:ascii="Arial" w:hAnsi="Arial" w:cs="Arial"/>
          <w:sz w:val="24"/>
          <w:szCs w:val="24"/>
        </w:rPr>
        <w:t>Annual depreciation = £50m / 5 = £10m</w:t>
      </w:r>
    </w:p>
    <w:p w14:paraId="21E2B086" w14:textId="77777777" w:rsidR="00BB6C54" w:rsidRPr="0053170F" w:rsidRDefault="00BB6C54" w:rsidP="00BB6C54">
      <w:pPr>
        <w:jc w:val="both"/>
        <w:rPr>
          <w:rFonts w:ascii="Arial" w:hAnsi="Arial" w:cs="Arial"/>
          <w:sz w:val="24"/>
          <w:szCs w:val="24"/>
        </w:rPr>
      </w:pPr>
      <w:r w:rsidRPr="0053170F">
        <w:rPr>
          <w:rFonts w:ascii="Arial" w:hAnsi="Arial" w:cs="Arial"/>
          <w:sz w:val="24"/>
          <w:szCs w:val="24"/>
        </w:rPr>
        <w:t>The average accounting investment would be:</w:t>
      </w:r>
    </w:p>
    <w:p w14:paraId="109AC0A0" w14:textId="77777777" w:rsidR="00BB6C54" w:rsidRPr="0053170F" w:rsidRDefault="00BB6C54" w:rsidP="00BB6C54">
      <w:pPr>
        <w:jc w:val="both"/>
        <w:rPr>
          <w:rFonts w:ascii="Arial" w:hAnsi="Arial" w:cs="Arial"/>
          <w:sz w:val="24"/>
          <w:szCs w:val="24"/>
        </w:rPr>
      </w:pPr>
      <w:r w:rsidRPr="0053170F">
        <w:rPr>
          <w:rFonts w:ascii="Arial" w:hAnsi="Arial" w:cs="Arial"/>
          <w:sz w:val="24"/>
          <w:szCs w:val="24"/>
        </w:rPr>
        <w:t>(£50m + £0) / 2 = £25m</w:t>
      </w:r>
    </w:p>
    <w:p w14:paraId="1BDC7998" w14:textId="77777777" w:rsidR="00BB6C54" w:rsidRPr="0053170F" w:rsidRDefault="00BB6C54" w:rsidP="00BB6C54">
      <w:pPr>
        <w:jc w:val="both"/>
        <w:rPr>
          <w:rFonts w:ascii="Arial" w:hAnsi="Arial" w:cs="Arial"/>
          <w:sz w:val="24"/>
          <w:szCs w:val="24"/>
        </w:rPr>
      </w:pPr>
      <w:r w:rsidRPr="0053170F">
        <w:rPr>
          <w:rFonts w:ascii="Arial" w:hAnsi="Arial" w:cs="Arial"/>
          <w:sz w:val="24"/>
          <w:szCs w:val="24"/>
        </w:rPr>
        <w:t>The formula used is:</w:t>
      </w:r>
    </w:p>
    <w:p w14:paraId="743169EC" w14:textId="77777777" w:rsidR="00BB6C54" w:rsidRPr="0053170F" w:rsidRDefault="00BB6C54" w:rsidP="00BB6C54">
      <w:pPr>
        <w:jc w:val="both"/>
        <w:rPr>
          <w:rFonts w:ascii="Arial" w:hAnsi="Arial" w:cs="Arial"/>
          <w:sz w:val="24"/>
          <w:szCs w:val="24"/>
        </w:rPr>
      </w:pPr>
      <w:r w:rsidRPr="0053170F">
        <w:rPr>
          <w:rFonts w:ascii="Arial" w:hAnsi="Arial" w:cs="Arial"/>
          <w:sz w:val="24"/>
          <w:szCs w:val="24"/>
        </w:rPr>
        <w:t>Average annual accounting profit - ARR equals Average investment × 100</w:t>
      </w:r>
    </w:p>
    <w:p w14:paraId="26B97B4C" w14:textId="6148C8F0" w:rsidR="00BB6C54" w:rsidRPr="0053170F" w:rsidRDefault="00BB6C54" w:rsidP="00BB6C54">
      <w:pPr>
        <w:jc w:val="both"/>
        <w:rPr>
          <w:rFonts w:ascii="Arial" w:hAnsi="Arial" w:cs="Arial"/>
          <w:sz w:val="24"/>
          <w:szCs w:val="24"/>
        </w:rPr>
      </w:pPr>
      <w:r w:rsidRPr="0053170F">
        <w:rPr>
          <w:rFonts w:ascii="Arial" w:hAnsi="Arial" w:cs="Arial"/>
          <w:sz w:val="24"/>
          <w:szCs w:val="24"/>
        </w:rPr>
        <w:t xml:space="preserve">Table </w:t>
      </w:r>
      <w:r w:rsidR="00AB5485" w:rsidRPr="0053170F">
        <w:rPr>
          <w:rFonts w:ascii="Arial" w:hAnsi="Arial" w:cs="Arial"/>
          <w:sz w:val="24"/>
          <w:szCs w:val="24"/>
        </w:rPr>
        <w:t>1</w:t>
      </w:r>
      <w:r w:rsidRPr="0053170F">
        <w:rPr>
          <w:rFonts w:ascii="Arial" w:hAnsi="Arial" w:cs="Arial"/>
          <w:sz w:val="24"/>
          <w:szCs w:val="24"/>
        </w:rPr>
        <w:t>2: ARR calculation</w:t>
      </w:r>
    </w:p>
    <w:tbl>
      <w:tblPr>
        <w:tblStyle w:val="GridTable4-Accent3"/>
        <w:tblW w:w="0" w:type="auto"/>
        <w:tblLook w:val="04A0" w:firstRow="1" w:lastRow="0" w:firstColumn="1" w:lastColumn="0" w:noHBand="0" w:noVBand="1"/>
      </w:tblPr>
      <w:tblGrid>
        <w:gridCol w:w="1179"/>
        <w:gridCol w:w="1175"/>
        <w:gridCol w:w="1524"/>
        <w:gridCol w:w="1377"/>
        <w:gridCol w:w="1227"/>
        <w:gridCol w:w="1377"/>
        <w:gridCol w:w="1157"/>
      </w:tblGrid>
      <w:tr w:rsidR="002E746A" w:rsidRPr="0053170F" w14:paraId="33991D49" w14:textId="77777777" w:rsidTr="002E74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8" w:type="dxa"/>
          </w:tcPr>
          <w:p w14:paraId="3E776027" w14:textId="77777777" w:rsidR="002E746A" w:rsidRPr="0053170F" w:rsidRDefault="002E746A" w:rsidP="00432E0B">
            <w:pPr>
              <w:jc w:val="both"/>
              <w:rPr>
                <w:rFonts w:ascii="Arial" w:hAnsi="Arial" w:cs="Arial"/>
                <w:b w:val="0"/>
                <w:bCs w:val="0"/>
                <w:sz w:val="24"/>
                <w:szCs w:val="24"/>
              </w:rPr>
            </w:pPr>
            <w:r w:rsidRPr="0053170F">
              <w:rPr>
                <w:rFonts w:ascii="Arial" w:hAnsi="Arial" w:cs="Arial"/>
                <w:b w:val="0"/>
                <w:bCs w:val="0"/>
                <w:sz w:val="24"/>
                <w:szCs w:val="24"/>
              </w:rPr>
              <w:t>Project</w:t>
            </w:r>
          </w:p>
        </w:tc>
        <w:tc>
          <w:tcPr>
            <w:tcW w:w="1288" w:type="dxa"/>
          </w:tcPr>
          <w:p w14:paraId="04B08D84" w14:textId="77777777" w:rsidR="002E746A" w:rsidRPr="0053170F" w:rsidRDefault="002E746A" w:rsidP="00432E0B">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Total cash inflows (£m)</w:t>
            </w:r>
          </w:p>
        </w:tc>
        <w:tc>
          <w:tcPr>
            <w:tcW w:w="1288" w:type="dxa"/>
          </w:tcPr>
          <w:p w14:paraId="0431B029" w14:textId="77777777" w:rsidR="002E746A" w:rsidRPr="0053170F" w:rsidRDefault="002E746A" w:rsidP="00432E0B">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Total depreciation (£m)</w:t>
            </w:r>
          </w:p>
        </w:tc>
        <w:tc>
          <w:tcPr>
            <w:tcW w:w="1288" w:type="dxa"/>
          </w:tcPr>
          <w:p w14:paraId="013FD902" w14:textId="77777777" w:rsidR="002E746A" w:rsidRPr="0053170F" w:rsidRDefault="002E746A" w:rsidP="00432E0B">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Total accounting profit (£m)</w:t>
            </w:r>
          </w:p>
        </w:tc>
        <w:tc>
          <w:tcPr>
            <w:tcW w:w="1288" w:type="dxa"/>
          </w:tcPr>
          <w:p w14:paraId="0974D97A" w14:textId="77777777" w:rsidR="002E746A" w:rsidRPr="0053170F" w:rsidRDefault="002E746A" w:rsidP="00432E0B">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Average annual profit (£m)</w:t>
            </w:r>
          </w:p>
        </w:tc>
        <w:tc>
          <w:tcPr>
            <w:tcW w:w="1288" w:type="dxa"/>
          </w:tcPr>
          <w:p w14:paraId="62C7D631" w14:textId="77777777" w:rsidR="002E746A" w:rsidRPr="0053170F" w:rsidRDefault="002E746A" w:rsidP="00432E0B">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Average investment (£m)</w:t>
            </w:r>
          </w:p>
        </w:tc>
        <w:tc>
          <w:tcPr>
            <w:tcW w:w="1288" w:type="dxa"/>
          </w:tcPr>
          <w:p w14:paraId="2770F5F9" w14:textId="77777777" w:rsidR="002E746A" w:rsidRPr="0053170F" w:rsidRDefault="002E746A" w:rsidP="00432E0B">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ARR</w:t>
            </w:r>
          </w:p>
        </w:tc>
      </w:tr>
      <w:tr w:rsidR="002E746A" w:rsidRPr="0053170F" w14:paraId="137D02C6" w14:textId="77777777" w:rsidTr="002E74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8" w:type="dxa"/>
          </w:tcPr>
          <w:p w14:paraId="14054C78" w14:textId="77777777" w:rsidR="002E746A" w:rsidRPr="0053170F" w:rsidRDefault="002E746A" w:rsidP="00432E0B">
            <w:pPr>
              <w:jc w:val="both"/>
              <w:rPr>
                <w:rFonts w:ascii="Arial" w:hAnsi="Arial" w:cs="Arial"/>
                <w:b w:val="0"/>
                <w:bCs w:val="0"/>
                <w:sz w:val="24"/>
                <w:szCs w:val="24"/>
              </w:rPr>
            </w:pPr>
            <w:r w:rsidRPr="0053170F">
              <w:rPr>
                <w:rFonts w:ascii="Arial" w:hAnsi="Arial" w:cs="Arial"/>
                <w:b w:val="0"/>
                <w:bCs w:val="0"/>
                <w:sz w:val="24"/>
                <w:szCs w:val="24"/>
              </w:rPr>
              <w:t>A</w:t>
            </w:r>
          </w:p>
        </w:tc>
        <w:tc>
          <w:tcPr>
            <w:tcW w:w="1288" w:type="dxa"/>
          </w:tcPr>
          <w:p w14:paraId="2A534DFE" w14:textId="77777777" w:rsidR="002E746A" w:rsidRPr="0053170F" w:rsidRDefault="002E746A" w:rsidP="00432E0B">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54</w:t>
            </w:r>
          </w:p>
        </w:tc>
        <w:tc>
          <w:tcPr>
            <w:tcW w:w="1288" w:type="dxa"/>
          </w:tcPr>
          <w:p w14:paraId="58E3DE2A" w14:textId="77777777" w:rsidR="002E746A" w:rsidRPr="0053170F" w:rsidRDefault="002E746A" w:rsidP="00432E0B">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50</w:t>
            </w:r>
          </w:p>
        </w:tc>
        <w:tc>
          <w:tcPr>
            <w:tcW w:w="1288" w:type="dxa"/>
          </w:tcPr>
          <w:p w14:paraId="38CEE9BE" w14:textId="77777777" w:rsidR="002E746A" w:rsidRPr="0053170F" w:rsidRDefault="002E746A" w:rsidP="00432E0B">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4</w:t>
            </w:r>
          </w:p>
        </w:tc>
        <w:tc>
          <w:tcPr>
            <w:tcW w:w="1288" w:type="dxa"/>
          </w:tcPr>
          <w:p w14:paraId="74E9FADB" w14:textId="77777777" w:rsidR="002E746A" w:rsidRPr="0053170F" w:rsidRDefault="002E746A" w:rsidP="00432E0B">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0.8</w:t>
            </w:r>
          </w:p>
        </w:tc>
        <w:tc>
          <w:tcPr>
            <w:tcW w:w="1288" w:type="dxa"/>
          </w:tcPr>
          <w:p w14:paraId="4F49A5C9" w14:textId="77777777" w:rsidR="002E746A" w:rsidRPr="0053170F" w:rsidRDefault="002E746A" w:rsidP="00432E0B">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25</w:t>
            </w:r>
          </w:p>
        </w:tc>
        <w:tc>
          <w:tcPr>
            <w:tcW w:w="1288" w:type="dxa"/>
          </w:tcPr>
          <w:p w14:paraId="5769DE2B" w14:textId="77777777" w:rsidR="002E746A" w:rsidRPr="0053170F" w:rsidRDefault="002E746A" w:rsidP="00432E0B">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3.2%</w:t>
            </w:r>
          </w:p>
        </w:tc>
      </w:tr>
      <w:tr w:rsidR="002E746A" w:rsidRPr="0053170F" w14:paraId="53338AEF" w14:textId="77777777" w:rsidTr="002E746A">
        <w:tc>
          <w:tcPr>
            <w:cnfStyle w:val="001000000000" w:firstRow="0" w:lastRow="0" w:firstColumn="1" w:lastColumn="0" w:oddVBand="0" w:evenVBand="0" w:oddHBand="0" w:evenHBand="0" w:firstRowFirstColumn="0" w:firstRowLastColumn="0" w:lastRowFirstColumn="0" w:lastRowLastColumn="0"/>
            <w:tcW w:w="1288" w:type="dxa"/>
          </w:tcPr>
          <w:p w14:paraId="3DE00FAA" w14:textId="77777777" w:rsidR="002E746A" w:rsidRPr="0053170F" w:rsidRDefault="002E746A" w:rsidP="00432E0B">
            <w:pPr>
              <w:jc w:val="both"/>
              <w:rPr>
                <w:rFonts w:ascii="Arial" w:hAnsi="Arial" w:cs="Arial"/>
                <w:b w:val="0"/>
                <w:bCs w:val="0"/>
                <w:sz w:val="24"/>
                <w:szCs w:val="24"/>
              </w:rPr>
            </w:pPr>
            <w:r w:rsidRPr="0053170F">
              <w:rPr>
                <w:rFonts w:ascii="Arial" w:hAnsi="Arial" w:cs="Arial"/>
                <w:b w:val="0"/>
                <w:bCs w:val="0"/>
                <w:sz w:val="24"/>
                <w:szCs w:val="24"/>
              </w:rPr>
              <w:t>B</w:t>
            </w:r>
          </w:p>
        </w:tc>
        <w:tc>
          <w:tcPr>
            <w:tcW w:w="1288" w:type="dxa"/>
          </w:tcPr>
          <w:p w14:paraId="57C5CD44" w14:textId="77777777" w:rsidR="002E746A" w:rsidRPr="0053170F" w:rsidRDefault="002E746A" w:rsidP="00432E0B">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55</w:t>
            </w:r>
          </w:p>
        </w:tc>
        <w:tc>
          <w:tcPr>
            <w:tcW w:w="1288" w:type="dxa"/>
          </w:tcPr>
          <w:p w14:paraId="5A6081BE" w14:textId="77777777" w:rsidR="002E746A" w:rsidRPr="0053170F" w:rsidRDefault="002E746A" w:rsidP="00432E0B">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50</w:t>
            </w:r>
          </w:p>
        </w:tc>
        <w:tc>
          <w:tcPr>
            <w:tcW w:w="1288" w:type="dxa"/>
          </w:tcPr>
          <w:p w14:paraId="435E4046" w14:textId="77777777" w:rsidR="002E746A" w:rsidRPr="0053170F" w:rsidRDefault="002E746A" w:rsidP="00432E0B">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5</w:t>
            </w:r>
          </w:p>
        </w:tc>
        <w:tc>
          <w:tcPr>
            <w:tcW w:w="1288" w:type="dxa"/>
          </w:tcPr>
          <w:p w14:paraId="11D486A3" w14:textId="77777777" w:rsidR="002E746A" w:rsidRPr="0053170F" w:rsidRDefault="002E746A" w:rsidP="00432E0B">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1.0</w:t>
            </w:r>
          </w:p>
        </w:tc>
        <w:tc>
          <w:tcPr>
            <w:tcW w:w="1288" w:type="dxa"/>
          </w:tcPr>
          <w:p w14:paraId="213DE073" w14:textId="77777777" w:rsidR="002E746A" w:rsidRPr="0053170F" w:rsidRDefault="002E746A" w:rsidP="00432E0B">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25</w:t>
            </w:r>
          </w:p>
        </w:tc>
        <w:tc>
          <w:tcPr>
            <w:tcW w:w="1288" w:type="dxa"/>
          </w:tcPr>
          <w:p w14:paraId="5DD86F52" w14:textId="77777777" w:rsidR="002E746A" w:rsidRPr="0053170F" w:rsidRDefault="002E746A" w:rsidP="00432E0B">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4.0%</w:t>
            </w:r>
          </w:p>
        </w:tc>
      </w:tr>
      <w:tr w:rsidR="002E746A" w:rsidRPr="0053170F" w14:paraId="3EDB9398" w14:textId="77777777" w:rsidTr="002E74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8" w:type="dxa"/>
          </w:tcPr>
          <w:p w14:paraId="7B65CD1C" w14:textId="77777777" w:rsidR="002E746A" w:rsidRPr="0053170F" w:rsidRDefault="002E746A" w:rsidP="00432E0B">
            <w:pPr>
              <w:jc w:val="both"/>
              <w:rPr>
                <w:rFonts w:ascii="Arial" w:hAnsi="Arial" w:cs="Arial"/>
                <w:b w:val="0"/>
                <w:bCs w:val="0"/>
                <w:sz w:val="24"/>
                <w:szCs w:val="24"/>
              </w:rPr>
            </w:pPr>
            <w:r w:rsidRPr="0053170F">
              <w:rPr>
                <w:rFonts w:ascii="Arial" w:hAnsi="Arial" w:cs="Arial"/>
                <w:b w:val="0"/>
                <w:bCs w:val="0"/>
                <w:sz w:val="24"/>
                <w:szCs w:val="24"/>
              </w:rPr>
              <w:t>C</w:t>
            </w:r>
          </w:p>
        </w:tc>
        <w:tc>
          <w:tcPr>
            <w:tcW w:w="1288" w:type="dxa"/>
          </w:tcPr>
          <w:p w14:paraId="0B7AA6A8" w14:textId="77777777" w:rsidR="002E746A" w:rsidRPr="0053170F" w:rsidRDefault="002E746A" w:rsidP="00432E0B">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65</w:t>
            </w:r>
          </w:p>
        </w:tc>
        <w:tc>
          <w:tcPr>
            <w:tcW w:w="1288" w:type="dxa"/>
          </w:tcPr>
          <w:p w14:paraId="7B583BB1" w14:textId="77777777" w:rsidR="002E746A" w:rsidRPr="0053170F" w:rsidRDefault="002E746A" w:rsidP="00432E0B">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50</w:t>
            </w:r>
          </w:p>
        </w:tc>
        <w:tc>
          <w:tcPr>
            <w:tcW w:w="1288" w:type="dxa"/>
          </w:tcPr>
          <w:p w14:paraId="02F6EC24" w14:textId="77777777" w:rsidR="002E746A" w:rsidRPr="0053170F" w:rsidRDefault="002E746A" w:rsidP="00432E0B">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15</w:t>
            </w:r>
          </w:p>
        </w:tc>
        <w:tc>
          <w:tcPr>
            <w:tcW w:w="1288" w:type="dxa"/>
          </w:tcPr>
          <w:p w14:paraId="55CDD7DA" w14:textId="77777777" w:rsidR="002E746A" w:rsidRPr="0053170F" w:rsidRDefault="002E746A" w:rsidP="00432E0B">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3.0</w:t>
            </w:r>
          </w:p>
        </w:tc>
        <w:tc>
          <w:tcPr>
            <w:tcW w:w="1288" w:type="dxa"/>
          </w:tcPr>
          <w:p w14:paraId="54DE9792" w14:textId="77777777" w:rsidR="002E746A" w:rsidRPr="0053170F" w:rsidRDefault="002E746A" w:rsidP="00432E0B">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25</w:t>
            </w:r>
          </w:p>
        </w:tc>
        <w:tc>
          <w:tcPr>
            <w:tcW w:w="1288" w:type="dxa"/>
          </w:tcPr>
          <w:p w14:paraId="7A69908E" w14:textId="77777777" w:rsidR="002E746A" w:rsidRPr="0053170F" w:rsidRDefault="002E746A" w:rsidP="00432E0B">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12.0%</w:t>
            </w:r>
          </w:p>
        </w:tc>
      </w:tr>
    </w:tbl>
    <w:p w14:paraId="10449C1B" w14:textId="77777777" w:rsidR="00BB6C54" w:rsidRPr="0053170F" w:rsidRDefault="00BB6C54" w:rsidP="00BB6C54">
      <w:pPr>
        <w:jc w:val="both"/>
        <w:rPr>
          <w:rFonts w:ascii="Arial" w:hAnsi="Arial" w:cs="Arial"/>
          <w:sz w:val="24"/>
          <w:szCs w:val="24"/>
        </w:rPr>
      </w:pPr>
      <w:r w:rsidRPr="0053170F">
        <w:rPr>
          <w:rFonts w:ascii="Arial" w:hAnsi="Arial" w:cs="Arial"/>
          <w:sz w:val="24"/>
          <w:szCs w:val="24"/>
        </w:rPr>
        <w:t>The ARR of project B is 4% and project A has an ARR of 3.2% which is not significantly more than that of project C.</w:t>
      </w:r>
    </w:p>
    <w:p w14:paraId="332584D6" w14:textId="77777777" w:rsidR="00BB6C54" w:rsidRPr="0053170F" w:rsidRDefault="00BB6C54" w:rsidP="00BB6C54">
      <w:pPr>
        <w:jc w:val="both"/>
        <w:rPr>
          <w:rFonts w:ascii="Arial" w:hAnsi="Arial" w:cs="Arial"/>
          <w:sz w:val="24"/>
          <w:szCs w:val="24"/>
        </w:rPr>
      </w:pPr>
      <w:r w:rsidRPr="0053170F">
        <w:rPr>
          <w:rFonts w:ascii="Arial" w:hAnsi="Arial" w:cs="Arial"/>
          <w:sz w:val="24"/>
          <w:szCs w:val="24"/>
        </w:rPr>
        <w:t>Project C is therefore very strongly supported by ARR. However, ARR is not a cash-flow indicator, but an accounting one and lacks the time of cash flows. Therefore, more emphasis must be given to NPV and IRR in the final decision.</w:t>
      </w:r>
    </w:p>
    <w:p w14:paraId="4165D517" w14:textId="77777777" w:rsidR="00BB6C54" w:rsidRPr="0053170F" w:rsidRDefault="00BB6C54" w:rsidP="00BB6C54">
      <w:pPr>
        <w:jc w:val="both"/>
        <w:rPr>
          <w:rFonts w:ascii="Arial" w:hAnsi="Arial" w:cs="Arial"/>
          <w:sz w:val="24"/>
          <w:szCs w:val="24"/>
        </w:rPr>
      </w:pPr>
    </w:p>
    <w:p w14:paraId="7AACBAE7" w14:textId="77777777" w:rsidR="00BB6C54" w:rsidRPr="005C28E1" w:rsidRDefault="00BB6C54" w:rsidP="0055511C">
      <w:pPr>
        <w:pStyle w:val="Heading2"/>
        <w:rPr>
          <w:rFonts w:ascii="Arial" w:hAnsi="Arial" w:cs="Arial"/>
          <w:b/>
          <w:bCs/>
          <w:sz w:val="28"/>
          <w:szCs w:val="28"/>
        </w:rPr>
      </w:pPr>
      <w:bookmarkStart w:id="30" w:name="_Toc237461193"/>
      <w:r w:rsidRPr="005C28E1">
        <w:rPr>
          <w:rFonts w:ascii="Arial" w:hAnsi="Arial" w:cs="Arial"/>
          <w:b/>
          <w:bCs/>
          <w:sz w:val="28"/>
          <w:szCs w:val="28"/>
        </w:rPr>
        <w:lastRenderedPageBreak/>
        <w:t>4.5 Net Present Value</w:t>
      </w:r>
      <w:bookmarkEnd w:id="30"/>
    </w:p>
    <w:p w14:paraId="4F8B312B" w14:textId="77777777" w:rsidR="00BB6C54" w:rsidRPr="0053170F" w:rsidRDefault="00BB6C54" w:rsidP="00BB6C54">
      <w:pPr>
        <w:jc w:val="both"/>
        <w:rPr>
          <w:rFonts w:ascii="Arial" w:hAnsi="Arial" w:cs="Arial"/>
          <w:sz w:val="24"/>
          <w:szCs w:val="24"/>
        </w:rPr>
      </w:pPr>
      <w:r w:rsidRPr="0053170F">
        <w:rPr>
          <w:rFonts w:ascii="Arial" w:hAnsi="Arial" w:cs="Arial"/>
          <w:sz w:val="24"/>
          <w:szCs w:val="24"/>
        </w:rPr>
        <w:t>The NPV is the most theoretically sound method, as it reflects the time value of money and directly relates to the increase or decrease to the shareholders' wealth.</w:t>
      </w:r>
    </w:p>
    <w:p w14:paraId="29EA2533" w14:textId="77777777" w:rsidR="00BB6C54" w:rsidRPr="0053170F" w:rsidRDefault="00BB6C54" w:rsidP="00BB6C54">
      <w:pPr>
        <w:jc w:val="both"/>
        <w:rPr>
          <w:rFonts w:ascii="Arial" w:hAnsi="Arial" w:cs="Arial"/>
          <w:sz w:val="24"/>
          <w:szCs w:val="24"/>
        </w:rPr>
      </w:pPr>
      <w:r w:rsidRPr="0053170F">
        <w:rPr>
          <w:rFonts w:ascii="Arial" w:hAnsi="Arial" w:cs="Arial"/>
          <w:sz w:val="24"/>
          <w:szCs w:val="24"/>
        </w:rPr>
        <w:t>The formula is:</w:t>
      </w:r>
    </w:p>
    <w:p w14:paraId="16A1E28E" w14:textId="77777777" w:rsidR="00BB6C54" w:rsidRPr="0053170F" w:rsidRDefault="00BB6C54" w:rsidP="00BB6C54">
      <w:pPr>
        <w:jc w:val="both"/>
        <w:rPr>
          <w:rFonts w:ascii="Arial" w:hAnsi="Arial" w:cs="Arial"/>
          <w:sz w:val="24"/>
          <w:szCs w:val="24"/>
        </w:rPr>
      </w:pPr>
      <w:r w:rsidRPr="0053170F">
        <w:rPr>
          <w:rFonts w:ascii="Arial" w:hAnsi="Arial" w:cs="Arial"/>
          <w:sz w:val="24"/>
          <w:szCs w:val="24"/>
        </w:rPr>
        <w:t>NPV = Σ [CFt / (1 + r)t] − Initial investment</w:t>
      </w:r>
    </w:p>
    <w:p w14:paraId="5B7D30EF" w14:textId="77777777" w:rsidR="00BB6C54" w:rsidRPr="0053170F" w:rsidRDefault="00BB6C54" w:rsidP="00BB6C54">
      <w:pPr>
        <w:jc w:val="both"/>
        <w:rPr>
          <w:rFonts w:ascii="Arial" w:hAnsi="Arial" w:cs="Arial"/>
          <w:sz w:val="24"/>
          <w:szCs w:val="24"/>
        </w:rPr>
      </w:pPr>
      <w:r w:rsidRPr="0053170F">
        <w:rPr>
          <w:rFonts w:ascii="Arial" w:hAnsi="Arial" w:cs="Arial"/>
          <w:sz w:val="24"/>
          <w:szCs w:val="24"/>
        </w:rPr>
        <w:t>where:</w:t>
      </w:r>
    </w:p>
    <w:p w14:paraId="6CCB285F" w14:textId="77777777" w:rsidR="00BB6C54" w:rsidRPr="0053170F" w:rsidRDefault="00BB6C54" w:rsidP="00BB6C54">
      <w:pPr>
        <w:jc w:val="both"/>
        <w:rPr>
          <w:rFonts w:ascii="Arial" w:hAnsi="Arial" w:cs="Arial"/>
          <w:sz w:val="24"/>
          <w:szCs w:val="24"/>
        </w:rPr>
      </w:pPr>
      <w:r w:rsidRPr="0053170F">
        <w:rPr>
          <w:rFonts w:ascii="Arial" w:hAnsi="Arial" w:cs="Arial"/>
          <w:sz w:val="24"/>
          <w:szCs w:val="24"/>
        </w:rPr>
        <w:t>CF = annual cash flow,</w:t>
      </w:r>
    </w:p>
    <w:p w14:paraId="48D8C5C3" w14:textId="77777777" w:rsidR="00BB6C54" w:rsidRPr="0053170F" w:rsidRDefault="00BB6C54" w:rsidP="00BB6C54">
      <w:pPr>
        <w:jc w:val="both"/>
        <w:rPr>
          <w:rFonts w:ascii="Arial" w:hAnsi="Arial" w:cs="Arial"/>
          <w:sz w:val="24"/>
          <w:szCs w:val="24"/>
        </w:rPr>
      </w:pPr>
      <w:r w:rsidRPr="0053170F">
        <w:rPr>
          <w:rFonts w:ascii="Arial" w:hAnsi="Arial" w:cs="Arial"/>
          <w:sz w:val="24"/>
          <w:szCs w:val="24"/>
        </w:rPr>
        <w:t>•</w:t>
      </w:r>
      <w:r w:rsidRPr="0053170F">
        <w:rPr>
          <w:rFonts w:ascii="Arial" w:hAnsi="Arial" w:cs="Arial"/>
          <w:sz w:val="24"/>
          <w:szCs w:val="24"/>
        </w:rPr>
        <w:tab/>
        <w:t>r = discount rate;</w:t>
      </w:r>
    </w:p>
    <w:p w14:paraId="3F27B06B" w14:textId="77777777" w:rsidR="00BB6C54" w:rsidRPr="0053170F" w:rsidRDefault="00BB6C54" w:rsidP="00BB6C54">
      <w:pPr>
        <w:jc w:val="both"/>
        <w:rPr>
          <w:rFonts w:ascii="Arial" w:hAnsi="Arial" w:cs="Arial"/>
          <w:sz w:val="24"/>
          <w:szCs w:val="24"/>
        </w:rPr>
      </w:pPr>
      <w:r w:rsidRPr="0053170F">
        <w:rPr>
          <w:rFonts w:ascii="Arial" w:hAnsi="Arial" w:cs="Arial"/>
          <w:sz w:val="24"/>
          <w:szCs w:val="24"/>
        </w:rPr>
        <w:t>•</w:t>
      </w:r>
      <w:r w:rsidRPr="0053170F">
        <w:rPr>
          <w:rFonts w:ascii="Arial" w:hAnsi="Arial" w:cs="Arial"/>
          <w:sz w:val="24"/>
          <w:szCs w:val="24"/>
        </w:rPr>
        <w:tab/>
        <w:t>t = year.</w:t>
      </w:r>
    </w:p>
    <w:p w14:paraId="70A7C5E5" w14:textId="77777777" w:rsidR="00BB6C54" w:rsidRPr="0053170F" w:rsidRDefault="00BB6C54" w:rsidP="00BB6C54">
      <w:pPr>
        <w:jc w:val="both"/>
        <w:rPr>
          <w:rFonts w:ascii="Arial" w:hAnsi="Arial" w:cs="Arial"/>
          <w:sz w:val="24"/>
          <w:szCs w:val="24"/>
        </w:rPr>
      </w:pPr>
      <w:r w:rsidRPr="0053170F">
        <w:rPr>
          <w:rFonts w:ascii="Arial" w:hAnsi="Arial" w:cs="Arial"/>
          <w:sz w:val="24"/>
          <w:szCs w:val="24"/>
        </w:rPr>
        <w:t>The discount rate is 8%</w:t>
      </w:r>
    </w:p>
    <w:p w14:paraId="6F5FD7E7" w14:textId="3E898B01" w:rsidR="00BB6C54" w:rsidRPr="0053170F" w:rsidRDefault="00BB6C54" w:rsidP="00BB6C54">
      <w:pPr>
        <w:jc w:val="both"/>
        <w:rPr>
          <w:rFonts w:ascii="Arial" w:hAnsi="Arial" w:cs="Arial"/>
          <w:sz w:val="24"/>
          <w:szCs w:val="24"/>
        </w:rPr>
      </w:pPr>
      <w:r w:rsidRPr="0053170F">
        <w:rPr>
          <w:rFonts w:ascii="Arial" w:hAnsi="Arial" w:cs="Arial"/>
          <w:sz w:val="24"/>
          <w:szCs w:val="24"/>
        </w:rPr>
        <w:t>Table 1</w:t>
      </w:r>
      <w:r w:rsidR="00852B7E" w:rsidRPr="0053170F">
        <w:rPr>
          <w:rFonts w:ascii="Arial" w:hAnsi="Arial" w:cs="Arial"/>
          <w:sz w:val="24"/>
          <w:szCs w:val="24"/>
        </w:rPr>
        <w:t>3</w:t>
      </w:r>
      <w:r w:rsidRPr="0053170F">
        <w:rPr>
          <w:rFonts w:ascii="Arial" w:hAnsi="Arial" w:cs="Arial"/>
          <w:sz w:val="24"/>
          <w:szCs w:val="24"/>
        </w:rPr>
        <w:t xml:space="preserve"> </w:t>
      </w:r>
      <w:r w:rsidR="005124C8" w:rsidRPr="0053170F">
        <w:rPr>
          <w:rFonts w:ascii="Arial" w:hAnsi="Arial" w:cs="Arial"/>
          <w:sz w:val="24"/>
          <w:szCs w:val="24"/>
        </w:rPr>
        <w:t xml:space="preserve">: </w:t>
      </w:r>
      <w:r w:rsidRPr="0053170F">
        <w:rPr>
          <w:rFonts w:ascii="Arial" w:hAnsi="Arial" w:cs="Arial"/>
          <w:sz w:val="24"/>
          <w:szCs w:val="24"/>
        </w:rPr>
        <w:t>present value of cash flows.</w:t>
      </w:r>
    </w:p>
    <w:tbl>
      <w:tblPr>
        <w:tblStyle w:val="GridTable4-Accent3"/>
        <w:tblW w:w="0" w:type="auto"/>
        <w:tblLook w:val="04A0" w:firstRow="1" w:lastRow="0" w:firstColumn="1" w:lastColumn="0" w:noHBand="0" w:noVBand="1"/>
      </w:tblPr>
      <w:tblGrid>
        <w:gridCol w:w="1803"/>
        <w:gridCol w:w="1803"/>
        <w:gridCol w:w="1803"/>
        <w:gridCol w:w="1803"/>
        <w:gridCol w:w="1804"/>
      </w:tblGrid>
      <w:tr w:rsidR="0091050B" w:rsidRPr="0053170F" w14:paraId="11039994" w14:textId="77777777" w:rsidTr="009105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5EEB0AA0" w14:textId="77777777" w:rsidR="0091050B" w:rsidRPr="0053170F" w:rsidRDefault="0091050B" w:rsidP="009E14D3">
            <w:pPr>
              <w:jc w:val="both"/>
              <w:rPr>
                <w:rFonts w:ascii="Arial" w:hAnsi="Arial" w:cs="Arial"/>
                <w:b w:val="0"/>
                <w:bCs w:val="0"/>
                <w:sz w:val="24"/>
                <w:szCs w:val="24"/>
              </w:rPr>
            </w:pPr>
            <w:r w:rsidRPr="0053170F">
              <w:rPr>
                <w:rFonts w:ascii="Arial" w:hAnsi="Arial" w:cs="Arial"/>
                <w:b w:val="0"/>
                <w:bCs w:val="0"/>
                <w:sz w:val="24"/>
                <w:szCs w:val="24"/>
              </w:rPr>
              <w:t>Year</w:t>
            </w:r>
          </w:p>
        </w:tc>
        <w:tc>
          <w:tcPr>
            <w:tcW w:w="1803" w:type="dxa"/>
          </w:tcPr>
          <w:p w14:paraId="7A037510" w14:textId="77777777" w:rsidR="0091050B" w:rsidRPr="0053170F" w:rsidRDefault="0091050B" w:rsidP="009E14D3">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Discount factor at 8%</w:t>
            </w:r>
          </w:p>
        </w:tc>
        <w:tc>
          <w:tcPr>
            <w:tcW w:w="1803" w:type="dxa"/>
          </w:tcPr>
          <w:p w14:paraId="71AED7F4" w14:textId="77777777" w:rsidR="0091050B" w:rsidRPr="0053170F" w:rsidRDefault="0091050B" w:rsidP="009E14D3">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Project A PV (£m)</w:t>
            </w:r>
          </w:p>
        </w:tc>
        <w:tc>
          <w:tcPr>
            <w:tcW w:w="1803" w:type="dxa"/>
          </w:tcPr>
          <w:p w14:paraId="5B9F9045" w14:textId="77777777" w:rsidR="0091050B" w:rsidRPr="0053170F" w:rsidRDefault="0091050B" w:rsidP="009E14D3">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Project B PV (£m)</w:t>
            </w:r>
          </w:p>
        </w:tc>
        <w:tc>
          <w:tcPr>
            <w:tcW w:w="1804" w:type="dxa"/>
          </w:tcPr>
          <w:p w14:paraId="136E7ECF" w14:textId="77777777" w:rsidR="0091050B" w:rsidRPr="0053170F" w:rsidRDefault="0091050B" w:rsidP="009E14D3">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Project C PV (£m)</w:t>
            </w:r>
          </w:p>
        </w:tc>
      </w:tr>
      <w:tr w:rsidR="0091050B" w:rsidRPr="0053170F" w14:paraId="72116E96" w14:textId="77777777" w:rsidTr="009105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52277617" w14:textId="77777777" w:rsidR="0091050B" w:rsidRPr="0053170F" w:rsidRDefault="0091050B" w:rsidP="009E14D3">
            <w:pPr>
              <w:jc w:val="both"/>
              <w:rPr>
                <w:rFonts w:ascii="Arial" w:hAnsi="Arial" w:cs="Arial"/>
                <w:b w:val="0"/>
                <w:bCs w:val="0"/>
                <w:sz w:val="24"/>
                <w:szCs w:val="24"/>
              </w:rPr>
            </w:pPr>
            <w:r w:rsidRPr="0053170F">
              <w:rPr>
                <w:rFonts w:ascii="Arial" w:hAnsi="Arial" w:cs="Arial"/>
                <w:b w:val="0"/>
                <w:bCs w:val="0"/>
                <w:sz w:val="24"/>
                <w:szCs w:val="24"/>
              </w:rPr>
              <w:t>1</w:t>
            </w:r>
          </w:p>
        </w:tc>
        <w:tc>
          <w:tcPr>
            <w:tcW w:w="1803" w:type="dxa"/>
          </w:tcPr>
          <w:p w14:paraId="4EEA3A74" w14:textId="77777777" w:rsidR="0091050B" w:rsidRPr="0053170F" w:rsidRDefault="0091050B" w:rsidP="009E14D3">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0.9259</w:t>
            </w:r>
          </w:p>
        </w:tc>
        <w:tc>
          <w:tcPr>
            <w:tcW w:w="1803" w:type="dxa"/>
          </w:tcPr>
          <w:p w14:paraId="0AD155C7" w14:textId="77777777" w:rsidR="0091050B" w:rsidRPr="0053170F" w:rsidRDefault="0091050B" w:rsidP="009E14D3">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9.259</w:t>
            </w:r>
          </w:p>
        </w:tc>
        <w:tc>
          <w:tcPr>
            <w:tcW w:w="1803" w:type="dxa"/>
          </w:tcPr>
          <w:p w14:paraId="1BD45A68" w14:textId="77777777" w:rsidR="0091050B" w:rsidRPr="0053170F" w:rsidRDefault="0091050B" w:rsidP="009E14D3">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10.185</w:t>
            </w:r>
          </w:p>
        </w:tc>
        <w:tc>
          <w:tcPr>
            <w:tcW w:w="1804" w:type="dxa"/>
          </w:tcPr>
          <w:p w14:paraId="3C9D1A94" w14:textId="77777777" w:rsidR="0091050B" w:rsidRPr="0053170F" w:rsidRDefault="0091050B" w:rsidP="009E14D3">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4.630</w:t>
            </w:r>
          </w:p>
        </w:tc>
      </w:tr>
      <w:tr w:rsidR="0091050B" w:rsidRPr="0053170F" w14:paraId="0D93590D" w14:textId="77777777" w:rsidTr="0091050B">
        <w:tc>
          <w:tcPr>
            <w:cnfStyle w:val="001000000000" w:firstRow="0" w:lastRow="0" w:firstColumn="1" w:lastColumn="0" w:oddVBand="0" w:evenVBand="0" w:oddHBand="0" w:evenHBand="0" w:firstRowFirstColumn="0" w:firstRowLastColumn="0" w:lastRowFirstColumn="0" w:lastRowLastColumn="0"/>
            <w:tcW w:w="1803" w:type="dxa"/>
          </w:tcPr>
          <w:p w14:paraId="21CC73FE" w14:textId="77777777" w:rsidR="0091050B" w:rsidRPr="0053170F" w:rsidRDefault="0091050B" w:rsidP="009E14D3">
            <w:pPr>
              <w:jc w:val="both"/>
              <w:rPr>
                <w:rFonts w:ascii="Arial" w:hAnsi="Arial" w:cs="Arial"/>
                <w:b w:val="0"/>
                <w:bCs w:val="0"/>
                <w:sz w:val="24"/>
                <w:szCs w:val="24"/>
              </w:rPr>
            </w:pPr>
            <w:r w:rsidRPr="0053170F">
              <w:rPr>
                <w:rFonts w:ascii="Arial" w:hAnsi="Arial" w:cs="Arial"/>
                <w:b w:val="0"/>
                <w:bCs w:val="0"/>
                <w:sz w:val="24"/>
                <w:szCs w:val="24"/>
              </w:rPr>
              <w:t>2</w:t>
            </w:r>
          </w:p>
        </w:tc>
        <w:tc>
          <w:tcPr>
            <w:tcW w:w="1803" w:type="dxa"/>
          </w:tcPr>
          <w:p w14:paraId="3B8AA8B9" w14:textId="77777777" w:rsidR="0091050B" w:rsidRPr="0053170F" w:rsidRDefault="0091050B" w:rsidP="009E14D3">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0.8573</w:t>
            </w:r>
          </w:p>
        </w:tc>
        <w:tc>
          <w:tcPr>
            <w:tcW w:w="1803" w:type="dxa"/>
          </w:tcPr>
          <w:p w14:paraId="517785B1" w14:textId="77777777" w:rsidR="0091050B" w:rsidRPr="0053170F" w:rsidRDefault="0091050B" w:rsidP="009E14D3">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10.288</w:t>
            </w:r>
          </w:p>
        </w:tc>
        <w:tc>
          <w:tcPr>
            <w:tcW w:w="1803" w:type="dxa"/>
          </w:tcPr>
          <w:p w14:paraId="7150B1E3" w14:textId="77777777" w:rsidR="0091050B" w:rsidRPr="0053170F" w:rsidRDefault="0091050B" w:rsidP="009E14D3">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9.431</w:t>
            </w:r>
          </w:p>
        </w:tc>
        <w:tc>
          <w:tcPr>
            <w:tcW w:w="1804" w:type="dxa"/>
          </w:tcPr>
          <w:p w14:paraId="3FC54275" w14:textId="77777777" w:rsidR="0091050B" w:rsidRPr="0053170F" w:rsidRDefault="0091050B" w:rsidP="009E14D3">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8.573</w:t>
            </w:r>
          </w:p>
        </w:tc>
      </w:tr>
      <w:tr w:rsidR="0091050B" w:rsidRPr="0053170F" w14:paraId="2C65860B" w14:textId="77777777" w:rsidTr="009105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68CBF354" w14:textId="77777777" w:rsidR="0091050B" w:rsidRPr="0053170F" w:rsidRDefault="0091050B" w:rsidP="009E14D3">
            <w:pPr>
              <w:jc w:val="both"/>
              <w:rPr>
                <w:rFonts w:ascii="Arial" w:hAnsi="Arial" w:cs="Arial"/>
                <w:b w:val="0"/>
                <w:bCs w:val="0"/>
                <w:sz w:val="24"/>
                <w:szCs w:val="24"/>
              </w:rPr>
            </w:pPr>
            <w:r w:rsidRPr="0053170F">
              <w:rPr>
                <w:rFonts w:ascii="Arial" w:hAnsi="Arial" w:cs="Arial"/>
                <w:b w:val="0"/>
                <w:bCs w:val="0"/>
                <w:sz w:val="24"/>
                <w:szCs w:val="24"/>
              </w:rPr>
              <w:t>3</w:t>
            </w:r>
          </w:p>
        </w:tc>
        <w:tc>
          <w:tcPr>
            <w:tcW w:w="1803" w:type="dxa"/>
          </w:tcPr>
          <w:p w14:paraId="7342D2C7" w14:textId="77777777" w:rsidR="0091050B" w:rsidRPr="0053170F" w:rsidRDefault="0091050B" w:rsidP="009E14D3">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0.7938</w:t>
            </w:r>
          </w:p>
        </w:tc>
        <w:tc>
          <w:tcPr>
            <w:tcW w:w="1803" w:type="dxa"/>
          </w:tcPr>
          <w:p w14:paraId="659D0065" w14:textId="77777777" w:rsidR="0091050B" w:rsidRPr="0053170F" w:rsidRDefault="0091050B" w:rsidP="009E14D3">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11.114</w:t>
            </w:r>
          </w:p>
        </w:tc>
        <w:tc>
          <w:tcPr>
            <w:tcW w:w="1803" w:type="dxa"/>
          </w:tcPr>
          <w:p w14:paraId="5325164E" w14:textId="77777777" w:rsidR="0091050B" w:rsidRPr="0053170F" w:rsidRDefault="0091050B" w:rsidP="009E14D3">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8.732</w:t>
            </w:r>
          </w:p>
        </w:tc>
        <w:tc>
          <w:tcPr>
            <w:tcW w:w="1804" w:type="dxa"/>
          </w:tcPr>
          <w:p w14:paraId="50D59297" w14:textId="77777777" w:rsidR="0091050B" w:rsidRPr="0053170F" w:rsidRDefault="0091050B" w:rsidP="009E14D3">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15.877</w:t>
            </w:r>
          </w:p>
        </w:tc>
      </w:tr>
      <w:tr w:rsidR="0091050B" w:rsidRPr="0053170F" w14:paraId="6D800047" w14:textId="77777777" w:rsidTr="0091050B">
        <w:tc>
          <w:tcPr>
            <w:cnfStyle w:val="001000000000" w:firstRow="0" w:lastRow="0" w:firstColumn="1" w:lastColumn="0" w:oddVBand="0" w:evenVBand="0" w:oddHBand="0" w:evenHBand="0" w:firstRowFirstColumn="0" w:firstRowLastColumn="0" w:lastRowFirstColumn="0" w:lastRowLastColumn="0"/>
            <w:tcW w:w="1803" w:type="dxa"/>
          </w:tcPr>
          <w:p w14:paraId="4DD43002" w14:textId="77777777" w:rsidR="0091050B" w:rsidRPr="0053170F" w:rsidRDefault="0091050B" w:rsidP="009E14D3">
            <w:pPr>
              <w:jc w:val="both"/>
              <w:rPr>
                <w:rFonts w:ascii="Arial" w:hAnsi="Arial" w:cs="Arial"/>
                <w:b w:val="0"/>
                <w:bCs w:val="0"/>
                <w:sz w:val="24"/>
                <w:szCs w:val="24"/>
              </w:rPr>
            </w:pPr>
            <w:r w:rsidRPr="0053170F">
              <w:rPr>
                <w:rFonts w:ascii="Arial" w:hAnsi="Arial" w:cs="Arial"/>
                <w:b w:val="0"/>
                <w:bCs w:val="0"/>
                <w:sz w:val="24"/>
                <w:szCs w:val="24"/>
              </w:rPr>
              <w:t>4</w:t>
            </w:r>
          </w:p>
        </w:tc>
        <w:tc>
          <w:tcPr>
            <w:tcW w:w="1803" w:type="dxa"/>
          </w:tcPr>
          <w:p w14:paraId="604298A9" w14:textId="77777777" w:rsidR="0091050B" w:rsidRPr="0053170F" w:rsidRDefault="0091050B" w:rsidP="009E14D3">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0.7350</w:t>
            </w:r>
          </w:p>
        </w:tc>
        <w:tc>
          <w:tcPr>
            <w:tcW w:w="1803" w:type="dxa"/>
          </w:tcPr>
          <w:p w14:paraId="75E786B9" w14:textId="77777777" w:rsidR="0091050B" w:rsidRPr="0053170F" w:rsidRDefault="0091050B" w:rsidP="009E14D3">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7.350</w:t>
            </w:r>
          </w:p>
        </w:tc>
        <w:tc>
          <w:tcPr>
            <w:tcW w:w="1803" w:type="dxa"/>
          </w:tcPr>
          <w:p w14:paraId="4E2866A9" w14:textId="77777777" w:rsidR="0091050B" w:rsidRPr="0053170F" w:rsidRDefault="0091050B" w:rsidP="009E14D3">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8.085</w:t>
            </w:r>
          </w:p>
        </w:tc>
        <w:tc>
          <w:tcPr>
            <w:tcW w:w="1804" w:type="dxa"/>
          </w:tcPr>
          <w:p w14:paraId="7EF73A2E" w14:textId="77777777" w:rsidR="0091050B" w:rsidRPr="0053170F" w:rsidRDefault="0091050B" w:rsidP="009E14D3">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18.376</w:t>
            </w:r>
          </w:p>
        </w:tc>
      </w:tr>
      <w:tr w:rsidR="0091050B" w:rsidRPr="0053170F" w14:paraId="11D1C3B5" w14:textId="77777777" w:rsidTr="009105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62979083" w14:textId="77777777" w:rsidR="0091050B" w:rsidRPr="0053170F" w:rsidRDefault="0091050B" w:rsidP="009E14D3">
            <w:pPr>
              <w:jc w:val="both"/>
              <w:rPr>
                <w:rFonts w:ascii="Arial" w:hAnsi="Arial" w:cs="Arial"/>
                <w:b w:val="0"/>
                <w:bCs w:val="0"/>
                <w:sz w:val="24"/>
                <w:szCs w:val="24"/>
              </w:rPr>
            </w:pPr>
            <w:r w:rsidRPr="0053170F">
              <w:rPr>
                <w:rFonts w:ascii="Arial" w:hAnsi="Arial" w:cs="Arial"/>
                <w:b w:val="0"/>
                <w:bCs w:val="0"/>
                <w:sz w:val="24"/>
                <w:szCs w:val="24"/>
              </w:rPr>
              <w:t>5</w:t>
            </w:r>
          </w:p>
        </w:tc>
        <w:tc>
          <w:tcPr>
            <w:tcW w:w="1803" w:type="dxa"/>
          </w:tcPr>
          <w:p w14:paraId="6B8FE102" w14:textId="77777777" w:rsidR="0091050B" w:rsidRPr="0053170F" w:rsidRDefault="0091050B" w:rsidP="009E14D3">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0.6806</w:t>
            </w:r>
          </w:p>
        </w:tc>
        <w:tc>
          <w:tcPr>
            <w:tcW w:w="1803" w:type="dxa"/>
          </w:tcPr>
          <w:p w14:paraId="09B7E764" w14:textId="77777777" w:rsidR="0091050B" w:rsidRPr="0053170F" w:rsidRDefault="0091050B" w:rsidP="009E14D3">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5.445</w:t>
            </w:r>
          </w:p>
        </w:tc>
        <w:tc>
          <w:tcPr>
            <w:tcW w:w="1803" w:type="dxa"/>
          </w:tcPr>
          <w:p w14:paraId="6F349CE6" w14:textId="77777777" w:rsidR="0091050B" w:rsidRPr="0053170F" w:rsidRDefault="0091050B" w:rsidP="009E14D3">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7.486</w:t>
            </w:r>
          </w:p>
        </w:tc>
        <w:tc>
          <w:tcPr>
            <w:tcW w:w="1804" w:type="dxa"/>
          </w:tcPr>
          <w:p w14:paraId="50741EE3" w14:textId="77777777" w:rsidR="0091050B" w:rsidRPr="0053170F" w:rsidRDefault="0091050B" w:rsidP="009E14D3">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3.403</w:t>
            </w:r>
          </w:p>
        </w:tc>
      </w:tr>
      <w:tr w:rsidR="0091050B" w:rsidRPr="0053170F" w14:paraId="24AE92A1" w14:textId="77777777" w:rsidTr="0091050B">
        <w:tc>
          <w:tcPr>
            <w:cnfStyle w:val="001000000000" w:firstRow="0" w:lastRow="0" w:firstColumn="1" w:lastColumn="0" w:oddVBand="0" w:evenVBand="0" w:oddHBand="0" w:evenHBand="0" w:firstRowFirstColumn="0" w:firstRowLastColumn="0" w:lastRowFirstColumn="0" w:lastRowLastColumn="0"/>
            <w:tcW w:w="1803" w:type="dxa"/>
          </w:tcPr>
          <w:p w14:paraId="374DB70B" w14:textId="77777777" w:rsidR="0091050B" w:rsidRPr="0053170F" w:rsidRDefault="0091050B" w:rsidP="009E14D3">
            <w:pPr>
              <w:jc w:val="both"/>
              <w:rPr>
                <w:rFonts w:ascii="Arial" w:hAnsi="Arial" w:cs="Arial"/>
                <w:b w:val="0"/>
                <w:bCs w:val="0"/>
                <w:sz w:val="24"/>
                <w:szCs w:val="24"/>
              </w:rPr>
            </w:pPr>
            <w:r w:rsidRPr="0053170F">
              <w:rPr>
                <w:rFonts w:ascii="Arial" w:hAnsi="Arial" w:cs="Arial"/>
                <w:b w:val="0"/>
                <w:bCs w:val="0"/>
                <w:sz w:val="24"/>
                <w:szCs w:val="24"/>
              </w:rPr>
              <w:t>Total PV</w:t>
            </w:r>
          </w:p>
        </w:tc>
        <w:tc>
          <w:tcPr>
            <w:tcW w:w="1803" w:type="dxa"/>
          </w:tcPr>
          <w:p w14:paraId="3B73F4FE" w14:textId="77777777" w:rsidR="0091050B" w:rsidRPr="0053170F" w:rsidRDefault="0091050B" w:rsidP="009E14D3">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1803" w:type="dxa"/>
          </w:tcPr>
          <w:p w14:paraId="6A8A7F80" w14:textId="77777777" w:rsidR="0091050B" w:rsidRPr="0053170F" w:rsidRDefault="0091050B" w:rsidP="009E14D3">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43.456</w:t>
            </w:r>
          </w:p>
        </w:tc>
        <w:tc>
          <w:tcPr>
            <w:tcW w:w="1803" w:type="dxa"/>
          </w:tcPr>
          <w:p w14:paraId="5E4A396D" w14:textId="77777777" w:rsidR="0091050B" w:rsidRPr="0053170F" w:rsidRDefault="0091050B" w:rsidP="009E14D3">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43.920</w:t>
            </w:r>
          </w:p>
        </w:tc>
        <w:tc>
          <w:tcPr>
            <w:tcW w:w="1804" w:type="dxa"/>
          </w:tcPr>
          <w:p w14:paraId="6089E1F6" w14:textId="77777777" w:rsidR="0091050B" w:rsidRPr="0053170F" w:rsidRDefault="0091050B" w:rsidP="009E14D3">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50.858</w:t>
            </w:r>
          </w:p>
        </w:tc>
      </w:tr>
      <w:tr w:rsidR="0091050B" w:rsidRPr="0053170F" w14:paraId="4DB93021" w14:textId="77777777" w:rsidTr="009105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583BF26B" w14:textId="77777777" w:rsidR="0091050B" w:rsidRPr="0053170F" w:rsidRDefault="0091050B" w:rsidP="009E14D3">
            <w:pPr>
              <w:jc w:val="both"/>
              <w:rPr>
                <w:rFonts w:ascii="Arial" w:hAnsi="Arial" w:cs="Arial"/>
                <w:b w:val="0"/>
                <w:bCs w:val="0"/>
                <w:sz w:val="24"/>
                <w:szCs w:val="24"/>
              </w:rPr>
            </w:pPr>
            <w:r w:rsidRPr="0053170F">
              <w:rPr>
                <w:rFonts w:ascii="Arial" w:hAnsi="Arial" w:cs="Arial"/>
                <w:b w:val="0"/>
                <w:bCs w:val="0"/>
                <w:sz w:val="24"/>
                <w:szCs w:val="24"/>
              </w:rPr>
              <w:t>Initial investment</w:t>
            </w:r>
          </w:p>
        </w:tc>
        <w:tc>
          <w:tcPr>
            <w:tcW w:w="1803" w:type="dxa"/>
          </w:tcPr>
          <w:p w14:paraId="0ECFDB1A" w14:textId="77777777" w:rsidR="0091050B" w:rsidRPr="0053170F" w:rsidRDefault="0091050B" w:rsidP="009E14D3">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1803" w:type="dxa"/>
          </w:tcPr>
          <w:p w14:paraId="57151AF5" w14:textId="77777777" w:rsidR="0091050B" w:rsidRPr="0053170F" w:rsidRDefault="0091050B" w:rsidP="009E14D3">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(50.000)</w:t>
            </w:r>
          </w:p>
        </w:tc>
        <w:tc>
          <w:tcPr>
            <w:tcW w:w="1803" w:type="dxa"/>
          </w:tcPr>
          <w:p w14:paraId="5FB810C7" w14:textId="77777777" w:rsidR="0091050B" w:rsidRPr="0053170F" w:rsidRDefault="0091050B" w:rsidP="009E14D3">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(50.000)</w:t>
            </w:r>
          </w:p>
        </w:tc>
        <w:tc>
          <w:tcPr>
            <w:tcW w:w="1804" w:type="dxa"/>
          </w:tcPr>
          <w:p w14:paraId="33689216" w14:textId="77777777" w:rsidR="0091050B" w:rsidRPr="0053170F" w:rsidRDefault="0091050B" w:rsidP="009E14D3">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(50.000)</w:t>
            </w:r>
          </w:p>
        </w:tc>
      </w:tr>
      <w:tr w:rsidR="0091050B" w:rsidRPr="0053170F" w14:paraId="3BC4A489" w14:textId="77777777" w:rsidTr="0091050B">
        <w:tc>
          <w:tcPr>
            <w:cnfStyle w:val="001000000000" w:firstRow="0" w:lastRow="0" w:firstColumn="1" w:lastColumn="0" w:oddVBand="0" w:evenVBand="0" w:oddHBand="0" w:evenHBand="0" w:firstRowFirstColumn="0" w:firstRowLastColumn="0" w:lastRowFirstColumn="0" w:lastRowLastColumn="0"/>
            <w:tcW w:w="1803" w:type="dxa"/>
          </w:tcPr>
          <w:p w14:paraId="54784F88" w14:textId="77777777" w:rsidR="0091050B" w:rsidRPr="0053170F" w:rsidRDefault="0091050B" w:rsidP="009E14D3">
            <w:pPr>
              <w:jc w:val="both"/>
              <w:rPr>
                <w:rFonts w:ascii="Arial" w:hAnsi="Arial" w:cs="Arial"/>
                <w:b w:val="0"/>
                <w:bCs w:val="0"/>
                <w:sz w:val="24"/>
                <w:szCs w:val="24"/>
              </w:rPr>
            </w:pPr>
            <w:r w:rsidRPr="0053170F">
              <w:rPr>
                <w:rFonts w:ascii="Arial" w:hAnsi="Arial" w:cs="Arial"/>
                <w:b w:val="0"/>
                <w:bCs w:val="0"/>
                <w:sz w:val="24"/>
                <w:szCs w:val="24"/>
              </w:rPr>
              <w:t>NPV</w:t>
            </w:r>
          </w:p>
        </w:tc>
        <w:tc>
          <w:tcPr>
            <w:tcW w:w="1803" w:type="dxa"/>
          </w:tcPr>
          <w:p w14:paraId="269003AD" w14:textId="77777777" w:rsidR="0091050B" w:rsidRPr="0053170F" w:rsidRDefault="0091050B" w:rsidP="009E14D3">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1803" w:type="dxa"/>
          </w:tcPr>
          <w:p w14:paraId="7DE9D391" w14:textId="77777777" w:rsidR="0091050B" w:rsidRPr="0053170F" w:rsidRDefault="0091050B" w:rsidP="009E14D3">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−£6.544m</w:t>
            </w:r>
          </w:p>
        </w:tc>
        <w:tc>
          <w:tcPr>
            <w:tcW w:w="1803" w:type="dxa"/>
          </w:tcPr>
          <w:p w14:paraId="0E666C12" w14:textId="77777777" w:rsidR="0091050B" w:rsidRPr="0053170F" w:rsidRDefault="0091050B" w:rsidP="009E14D3">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−£6.080m</w:t>
            </w:r>
          </w:p>
        </w:tc>
        <w:tc>
          <w:tcPr>
            <w:tcW w:w="1804" w:type="dxa"/>
          </w:tcPr>
          <w:p w14:paraId="0A4CB4E6" w14:textId="77777777" w:rsidR="0091050B" w:rsidRPr="0053170F" w:rsidRDefault="0091050B" w:rsidP="009E14D3">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+£0.858m</w:t>
            </w:r>
          </w:p>
        </w:tc>
      </w:tr>
    </w:tbl>
    <w:p w14:paraId="79F90AAC" w14:textId="77777777" w:rsidR="00BB6C54" w:rsidRPr="0053170F" w:rsidRDefault="00BB6C54" w:rsidP="00BB6C54">
      <w:pPr>
        <w:jc w:val="both"/>
        <w:rPr>
          <w:rFonts w:ascii="Arial" w:hAnsi="Arial" w:cs="Arial"/>
          <w:sz w:val="24"/>
          <w:szCs w:val="24"/>
        </w:rPr>
      </w:pPr>
      <w:r w:rsidRPr="0053170F">
        <w:rPr>
          <w:rFonts w:ascii="Arial" w:hAnsi="Arial" w:cs="Arial"/>
          <w:sz w:val="24"/>
          <w:szCs w:val="24"/>
        </w:rPr>
        <w:t>Project C is the only project with a positive NPV.</w:t>
      </w:r>
    </w:p>
    <w:p w14:paraId="621B6803" w14:textId="77777777" w:rsidR="00BB6C54" w:rsidRPr="0053170F" w:rsidRDefault="00BB6C54" w:rsidP="00BB6C54">
      <w:pPr>
        <w:jc w:val="both"/>
        <w:rPr>
          <w:rFonts w:ascii="Arial" w:hAnsi="Arial" w:cs="Arial"/>
          <w:sz w:val="24"/>
          <w:szCs w:val="24"/>
        </w:rPr>
      </w:pPr>
      <w:r w:rsidRPr="0053170F">
        <w:rPr>
          <w:rFonts w:ascii="Arial" w:hAnsi="Arial" w:cs="Arial"/>
          <w:sz w:val="24"/>
          <w:szCs w:val="24"/>
        </w:rPr>
        <w:t>Project A destroys £6.54 million of value and project B destroys £6.08 million of value. The value of project C is around £0.86m for a required return of 8%</w:t>
      </w:r>
    </w:p>
    <w:p w14:paraId="447FB5C9" w14:textId="77777777" w:rsidR="00BB6C54" w:rsidRPr="0053170F" w:rsidRDefault="00BB6C54" w:rsidP="00BB6C54">
      <w:pPr>
        <w:jc w:val="both"/>
        <w:rPr>
          <w:rFonts w:ascii="Arial" w:hAnsi="Arial" w:cs="Arial"/>
          <w:sz w:val="24"/>
          <w:szCs w:val="24"/>
        </w:rPr>
      </w:pPr>
    </w:p>
    <w:p w14:paraId="726DC8FE" w14:textId="77777777" w:rsidR="00BB6C54" w:rsidRPr="005C28E1" w:rsidRDefault="00BB6C54" w:rsidP="0055511C">
      <w:pPr>
        <w:pStyle w:val="Heading2"/>
        <w:rPr>
          <w:rFonts w:ascii="Arial" w:hAnsi="Arial" w:cs="Arial"/>
          <w:b/>
          <w:bCs/>
          <w:sz w:val="28"/>
          <w:szCs w:val="28"/>
        </w:rPr>
      </w:pPr>
      <w:bookmarkStart w:id="31" w:name="_Toc237461194"/>
      <w:r w:rsidRPr="005C28E1">
        <w:rPr>
          <w:rFonts w:ascii="Arial" w:hAnsi="Arial" w:cs="Arial"/>
          <w:b/>
          <w:bCs/>
          <w:sz w:val="28"/>
          <w:szCs w:val="28"/>
        </w:rPr>
        <w:t>4.6 Profitability Index</w:t>
      </w:r>
      <w:bookmarkEnd w:id="31"/>
    </w:p>
    <w:p w14:paraId="78C4A477" w14:textId="77777777" w:rsidR="00BB6C54" w:rsidRPr="0053170F" w:rsidRDefault="00BB6C54" w:rsidP="00BB6C54">
      <w:pPr>
        <w:jc w:val="both"/>
        <w:rPr>
          <w:rFonts w:ascii="Arial" w:hAnsi="Arial" w:cs="Arial"/>
          <w:sz w:val="24"/>
          <w:szCs w:val="24"/>
        </w:rPr>
      </w:pPr>
      <w:r w:rsidRPr="0053170F">
        <w:rPr>
          <w:rFonts w:ascii="Arial" w:hAnsi="Arial" w:cs="Arial"/>
          <w:sz w:val="24"/>
          <w:szCs w:val="24"/>
        </w:rPr>
        <w:t>Profitability Index is the sum of present values of cash inflows per pound invested:</w:t>
      </w:r>
    </w:p>
    <w:p w14:paraId="2AE67486" w14:textId="77777777" w:rsidR="00BB6C54" w:rsidRPr="0053170F" w:rsidRDefault="00BB6C54" w:rsidP="00BB6C54">
      <w:pPr>
        <w:jc w:val="both"/>
        <w:rPr>
          <w:rFonts w:ascii="Arial" w:hAnsi="Arial" w:cs="Arial"/>
          <w:sz w:val="24"/>
          <w:szCs w:val="24"/>
        </w:rPr>
      </w:pPr>
      <w:r w:rsidRPr="0053170F">
        <w:rPr>
          <w:rFonts w:ascii="Arial" w:hAnsi="Arial" w:cs="Arial"/>
          <w:sz w:val="24"/>
          <w:szCs w:val="24"/>
        </w:rPr>
        <w:t>Present value of future cash inflows = PI x Initial investment</w:t>
      </w:r>
    </w:p>
    <w:p w14:paraId="661105EE" w14:textId="797438D4" w:rsidR="00BB6C54" w:rsidRPr="0053170F" w:rsidRDefault="00BB6C54" w:rsidP="00BB6C54">
      <w:pPr>
        <w:jc w:val="both"/>
        <w:rPr>
          <w:rFonts w:ascii="Arial" w:hAnsi="Arial" w:cs="Arial"/>
          <w:sz w:val="24"/>
          <w:szCs w:val="24"/>
        </w:rPr>
      </w:pPr>
      <w:r w:rsidRPr="0053170F">
        <w:rPr>
          <w:rFonts w:ascii="Arial" w:hAnsi="Arial" w:cs="Arial"/>
          <w:sz w:val="24"/>
          <w:szCs w:val="24"/>
        </w:rPr>
        <w:t xml:space="preserve">Table </w:t>
      </w:r>
      <w:r w:rsidR="005124C8" w:rsidRPr="0053170F">
        <w:rPr>
          <w:rFonts w:ascii="Arial" w:hAnsi="Arial" w:cs="Arial"/>
          <w:sz w:val="24"/>
          <w:szCs w:val="24"/>
        </w:rPr>
        <w:t>14</w:t>
      </w:r>
      <w:r w:rsidRPr="0053170F">
        <w:rPr>
          <w:rFonts w:ascii="Arial" w:hAnsi="Arial" w:cs="Arial"/>
          <w:sz w:val="24"/>
          <w:szCs w:val="24"/>
        </w:rPr>
        <w:t>: Profitability Index</w:t>
      </w:r>
    </w:p>
    <w:tbl>
      <w:tblPr>
        <w:tblStyle w:val="GridTable4-Accent3"/>
        <w:tblW w:w="0" w:type="auto"/>
        <w:tblLook w:val="04A0" w:firstRow="1" w:lastRow="0" w:firstColumn="1" w:lastColumn="0" w:noHBand="0" w:noVBand="1"/>
      </w:tblPr>
      <w:tblGrid>
        <w:gridCol w:w="1803"/>
        <w:gridCol w:w="1803"/>
        <w:gridCol w:w="1803"/>
        <w:gridCol w:w="1803"/>
        <w:gridCol w:w="1804"/>
      </w:tblGrid>
      <w:tr w:rsidR="0091050B" w:rsidRPr="0053170F" w14:paraId="1E744F4E" w14:textId="77777777" w:rsidTr="009105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1FC65715" w14:textId="77777777" w:rsidR="0091050B" w:rsidRPr="0053170F" w:rsidRDefault="0091050B" w:rsidP="00EB385D">
            <w:pPr>
              <w:jc w:val="both"/>
              <w:rPr>
                <w:rFonts w:ascii="Arial" w:hAnsi="Arial" w:cs="Arial"/>
                <w:b w:val="0"/>
                <w:bCs w:val="0"/>
                <w:sz w:val="24"/>
                <w:szCs w:val="24"/>
              </w:rPr>
            </w:pPr>
            <w:r w:rsidRPr="0053170F">
              <w:rPr>
                <w:rFonts w:ascii="Arial" w:hAnsi="Arial" w:cs="Arial"/>
                <w:b w:val="0"/>
                <w:bCs w:val="0"/>
                <w:sz w:val="24"/>
                <w:szCs w:val="24"/>
              </w:rPr>
              <w:t>PV of cash inflows (£m) = 52.02841</w:t>
            </w:r>
          </w:p>
        </w:tc>
        <w:tc>
          <w:tcPr>
            <w:tcW w:w="1803" w:type="dxa"/>
          </w:tcPr>
          <w:p w14:paraId="170775D5" w14:textId="77777777" w:rsidR="0091050B" w:rsidRPr="0053170F" w:rsidRDefault="0091050B" w:rsidP="00EB385D">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Initial investment (£m) = 30.000</w:t>
            </w:r>
          </w:p>
        </w:tc>
        <w:tc>
          <w:tcPr>
            <w:tcW w:w="1803" w:type="dxa"/>
          </w:tcPr>
          <w:p w14:paraId="14401E82" w14:textId="77777777" w:rsidR="0091050B" w:rsidRPr="0053170F" w:rsidRDefault="0091050B" w:rsidP="00EB385D">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PI = 1.733</w:t>
            </w:r>
          </w:p>
        </w:tc>
        <w:tc>
          <w:tcPr>
            <w:tcW w:w="1803" w:type="dxa"/>
          </w:tcPr>
          <w:p w14:paraId="7ADF288E" w14:textId="77777777" w:rsidR="0091050B" w:rsidRPr="0053170F" w:rsidRDefault="0091050B" w:rsidP="00EB385D">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Decision = Accept</w:t>
            </w:r>
          </w:p>
        </w:tc>
        <w:tc>
          <w:tcPr>
            <w:tcW w:w="1804" w:type="dxa"/>
          </w:tcPr>
          <w:p w14:paraId="5E23CCCA" w14:textId="77777777" w:rsidR="0091050B" w:rsidRPr="0053170F" w:rsidRDefault="0091050B" w:rsidP="00EB385D">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p>
        </w:tc>
      </w:tr>
      <w:tr w:rsidR="0091050B" w:rsidRPr="0053170F" w14:paraId="22ED9A69" w14:textId="77777777" w:rsidTr="009105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6F1328B8" w14:textId="77777777" w:rsidR="0091050B" w:rsidRPr="0053170F" w:rsidRDefault="0091050B" w:rsidP="00EB385D">
            <w:pPr>
              <w:jc w:val="both"/>
              <w:rPr>
                <w:rFonts w:ascii="Arial" w:hAnsi="Arial" w:cs="Arial"/>
                <w:b w:val="0"/>
                <w:bCs w:val="0"/>
                <w:sz w:val="24"/>
                <w:szCs w:val="24"/>
              </w:rPr>
            </w:pPr>
            <w:r w:rsidRPr="0053170F">
              <w:rPr>
                <w:rFonts w:ascii="Arial" w:hAnsi="Arial" w:cs="Arial"/>
                <w:b w:val="0"/>
                <w:bCs w:val="0"/>
                <w:sz w:val="24"/>
                <w:szCs w:val="24"/>
              </w:rPr>
              <w:t>A</w:t>
            </w:r>
          </w:p>
        </w:tc>
        <w:tc>
          <w:tcPr>
            <w:tcW w:w="1803" w:type="dxa"/>
          </w:tcPr>
          <w:p w14:paraId="4D0DFC53" w14:textId="77777777" w:rsidR="0091050B" w:rsidRPr="0053170F" w:rsidRDefault="0091050B" w:rsidP="00EB385D">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43.456</w:t>
            </w:r>
          </w:p>
        </w:tc>
        <w:tc>
          <w:tcPr>
            <w:tcW w:w="1803" w:type="dxa"/>
          </w:tcPr>
          <w:p w14:paraId="2C95E222" w14:textId="77777777" w:rsidR="0091050B" w:rsidRPr="0053170F" w:rsidRDefault="0091050B" w:rsidP="00EB385D">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50</w:t>
            </w:r>
          </w:p>
        </w:tc>
        <w:tc>
          <w:tcPr>
            <w:tcW w:w="1803" w:type="dxa"/>
          </w:tcPr>
          <w:p w14:paraId="0D10EDFF" w14:textId="77777777" w:rsidR="0091050B" w:rsidRPr="0053170F" w:rsidRDefault="0091050B" w:rsidP="00EB385D">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0.869</w:t>
            </w:r>
          </w:p>
        </w:tc>
        <w:tc>
          <w:tcPr>
            <w:tcW w:w="1804" w:type="dxa"/>
          </w:tcPr>
          <w:p w14:paraId="5D871997" w14:textId="77777777" w:rsidR="0091050B" w:rsidRPr="0053170F" w:rsidRDefault="0091050B" w:rsidP="00EB385D">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Reject</w:t>
            </w:r>
          </w:p>
        </w:tc>
      </w:tr>
      <w:tr w:rsidR="0091050B" w:rsidRPr="0053170F" w14:paraId="481E70C2" w14:textId="77777777" w:rsidTr="0091050B">
        <w:tc>
          <w:tcPr>
            <w:cnfStyle w:val="001000000000" w:firstRow="0" w:lastRow="0" w:firstColumn="1" w:lastColumn="0" w:oddVBand="0" w:evenVBand="0" w:oddHBand="0" w:evenHBand="0" w:firstRowFirstColumn="0" w:firstRowLastColumn="0" w:lastRowFirstColumn="0" w:lastRowLastColumn="0"/>
            <w:tcW w:w="1803" w:type="dxa"/>
          </w:tcPr>
          <w:p w14:paraId="10497ED8" w14:textId="77777777" w:rsidR="0091050B" w:rsidRPr="0053170F" w:rsidRDefault="0091050B" w:rsidP="00EB385D">
            <w:pPr>
              <w:jc w:val="both"/>
              <w:rPr>
                <w:rFonts w:ascii="Arial" w:hAnsi="Arial" w:cs="Arial"/>
                <w:b w:val="0"/>
                <w:bCs w:val="0"/>
                <w:sz w:val="24"/>
                <w:szCs w:val="24"/>
              </w:rPr>
            </w:pPr>
            <w:r w:rsidRPr="0053170F">
              <w:rPr>
                <w:rFonts w:ascii="Arial" w:hAnsi="Arial" w:cs="Arial"/>
                <w:b w:val="0"/>
                <w:bCs w:val="0"/>
                <w:sz w:val="24"/>
                <w:szCs w:val="24"/>
              </w:rPr>
              <w:t>B</w:t>
            </w:r>
          </w:p>
        </w:tc>
        <w:tc>
          <w:tcPr>
            <w:tcW w:w="1803" w:type="dxa"/>
          </w:tcPr>
          <w:p w14:paraId="6E93EFFE" w14:textId="77777777" w:rsidR="0091050B" w:rsidRPr="0053170F" w:rsidRDefault="0091050B" w:rsidP="00EB385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43.920</w:t>
            </w:r>
          </w:p>
        </w:tc>
        <w:tc>
          <w:tcPr>
            <w:tcW w:w="1803" w:type="dxa"/>
          </w:tcPr>
          <w:p w14:paraId="3C6AE713" w14:textId="77777777" w:rsidR="0091050B" w:rsidRPr="0053170F" w:rsidRDefault="0091050B" w:rsidP="00EB385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50</w:t>
            </w:r>
          </w:p>
        </w:tc>
        <w:tc>
          <w:tcPr>
            <w:tcW w:w="1803" w:type="dxa"/>
          </w:tcPr>
          <w:p w14:paraId="6C2F8ADB" w14:textId="77777777" w:rsidR="0091050B" w:rsidRPr="0053170F" w:rsidRDefault="0091050B" w:rsidP="00EB385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0.878</w:t>
            </w:r>
          </w:p>
        </w:tc>
        <w:tc>
          <w:tcPr>
            <w:tcW w:w="1804" w:type="dxa"/>
          </w:tcPr>
          <w:p w14:paraId="76EEF448" w14:textId="77777777" w:rsidR="0091050B" w:rsidRPr="0053170F" w:rsidRDefault="0091050B" w:rsidP="00EB385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Reject</w:t>
            </w:r>
          </w:p>
        </w:tc>
      </w:tr>
      <w:tr w:rsidR="0091050B" w:rsidRPr="0053170F" w14:paraId="4140D714" w14:textId="77777777" w:rsidTr="009105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52D88D08" w14:textId="77777777" w:rsidR="0091050B" w:rsidRPr="0053170F" w:rsidRDefault="0091050B" w:rsidP="00EB385D">
            <w:pPr>
              <w:jc w:val="both"/>
              <w:rPr>
                <w:rFonts w:ascii="Arial" w:hAnsi="Arial" w:cs="Arial"/>
                <w:b w:val="0"/>
                <w:bCs w:val="0"/>
                <w:sz w:val="24"/>
                <w:szCs w:val="24"/>
              </w:rPr>
            </w:pPr>
            <w:r w:rsidRPr="0053170F">
              <w:rPr>
                <w:rFonts w:ascii="Arial" w:hAnsi="Arial" w:cs="Arial"/>
                <w:b w:val="0"/>
                <w:bCs w:val="0"/>
                <w:sz w:val="24"/>
                <w:szCs w:val="24"/>
              </w:rPr>
              <w:t>C</w:t>
            </w:r>
          </w:p>
        </w:tc>
        <w:tc>
          <w:tcPr>
            <w:tcW w:w="1803" w:type="dxa"/>
          </w:tcPr>
          <w:p w14:paraId="58A73B7B" w14:textId="77777777" w:rsidR="0091050B" w:rsidRPr="0053170F" w:rsidRDefault="0091050B" w:rsidP="00EB385D">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50.858</w:t>
            </w:r>
          </w:p>
        </w:tc>
        <w:tc>
          <w:tcPr>
            <w:tcW w:w="1803" w:type="dxa"/>
          </w:tcPr>
          <w:p w14:paraId="22A1B3C7" w14:textId="77777777" w:rsidR="0091050B" w:rsidRPr="0053170F" w:rsidRDefault="0091050B" w:rsidP="00EB385D">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50</w:t>
            </w:r>
          </w:p>
        </w:tc>
        <w:tc>
          <w:tcPr>
            <w:tcW w:w="1803" w:type="dxa"/>
          </w:tcPr>
          <w:p w14:paraId="307AA7D2" w14:textId="77777777" w:rsidR="0091050B" w:rsidRPr="0053170F" w:rsidRDefault="0091050B" w:rsidP="00EB385D">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1.017</w:t>
            </w:r>
          </w:p>
        </w:tc>
        <w:tc>
          <w:tcPr>
            <w:tcW w:w="1804" w:type="dxa"/>
          </w:tcPr>
          <w:p w14:paraId="6C84E48D" w14:textId="77777777" w:rsidR="0091050B" w:rsidRPr="0053170F" w:rsidRDefault="0091050B" w:rsidP="00EB385D">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Accept</w:t>
            </w:r>
          </w:p>
        </w:tc>
      </w:tr>
    </w:tbl>
    <w:p w14:paraId="3D0DDDDA" w14:textId="77777777" w:rsidR="00BB6C54" w:rsidRPr="0053170F" w:rsidRDefault="00BB6C54" w:rsidP="00BB6C54">
      <w:pPr>
        <w:jc w:val="both"/>
        <w:rPr>
          <w:rFonts w:ascii="Arial" w:hAnsi="Arial" w:cs="Arial"/>
          <w:sz w:val="24"/>
          <w:szCs w:val="24"/>
        </w:rPr>
      </w:pPr>
      <w:r w:rsidRPr="0053170F">
        <w:rPr>
          <w:rFonts w:ascii="Arial" w:hAnsi="Arial" w:cs="Arial"/>
          <w:sz w:val="24"/>
          <w:szCs w:val="24"/>
        </w:rPr>
        <w:lastRenderedPageBreak/>
        <w:t>If the value is greater than 1, it means that the value is being created. Project C's PI is 1.017, which is the value of the current pound invested in project C. Projects A and B have indices &lt; 1 and thus do not earn the required rate of return.</w:t>
      </w:r>
    </w:p>
    <w:p w14:paraId="4CFD506A" w14:textId="77777777" w:rsidR="00BB6C54" w:rsidRPr="0053170F" w:rsidRDefault="00BB6C54" w:rsidP="00BB6C54">
      <w:pPr>
        <w:jc w:val="both"/>
        <w:rPr>
          <w:rFonts w:ascii="Arial" w:hAnsi="Arial" w:cs="Arial"/>
          <w:sz w:val="24"/>
          <w:szCs w:val="24"/>
        </w:rPr>
      </w:pPr>
      <w:r w:rsidRPr="0053170F">
        <w:rPr>
          <w:rFonts w:ascii="Arial" w:hAnsi="Arial" w:cs="Arial"/>
          <w:sz w:val="24"/>
          <w:szCs w:val="24"/>
        </w:rPr>
        <w:t>The IRR for the project is 4.7%.The IRR for the project is 4.7 percent.</w:t>
      </w:r>
    </w:p>
    <w:p w14:paraId="2D02D198" w14:textId="313BB0AD" w:rsidR="00BB6C54" w:rsidRPr="0053170F" w:rsidRDefault="00BB6C54" w:rsidP="00BB6C54">
      <w:pPr>
        <w:jc w:val="both"/>
        <w:rPr>
          <w:rFonts w:ascii="Arial" w:hAnsi="Arial" w:cs="Arial"/>
          <w:sz w:val="24"/>
          <w:szCs w:val="24"/>
        </w:rPr>
      </w:pPr>
    </w:p>
    <w:p w14:paraId="602F7AF3" w14:textId="6880FFF8" w:rsidR="00BB6C54" w:rsidRPr="0053170F" w:rsidRDefault="00BB6C54" w:rsidP="00BB6C54">
      <w:pPr>
        <w:jc w:val="both"/>
        <w:rPr>
          <w:rFonts w:ascii="Arial" w:hAnsi="Arial" w:cs="Arial"/>
          <w:sz w:val="24"/>
          <w:szCs w:val="24"/>
        </w:rPr>
      </w:pPr>
      <w:r w:rsidRPr="0053170F">
        <w:rPr>
          <w:rFonts w:ascii="Arial" w:hAnsi="Arial" w:cs="Arial"/>
          <w:sz w:val="24"/>
          <w:szCs w:val="24"/>
        </w:rPr>
        <w:t xml:space="preserve">Table </w:t>
      </w:r>
      <w:r w:rsidR="005124C8" w:rsidRPr="0053170F">
        <w:rPr>
          <w:rFonts w:ascii="Arial" w:hAnsi="Arial" w:cs="Arial"/>
          <w:sz w:val="24"/>
          <w:szCs w:val="24"/>
        </w:rPr>
        <w:t>15</w:t>
      </w:r>
      <w:r w:rsidRPr="0053170F">
        <w:rPr>
          <w:rFonts w:ascii="Arial" w:hAnsi="Arial" w:cs="Arial"/>
          <w:sz w:val="24"/>
          <w:szCs w:val="24"/>
        </w:rPr>
        <w:t>: IRR results</w:t>
      </w:r>
    </w:p>
    <w:p w14:paraId="188CA81A" w14:textId="77777777" w:rsidR="00BB6C54" w:rsidRPr="0053170F" w:rsidRDefault="00BB6C54" w:rsidP="00BB6C54">
      <w:pPr>
        <w:jc w:val="both"/>
        <w:rPr>
          <w:rFonts w:ascii="Arial" w:hAnsi="Arial" w:cs="Arial"/>
          <w:sz w:val="24"/>
          <w:szCs w:val="24"/>
        </w:rPr>
      </w:pPr>
      <w:r w:rsidRPr="0053170F">
        <w:rPr>
          <w:rFonts w:ascii="Arial" w:hAnsi="Arial" w:cs="Arial"/>
          <w:sz w:val="24"/>
          <w:szCs w:val="24"/>
        </w:rPr>
        <w:t>Selling a product that is not in production</w:t>
      </w:r>
      <w:r w:rsidRPr="0053170F">
        <w:rPr>
          <w:rFonts w:ascii="Arial" w:hAnsi="Arial" w:cs="Arial"/>
          <w:sz w:val="24"/>
          <w:szCs w:val="24"/>
        </w:rPr>
        <w:tab/>
        <w:t>IRR is positive</w:t>
      </w:r>
      <w:r w:rsidRPr="0053170F">
        <w:rPr>
          <w:rFonts w:ascii="Arial" w:hAnsi="Arial" w:cs="Arial"/>
          <w:sz w:val="24"/>
          <w:szCs w:val="24"/>
        </w:rPr>
        <w:tab/>
        <w:t>Accept product or idea</w:t>
      </w:r>
    </w:p>
    <w:tbl>
      <w:tblPr>
        <w:tblStyle w:val="TableGrid"/>
        <w:tblW w:w="0" w:type="auto"/>
        <w:tblLook w:val="04A0" w:firstRow="1" w:lastRow="0" w:firstColumn="1" w:lastColumn="0" w:noHBand="0" w:noVBand="1"/>
      </w:tblPr>
      <w:tblGrid>
        <w:gridCol w:w="2254"/>
        <w:gridCol w:w="2254"/>
        <w:gridCol w:w="2254"/>
        <w:gridCol w:w="2254"/>
      </w:tblGrid>
      <w:tr w:rsidR="00DA6089" w:rsidRPr="0053170F" w14:paraId="0408EB94" w14:textId="77777777">
        <w:tc>
          <w:tcPr>
            <w:tcW w:w="2254" w:type="dxa"/>
          </w:tcPr>
          <w:p w14:paraId="057F55EB" w14:textId="77777777" w:rsidR="00DA6089" w:rsidRPr="0053170F" w:rsidRDefault="00DA6089" w:rsidP="00DB2F1E">
            <w:pPr>
              <w:jc w:val="both"/>
              <w:rPr>
                <w:rFonts w:ascii="Arial" w:hAnsi="Arial" w:cs="Arial"/>
                <w:sz w:val="24"/>
                <w:szCs w:val="24"/>
              </w:rPr>
            </w:pPr>
            <w:r w:rsidRPr="0053170F">
              <w:rPr>
                <w:rFonts w:ascii="Arial" w:hAnsi="Arial" w:cs="Arial"/>
                <w:sz w:val="24"/>
                <w:szCs w:val="24"/>
              </w:rPr>
              <w:t>A</w:t>
            </w:r>
          </w:p>
        </w:tc>
        <w:tc>
          <w:tcPr>
            <w:tcW w:w="2254" w:type="dxa"/>
          </w:tcPr>
          <w:p w14:paraId="010FDE0F" w14:textId="77777777" w:rsidR="00DA6089" w:rsidRPr="0053170F" w:rsidRDefault="00DA6089" w:rsidP="00DB2F1E">
            <w:pPr>
              <w:jc w:val="both"/>
              <w:rPr>
                <w:rFonts w:ascii="Arial" w:hAnsi="Arial" w:cs="Arial"/>
                <w:sz w:val="24"/>
                <w:szCs w:val="24"/>
              </w:rPr>
            </w:pPr>
            <w:r w:rsidRPr="0053170F">
              <w:rPr>
                <w:rFonts w:ascii="Arial" w:hAnsi="Arial" w:cs="Arial"/>
                <w:sz w:val="24"/>
                <w:szCs w:val="24"/>
              </w:rPr>
              <w:t>2.72%</w:t>
            </w:r>
          </w:p>
        </w:tc>
        <w:tc>
          <w:tcPr>
            <w:tcW w:w="2254" w:type="dxa"/>
          </w:tcPr>
          <w:p w14:paraId="58C69614" w14:textId="77777777" w:rsidR="00DA6089" w:rsidRPr="0053170F" w:rsidRDefault="00DA6089" w:rsidP="00DB2F1E">
            <w:pPr>
              <w:jc w:val="both"/>
              <w:rPr>
                <w:rFonts w:ascii="Arial" w:hAnsi="Arial" w:cs="Arial"/>
                <w:sz w:val="24"/>
                <w:szCs w:val="24"/>
              </w:rPr>
            </w:pPr>
            <w:r w:rsidRPr="0053170F">
              <w:rPr>
                <w:rFonts w:ascii="Arial" w:hAnsi="Arial" w:cs="Arial"/>
                <w:sz w:val="24"/>
                <w:szCs w:val="24"/>
              </w:rPr>
              <w:t>8%</w:t>
            </w:r>
          </w:p>
        </w:tc>
        <w:tc>
          <w:tcPr>
            <w:tcW w:w="2254" w:type="dxa"/>
          </w:tcPr>
          <w:p w14:paraId="557852AF" w14:textId="77777777" w:rsidR="00DA6089" w:rsidRPr="0053170F" w:rsidRDefault="00DA6089" w:rsidP="00DB2F1E">
            <w:pPr>
              <w:jc w:val="both"/>
              <w:rPr>
                <w:rFonts w:ascii="Arial" w:hAnsi="Arial" w:cs="Arial"/>
                <w:sz w:val="24"/>
                <w:szCs w:val="24"/>
              </w:rPr>
            </w:pPr>
            <w:r w:rsidRPr="0053170F">
              <w:rPr>
                <w:rFonts w:ascii="Arial" w:hAnsi="Arial" w:cs="Arial"/>
                <w:sz w:val="24"/>
                <w:szCs w:val="24"/>
              </w:rPr>
              <w:t>Reject</w:t>
            </w:r>
          </w:p>
        </w:tc>
      </w:tr>
      <w:tr w:rsidR="00DA6089" w:rsidRPr="0053170F" w14:paraId="77B62D74" w14:textId="77777777">
        <w:tc>
          <w:tcPr>
            <w:tcW w:w="2254" w:type="dxa"/>
          </w:tcPr>
          <w:p w14:paraId="654244BC" w14:textId="77777777" w:rsidR="00DA6089" w:rsidRPr="0053170F" w:rsidRDefault="00DA6089" w:rsidP="00DB2F1E">
            <w:pPr>
              <w:jc w:val="both"/>
              <w:rPr>
                <w:rFonts w:ascii="Arial" w:hAnsi="Arial" w:cs="Arial"/>
                <w:sz w:val="24"/>
                <w:szCs w:val="24"/>
              </w:rPr>
            </w:pPr>
            <w:r w:rsidRPr="0053170F">
              <w:rPr>
                <w:rFonts w:ascii="Arial" w:hAnsi="Arial" w:cs="Arial"/>
                <w:sz w:val="24"/>
                <w:szCs w:val="24"/>
              </w:rPr>
              <w:t>B</w:t>
            </w:r>
          </w:p>
        </w:tc>
        <w:tc>
          <w:tcPr>
            <w:tcW w:w="2254" w:type="dxa"/>
          </w:tcPr>
          <w:p w14:paraId="3A53D470" w14:textId="77777777" w:rsidR="00DA6089" w:rsidRPr="0053170F" w:rsidRDefault="00DA6089" w:rsidP="00DB2F1E">
            <w:pPr>
              <w:jc w:val="both"/>
              <w:rPr>
                <w:rFonts w:ascii="Arial" w:hAnsi="Arial" w:cs="Arial"/>
                <w:sz w:val="24"/>
                <w:szCs w:val="24"/>
              </w:rPr>
            </w:pPr>
            <w:r w:rsidRPr="0053170F">
              <w:rPr>
                <w:rFonts w:ascii="Arial" w:hAnsi="Arial" w:cs="Arial"/>
                <w:sz w:val="24"/>
                <w:szCs w:val="24"/>
              </w:rPr>
              <w:t>3.26%</w:t>
            </w:r>
          </w:p>
        </w:tc>
        <w:tc>
          <w:tcPr>
            <w:tcW w:w="2254" w:type="dxa"/>
          </w:tcPr>
          <w:p w14:paraId="3D0994FE" w14:textId="77777777" w:rsidR="00DA6089" w:rsidRPr="0053170F" w:rsidRDefault="00DA6089" w:rsidP="00DB2F1E">
            <w:pPr>
              <w:jc w:val="both"/>
              <w:rPr>
                <w:rFonts w:ascii="Arial" w:hAnsi="Arial" w:cs="Arial"/>
                <w:sz w:val="24"/>
                <w:szCs w:val="24"/>
              </w:rPr>
            </w:pPr>
            <w:r w:rsidRPr="0053170F">
              <w:rPr>
                <w:rFonts w:ascii="Arial" w:hAnsi="Arial" w:cs="Arial"/>
                <w:sz w:val="24"/>
                <w:szCs w:val="24"/>
              </w:rPr>
              <w:t>8%</w:t>
            </w:r>
          </w:p>
        </w:tc>
        <w:tc>
          <w:tcPr>
            <w:tcW w:w="2254" w:type="dxa"/>
          </w:tcPr>
          <w:p w14:paraId="33A5B8FA" w14:textId="77777777" w:rsidR="00DA6089" w:rsidRPr="0053170F" w:rsidRDefault="00DA6089" w:rsidP="00DB2F1E">
            <w:pPr>
              <w:jc w:val="both"/>
              <w:rPr>
                <w:rFonts w:ascii="Arial" w:hAnsi="Arial" w:cs="Arial"/>
                <w:sz w:val="24"/>
                <w:szCs w:val="24"/>
              </w:rPr>
            </w:pPr>
            <w:r w:rsidRPr="0053170F">
              <w:rPr>
                <w:rFonts w:ascii="Arial" w:hAnsi="Arial" w:cs="Arial"/>
                <w:sz w:val="24"/>
                <w:szCs w:val="24"/>
              </w:rPr>
              <w:t>Reject</w:t>
            </w:r>
          </w:p>
        </w:tc>
      </w:tr>
      <w:tr w:rsidR="00DA6089" w:rsidRPr="0053170F" w14:paraId="22E30FE2" w14:textId="77777777">
        <w:tc>
          <w:tcPr>
            <w:tcW w:w="2254" w:type="dxa"/>
          </w:tcPr>
          <w:p w14:paraId="22FAA4CB" w14:textId="77777777" w:rsidR="00DA6089" w:rsidRPr="0053170F" w:rsidRDefault="00DA6089" w:rsidP="00DB2F1E">
            <w:pPr>
              <w:jc w:val="both"/>
              <w:rPr>
                <w:rFonts w:ascii="Arial" w:hAnsi="Arial" w:cs="Arial"/>
                <w:sz w:val="24"/>
                <w:szCs w:val="24"/>
              </w:rPr>
            </w:pPr>
            <w:r w:rsidRPr="0053170F">
              <w:rPr>
                <w:rFonts w:ascii="Arial" w:hAnsi="Arial" w:cs="Arial"/>
                <w:sz w:val="24"/>
                <w:szCs w:val="24"/>
              </w:rPr>
              <w:t>C</w:t>
            </w:r>
          </w:p>
        </w:tc>
        <w:tc>
          <w:tcPr>
            <w:tcW w:w="2254" w:type="dxa"/>
          </w:tcPr>
          <w:p w14:paraId="0490B7B9" w14:textId="77777777" w:rsidR="00DA6089" w:rsidRPr="0053170F" w:rsidRDefault="00DA6089" w:rsidP="00DB2F1E">
            <w:pPr>
              <w:jc w:val="both"/>
              <w:rPr>
                <w:rFonts w:ascii="Arial" w:hAnsi="Arial" w:cs="Arial"/>
                <w:sz w:val="24"/>
                <w:szCs w:val="24"/>
              </w:rPr>
            </w:pPr>
            <w:r w:rsidRPr="0053170F">
              <w:rPr>
                <w:rFonts w:ascii="Arial" w:hAnsi="Arial" w:cs="Arial"/>
                <w:sz w:val="24"/>
                <w:szCs w:val="24"/>
              </w:rPr>
              <w:t>8.59%</w:t>
            </w:r>
          </w:p>
        </w:tc>
        <w:tc>
          <w:tcPr>
            <w:tcW w:w="2254" w:type="dxa"/>
          </w:tcPr>
          <w:p w14:paraId="3EE4DB9F" w14:textId="77777777" w:rsidR="00DA6089" w:rsidRPr="0053170F" w:rsidRDefault="00DA6089" w:rsidP="00DB2F1E">
            <w:pPr>
              <w:jc w:val="both"/>
              <w:rPr>
                <w:rFonts w:ascii="Arial" w:hAnsi="Arial" w:cs="Arial"/>
                <w:sz w:val="24"/>
                <w:szCs w:val="24"/>
              </w:rPr>
            </w:pPr>
            <w:r w:rsidRPr="0053170F">
              <w:rPr>
                <w:rFonts w:ascii="Arial" w:hAnsi="Arial" w:cs="Arial"/>
                <w:sz w:val="24"/>
                <w:szCs w:val="24"/>
              </w:rPr>
              <w:t>8%</w:t>
            </w:r>
          </w:p>
        </w:tc>
        <w:tc>
          <w:tcPr>
            <w:tcW w:w="2254" w:type="dxa"/>
          </w:tcPr>
          <w:p w14:paraId="6CCA2B11" w14:textId="77777777" w:rsidR="00DA6089" w:rsidRPr="0053170F" w:rsidRDefault="00DA6089" w:rsidP="00DB2F1E">
            <w:pPr>
              <w:jc w:val="both"/>
              <w:rPr>
                <w:rFonts w:ascii="Arial" w:hAnsi="Arial" w:cs="Arial"/>
                <w:sz w:val="24"/>
                <w:szCs w:val="24"/>
              </w:rPr>
            </w:pPr>
            <w:r w:rsidRPr="0053170F">
              <w:rPr>
                <w:rFonts w:ascii="Arial" w:hAnsi="Arial" w:cs="Arial"/>
                <w:sz w:val="24"/>
                <w:szCs w:val="24"/>
              </w:rPr>
              <w:t>Accept</w:t>
            </w:r>
          </w:p>
        </w:tc>
      </w:tr>
    </w:tbl>
    <w:p w14:paraId="5C03B053" w14:textId="4610D4DA" w:rsidR="00BB6C54" w:rsidRPr="0053170F" w:rsidRDefault="00BB6C54" w:rsidP="00BB6C54">
      <w:pPr>
        <w:jc w:val="both"/>
        <w:rPr>
          <w:rFonts w:ascii="Arial" w:hAnsi="Arial" w:cs="Arial"/>
          <w:sz w:val="24"/>
          <w:szCs w:val="24"/>
        </w:rPr>
      </w:pPr>
      <w:r w:rsidRPr="0053170F">
        <w:rPr>
          <w:rFonts w:ascii="Arial" w:hAnsi="Arial" w:cs="Arial"/>
          <w:sz w:val="24"/>
          <w:szCs w:val="24"/>
        </w:rPr>
        <w:t>The IRR of Project C is about 8.59% and it is slightly above the required 8% return. For Projects A and B the IRRs will greatly underrun the hurdle rate.</w:t>
      </w:r>
    </w:p>
    <w:p w14:paraId="38C25275" w14:textId="77777777" w:rsidR="00DA6089" w:rsidRPr="0053170F" w:rsidRDefault="00DA6089" w:rsidP="00BB6C54">
      <w:pPr>
        <w:jc w:val="both"/>
        <w:rPr>
          <w:rFonts w:ascii="Arial" w:hAnsi="Arial" w:cs="Arial"/>
          <w:sz w:val="24"/>
          <w:szCs w:val="24"/>
        </w:rPr>
      </w:pPr>
    </w:p>
    <w:p w14:paraId="2AB555B2" w14:textId="77777777" w:rsidR="00DA6089" w:rsidRPr="0053170F" w:rsidRDefault="00DA6089" w:rsidP="00BB6C54">
      <w:pPr>
        <w:jc w:val="both"/>
        <w:rPr>
          <w:rFonts w:ascii="Arial" w:hAnsi="Arial" w:cs="Arial"/>
          <w:sz w:val="24"/>
          <w:szCs w:val="24"/>
        </w:rPr>
      </w:pPr>
    </w:p>
    <w:p w14:paraId="7B7DDD69" w14:textId="0DE33CDC" w:rsidR="00BB6C54" w:rsidRPr="005C28E1" w:rsidRDefault="00BB6C54" w:rsidP="00D33030">
      <w:pPr>
        <w:pStyle w:val="Heading2"/>
        <w:rPr>
          <w:rFonts w:ascii="Arial" w:hAnsi="Arial" w:cs="Arial"/>
          <w:b/>
          <w:bCs/>
          <w:sz w:val="28"/>
          <w:szCs w:val="28"/>
        </w:rPr>
      </w:pPr>
      <w:bookmarkStart w:id="32" w:name="_Toc237461195"/>
      <w:r w:rsidRPr="005C28E1">
        <w:rPr>
          <w:rFonts w:ascii="Arial" w:hAnsi="Arial" w:cs="Arial"/>
          <w:b/>
          <w:bCs/>
          <w:sz w:val="28"/>
          <w:szCs w:val="28"/>
        </w:rPr>
        <w:t>4.</w:t>
      </w:r>
      <w:r w:rsidR="0055511C">
        <w:rPr>
          <w:rFonts w:ascii="Arial" w:hAnsi="Arial" w:cs="Arial"/>
          <w:b/>
          <w:bCs/>
          <w:sz w:val="28"/>
          <w:szCs w:val="28"/>
        </w:rPr>
        <w:t>7</w:t>
      </w:r>
      <w:r w:rsidRPr="005C28E1">
        <w:rPr>
          <w:rFonts w:ascii="Arial" w:hAnsi="Arial" w:cs="Arial"/>
          <w:b/>
          <w:bCs/>
          <w:sz w:val="28"/>
          <w:szCs w:val="28"/>
        </w:rPr>
        <w:t xml:space="preserve"> Overall investment-appraisal comparison</w:t>
      </w:r>
      <w:bookmarkEnd w:id="32"/>
    </w:p>
    <w:p w14:paraId="26A3ECC6" w14:textId="5F0827AF" w:rsidR="00BB6C54" w:rsidRPr="0053170F" w:rsidRDefault="00BB6C54" w:rsidP="00BB6C54">
      <w:pPr>
        <w:jc w:val="both"/>
        <w:rPr>
          <w:rFonts w:ascii="Arial" w:hAnsi="Arial" w:cs="Arial"/>
          <w:sz w:val="24"/>
          <w:szCs w:val="24"/>
        </w:rPr>
      </w:pPr>
      <w:r w:rsidRPr="0053170F">
        <w:rPr>
          <w:rFonts w:ascii="Arial" w:hAnsi="Arial" w:cs="Arial"/>
          <w:sz w:val="24"/>
          <w:szCs w:val="24"/>
        </w:rPr>
        <w:t xml:space="preserve">Table </w:t>
      </w:r>
      <w:r w:rsidR="005124C8" w:rsidRPr="0053170F">
        <w:rPr>
          <w:rFonts w:ascii="Arial" w:hAnsi="Arial" w:cs="Arial"/>
          <w:sz w:val="24"/>
          <w:szCs w:val="24"/>
        </w:rPr>
        <w:t>16</w:t>
      </w:r>
      <w:r w:rsidRPr="0053170F">
        <w:rPr>
          <w:rFonts w:ascii="Arial" w:hAnsi="Arial" w:cs="Arial"/>
          <w:sz w:val="24"/>
          <w:szCs w:val="24"/>
        </w:rPr>
        <w:t>: Risk assessment for the investment.Table 26: Summary of the sensitivity analysis.</w:t>
      </w:r>
    </w:p>
    <w:tbl>
      <w:tblPr>
        <w:tblStyle w:val="GridTable4-Accent3"/>
        <w:tblW w:w="0" w:type="auto"/>
        <w:tblLook w:val="04A0" w:firstRow="1" w:lastRow="0" w:firstColumn="1" w:lastColumn="0" w:noHBand="0" w:noVBand="1"/>
      </w:tblPr>
      <w:tblGrid>
        <w:gridCol w:w="1803"/>
        <w:gridCol w:w="1803"/>
        <w:gridCol w:w="1803"/>
        <w:gridCol w:w="1803"/>
        <w:gridCol w:w="1804"/>
      </w:tblGrid>
      <w:tr w:rsidR="00AA125F" w:rsidRPr="0053170F" w14:paraId="278FAF80" w14:textId="77777777" w:rsidTr="00AA12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7330FF21" w14:textId="77777777" w:rsidR="00AA125F" w:rsidRPr="0053170F" w:rsidRDefault="00AA125F" w:rsidP="005F2661">
            <w:pPr>
              <w:jc w:val="both"/>
              <w:rPr>
                <w:rFonts w:ascii="Arial" w:hAnsi="Arial" w:cs="Arial"/>
                <w:b w:val="0"/>
                <w:bCs w:val="0"/>
                <w:sz w:val="24"/>
                <w:szCs w:val="24"/>
              </w:rPr>
            </w:pPr>
            <w:r w:rsidRPr="0053170F">
              <w:rPr>
                <w:rFonts w:ascii="Arial" w:hAnsi="Arial" w:cs="Arial"/>
                <w:b w:val="0"/>
                <w:bCs w:val="0"/>
                <w:sz w:val="24"/>
                <w:szCs w:val="24"/>
              </w:rPr>
              <w:t>1</w:t>
            </w:r>
          </w:p>
        </w:tc>
        <w:tc>
          <w:tcPr>
            <w:tcW w:w="1803" w:type="dxa"/>
          </w:tcPr>
          <w:p w14:paraId="39B87BF1" w14:textId="77777777" w:rsidR="00AA125F" w:rsidRPr="0053170F" w:rsidRDefault="00AA125F" w:rsidP="005F2661">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1</w:t>
            </w:r>
          </w:p>
        </w:tc>
        <w:tc>
          <w:tcPr>
            <w:tcW w:w="1803" w:type="dxa"/>
          </w:tcPr>
          <w:p w14:paraId="75779634" w14:textId="77777777" w:rsidR="00AA125F" w:rsidRPr="0053170F" w:rsidRDefault="00AA125F" w:rsidP="005F2661">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2</w:t>
            </w:r>
          </w:p>
        </w:tc>
        <w:tc>
          <w:tcPr>
            <w:tcW w:w="1803" w:type="dxa"/>
          </w:tcPr>
          <w:p w14:paraId="07CA37F0" w14:textId="77777777" w:rsidR="00AA125F" w:rsidRPr="0053170F" w:rsidRDefault="00AA125F" w:rsidP="005F2661">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1.6</w:t>
            </w:r>
          </w:p>
        </w:tc>
        <w:tc>
          <w:tcPr>
            <w:tcW w:w="1804" w:type="dxa"/>
          </w:tcPr>
          <w:p w14:paraId="73D0AD27" w14:textId="77777777" w:rsidR="00AA125F" w:rsidRPr="0053170F" w:rsidRDefault="00AA125F" w:rsidP="005F2661">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3170F">
              <w:rPr>
                <w:rFonts w:ascii="Arial" w:hAnsi="Arial" w:cs="Arial"/>
                <w:b w:val="0"/>
                <w:bCs w:val="0"/>
                <w:sz w:val="24"/>
                <w:szCs w:val="24"/>
              </w:rPr>
              <w:t>Best project</w:t>
            </w:r>
          </w:p>
        </w:tc>
      </w:tr>
      <w:tr w:rsidR="00AA125F" w:rsidRPr="0053170F" w14:paraId="2F194C7A" w14:textId="77777777" w:rsidTr="00AA12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4E4C7E91" w14:textId="77777777" w:rsidR="00AA125F" w:rsidRPr="0053170F" w:rsidRDefault="00AA125F" w:rsidP="005F2661">
            <w:pPr>
              <w:jc w:val="both"/>
              <w:rPr>
                <w:rFonts w:ascii="Arial" w:hAnsi="Arial" w:cs="Arial"/>
                <w:b w:val="0"/>
                <w:bCs w:val="0"/>
                <w:sz w:val="24"/>
                <w:szCs w:val="24"/>
              </w:rPr>
            </w:pPr>
            <w:r w:rsidRPr="0053170F">
              <w:rPr>
                <w:rFonts w:ascii="Arial" w:hAnsi="Arial" w:cs="Arial"/>
                <w:b w:val="0"/>
                <w:bCs w:val="0"/>
                <w:sz w:val="24"/>
                <w:szCs w:val="24"/>
              </w:rPr>
              <w:t>PBP</w:t>
            </w:r>
          </w:p>
        </w:tc>
        <w:tc>
          <w:tcPr>
            <w:tcW w:w="1803" w:type="dxa"/>
          </w:tcPr>
          <w:p w14:paraId="67A05BF0" w14:textId="77777777" w:rsidR="00AA125F" w:rsidRPr="0053170F" w:rsidRDefault="00AA125F" w:rsidP="005F266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4.50 years</w:t>
            </w:r>
          </w:p>
        </w:tc>
        <w:tc>
          <w:tcPr>
            <w:tcW w:w="1803" w:type="dxa"/>
          </w:tcPr>
          <w:p w14:paraId="0DF3E92C" w14:textId="77777777" w:rsidR="00AA125F" w:rsidRPr="0053170F" w:rsidRDefault="00AA125F" w:rsidP="005F266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4.55 years</w:t>
            </w:r>
          </w:p>
        </w:tc>
        <w:tc>
          <w:tcPr>
            <w:tcW w:w="1803" w:type="dxa"/>
          </w:tcPr>
          <w:p w14:paraId="6144EE6F" w14:textId="77777777" w:rsidR="00AA125F" w:rsidRPr="0053170F" w:rsidRDefault="00AA125F" w:rsidP="005F266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3.60 years</w:t>
            </w:r>
          </w:p>
        </w:tc>
        <w:tc>
          <w:tcPr>
            <w:tcW w:w="1804" w:type="dxa"/>
          </w:tcPr>
          <w:p w14:paraId="2C7C1408" w14:textId="77777777" w:rsidR="00AA125F" w:rsidRPr="0053170F" w:rsidRDefault="00AA125F" w:rsidP="005F266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C</w:t>
            </w:r>
          </w:p>
        </w:tc>
      </w:tr>
      <w:tr w:rsidR="00AA125F" w:rsidRPr="0053170F" w14:paraId="04C9BBFD" w14:textId="77777777" w:rsidTr="00AA125F">
        <w:tc>
          <w:tcPr>
            <w:cnfStyle w:val="001000000000" w:firstRow="0" w:lastRow="0" w:firstColumn="1" w:lastColumn="0" w:oddVBand="0" w:evenVBand="0" w:oddHBand="0" w:evenHBand="0" w:firstRowFirstColumn="0" w:firstRowLastColumn="0" w:lastRowFirstColumn="0" w:lastRowLastColumn="0"/>
            <w:tcW w:w="1803" w:type="dxa"/>
          </w:tcPr>
          <w:p w14:paraId="7897A86D" w14:textId="77777777" w:rsidR="00AA125F" w:rsidRPr="0053170F" w:rsidRDefault="00AA125F" w:rsidP="005F2661">
            <w:pPr>
              <w:jc w:val="both"/>
              <w:rPr>
                <w:rFonts w:ascii="Arial" w:hAnsi="Arial" w:cs="Arial"/>
                <w:b w:val="0"/>
                <w:bCs w:val="0"/>
                <w:sz w:val="24"/>
                <w:szCs w:val="24"/>
              </w:rPr>
            </w:pPr>
            <w:r w:rsidRPr="0053170F">
              <w:rPr>
                <w:rFonts w:ascii="Arial" w:hAnsi="Arial" w:cs="Arial"/>
                <w:b w:val="0"/>
                <w:bCs w:val="0"/>
                <w:sz w:val="24"/>
                <w:szCs w:val="24"/>
              </w:rPr>
              <w:t>ARR</w:t>
            </w:r>
          </w:p>
        </w:tc>
        <w:tc>
          <w:tcPr>
            <w:tcW w:w="1803" w:type="dxa"/>
          </w:tcPr>
          <w:p w14:paraId="6D256212" w14:textId="77777777" w:rsidR="00AA125F" w:rsidRPr="0053170F" w:rsidRDefault="00AA125F" w:rsidP="005F2661">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3.2%</w:t>
            </w:r>
          </w:p>
        </w:tc>
        <w:tc>
          <w:tcPr>
            <w:tcW w:w="1803" w:type="dxa"/>
          </w:tcPr>
          <w:p w14:paraId="4E302BC6" w14:textId="77777777" w:rsidR="00AA125F" w:rsidRPr="0053170F" w:rsidRDefault="00AA125F" w:rsidP="005F2661">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4.0%</w:t>
            </w:r>
          </w:p>
        </w:tc>
        <w:tc>
          <w:tcPr>
            <w:tcW w:w="1803" w:type="dxa"/>
          </w:tcPr>
          <w:p w14:paraId="290C1FAD" w14:textId="77777777" w:rsidR="00AA125F" w:rsidRPr="0053170F" w:rsidRDefault="00AA125F" w:rsidP="005F2661">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12.0%</w:t>
            </w:r>
          </w:p>
        </w:tc>
        <w:tc>
          <w:tcPr>
            <w:tcW w:w="1804" w:type="dxa"/>
          </w:tcPr>
          <w:p w14:paraId="5127F408" w14:textId="77777777" w:rsidR="00AA125F" w:rsidRPr="0053170F" w:rsidRDefault="00AA125F" w:rsidP="005F2661">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C</w:t>
            </w:r>
          </w:p>
        </w:tc>
      </w:tr>
      <w:tr w:rsidR="00AA125F" w:rsidRPr="0053170F" w14:paraId="28841211" w14:textId="77777777" w:rsidTr="00AA12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4A3D8DA9" w14:textId="77777777" w:rsidR="00AA125F" w:rsidRPr="0053170F" w:rsidRDefault="00AA125F" w:rsidP="005F2661">
            <w:pPr>
              <w:jc w:val="both"/>
              <w:rPr>
                <w:rFonts w:ascii="Arial" w:hAnsi="Arial" w:cs="Arial"/>
                <w:b w:val="0"/>
                <w:bCs w:val="0"/>
                <w:sz w:val="24"/>
                <w:szCs w:val="24"/>
              </w:rPr>
            </w:pPr>
            <w:r w:rsidRPr="0053170F">
              <w:rPr>
                <w:rFonts w:ascii="Arial" w:hAnsi="Arial" w:cs="Arial"/>
                <w:b w:val="0"/>
                <w:bCs w:val="0"/>
                <w:sz w:val="24"/>
                <w:szCs w:val="24"/>
              </w:rPr>
              <w:t>NPV @ 8%</w:t>
            </w:r>
          </w:p>
        </w:tc>
        <w:tc>
          <w:tcPr>
            <w:tcW w:w="1803" w:type="dxa"/>
          </w:tcPr>
          <w:p w14:paraId="36706170" w14:textId="77777777" w:rsidR="00AA125F" w:rsidRPr="0053170F" w:rsidRDefault="00AA125F" w:rsidP="005F266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−£6.544m</w:t>
            </w:r>
          </w:p>
        </w:tc>
        <w:tc>
          <w:tcPr>
            <w:tcW w:w="1803" w:type="dxa"/>
          </w:tcPr>
          <w:p w14:paraId="1056E5C0" w14:textId="77777777" w:rsidR="00AA125F" w:rsidRPr="0053170F" w:rsidRDefault="00AA125F" w:rsidP="005F266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−£6.080m</w:t>
            </w:r>
          </w:p>
        </w:tc>
        <w:tc>
          <w:tcPr>
            <w:tcW w:w="1803" w:type="dxa"/>
          </w:tcPr>
          <w:p w14:paraId="70B8A4FA" w14:textId="77777777" w:rsidR="00AA125F" w:rsidRPr="0053170F" w:rsidRDefault="00AA125F" w:rsidP="005F266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+£0.858m</w:t>
            </w:r>
          </w:p>
        </w:tc>
        <w:tc>
          <w:tcPr>
            <w:tcW w:w="1804" w:type="dxa"/>
          </w:tcPr>
          <w:p w14:paraId="769E0DCB" w14:textId="77777777" w:rsidR="00AA125F" w:rsidRPr="0053170F" w:rsidRDefault="00AA125F" w:rsidP="005F266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C</w:t>
            </w:r>
          </w:p>
        </w:tc>
      </w:tr>
      <w:tr w:rsidR="00AA125F" w:rsidRPr="0053170F" w14:paraId="69D73A41" w14:textId="77777777" w:rsidTr="00AA125F">
        <w:tc>
          <w:tcPr>
            <w:cnfStyle w:val="001000000000" w:firstRow="0" w:lastRow="0" w:firstColumn="1" w:lastColumn="0" w:oddVBand="0" w:evenVBand="0" w:oddHBand="0" w:evenHBand="0" w:firstRowFirstColumn="0" w:firstRowLastColumn="0" w:lastRowFirstColumn="0" w:lastRowLastColumn="0"/>
            <w:tcW w:w="1803" w:type="dxa"/>
          </w:tcPr>
          <w:p w14:paraId="6DB5F09D" w14:textId="77777777" w:rsidR="00AA125F" w:rsidRPr="0053170F" w:rsidRDefault="00AA125F" w:rsidP="005F2661">
            <w:pPr>
              <w:jc w:val="both"/>
              <w:rPr>
                <w:rFonts w:ascii="Arial" w:hAnsi="Arial" w:cs="Arial"/>
                <w:b w:val="0"/>
                <w:bCs w:val="0"/>
                <w:sz w:val="24"/>
                <w:szCs w:val="24"/>
              </w:rPr>
            </w:pPr>
            <w:r w:rsidRPr="0053170F">
              <w:rPr>
                <w:rFonts w:ascii="Arial" w:hAnsi="Arial" w:cs="Arial"/>
                <w:b w:val="0"/>
                <w:bCs w:val="0"/>
                <w:sz w:val="24"/>
                <w:szCs w:val="24"/>
              </w:rPr>
              <w:t>PI</w:t>
            </w:r>
          </w:p>
        </w:tc>
        <w:tc>
          <w:tcPr>
            <w:tcW w:w="1803" w:type="dxa"/>
          </w:tcPr>
          <w:p w14:paraId="77DC9A16" w14:textId="77777777" w:rsidR="00AA125F" w:rsidRPr="0053170F" w:rsidRDefault="00AA125F" w:rsidP="005F2661">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0.869</w:t>
            </w:r>
          </w:p>
        </w:tc>
        <w:tc>
          <w:tcPr>
            <w:tcW w:w="1803" w:type="dxa"/>
          </w:tcPr>
          <w:p w14:paraId="6510434A" w14:textId="77777777" w:rsidR="00AA125F" w:rsidRPr="0053170F" w:rsidRDefault="00AA125F" w:rsidP="005F2661">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0.878</w:t>
            </w:r>
          </w:p>
        </w:tc>
        <w:tc>
          <w:tcPr>
            <w:tcW w:w="1803" w:type="dxa"/>
          </w:tcPr>
          <w:p w14:paraId="3BF24D1E" w14:textId="77777777" w:rsidR="00AA125F" w:rsidRPr="0053170F" w:rsidRDefault="00AA125F" w:rsidP="005F2661">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1.017</w:t>
            </w:r>
          </w:p>
        </w:tc>
        <w:tc>
          <w:tcPr>
            <w:tcW w:w="1804" w:type="dxa"/>
          </w:tcPr>
          <w:p w14:paraId="59854C91" w14:textId="77777777" w:rsidR="00AA125F" w:rsidRPr="0053170F" w:rsidRDefault="00AA125F" w:rsidP="005F2661">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170F">
              <w:rPr>
                <w:rFonts w:ascii="Arial" w:hAnsi="Arial" w:cs="Arial"/>
                <w:sz w:val="24"/>
                <w:szCs w:val="24"/>
              </w:rPr>
              <w:t>C</w:t>
            </w:r>
          </w:p>
        </w:tc>
      </w:tr>
      <w:tr w:rsidR="00AA125F" w:rsidRPr="0053170F" w14:paraId="5D99875E" w14:textId="77777777" w:rsidTr="00AA12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00E2B8D1" w14:textId="77777777" w:rsidR="00AA125F" w:rsidRPr="0053170F" w:rsidRDefault="00AA125F" w:rsidP="005F2661">
            <w:pPr>
              <w:jc w:val="both"/>
              <w:rPr>
                <w:rFonts w:ascii="Arial" w:hAnsi="Arial" w:cs="Arial"/>
                <w:b w:val="0"/>
                <w:bCs w:val="0"/>
                <w:sz w:val="24"/>
                <w:szCs w:val="24"/>
              </w:rPr>
            </w:pPr>
            <w:r w:rsidRPr="0053170F">
              <w:rPr>
                <w:rFonts w:ascii="Arial" w:hAnsi="Arial" w:cs="Arial"/>
                <w:b w:val="0"/>
                <w:bCs w:val="0"/>
                <w:sz w:val="24"/>
                <w:szCs w:val="24"/>
              </w:rPr>
              <w:t>IRR</w:t>
            </w:r>
          </w:p>
        </w:tc>
        <w:tc>
          <w:tcPr>
            <w:tcW w:w="1803" w:type="dxa"/>
          </w:tcPr>
          <w:p w14:paraId="14D8DE4E" w14:textId="77777777" w:rsidR="00AA125F" w:rsidRPr="0053170F" w:rsidRDefault="00AA125F" w:rsidP="005F266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2.72%</w:t>
            </w:r>
          </w:p>
        </w:tc>
        <w:tc>
          <w:tcPr>
            <w:tcW w:w="1803" w:type="dxa"/>
          </w:tcPr>
          <w:p w14:paraId="5ED5088A" w14:textId="77777777" w:rsidR="00AA125F" w:rsidRPr="0053170F" w:rsidRDefault="00AA125F" w:rsidP="005F266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3.26%</w:t>
            </w:r>
          </w:p>
        </w:tc>
        <w:tc>
          <w:tcPr>
            <w:tcW w:w="1803" w:type="dxa"/>
          </w:tcPr>
          <w:p w14:paraId="2DB56FF0" w14:textId="77777777" w:rsidR="00AA125F" w:rsidRPr="0053170F" w:rsidRDefault="00AA125F" w:rsidP="005F266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8.59%</w:t>
            </w:r>
          </w:p>
        </w:tc>
        <w:tc>
          <w:tcPr>
            <w:tcW w:w="1804" w:type="dxa"/>
          </w:tcPr>
          <w:p w14:paraId="2494053C" w14:textId="77777777" w:rsidR="00AA125F" w:rsidRPr="0053170F" w:rsidRDefault="00AA125F" w:rsidP="005F2661">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3170F">
              <w:rPr>
                <w:rFonts w:ascii="Arial" w:hAnsi="Arial" w:cs="Arial"/>
                <w:sz w:val="24"/>
                <w:szCs w:val="24"/>
              </w:rPr>
              <w:t>C</w:t>
            </w:r>
          </w:p>
        </w:tc>
      </w:tr>
    </w:tbl>
    <w:p w14:paraId="6CCBF4D2" w14:textId="77777777" w:rsidR="00BB6C54" w:rsidRPr="0053170F" w:rsidRDefault="00BB6C54" w:rsidP="00BB6C54">
      <w:pPr>
        <w:jc w:val="both"/>
        <w:rPr>
          <w:rFonts w:ascii="Arial" w:hAnsi="Arial" w:cs="Arial"/>
          <w:sz w:val="24"/>
          <w:szCs w:val="24"/>
        </w:rPr>
      </w:pPr>
      <w:r w:rsidRPr="0053170F">
        <w:rPr>
          <w:rFonts w:ascii="Arial" w:hAnsi="Arial" w:cs="Arial"/>
          <w:sz w:val="24"/>
          <w:szCs w:val="24"/>
        </w:rPr>
        <w:t>Reject, Reject, Accept, C is the overall assessment.</w:t>
      </w:r>
    </w:p>
    <w:p w14:paraId="13FA6AE5" w14:textId="677BFE71" w:rsidR="00832B54" w:rsidRPr="0053170F" w:rsidRDefault="00BB6C54" w:rsidP="00BB6C54">
      <w:pPr>
        <w:jc w:val="both"/>
        <w:rPr>
          <w:rFonts w:ascii="Arial" w:hAnsi="Arial" w:cs="Arial"/>
          <w:sz w:val="24"/>
          <w:szCs w:val="24"/>
        </w:rPr>
      </w:pPr>
      <w:r w:rsidRPr="0053170F">
        <w:rPr>
          <w:rFonts w:ascii="Arial" w:hAnsi="Arial" w:cs="Arial"/>
          <w:sz w:val="24"/>
          <w:szCs w:val="24"/>
        </w:rPr>
        <w:t>If the three projects are mutually exclusive, then all 5 of the criteria are pointing to Project C, so it should be recommended.</w:t>
      </w:r>
    </w:p>
    <w:p w14:paraId="1DD70060" w14:textId="04810810" w:rsidR="002579B6" w:rsidRPr="005C28E1" w:rsidRDefault="002579B6" w:rsidP="00D33030">
      <w:pPr>
        <w:pStyle w:val="Heading2"/>
        <w:rPr>
          <w:rFonts w:ascii="Arial" w:hAnsi="Arial" w:cs="Arial"/>
          <w:b/>
          <w:bCs/>
          <w:sz w:val="28"/>
          <w:szCs w:val="28"/>
        </w:rPr>
      </w:pPr>
      <w:bookmarkStart w:id="33" w:name="_Toc237461196"/>
      <w:r w:rsidRPr="005C28E1">
        <w:rPr>
          <w:rFonts w:ascii="Arial" w:hAnsi="Arial" w:cs="Arial"/>
          <w:b/>
          <w:bCs/>
          <w:sz w:val="28"/>
          <w:szCs w:val="28"/>
        </w:rPr>
        <w:t>4.</w:t>
      </w:r>
      <w:r w:rsidR="00D33030">
        <w:rPr>
          <w:rFonts w:ascii="Arial" w:hAnsi="Arial" w:cs="Arial"/>
          <w:b/>
          <w:bCs/>
          <w:sz w:val="28"/>
          <w:szCs w:val="28"/>
        </w:rPr>
        <w:t>8</w:t>
      </w:r>
      <w:r w:rsidRPr="005C28E1">
        <w:rPr>
          <w:rFonts w:ascii="Arial" w:hAnsi="Arial" w:cs="Arial"/>
          <w:b/>
          <w:bCs/>
          <w:sz w:val="28"/>
          <w:szCs w:val="28"/>
        </w:rPr>
        <w:t xml:space="preserve"> Justification of Strategy in selecting Project C</w:t>
      </w:r>
      <w:bookmarkEnd w:id="33"/>
    </w:p>
    <w:p w14:paraId="5C3623FC" w14:textId="77777777" w:rsidR="002579B6" w:rsidRPr="0053170F" w:rsidRDefault="002579B6" w:rsidP="002579B6">
      <w:pPr>
        <w:jc w:val="both"/>
        <w:rPr>
          <w:rFonts w:ascii="Arial" w:hAnsi="Arial" w:cs="Arial"/>
          <w:sz w:val="24"/>
          <w:szCs w:val="24"/>
        </w:rPr>
      </w:pPr>
      <w:r w:rsidRPr="0053170F">
        <w:rPr>
          <w:rFonts w:ascii="Arial" w:hAnsi="Arial" w:cs="Arial"/>
          <w:sz w:val="24"/>
          <w:szCs w:val="24"/>
        </w:rPr>
        <w:t>Financial Analysis clearly justifies selection of Project C since it has minimum payback period, maximum ARR, maximum PI and only positive NPV and IRR greater than 8% hurdle rate.</w:t>
      </w:r>
    </w:p>
    <w:p w14:paraId="240F74D5" w14:textId="77777777" w:rsidR="002579B6" w:rsidRPr="0053170F" w:rsidRDefault="002579B6" w:rsidP="002579B6">
      <w:pPr>
        <w:jc w:val="both"/>
        <w:rPr>
          <w:rFonts w:ascii="Arial" w:hAnsi="Arial" w:cs="Arial"/>
          <w:sz w:val="24"/>
          <w:szCs w:val="24"/>
        </w:rPr>
      </w:pPr>
      <w:r w:rsidRPr="0053170F">
        <w:rPr>
          <w:rFonts w:ascii="Arial" w:hAnsi="Arial" w:cs="Arial"/>
          <w:sz w:val="24"/>
          <w:szCs w:val="24"/>
        </w:rPr>
        <w:t>The recommendation also aligns with the financial performance of IHG in the recent years. Operating profit of IHG increased from $494 million in 2021 to $1.198 billion in 2025. In 2025, Total revenues increased by 5% to $5.189 billion and Operating profit increased by 15%. Operating cash flows increased from $724 million in 2024 to $898 million in 2025.</w:t>
      </w:r>
    </w:p>
    <w:p w14:paraId="11ED2A3E" w14:textId="77777777" w:rsidR="00D04149" w:rsidRPr="005C28E1" w:rsidRDefault="00D04149" w:rsidP="00D33030">
      <w:pPr>
        <w:pStyle w:val="Heading1"/>
        <w:rPr>
          <w:rFonts w:ascii="Arial" w:hAnsi="Arial" w:cs="Arial"/>
          <w:b/>
          <w:bCs/>
          <w:sz w:val="28"/>
          <w:szCs w:val="28"/>
        </w:rPr>
      </w:pPr>
      <w:bookmarkStart w:id="34" w:name="_Toc237461197"/>
      <w:r w:rsidRPr="005C28E1">
        <w:rPr>
          <w:rFonts w:ascii="Arial" w:hAnsi="Arial" w:cs="Arial"/>
          <w:b/>
          <w:bCs/>
          <w:sz w:val="28"/>
          <w:szCs w:val="28"/>
        </w:rPr>
        <w:lastRenderedPageBreak/>
        <w:t>5. Critical Reflection on AI Usage</w:t>
      </w:r>
      <w:bookmarkEnd w:id="34"/>
    </w:p>
    <w:p w14:paraId="527A42B2" w14:textId="77777777" w:rsidR="00D04149" w:rsidRPr="005C28E1" w:rsidRDefault="00D04149" w:rsidP="00D33030">
      <w:pPr>
        <w:pStyle w:val="Heading2"/>
        <w:rPr>
          <w:rFonts w:ascii="Arial" w:hAnsi="Arial" w:cs="Arial"/>
          <w:b/>
          <w:bCs/>
          <w:sz w:val="24"/>
          <w:szCs w:val="24"/>
        </w:rPr>
      </w:pPr>
      <w:bookmarkStart w:id="35" w:name="_Toc237461198"/>
      <w:r w:rsidRPr="005C28E1">
        <w:rPr>
          <w:rFonts w:ascii="Arial" w:hAnsi="Arial" w:cs="Arial"/>
          <w:b/>
          <w:bCs/>
          <w:sz w:val="24"/>
          <w:szCs w:val="24"/>
        </w:rPr>
        <w:t>5.1 Tool disclosure</w:t>
      </w:r>
      <w:bookmarkEnd w:id="35"/>
    </w:p>
    <w:p w14:paraId="375D8D04" w14:textId="77777777" w:rsidR="00D04149" w:rsidRPr="0053170F" w:rsidRDefault="00D04149" w:rsidP="00D04149">
      <w:pPr>
        <w:jc w:val="both"/>
        <w:rPr>
          <w:rFonts w:ascii="Arial" w:hAnsi="Arial" w:cs="Arial"/>
          <w:sz w:val="24"/>
          <w:szCs w:val="24"/>
        </w:rPr>
      </w:pPr>
      <w:r w:rsidRPr="0053170F">
        <w:rPr>
          <w:rFonts w:ascii="Arial" w:hAnsi="Arial" w:cs="Arial"/>
          <w:sz w:val="24"/>
          <w:szCs w:val="24"/>
        </w:rPr>
        <w:t>Artificial Intelligence has been employed during the process of preparing this report in the role of a research-, analytical and drafting aid, rather than a replacement for professional financial judgement. Specifically, AI was used in finding the relevant financial information in IHG's annual reports and results announcements, organizing five-year financial data, calculating and interpreting financial ratios, organizing the investment-appraisal calculations and creating the initial framework for the working capital and restructuring analysis.</w:t>
      </w:r>
    </w:p>
    <w:p w14:paraId="1AF7B0F1" w14:textId="77777777" w:rsidR="00D04149" w:rsidRPr="0053170F" w:rsidRDefault="00D04149" w:rsidP="00D04149">
      <w:pPr>
        <w:jc w:val="both"/>
        <w:rPr>
          <w:rFonts w:ascii="Arial" w:hAnsi="Arial" w:cs="Arial"/>
          <w:sz w:val="24"/>
          <w:szCs w:val="24"/>
        </w:rPr>
      </w:pPr>
      <w:r w:rsidRPr="0053170F">
        <w:rPr>
          <w:rFonts w:ascii="Arial" w:hAnsi="Arial" w:cs="Arial"/>
          <w:sz w:val="24"/>
          <w:szCs w:val="24"/>
        </w:rPr>
        <w:t>The main external evidence was collected from IHG's official investor relations pages, such as Annual Reports and Form 20-F filings and annual results announcements. The annual reports page contains access to the Group's financial statements, statement of financial position and statement of cash flows. The 2025 results announcement was especially helpful in verifying the financial performance of the firm, which reports revenue of $5.189 billion, operating profit of $1.198 billion, operating cash flow of $898 million and net debt of $3.333 billion.</w:t>
      </w:r>
    </w:p>
    <w:p w14:paraId="2CC7A15D" w14:textId="751EE947" w:rsidR="00832B54" w:rsidRPr="0053170F" w:rsidRDefault="00D04149" w:rsidP="00D04149">
      <w:pPr>
        <w:jc w:val="both"/>
        <w:rPr>
          <w:rFonts w:ascii="Arial" w:hAnsi="Arial" w:cs="Arial"/>
          <w:sz w:val="24"/>
          <w:szCs w:val="24"/>
        </w:rPr>
      </w:pPr>
      <w:r w:rsidRPr="0053170F">
        <w:rPr>
          <w:rFonts w:ascii="Arial" w:hAnsi="Arial" w:cs="Arial"/>
          <w:sz w:val="24"/>
          <w:szCs w:val="24"/>
        </w:rPr>
        <w:t>AI has also been used in structuring the investment-appraisal calculations in tables and explaining the implications of PBP, ARR, NPV, PI and IRR.</w:t>
      </w:r>
    </w:p>
    <w:p w14:paraId="1B1D3BF7" w14:textId="5D6939B5" w:rsidR="00747717" w:rsidRPr="005C28E1" w:rsidRDefault="00747717" w:rsidP="00D33030">
      <w:pPr>
        <w:pStyle w:val="Heading2"/>
        <w:rPr>
          <w:rFonts w:ascii="Arial" w:hAnsi="Arial" w:cs="Arial"/>
          <w:b/>
          <w:bCs/>
          <w:sz w:val="24"/>
          <w:szCs w:val="24"/>
        </w:rPr>
      </w:pPr>
      <w:bookmarkStart w:id="36" w:name="_Toc237461199"/>
      <w:r w:rsidRPr="005C28E1">
        <w:rPr>
          <w:rFonts w:ascii="Arial" w:hAnsi="Arial" w:cs="Arial"/>
          <w:b/>
          <w:bCs/>
          <w:sz w:val="24"/>
          <w:szCs w:val="24"/>
        </w:rPr>
        <w:t>5.</w:t>
      </w:r>
      <w:r w:rsidR="005C28E1">
        <w:rPr>
          <w:rFonts w:ascii="Arial" w:hAnsi="Arial" w:cs="Arial"/>
          <w:b/>
          <w:bCs/>
          <w:sz w:val="24"/>
          <w:szCs w:val="24"/>
        </w:rPr>
        <w:t>2</w:t>
      </w:r>
      <w:r w:rsidR="00AA125F" w:rsidRPr="005C28E1">
        <w:rPr>
          <w:rFonts w:ascii="Arial" w:hAnsi="Arial" w:cs="Arial"/>
          <w:b/>
          <w:bCs/>
          <w:sz w:val="24"/>
          <w:szCs w:val="24"/>
        </w:rPr>
        <w:t xml:space="preserve"> </w:t>
      </w:r>
      <w:r w:rsidRPr="005C28E1">
        <w:rPr>
          <w:rFonts w:ascii="Arial" w:hAnsi="Arial" w:cs="Arial"/>
          <w:b/>
          <w:bCs/>
          <w:sz w:val="24"/>
          <w:szCs w:val="24"/>
        </w:rPr>
        <w:t xml:space="preserve"> Contribution of AI to analysis versus original analysis</w:t>
      </w:r>
      <w:bookmarkEnd w:id="36"/>
    </w:p>
    <w:p w14:paraId="45F98E74" w14:textId="10F57548" w:rsidR="00747717" w:rsidRPr="0053170F" w:rsidRDefault="00747717" w:rsidP="00747717">
      <w:pPr>
        <w:jc w:val="both"/>
        <w:rPr>
          <w:rFonts w:ascii="Arial" w:hAnsi="Arial" w:cs="Arial"/>
          <w:sz w:val="24"/>
          <w:szCs w:val="24"/>
        </w:rPr>
      </w:pPr>
      <w:r w:rsidRPr="0053170F">
        <w:rPr>
          <w:rFonts w:ascii="Arial" w:hAnsi="Arial" w:cs="Arial"/>
          <w:sz w:val="24"/>
          <w:szCs w:val="24"/>
        </w:rPr>
        <w:t>The contribution of AI was in the following aspects of the project:</w:t>
      </w:r>
    </w:p>
    <w:p w14:paraId="11DAD521" w14:textId="77777777" w:rsidR="00747717" w:rsidRPr="0053170F" w:rsidRDefault="00747717" w:rsidP="00747717">
      <w:pPr>
        <w:jc w:val="both"/>
        <w:rPr>
          <w:rFonts w:ascii="Arial" w:hAnsi="Arial" w:cs="Arial"/>
          <w:sz w:val="24"/>
          <w:szCs w:val="24"/>
        </w:rPr>
      </w:pPr>
      <w:r w:rsidRPr="0053170F">
        <w:rPr>
          <w:rFonts w:ascii="Arial" w:hAnsi="Arial" w:cs="Arial"/>
          <w:sz w:val="24"/>
          <w:szCs w:val="24"/>
        </w:rPr>
        <w:t>Nevertheless, the final judgements are those of the report author. The decision to recommend Project C was made based on the independently verified NPV, PI, IRR, PBP and ARR results. In addition, the decision not to spend the entire £100 million of available capital automatically is a judgement in line with capital-rationing principles and not just the execution of an AI recommendation.</w:t>
      </w:r>
    </w:p>
    <w:p w14:paraId="0C039CD5" w14:textId="77777777" w:rsidR="000F2BDF" w:rsidRDefault="000F2BDF">
      <w:pPr>
        <w:rPr>
          <w:rFonts w:ascii="Arial" w:hAnsi="Arial" w:cs="Arial"/>
          <w:sz w:val="24"/>
          <w:szCs w:val="24"/>
        </w:rPr>
      </w:pPr>
    </w:p>
    <w:p w14:paraId="15B6324C" w14:textId="77777777" w:rsidR="000F2BDF" w:rsidRDefault="000F2BDF">
      <w:pPr>
        <w:rPr>
          <w:rFonts w:ascii="Arial" w:hAnsi="Arial" w:cs="Arial"/>
          <w:sz w:val="24"/>
          <w:szCs w:val="24"/>
        </w:rPr>
      </w:pPr>
      <w:r>
        <w:rPr>
          <w:rFonts w:ascii="Arial" w:hAnsi="Arial" w:cs="Arial"/>
          <w:sz w:val="24"/>
          <w:szCs w:val="24"/>
        </w:rPr>
        <w:br w:type="page"/>
      </w:r>
    </w:p>
    <w:p w14:paraId="2B1F5B75" w14:textId="77777777" w:rsidR="000F2BDF" w:rsidRPr="000F2BDF" w:rsidRDefault="000F2BDF" w:rsidP="0078756E">
      <w:pPr>
        <w:pStyle w:val="Heading1"/>
        <w:rPr>
          <w:rFonts w:ascii="Arial" w:hAnsi="Arial" w:cs="Arial"/>
          <w:b/>
          <w:bCs/>
          <w:sz w:val="24"/>
          <w:szCs w:val="24"/>
        </w:rPr>
      </w:pPr>
      <w:bookmarkStart w:id="37" w:name="_Toc237461200"/>
      <w:r w:rsidRPr="000F2BDF">
        <w:rPr>
          <w:rFonts w:ascii="Arial" w:hAnsi="Arial" w:cs="Arial"/>
          <w:b/>
          <w:bCs/>
          <w:sz w:val="24"/>
          <w:szCs w:val="24"/>
        </w:rPr>
        <w:lastRenderedPageBreak/>
        <w:t>Conclusion</w:t>
      </w:r>
      <w:bookmarkEnd w:id="37"/>
    </w:p>
    <w:p w14:paraId="6D045072" w14:textId="77777777" w:rsidR="000F2BDF" w:rsidRPr="000F2BDF" w:rsidRDefault="000F2BDF" w:rsidP="000F2BDF">
      <w:pPr>
        <w:rPr>
          <w:rFonts w:ascii="Arial" w:hAnsi="Arial" w:cs="Arial"/>
          <w:sz w:val="24"/>
          <w:szCs w:val="24"/>
        </w:rPr>
      </w:pPr>
      <w:r w:rsidRPr="000F2BDF">
        <w:rPr>
          <w:rFonts w:ascii="Arial" w:hAnsi="Arial" w:cs="Arial"/>
          <w:sz w:val="24"/>
          <w:szCs w:val="24"/>
        </w:rPr>
        <w:t xml:space="preserve">Overall, the analysis shows that IHG has achieved a strong financial recovery and continues to have a fundamentally profitable and cash-generative business. Revenue increased from $2.907 billion in 2021 to $5.189 billion in 2025, while operating profit increased from $494 million to $1.198 billion. Operating cash flow also reached $898 million in 2025, demonstrating the Group’s ability to generate substantial internal funding. </w:t>
      </w:r>
    </w:p>
    <w:p w14:paraId="1C516D26" w14:textId="77777777" w:rsidR="0078756E" w:rsidRPr="0078756E" w:rsidRDefault="0078756E" w:rsidP="0078756E">
      <w:pPr>
        <w:rPr>
          <w:rFonts w:ascii="Arial" w:hAnsi="Arial" w:cs="Arial"/>
          <w:sz w:val="24"/>
          <w:szCs w:val="24"/>
        </w:rPr>
      </w:pPr>
      <w:r w:rsidRPr="0078756E">
        <w:rPr>
          <w:rFonts w:ascii="Arial" w:hAnsi="Arial" w:cs="Arial"/>
          <w:sz w:val="24"/>
          <w:szCs w:val="24"/>
        </w:rPr>
        <w:t xml:space="preserve">The recommended financial strategy is therefore </w:t>
      </w:r>
      <w:r w:rsidRPr="0078756E">
        <w:rPr>
          <w:rFonts w:ascii="Arial" w:hAnsi="Arial" w:cs="Arial"/>
          <w:b/>
          <w:bCs/>
          <w:sz w:val="24"/>
          <w:szCs w:val="24"/>
        </w:rPr>
        <w:t>preventative restructuring rather than crisis restructuring</w:t>
      </w:r>
      <w:r w:rsidRPr="0078756E">
        <w:rPr>
          <w:rFonts w:ascii="Arial" w:hAnsi="Arial" w:cs="Arial"/>
          <w:sz w:val="24"/>
          <w:szCs w:val="24"/>
        </w:rPr>
        <w:t xml:space="preserve">. IHG should accelerate receivables collection, make better use of advance payments, maintain an appropriate liquidity buffer, manage debt maturities and make share buybacks more dependent on free cash flow and leverage levels. This approach would preserve financial flexibility while allowing the Group to continue investing in international growth, technology and strategic opportunities. </w:t>
      </w:r>
    </w:p>
    <w:p w14:paraId="7AD4FC08" w14:textId="77777777" w:rsidR="0078756E" w:rsidRPr="0078756E" w:rsidRDefault="0078756E" w:rsidP="0078756E">
      <w:pPr>
        <w:rPr>
          <w:rFonts w:ascii="Arial" w:hAnsi="Arial" w:cs="Arial"/>
          <w:sz w:val="24"/>
          <w:szCs w:val="24"/>
        </w:rPr>
      </w:pPr>
      <w:r w:rsidRPr="0078756E">
        <w:rPr>
          <w:rFonts w:ascii="Arial" w:hAnsi="Arial" w:cs="Arial"/>
          <w:sz w:val="24"/>
          <w:szCs w:val="24"/>
        </w:rPr>
        <w:t xml:space="preserve">Finally, the investment appraisal strongly supports </w:t>
      </w:r>
      <w:r w:rsidRPr="0078756E">
        <w:rPr>
          <w:rFonts w:ascii="Arial" w:hAnsi="Arial" w:cs="Arial"/>
          <w:b/>
          <w:bCs/>
          <w:sz w:val="24"/>
          <w:szCs w:val="24"/>
        </w:rPr>
        <w:t>Project C</w:t>
      </w:r>
      <w:r w:rsidRPr="0078756E">
        <w:rPr>
          <w:rFonts w:ascii="Arial" w:hAnsi="Arial" w:cs="Arial"/>
          <w:sz w:val="24"/>
          <w:szCs w:val="24"/>
        </w:rPr>
        <w:t xml:space="preserve">. It has the shortest payback period of 3.60 years, the highest ARR of 12%, the only positive NPV of £0.858 million, a profitability index of 1.017 and an IRR of 8.59%, which exceeds the 8% required return. Therefore, Project C should be selected as it provides the strongest combination of financial return and capital efficiency. </w:t>
      </w:r>
    </w:p>
    <w:p w14:paraId="32C22DE3" w14:textId="01A4434B" w:rsidR="00CB2920" w:rsidRPr="0053170F" w:rsidRDefault="00CB2920">
      <w:pPr>
        <w:rPr>
          <w:rFonts w:ascii="Arial" w:hAnsi="Arial" w:cs="Arial"/>
          <w:sz w:val="24"/>
          <w:szCs w:val="24"/>
        </w:rPr>
      </w:pPr>
      <w:r w:rsidRPr="0053170F">
        <w:rPr>
          <w:rFonts w:ascii="Arial" w:hAnsi="Arial" w:cs="Arial"/>
          <w:sz w:val="24"/>
          <w:szCs w:val="24"/>
        </w:rPr>
        <w:br w:type="page"/>
      </w:r>
    </w:p>
    <w:p w14:paraId="75D917E7" w14:textId="18C0AD39" w:rsidR="00CB2920" w:rsidRPr="005C28E1" w:rsidRDefault="00CB2920" w:rsidP="0078756E">
      <w:pPr>
        <w:pStyle w:val="Heading1"/>
        <w:rPr>
          <w:rFonts w:ascii="Arial" w:hAnsi="Arial" w:cs="Arial"/>
          <w:b/>
          <w:bCs/>
          <w:sz w:val="28"/>
          <w:szCs w:val="28"/>
        </w:rPr>
      </w:pPr>
      <w:bookmarkStart w:id="38" w:name="_Toc237461201"/>
      <w:r w:rsidRPr="005C28E1">
        <w:rPr>
          <w:rFonts w:ascii="Arial" w:hAnsi="Arial" w:cs="Arial"/>
          <w:b/>
          <w:bCs/>
          <w:sz w:val="28"/>
          <w:szCs w:val="28"/>
        </w:rPr>
        <w:lastRenderedPageBreak/>
        <w:t>Referances</w:t>
      </w:r>
      <w:bookmarkEnd w:id="38"/>
    </w:p>
    <w:p w14:paraId="4CB1FADF" w14:textId="77777777" w:rsidR="000F2F62" w:rsidRPr="0053170F" w:rsidRDefault="000F2F62" w:rsidP="000F2F62">
      <w:pPr>
        <w:jc w:val="both"/>
        <w:rPr>
          <w:rFonts w:ascii="Arial" w:hAnsi="Arial" w:cs="Arial"/>
          <w:sz w:val="24"/>
          <w:szCs w:val="24"/>
        </w:rPr>
      </w:pPr>
      <w:r w:rsidRPr="0053170F">
        <w:rPr>
          <w:rFonts w:ascii="Arial" w:hAnsi="Arial" w:cs="Arial"/>
          <w:sz w:val="24"/>
          <w:szCs w:val="24"/>
        </w:rPr>
        <w:t xml:space="preserve">InterContinental Hotels Group PLC (2022) </w:t>
      </w:r>
      <w:r w:rsidRPr="0053170F">
        <w:rPr>
          <w:rFonts w:ascii="Arial" w:hAnsi="Arial" w:cs="Arial"/>
          <w:i/>
          <w:iCs/>
          <w:sz w:val="24"/>
          <w:szCs w:val="24"/>
        </w:rPr>
        <w:t>Annual Report and Form 20-F 2021</w:t>
      </w:r>
      <w:r w:rsidRPr="0053170F">
        <w:rPr>
          <w:rFonts w:ascii="Arial" w:hAnsi="Arial" w:cs="Arial"/>
          <w:sz w:val="24"/>
          <w:szCs w:val="24"/>
        </w:rPr>
        <w:t xml:space="preserve">. Windsor: IHG. Available at: </w:t>
      </w:r>
      <w:hyperlink r:id="rId9" w:tgtFrame="_blank" w:history="1">
        <w:r w:rsidRPr="0053170F">
          <w:rPr>
            <w:rStyle w:val="Hyperlink"/>
            <w:rFonts w:ascii="Arial" w:hAnsi="Arial" w:cs="Arial"/>
            <w:sz w:val="24"/>
            <w:szCs w:val="24"/>
          </w:rPr>
          <w:t>IHG Annual Report 2021</w:t>
        </w:r>
      </w:hyperlink>
      <w:r w:rsidRPr="0053170F">
        <w:rPr>
          <w:rFonts w:ascii="Arial" w:hAnsi="Arial" w:cs="Arial"/>
          <w:sz w:val="24"/>
          <w:szCs w:val="24"/>
        </w:rPr>
        <w:t xml:space="preserve"> (Accessed: 10 August 2026). </w:t>
      </w:r>
    </w:p>
    <w:p w14:paraId="62F21D38" w14:textId="77777777" w:rsidR="000F2F62" w:rsidRPr="0053170F" w:rsidRDefault="000F2F62" w:rsidP="000F2F62">
      <w:pPr>
        <w:jc w:val="both"/>
        <w:rPr>
          <w:rFonts w:ascii="Arial" w:hAnsi="Arial" w:cs="Arial"/>
          <w:sz w:val="24"/>
          <w:szCs w:val="24"/>
        </w:rPr>
      </w:pPr>
      <w:r w:rsidRPr="0053170F">
        <w:rPr>
          <w:rFonts w:ascii="Arial" w:hAnsi="Arial" w:cs="Arial"/>
          <w:sz w:val="24"/>
          <w:szCs w:val="24"/>
        </w:rPr>
        <w:t xml:space="preserve">InterContinental Hotels Group PLC (2023) </w:t>
      </w:r>
      <w:r w:rsidRPr="0053170F">
        <w:rPr>
          <w:rFonts w:ascii="Arial" w:hAnsi="Arial" w:cs="Arial"/>
          <w:i/>
          <w:iCs/>
          <w:sz w:val="24"/>
          <w:szCs w:val="24"/>
        </w:rPr>
        <w:t>Annual Report and Form 20-F 2022</w:t>
      </w:r>
      <w:r w:rsidRPr="0053170F">
        <w:rPr>
          <w:rFonts w:ascii="Arial" w:hAnsi="Arial" w:cs="Arial"/>
          <w:sz w:val="24"/>
          <w:szCs w:val="24"/>
        </w:rPr>
        <w:t xml:space="preserve">. Windsor: IHG. Available at: </w:t>
      </w:r>
      <w:hyperlink r:id="rId10" w:tgtFrame="_blank" w:history="1">
        <w:r w:rsidRPr="0053170F">
          <w:rPr>
            <w:rStyle w:val="Hyperlink"/>
            <w:rFonts w:ascii="Arial" w:hAnsi="Arial" w:cs="Arial"/>
            <w:sz w:val="24"/>
            <w:szCs w:val="24"/>
          </w:rPr>
          <w:t>IHG Annual Report 2022</w:t>
        </w:r>
      </w:hyperlink>
      <w:r w:rsidRPr="0053170F">
        <w:rPr>
          <w:rFonts w:ascii="Arial" w:hAnsi="Arial" w:cs="Arial"/>
          <w:sz w:val="24"/>
          <w:szCs w:val="24"/>
        </w:rPr>
        <w:t xml:space="preserve"> (Accessed: 10 August 2026). </w:t>
      </w:r>
    </w:p>
    <w:p w14:paraId="7D57CFDF" w14:textId="77777777" w:rsidR="000F2F62" w:rsidRPr="0053170F" w:rsidRDefault="000F2F62" w:rsidP="000F2F62">
      <w:pPr>
        <w:jc w:val="both"/>
        <w:rPr>
          <w:rFonts w:ascii="Arial" w:hAnsi="Arial" w:cs="Arial"/>
          <w:sz w:val="24"/>
          <w:szCs w:val="24"/>
        </w:rPr>
      </w:pPr>
      <w:r w:rsidRPr="0053170F">
        <w:rPr>
          <w:rFonts w:ascii="Arial" w:hAnsi="Arial" w:cs="Arial"/>
          <w:sz w:val="24"/>
          <w:szCs w:val="24"/>
        </w:rPr>
        <w:t xml:space="preserve">InterContinental Hotels Group PLC (2024) </w:t>
      </w:r>
      <w:r w:rsidRPr="0053170F">
        <w:rPr>
          <w:rFonts w:ascii="Arial" w:hAnsi="Arial" w:cs="Arial"/>
          <w:i/>
          <w:iCs/>
          <w:sz w:val="24"/>
          <w:szCs w:val="24"/>
        </w:rPr>
        <w:t>Annual Report and Form 20-F 2023</w:t>
      </w:r>
      <w:r w:rsidRPr="0053170F">
        <w:rPr>
          <w:rFonts w:ascii="Arial" w:hAnsi="Arial" w:cs="Arial"/>
          <w:sz w:val="24"/>
          <w:szCs w:val="24"/>
        </w:rPr>
        <w:t xml:space="preserve">. Windsor: IHG. Available at: </w:t>
      </w:r>
      <w:hyperlink r:id="rId11" w:tgtFrame="_blank" w:history="1">
        <w:r w:rsidRPr="0053170F">
          <w:rPr>
            <w:rStyle w:val="Hyperlink"/>
            <w:rFonts w:ascii="Arial" w:hAnsi="Arial" w:cs="Arial"/>
            <w:sz w:val="24"/>
            <w:szCs w:val="24"/>
          </w:rPr>
          <w:t>IHG Annual Report 2023</w:t>
        </w:r>
      </w:hyperlink>
      <w:r w:rsidRPr="0053170F">
        <w:rPr>
          <w:rFonts w:ascii="Arial" w:hAnsi="Arial" w:cs="Arial"/>
          <w:sz w:val="24"/>
          <w:szCs w:val="24"/>
        </w:rPr>
        <w:t xml:space="preserve"> (Accessed: 10 August 2026). </w:t>
      </w:r>
    </w:p>
    <w:p w14:paraId="2CCE98BF" w14:textId="77777777" w:rsidR="000F2F62" w:rsidRPr="0053170F" w:rsidRDefault="000F2F62" w:rsidP="000F2F62">
      <w:pPr>
        <w:jc w:val="both"/>
        <w:rPr>
          <w:rFonts w:ascii="Arial" w:hAnsi="Arial" w:cs="Arial"/>
          <w:sz w:val="24"/>
          <w:szCs w:val="24"/>
        </w:rPr>
      </w:pPr>
      <w:r w:rsidRPr="0053170F">
        <w:rPr>
          <w:rFonts w:ascii="Arial" w:hAnsi="Arial" w:cs="Arial"/>
          <w:sz w:val="24"/>
          <w:szCs w:val="24"/>
        </w:rPr>
        <w:t xml:space="preserve">InterContinental Hotels Group PLC (2025) </w:t>
      </w:r>
      <w:r w:rsidRPr="0053170F">
        <w:rPr>
          <w:rFonts w:ascii="Arial" w:hAnsi="Arial" w:cs="Arial"/>
          <w:i/>
          <w:iCs/>
          <w:sz w:val="24"/>
          <w:szCs w:val="24"/>
        </w:rPr>
        <w:t>Annual Report and Form 20-F 2024</w:t>
      </w:r>
      <w:r w:rsidRPr="0053170F">
        <w:rPr>
          <w:rFonts w:ascii="Arial" w:hAnsi="Arial" w:cs="Arial"/>
          <w:sz w:val="24"/>
          <w:szCs w:val="24"/>
        </w:rPr>
        <w:t xml:space="preserve">. Windsor: IHG. Available at: </w:t>
      </w:r>
      <w:hyperlink r:id="rId12" w:tgtFrame="_blank" w:history="1">
        <w:r w:rsidRPr="0053170F">
          <w:rPr>
            <w:rStyle w:val="Hyperlink"/>
            <w:rFonts w:ascii="Arial" w:hAnsi="Arial" w:cs="Arial"/>
            <w:sz w:val="24"/>
            <w:szCs w:val="24"/>
          </w:rPr>
          <w:t>IHG Annual Report 2024</w:t>
        </w:r>
      </w:hyperlink>
      <w:r w:rsidRPr="0053170F">
        <w:rPr>
          <w:rFonts w:ascii="Arial" w:hAnsi="Arial" w:cs="Arial"/>
          <w:sz w:val="24"/>
          <w:szCs w:val="24"/>
        </w:rPr>
        <w:t xml:space="preserve"> (Accessed: 10 August 2026). </w:t>
      </w:r>
    </w:p>
    <w:p w14:paraId="0CC69F3F" w14:textId="77777777" w:rsidR="000F2F62" w:rsidRPr="0053170F" w:rsidRDefault="000F2F62" w:rsidP="000F2F62">
      <w:pPr>
        <w:jc w:val="both"/>
        <w:rPr>
          <w:rFonts w:ascii="Arial" w:hAnsi="Arial" w:cs="Arial"/>
          <w:sz w:val="24"/>
          <w:szCs w:val="24"/>
        </w:rPr>
      </w:pPr>
      <w:r w:rsidRPr="0053170F">
        <w:rPr>
          <w:rFonts w:ascii="Arial" w:hAnsi="Arial" w:cs="Arial"/>
          <w:sz w:val="24"/>
          <w:szCs w:val="24"/>
        </w:rPr>
        <w:t xml:space="preserve">InterContinental Hotels Group PLC (2026) </w:t>
      </w:r>
      <w:r w:rsidRPr="0053170F">
        <w:rPr>
          <w:rFonts w:ascii="Arial" w:hAnsi="Arial" w:cs="Arial"/>
          <w:i/>
          <w:iCs/>
          <w:sz w:val="24"/>
          <w:szCs w:val="24"/>
        </w:rPr>
        <w:t>Annual Report and Form 20-F 2025</w:t>
      </w:r>
      <w:r w:rsidRPr="0053170F">
        <w:rPr>
          <w:rFonts w:ascii="Arial" w:hAnsi="Arial" w:cs="Arial"/>
          <w:sz w:val="24"/>
          <w:szCs w:val="24"/>
        </w:rPr>
        <w:t xml:space="preserve">. Windsor: IHG. Available at: </w:t>
      </w:r>
      <w:hyperlink r:id="rId13" w:tgtFrame="_blank" w:history="1">
        <w:r w:rsidRPr="0053170F">
          <w:rPr>
            <w:rStyle w:val="Hyperlink"/>
            <w:rFonts w:ascii="Arial" w:hAnsi="Arial" w:cs="Arial"/>
            <w:sz w:val="24"/>
            <w:szCs w:val="24"/>
          </w:rPr>
          <w:t>IHG Annual Report 2025</w:t>
        </w:r>
      </w:hyperlink>
      <w:r w:rsidRPr="0053170F">
        <w:rPr>
          <w:rFonts w:ascii="Arial" w:hAnsi="Arial" w:cs="Arial"/>
          <w:sz w:val="24"/>
          <w:szCs w:val="24"/>
        </w:rPr>
        <w:t xml:space="preserve"> (Accessed: 10 August 2026). </w:t>
      </w:r>
    </w:p>
    <w:p w14:paraId="3AD7EEC8" w14:textId="77777777" w:rsidR="000F2F62" w:rsidRPr="0053170F" w:rsidRDefault="000F2F62" w:rsidP="000F2F62">
      <w:pPr>
        <w:jc w:val="both"/>
        <w:rPr>
          <w:rFonts w:ascii="Arial" w:hAnsi="Arial" w:cs="Arial"/>
          <w:sz w:val="24"/>
          <w:szCs w:val="24"/>
        </w:rPr>
      </w:pPr>
      <w:r w:rsidRPr="0053170F">
        <w:rPr>
          <w:rFonts w:ascii="Arial" w:hAnsi="Arial" w:cs="Arial"/>
          <w:sz w:val="24"/>
          <w:szCs w:val="24"/>
        </w:rPr>
        <w:t xml:space="preserve">InterContinental Hotels Group PLC (2026) </w:t>
      </w:r>
      <w:r w:rsidRPr="0053170F">
        <w:rPr>
          <w:rFonts w:ascii="Arial" w:hAnsi="Arial" w:cs="Arial"/>
          <w:i/>
          <w:iCs/>
          <w:sz w:val="24"/>
          <w:szCs w:val="24"/>
        </w:rPr>
        <w:t>Full Year Results for the year to 31 December 2025</w:t>
      </w:r>
      <w:r w:rsidRPr="0053170F">
        <w:rPr>
          <w:rFonts w:ascii="Arial" w:hAnsi="Arial" w:cs="Arial"/>
          <w:sz w:val="24"/>
          <w:szCs w:val="24"/>
        </w:rPr>
        <w:t xml:space="preserve">. Windsor: IHG, 17 February. Available at: </w:t>
      </w:r>
      <w:hyperlink r:id="rId14" w:tgtFrame="_blank" w:history="1">
        <w:r w:rsidRPr="0053170F">
          <w:rPr>
            <w:rStyle w:val="Hyperlink"/>
            <w:rFonts w:ascii="Arial" w:hAnsi="Arial" w:cs="Arial"/>
            <w:sz w:val="24"/>
            <w:szCs w:val="24"/>
          </w:rPr>
          <w:t>IHG 2025 Full-Year Results</w:t>
        </w:r>
      </w:hyperlink>
      <w:r w:rsidRPr="0053170F">
        <w:rPr>
          <w:rFonts w:ascii="Arial" w:hAnsi="Arial" w:cs="Arial"/>
          <w:sz w:val="24"/>
          <w:szCs w:val="24"/>
        </w:rPr>
        <w:t xml:space="preserve"> (Accessed: 10 August 2026). </w:t>
      </w:r>
    </w:p>
    <w:p w14:paraId="08F03FA8" w14:textId="77777777" w:rsidR="000F2F62" w:rsidRPr="0053170F" w:rsidRDefault="000F2F62" w:rsidP="000F2F62">
      <w:pPr>
        <w:jc w:val="both"/>
        <w:rPr>
          <w:rFonts w:ascii="Arial" w:hAnsi="Arial" w:cs="Arial"/>
          <w:sz w:val="24"/>
          <w:szCs w:val="24"/>
        </w:rPr>
      </w:pPr>
      <w:r w:rsidRPr="0053170F">
        <w:rPr>
          <w:rFonts w:ascii="Arial" w:hAnsi="Arial" w:cs="Arial"/>
          <w:sz w:val="24"/>
          <w:szCs w:val="24"/>
        </w:rPr>
        <w:t xml:space="preserve">Zacks (2026) </w:t>
      </w:r>
      <w:r w:rsidRPr="0053170F">
        <w:rPr>
          <w:rFonts w:ascii="Arial" w:hAnsi="Arial" w:cs="Arial"/>
          <w:i/>
          <w:iCs/>
          <w:sz w:val="24"/>
          <w:szCs w:val="24"/>
        </w:rPr>
        <w:t>Hotels and Motels Industry</w:t>
      </w:r>
      <w:r w:rsidRPr="0053170F">
        <w:rPr>
          <w:rFonts w:ascii="Arial" w:hAnsi="Arial" w:cs="Arial"/>
          <w:sz w:val="24"/>
          <w:szCs w:val="24"/>
        </w:rPr>
        <w:t xml:space="preserve">. Available at: </w:t>
      </w:r>
      <w:hyperlink r:id="rId15" w:tgtFrame="_blank" w:history="1">
        <w:r w:rsidRPr="0053170F">
          <w:rPr>
            <w:rStyle w:val="Hyperlink"/>
            <w:rFonts w:ascii="Arial" w:hAnsi="Arial" w:cs="Arial"/>
            <w:sz w:val="24"/>
            <w:szCs w:val="24"/>
          </w:rPr>
          <w:t>Zacks Hotels and Motels Industry data</w:t>
        </w:r>
      </w:hyperlink>
      <w:r w:rsidRPr="0053170F">
        <w:rPr>
          <w:rFonts w:ascii="Arial" w:hAnsi="Arial" w:cs="Arial"/>
          <w:sz w:val="24"/>
          <w:szCs w:val="24"/>
        </w:rPr>
        <w:t xml:space="preserve"> (Accessed: 10 August 2026). </w:t>
      </w:r>
    </w:p>
    <w:p w14:paraId="000AFC43" w14:textId="2A456FA8" w:rsidR="00946B2D" w:rsidRPr="0053170F" w:rsidRDefault="000F2F62" w:rsidP="00946B2D">
      <w:pPr>
        <w:jc w:val="both"/>
        <w:rPr>
          <w:rFonts w:ascii="Arial" w:hAnsi="Arial" w:cs="Arial"/>
          <w:sz w:val="24"/>
          <w:szCs w:val="24"/>
        </w:rPr>
      </w:pPr>
      <w:r w:rsidRPr="0053170F">
        <w:rPr>
          <w:rFonts w:ascii="Arial" w:hAnsi="Arial" w:cs="Arial"/>
          <w:sz w:val="24"/>
          <w:szCs w:val="24"/>
        </w:rPr>
        <w:t xml:space="preserve">Damodaran, A. (2026) </w:t>
      </w:r>
      <w:r w:rsidRPr="0053170F">
        <w:rPr>
          <w:rFonts w:ascii="Arial" w:hAnsi="Arial" w:cs="Arial"/>
          <w:i/>
          <w:iCs/>
          <w:sz w:val="24"/>
          <w:szCs w:val="24"/>
        </w:rPr>
        <w:t>Working Capital Ratios by Sector (US)</w:t>
      </w:r>
      <w:r w:rsidRPr="0053170F">
        <w:rPr>
          <w:rFonts w:ascii="Arial" w:hAnsi="Arial" w:cs="Arial"/>
          <w:sz w:val="24"/>
          <w:szCs w:val="24"/>
        </w:rPr>
        <w:t xml:space="preserve">. New York: New York University Stern School of Business. Available at: </w:t>
      </w:r>
      <w:hyperlink r:id="rId16" w:tgtFrame="_blank" w:history="1">
        <w:r w:rsidRPr="0053170F">
          <w:rPr>
            <w:rStyle w:val="Hyperlink"/>
            <w:rFonts w:ascii="Arial" w:hAnsi="Arial" w:cs="Arial"/>
            <w:sz w:val="24"/>
            <w:szCs w:val="24"/>
          </w:rPr>
          <w:t>Damodaran Working Capital Ratios</w:t>
        </w:r>
      </w:hyperlink>
      <w:r w:rsidRPr="0053170F">
        <w:rPr>
          <w:rFonts w:ascii="Arial" w:hAnsi="Arial" w:cs="Arial"/>
          <w:sz w:val="24"/>
          <w:szCs w:val="24"/>
        </w:rPr>
        <w:t xml:space="preserve"> (Accessed: 10 August 2026)</w:t>
      </w:r>
    </w:p>
    <w:p w14:paraId="407C3B81" w14:textId="77777777" w:rsidR="00946B2D" w:rsidRPr="0053170F" w:rsidRDefault="00946B2D" w:rsidP="00946B2D">
      <w:pPr>
        <w:jc w:val="both"/>
        <w:rPr>
          <w:rFonts w:ascii="Arial" w:hAnsi="Arial" w:cs="Arial"/>
          <w:sz w:val="24"/>
          <w:szCs w:val="24"/>
        </w:rPr>
      </w:pPr>
      <w:r w:rsidRPr="0053170F">
        <w:rPr>
          <w:rFonts w:ascii="Arial" w:hAnsi="Arial" w:cs="Arial"/>
          <w:sz w:val="24"/>
          <w:szCs w:val="24"/>
        </w:rPr>
        <w:t xml:space="preserve">InterContinental Hotels Group PLC (2022) </w:t>
      </w:r>
      <w:r w:rsidRPr="0053170F">
        <w:rPr>
          <w:rFonts w:ascii="Arial" w:hAnsi="Arial" w:cs="Arial"/>
          <w:i/>
          <w:iCs/>
          <w:sz w:val="24"/>
          <w:szCs w:val="24"/>
        </w:rPr>
        <w:t>Annual Report and Form 20-F 2021</w:t>
      </w:r>
      <w:r w:rsidRPr="0053170F">
        <w:rPr>
          <w:rFonts w:ascii="Arial" w:hAnsi="Arial" w:cs="Arial"/>
          <w:sz w:val="24"/>
          <w:szCs w:val="24"/>
        </w:rPr>
        <w:t xml:space="preserve">. Windsor: IHG. Available at: </w:t>
      </w:r>
      <w:hyperlink r:id="rId17" w:tgtFrame="_blank" w:history="1">
        <w:r w:rsidRPr="0053170F">
          <w:rPr>
            <w:rStyle w:val="Hyperlink"/>
            <w:rFonts w:ascii="Arial" w:hAnsi="Arial" w:cs="Arial"/>
            <w:sz w:val="24"/>
            <w:szCs w:val="24"/>
          </w:rPr>
          <w:t>IHG Annual Reports</w:t>
        </w:r>
      </w:hyperlink>
      <w:r w:rsidRPr="0053170F">
        <w:rPr>
          <w:rFonts w:ascii="Arial" w:hAnsi="Arial" w:cs="Arial"/>
          <w:sz w:val="24"/>
          <w:szCs w:val="24"/>
        </w:rPr>
        <w:t xml:space="preserve"> (Accessed: 10 August 2026). </w:t>
      </w:r>
    </w:p>
    <w:p w14:paraId="7903A14C" w14:textId="77777777" w:rsidR="00946B2D" w:rsidRPr="0053170F" w:rsidRDefault="00946B2D" w:rsidP="00946B2D">
      <w:pPr>
        <w:jc w:val="both"/>
        <w:rPr>
          <w:rFonts w:ascii="Arial" w:hAnsi="Arial" w:cs="Arial"/>
          <w:sz w:val="24"/>
          <w:szCs w:val="24"/>
        </w:rPr>
      </w:pPr>
      <w:r w:rsidRPr="0053170F">
        <w:rPr>
          <w:rFonts w:ascii="Arial" w:hAnsi="Arial" w:cs="Arial"/>
          <w:sz w:val="24"/>
          <w:szCs w:val="24"/>
        </w:rPr>
        <w:t xml:space="preserve">InterContinental Hotels Group PLC (2023) </w:t>
      </w:r>
      <w:r w:rsidRPr="0053170F">
        <w:rPr>
          <w:rFonts w:ascii="Arial" w:hAnsi="Arial" w:cs="Arial"/>
          <w:i/>
          <w:iCs/>
          <w:sz w:val="24"/>
          <w:szCs w:val="24"/>
        </w:rPr>
        <w:t>Annual Report and Form 20-F 2022</w:t>
      </w:r>
      <w:r w:rsidRPr="0053170F">
        <w:rPr>
          <w:rFonts w:ascii="Arial" w:hAnsi="Arial" w:cs="Arial"/>
          <w:sz w:val="24"/>
          <w:szCs w:val="24"/>
        </w:rPr>
        <w:t xml:space="preserve">. Windsor: IHG. Available at: </w:t>
      </w:r>
      <w:hyperlink r:id="rId18" w:tgtFrame="_blank" w:history="1">
        <w:r w:rsidRPr="0053170F">
          <w:rPr>
            <w:rStyle w:val="Hyperlink"/>
            <w:rFonts w:ascii="Arial" w:hAnsi="Arial" w:cs="Arial"/>
            <w:sz w:val="24"/>
            <w:szCs w:val="24"/>
          </w:rPr>
          <w:t>IHG 2022 Annual Report</w:t>
        </w:r>
      </w:hyperlink>
      <w:r w:rsidRPr="0053170F">
        <w:rPr>
          <w:rFonts w:ascii="Arial" w:hAnsi="Arial" w:cs="Arial"/>
          <w:sz w:val="24"/>
          <w:szCs w:val="24"/>
        </w:rPr>
        <w:t xml:space="preserve"> (Accessed: 10 August 2026). </w:t>
      </w:r>
    </w:p>
    <w:p w14:paraId="1B4FDB7F" w14:textId="77777777" w:rsidR="00946B2D" w:rsidRPr="0053170F" w:rsidRDefault="00946B2D" w:rsidP="00946B2D">
      <w:pPr>
        <w:jc w:val="both"/>
        <w:rPr>
          <w:rFonts w:ascii="Arial" w:hAnsi="Arial" w:cs="Arial"/>
          <w:sz w:val="24"/>
          <w:szCs w:val="24"/>
        </w:rPr>
      </w:pPr>
      <w:r w:rsidRPr="0053170F">
        <w:rPr>
          <w:rFonts w:ascii="Arial" w:hAnsi="Arial" w:cs="Arial"/>
          <w:sz w:val="24"/>
          <w:szCs w:val="24"/>
        </w:rPr>
        <w:t xml:space="preserve">InterContinental Hotels Group PLC (2024) </w:t>
      </w:r>
      <w:r w:rsidRPr="0053170F">
        <w:rPr>
          <w:rFonts w:ascii="Arial" w:hAnsi="Arial" w:cs="Arial"/>
          <w:i/>
          <w:iCs/>
          <w:sz w:val="24"/>
          <w:szCs w:val="24"/>
        </w:rPr>
        <w:t>Annual Report and Form 20-F 2023</w:t>
      </w:r>
      <w:r w:rsidRPr="0053170F">
        <w:rPr>
          <w:rFonts w:ascii="Arial" w:hAnsi="Arial" w:cs="Arial"/>
          <w:sz w:val="24"/>
          <w:szCs w:val="24"/>
        </w:rPr>
        <w:t xml:space="preserve">. Windsor: IHG. Available at: </w:t>
      </w:r>
      <w:hyperlink r:id="rId19" w:tgtFrame="_blank" w:history="1">
        <w:r w:rsidRPr="0053170F">
          <w:rPr>
            <w:rStyle w:val="Hyperlink"/>
            <w:rFonts w:ascii="Arial" w:hAnsi="Arial" w:cs="Arial"/>
            <w:sz w:val="24"/>
            <w:szCs w:val="24"/>
          </w:rPr>
          <w:t>IHG 2023 Group Financial Statements</w:t>
        </w:r>
      </w:hyperlink>
      <w:r w:rsidRPr="0053170F">
        <w:rPr>
          <w:rFonts w:ascii="Arial" w:hAnsi="Arial" w:cs="Arial"/>
          <w:sz w:val="24"/>
          <w:szCs w:val="24"/>
        </w:rPr>
        <w:t xml:space="preserve"> (Accessed: 10 August 2026). </w:t>
      </w:r>
    </w:p>
    <w:p w14:paraId="61A4466A" w14:textId="77777777" w:rsidR="00946B2D" w:rsidRPr="0053170F" w:rsidRDefault="00946B2D" w:rsidP="00946B2D">
      <w:pPr>
        <w:jc w:val="both"/>
        <w:rPr>
          <w:rFonts w:ascii="Arial" w:hAnsi="Arial" w:cs="Arial"/>
          <w:sz w:val="24"/>
          <w:szCs w:val="24"/>
        </w:rPr>
      </w:pPr>
      <w:r w:rsidRPr="0053170F">
        <w:rPr>
          <w:rFonts w:ascii="Arial" w:hAnsi="Arial" w:cs="Arial"/>
          <w:sz w:val="24"/>
          <w:szCs w:val="24"/>
        </w:rPr>
        <w:t xml:space="preserve">InterContinental Hotels Group PLC (2025) </w:t>
      </w:r>
      <w:r w:rsidRPr="0053170F">
        <w:rPr>
          <w:rFonts w:ascii="Arial" w:hAnsi="Arial" w:cs="Arial"/>
          <w:i/>
          <w:iCs/>
          <w:sz w:val="24"/>
          <w:szCs w:val="24"/>
        </w:rPr>
        <w:t>Annual Report and Form 20-F 2024</w:t>
      </w:r>
      <w:r w:rsidRPr="0053170F">
        <w:rPr>
          <w:rFonts w:ascii="Arial" w:hAnsi="Arial" w:cs="Arial"/>
          <w:sz w:val="24"/>
          <w:szCs w:val="24"/>
        </w:rPr>
        <w:t xml:space="preserve">. Windsor: IHG. Available at: </w:t>
      </w:r>
      <w:hyperlink r:id="rId20" w:tgtFrame="_blank" w:history="1">
        <w:r w:rsidRPr="0053170F">
          <w:rPr>
            <w:rStyle w:val="Hyperlink"/>
            <w:rFonts w:ascii="Arial" w:hAnsi="Arial" w:cs="Arial"/>
            <w:sz w:val="24"/>
            <w:szCs w:val="24"/>
          </w:rPr>
          <w:t>IHG 2024 Annual Report</w:t>
        </w:r>
      </w:hyperlink>
      <w:r w:rsidRPr="0053170F">
        <w:rPr>
          <w:rFonts w:ascii="Arial" w:hAnsi="Arial" w:cs="Arial"/>
          <w:sz w:val="24"/>
          <w:szCs w:val="24"/>
        </w:rPr>
        <w:t xml:space="preserve"> (Accessed: 10 August 2026). </w:t>
      </w:r>
    </w:p>
    <w:p w14:paraId="762E41F2" w14:textId="77777777" w:rsidR="00946B2D" w:rsidRPr="0053170F" w:rsidRDefault="00946B2D" w:rsidP="00946B2D">
      <w:pPr>
        <w:jc w:val="both"/>
        <w:rPr>
          <w:rFonts w:ascii="Arial" w:hAnsi="Arial" w:cs="Arial"/>
          <w:sz w:val="24"/>
          <w:szCs w:val="24"/>
        </w:rPr>
      </w:pPr>
      <w:r w:rsidRPr="0053170F">
        <w:rPr>
          <w:rFonts w:ascii="Arial" w:hAnsi="Arial" w:cs="Arial"/>
          <w:sz w:val="24"/>
          <w:szCs w:val="24"/>
        </w:rPr>
        <w:t xml:space="preserve">InterContinental Hotels Group PLC (2026) </w:t>
      </w:r>
      <w:r w:rsidRPr="0053170F">
        <w:rPr>
          <w:rFonts w:ascii="Arial" w:hAnsi="Arial" w:cs="Arial"/>
          <w:i/>
          <w:iCs/>
          <w:sz w:val="24"/>
          <w:szCs w:val="24"/>
        </w:rPr>
        <w:t>Annual Report and Form 20-F 2025</w:t>
      </w:r>
      <w:r w:rsidRPr="0053170F">
        <w:rPr>
          <w:rFonts w:ascii="Arial" w:hAnsi="Arial" w:cs="Arial"/>
          <w:sz w:val="24"/>
          <w:szCs w:val="24"/>
        </w:rPr>
        <w:t xml:space="preserve">. Windsor: IHG. Available at: </w:t>
      </w:r>
      <w:hyperlink r:id="rId21" w:tgtFrame="_blank" w:history="1">
        <w:r w:rsidRPr="0053170F">
          <w:rPr>
            <w:rStyle w:val="Hyperlink"/>
            <w:rFonts w:ascii="Arial" w:hAnsi="Arial" w:cs="Arial"/>
            <w:sz w:val="24"/>
            <w:szCs w:val="24"/>
          </w:rPr>
          <w:t>IHG 2025 Annual Report</w:t>
        </w:r>
      </w:hyperlink>
      <w:r w:rsidRPr="0053170F">
        <w:rPr>
          <w:rFonts w:ascii="Arial" w:hAnsi="Arial" w:cs="Arial"/>
          <w:sz w:val="24"/>
          <w:szCs w:val="24"/>
        </w:rPr>
        <w:t xml:space="preserve"> (Accessed: 10 August 2026). </w:t>
      </w:r>
    </w:p>
    <w:p w14:paraId="67A4E144" w14:textId="77777777" w:rsidR="00946B2D" w:rsidRPr="0053170F" w:rsidRDefault="00946B2D" w:rsidP="00946B2D">
      <w:pPr>
        <w:jc w:val="both"/>
        <w:rPr>
          <w:rFonts w:ascii="Arial" w:hAnsi="Arial" w:cs="Arial"/>
          <w:sz w:val="24"/>
          <w:szCs w:val="24"/>
        </w:rPr>
      </w:pPr>
      <w:r w:rsidRPr="0053170F">
        <w:rPr>
          <w:rFonts w:ascii="Arial" w:hAnsi="Arial" w:cs="Arial"/>
          <w:sz w:val="24"/>
          <w:szCs w:val="24"/>
        </w:rPr>
        <w:t xml:space="preserve">InterContinental Hotels Group PLC (2026) </w:t>
      </w:r>
      <w:r w:rsidRPr="0053170F">
        <w:rPr>
          <w:rFonts w:ascii="Arial" w:hAnsi="Arial" w:cs="Arial"/>
          <w:i/>
          <w:iCs/>
          <w:sz w:val="24"/>
          <w:szCs w:val="24"/>
        </w:rPr>
        <w:t>Full Year Results for the year to 31 December 2025</w:t>
      </w:r>
      <w:r w:rsidRPr="0053170F">
        <w:rPr>
          <w:rFonts w:ascii="Arial" w:hAnsi="Arial" w:cs="Arial"/>
          <w:sz w:val="24"/>
          <w:szCs w:val="24"/>
        </w:rPr>
        <w:t xml:space="preserve">. 17 February. Available at: </w:t>
      </w:r>
      <w:hyperlink r:id="rId22" w:tgtFrame="_blank" w:history="1">
        <w:r w:rsidRPr="0053170F">
          <w:rPr>
            <w:rStyle w:val="Hyperlink"/>
            <w:rFonts w:ascii="Arial" w:hAnsi="Arial" w:cs="Arial"/>
            <w:sz w:val="24"/>
            <w:szCs w:val="24"/>
          </w:rPr>
          <w:t>IHG 2025 Full-Year Results</w:t>
        </w:r>
      </w:hyperlink>
      <w:r w:rsidRPr="0053170F">
        <w:rPr>
          <w:rFonts w:ascii="Arial" w:hAnsi="Arial" w:cs="Arial"/>
          <w:sz w:val="24"/>
          <w:szCs w:val="24"/>
        </w:rPr>
        <w:t xml:space="preserve"> (Accessed: 10 August 2026).</w:t>
      </w:r>
    </w:p>
    <w:p w14:paraId="3B62CD63" w14:textId="77777777" w:rsidR="00946B2D" w:rsidRPr="0053170F" w:rsidRDefault="00946B2D" w:rsidP="00946B2D">
      <w:pPr>
        <w:jc w:val="both"/>
        <w:rPr>
          <w:rFonts w:ascii="Arial" w:hAnsi="Arial" w:cs="Arial"/>
          <w:sz w:val="24"/>
          <w:szCs w:val="24"/>
        </w:rPr>
      </w:pPr>
      <w:r w:rsidRPr="0053170F">
        <w:rPr>
          <w:rFonts w:ascii="Arial" w:hAnsi="Arial" w:cs="Arial"/>
          <w:sz w:val="24"/>
          <w:szCs w:val="24"/>
        </w:rPr>
        <w:t xml:space="preserve">InterContinental Hotels Group PLC (2025) </w:t>
      </w:r>
      <w:r w:rsidRPr="0053170F">
        <w:rPr>
          <w:rFonts w:ascii="Arial" w:hAnsi="Arial" w:cs="Arial"/>
          <w:i/>
          <w:iCs/>
          <w:sz w:val="24"/>
          <w:szCs w:val="24"/>
        </w:rPr>
        <w:t>Full Year Results for the year to 31 December 2024</w:t>
      </w:r>
      <w:r w:rsidRPr="0053170F">
        <w:rPr>
          <w:rFonts w:ascii="Arial" w:hAnsi="Arial" w:cs="Arial"/>
          <w:sz w:val="24"/>
          <w:szCs w:val="24"/>
        </w:rPr>
        <w:t xml:space="preserve">. 18 February. Available at: </w:t>
      </w:r>
      <w:hyperlink r:id="rId23" w:tgtFrame="_blank" w:history="1">
        <w:r w:rsidRPr="0053170F">
          <w:rPr>
            <w:rStyle w:val="Hyperlink"/>
            <w:rFonts w:ascii="Arial" w:hAnsi="Arial" w:cs="Arial"/>
            <w:sz w:val="24"/>
            <w:szCs w:val="24"/>
          </w:rPr>
          <w:t>IHG 2024 Full-Year Results</w:t>
        </w:r>
      </w:hyperlink>
      <w:r w:rsidRPr="0053170F">
        <w:rPr>
          <w:rFonts w:ascii="Arial" w:hAnsi="Arial" w:cs="Arial"/>
          <w:sz w:val="24"/>
          <w:szCs w:val="24"/>
        </w:rPr>
        <w:t xml:space="preserve"> (Accessed: 10 August 2026).</w:t>
      </w:r>
    </w:p>
    <w:p w14:paraId="68B2B982" w14:textId="77777777" w:rsidR="00946B2D" w:rsidRPr="0053170F" w:rsidRDefault="00946B2D" w:rsidP="00946B2D">
      <w:pPr>
        <w:jc w:val="both"/>
        <w:rPr>
          <w:rFonts w:ascii="Arial" w:hAnsi="Arial" w:cs="Arial"/>
          <w:sz w:val="24"/>
          <w:szCs w:val="24"/>
        </w:rPr>
      </w:pPr>
      <w:r w:rsidRPr="0053170F">
        <w:rPr>
          <w:rFonts w:ascii="Arial" w:hAnsi="Arial" w:cs="Arial"/>
          <w:sz w:val="24"/>
          <w:szCs w:val="24"/>
        </w:rPr>
        <w:lastRenderedPageBreak/>
        <w:t xml:space="preserve">InterContinental Hotels Group PLC (2022) </w:t>
      </w:r>
      <w:r w:rsidRPr="0053170F">
        <w:rPr>
          <w:rFonts w:ascii="Arial" w:hAnsi="Arial" w:cs="Arial"/>
          <w:i/>
          <w:iCs/>
          <w:sz w:val="24"/>
          <w:szCs w:val="24"/>
        </w:rPr>
        <w:t>Preliminary Results for the year to 31 December 2021</w:t>
      </w:r>
      <w:r w:rsidRPr="0053170F">
        <w:rPr>
          <w:rFonts w:ascii="Arial" w:hAnsi="Arial" w:cs="Arial"/>
          <w:sz w:val="24"/>
          <w:szCs w:val="24"/>
        </w:rPr>
        <w:t xml:space="preserve">. Windsor: IHG. Available at: </w:t>
      </w:r>
      <w:hyperlink r:id="rId24" w:history="1">
        <w:r w:rsidRPr="0053170F">
          <w:rPr>
            <w:rStyle w:val="Hyperlink"/>
            <w:rFonts w:ascii="Arial" w:hAnsi="Arial" w:cs="Arial"/>
            <w:sz w:val="24"/>
            <w:szCs w:val="24"/>
          </w:rPr>
          <w:t>IHG 2021 results</w:t>
        </w:r>
      </w:hyperlink>
      <w:r w:rsidRPr="0053170F">
        <w:rPr>
          <w:rFonts w:ascii="Arial" w:hAnsi="Arial" w:cs="Arial"/>
          <w:sz w:val="24"/>
          <w:szCs w:val="24"/>
        </w:rPr>
        <w:t xml:space="preserve"> (Accessed: 10 August 2026).</w:t>
      </w:r>
    </w:p>
    <w:p w14:paraId="2B83947B" w14:textId="77777777" w:rsidR="00946B2D" w:rsidRPr="0053170F" w:rsidRDefault="00946B2D" w:rsidP="00946B2D">
      <w:pPr>
        <w:jc w:val="both"/>
        <w:rPr>
          <w:rFonts w:ascii="Arial" w:hAnsi="Arial" w:cs="Arial"/>
          <w:sz w:val="24"/>
          <w:szCs w:val="24"/>
        </w:rPr>
      </w:pPr>
      <w:r w:rsidRPr="0053170F">
        <w:rPr>
          <w:rFonts w:ascii="Arial" w:hAnsi="Arial" w:cs="Arial"/>
          <w:sz w:val="24"/>
          <w:szCs w:val="24"/>
        </w:rPr>
        <w:t xml:space="preserve">InterContinental Hotels Group PLC (2022) </w:t>
      </w:r>
      <w:r w:rsidRPr="0053170F">
        <w:rPr>
          <w:rFonts w:ascii="Arial" w:hAnsi="Arial" w:cs="Arial"/>
          <w:i/>
          <w:iCs/>
          <w:sz w:val="24"/>
          <w:szCs w:val="24"/>
        </w:rPr>
        <w:t>Annual Report and Form 20-F 2021</w:t>
      </w:r>
      <w:r w:rsidRPr="0053170F">
        <w:rPr>
          <w:rFonts w:ascii="Arial" w:hAnsi="Arial" w:cs="Arial"/>
          <w:sz w:val="24"/>
          <w:szCs w:val="24"/>
        </w:rPr>
        <w:t xml:space="preserve">. Windsor: IHG. Available at: </w:t>
      </w:r>
      <w:hyperlink r:id="rId25" w:history="1">
        <w:r w:rsidRPr="0053170F">
          <w:rPr>
            <w:rStyle w:val="Hyperlink"/>
            <w:rFonts w:ascii="Arial" w:hAnsi="Arial" w:cs="Arial"/>
            <w:sz w:val="24"/>
            <w:szCs w:val="24"/>
          </w:rPr>
          <w:t>IHG Annual Report 2021</w:t>
        </w:r>
      </w:hyperlink>
      <w:r w:rsidRPr="0053170F">
        <w:rPr>
          <w:rFonts w:ascii="Arial" w:hAnsi="Arial" w:cs="Arial"/>
          <w:sz w:val="24"/>
          <w:szCs w:val="24"/>
        </w:rPr>
        <w:t xml:space="preserve"> (Accessed: 10 August 2026).</w:t>
      </w:r>
    </w:p>
    <w:p w14:paraId="71E40DDE" w14:textId="77777777" w:rsidR="00946B2D" w:rsidRPr="0053170F" w:rsidRDefault="00946B2D" w:rsidP="00946B2D">
      <w:pPr>
        <w:jc w:val="both"/>
        <w:rPr>
          <w:rFonts w:ascii="Arial" w:hAnsi="Arial" w:cs="Arial"/>
          <w:sz w:val="24"/>
          <w:szCs w:val="24"/>
        </w:rPr>
      </w:pPr>
      <w:r w:rsidRPr="0053170F">
        <w:rPr>
          <w:rFonts w:ascii="Arial" w:hAnsi="Arial" w:cs="Arial"/>
          <w:sz w:val="24"/>
          <w:szCs w:val="24"/>
        </w:rPr>
        <w:t xml:space="preserve">InterContinental Hotels Group PLC (2023) </w:t>
      </w:r>
      <w:r w:rsidRPr="0053170F">
        <w:rPr>
          <w:rFonts w:ascii="Arial" w:hAnsi="Arial" w:cs="Arial"/>
          <w:i/>
          <w:iCs/>
          <w:sz w:val="24"/>
          <w:szCs w:val="24"/>
        </w:rPr>
        <w:t>Full Year Results for the year to 31 December 2022</w:t>
      </w:r>
      <w:r w:rsidRPr="0053170F">
        <w:rPr>
          <w:rFonts w:ascii="Arial" w:hAnsi="Arial" w:cs="Arial"/>
          <w:sz w:val="24"/>
          <w:szCs w:val="24"/>
        </w:rPr>
        <w:t xml:space="preserve">. Windsor: IHG. Available at: </w:t>
      </w:r>
      <w:hyperlink r:id="rId26" w:history="1">
        <w:r w:rsidRPr="0053170F">
          <w:rPr>
            <w:rStyle w:val="Hyperlink"/>
            <w:rFonts w:ascii="Arial" w:hAnsi="Arial" w:cs="Arial"/>
            <w:sz w:val="24"/>
            <w:szCs w:val="24"/>
          </w:rPr>
          <w:t>IHG 2022 results</w:t>
        </w:r>
      </w:hyperlink>
      <w:r w:rsidRPr="0053170F">
        <w:rPr>
          <w:rFonts w:ascii="Arial" w:hAnsi="Arial" w:cs="Arial"/>
          <w:sz w:val="24"/>
          <w:szCs w:val="24"/>
        </w:rPr>
        <w:t xml:space="preserve"> (Accessed: 10 August 2026).</w:t>
      </w:r>
    </w:p>
    <w:p w14:paraId="54F50006" w14:textId="77777777" w:rsidR="00946B2D" w:rsidRPr="0053170F" w:rsidRDefault="00946B2D" w:rsidP="00946B2D">
      <w:pPr>
        <w:jc w:val="both"/>
        <w:rPr>
          <w:rFonts w:ascii="Arial" w:hAnsi="Arial" w:cs="Arial"/>
          <w:sz w:val="24"/>
          <w:szCs w:val="24"/>
        </w:rPr>
      </w:pPr>
      <w:r w:rsidRPr="0053170F">
        <w:rPr>
          <w:rFonts w:ascii="Arial" w:hAnsi="Arial" w:cs="Arial"/>
          <w:sz w:val="24"/>
          <w:szCs w:val="24"/>
        </w:rPr>
        <w:t xml:space="preserve">InterContinental Hotels Group PLC (2024) </w:t>
      </w:r>
      <w:r w:rsidRPr="0053170F">
        <w:rPr>
          <w:rFonts w:ascii="Arial" w:hAnsi="Arial" w:cs="Arial"/>
          <w:i/>
          <w:iCs/>
          <w:sz w:val="24"/>
          <w:szCs w:val="24"/>
        </w:rPr>
        <w:t>Full Year Results for the year to 31 December 2023</w:t>
      </w:r>
      <w:r w:rsidRPr="0053170F">
        <w:rPr>
          <w:rFonts w:ascii="Arial" w:hAnsi="Arial" w:cs="Arial"/>
          <w:sz w:val="24"/>
          <w:szCs w:val="24"/>
        </w:rPr>
        <w:t xml:space="preserve">. Windsor: IHG. Available at: </w:t>
      </w:r>
      <w:hyperlink r:id="rId27" w:history="1">
        <w:r w:rsidRPr="0053170F">
          <w:rPr>
            <w:rStyle w:val="Hyperlink"/>
            <w:rFonts w:ascii="Arial" w:hAnsi="Arial" w:cs="Arial"/>
            <w:sz w:val="24"/>
            <w:szCs w:val="24"/>
          </w:rPr>
          <w:t>IHG 2023 results</w:t>
        </w:r>
      </w:hyperlink>
      <w:r w:rsidRPr="0053170F">
        <w:rPr>
          <w:rFonts w:ascii="Arial" w:hAnsi="Arial" w:cs="Arial"/>
          <w:sz w:val="24"/>
          <w:szCs w:val="24"/>
        </w:rPr>
        <w:t xml:space="preserve"> (Accessed: 10 August 2026).</w:t>
      </w:r>
    </w:p>
    <w:p w14:paraId="560EC21E" w14:textId="77777777" w:rsidR="00946B2D" w:rsidRPr="0053170F" w:rsidRDefault="00946B2D" w:rsidP="00946B2D">
      <w:pPr>
        <w:jc w:val="both"/>
        <w:rPr>
          <w:rFonts w:ascii="Arial" w:hAnsi="Arial" w:cs="Arial"/>
          <w:sz w:val="24"/>
          <w:szCs w:val="24"/>
        </w:rPr>
      </w:pPr>
      <w:r w:rsidRPr="0053170F">
        <w:rPr>
          <w:rFonts w:ascii="Arial" w:hAnsi="Arial" w:cs="Arial"/>
          <w:sz w:val="24"/>
          <w:szCs w:val="24"/>
        </w:rPr>
        <w:t xml:space="preserve">InterContinental Hotels Group PLC (2024) </w:t>
      </w:r>
      <w:r w:rsidRPr="0053170F">
        <w:rPr>
          <w:rFonts w:ascii="Arial" w:hAnsi="Arial" w:cs="Arial"/>
          <w:i/>
          <w:iCs/>
          <w:sz w:val="24"/>
          <w:szCs w:val="24"/>
        </w:rPr>
        <w:t>Annual Report and Form 20-F 2023</w:t>
      </w:r>
      <w:r w:rsidRPr="0053170F">
        <w:rPr>
          <w:rFonts w:ascii="Arial" w:hAnsi="Arial" w:cs="Arial"/>
          <w:sz w:val="24"/>
          <w:szCs w:val="24"/>
        </w:rPr>
        <w:t xml:space="preserve">. Windsor: IHG. Available at: </w:t>
      </w:r>
      <w:hyperlink r:id="rId28" w:history="1">
        <w:r w:rsidRPr="0053170F">
          <w:rPr>
            <w:rStyle w:val="Hyperlink"/>
            <w:rFonts w:ascii="Arial" w:hAnsi="Arial" w:cs="Arial"/>
            <w:sz w:val="24"/>
            <w:szCs w:val="24"/>
          </w:rPr>
          <w:t>IHG 2023 Annual Report</w:t>
        </w:r>
      </w:hyperlink>
      <w:r w:rsidRPr="0053170F">
        <w:rPr>
          <w:rFonts w:ascii="Arial" w:hAnsi="Arial" w:cs="Arial"/>
          <w:sz w:val="24"/>
          <w:szCs w:val="24"/>
        </w:rPr>
        <w:t xml:space="preserve"> (Accessed: 10 August 2026).</w:t>
      </w:r>
    </w:p>
    <w:p w14:paraId="0F39CDDF" w14:textId="77777777" w:rsidR="00946B2D" w:rsidRPr="0053170F" w:rsidRDefault="00946B2D" w:rsidP="00946B2D">
      <w:pPr>
        <w:jc w:val="both"/>
        <w:rPr>
          <w:rFonts w:ascii="Arial" w:hAnsi="Arial" w:cs="Arial"/>
          <w:sz w:val="24"/>
          <w:szCs w:val="24"/>
        </w:rPr>
      </w:pPr>
      <w:r w:rsidRPr="0053170F">
        <w:rPr>
          <w:rFonts w:ascii="Arial" w:hAnsi="Arial" w:cs="Arial"/>
          <w:sz w:val="24"/>
          <w:szCs w:val="24"/>
        </w:rPr>
        <w:t xml:space="preserve">InterContinental Hotels Group PLC (2025) </w:t>
      </w:r>
      <w:r w:rsidRPr="0053170F">
        <w:rPr>
          <w:rFonts w:ascii="Arial" w:hAnsi="Arial" w:cs="Arial"/>
          <w:i/>
          <w:iCs/>
          <w:sz w:val="24"/>
          <w:szCs w:val="24"/>
        </w:rPr>
        <w:t>Full Year Results for the year to 31 December 2024</w:t>
      </w:r>
      <w:r w:rsidRPr="0053170F">
        <w:rPr>
          <w:rFonts w:ascii="Arial" w:hAnsi="Arial" w:cs="Arial"/>
          <w:sz w:val="24"/>
          <w:szCs w:val="24"/>
        </w:rPr>
        <w:t xml:space="preserve">. Windsor: IHG. Available at: </w:t>
      </w:r>
      <w:hyperlink r:id="rId29" w:history="1">
        <w:r w:rsidRPr="0053170F">
          <w:rPr>
            <w:rStyle w:val="Hyperlink"/>
            <w:rFonts w:ascii="Arial" w:hAnsi="Arial" w:cs="Arial"/>
            <w:sz w:val="24"/>
            <w:szCs w:val="24"/>
          </w:rPr>
          <w:t>IHG 2024 results</w:t>
        </w:r>
      </w:hyperlink>
      <w:r w:rsidRPr="0053170F">
        <w:rPr>
          <w:rFonts w:ascii="Arial" w:hAnsi="Arial" w:cs="Arial"/>
          <w:sz w:val="24"/>
          <w:szCs w:val="24"/>
        </w:rPr>
        <w:t xml:space="preserve"> (Accessed: 10 August 2026).</w:t>
      </w:r>
    </w:p>
    <w:p w14:paraId="379B96BD" w14:textId="77777777" w:rsidR="00946B2D" w:rsidRPr="0053170F" w:rsidRDefault="00946B2D" w:rsidP="00946B2D">
      <w:pPr>
        <w:jc w:val="both"/>
        <w:rPr>
          <w:rFonts w:ascii="Arial" w:hAnsi="Arial" w:cs="Arial"/>
          <w:sz w:val="24"/>
          <w:szCs w:val="24"/>
        </w:rPr>
      </w:pPr>
      <w:r w:rsidRPr="0053170F">
        <w:rPr>
          <w:rFonts w:ascii="Arial" w:hAnsi="Arial" w:cs="Arial"/>
          <w:sz w:val="24"/>
          <w:szCs w:val="24"/>
        </w:rPr>
        <w:t xml:space="preserve">InterContinental Hotels Group PLC (2025) </w:t>
      </w:r>
      <w:r w:rsidRPr="0053170F">
        <w:rPr>
          <w:rFonts w:ascii="Arial" w:hAnsi="Arial" w:cs="Arial"/>
          <w:i/>
          <w:iCs/>
          <w:sz w:val="24"/>
          <w:szCs w:val="24"/>
        </w:rPr>
        <w:t>Annual Report and Form 20-F 2024</w:t>
      </w:r>
      <w:r w:rsidRPr="0053170F">
        <w:rPr>
          <w:rFonts w:ascii="Arial" w:hAnsi="Arial" w:cs="Arial"/>
          <w:sz w:val="24"/>
          <w:szCs w:val="24"/>
        </w:rPr>
        <w:t xml:space="preserve">. Windsor: IHG. Available at: </w:t>
      </w:r>
      <w:hyperlink r:id="rId30" w:history="1">
        <w:r w:rsidRPr="0053170F">
          <w:rPr>
            <w:rStyle w:val="Hyperlink"/>
            <w:rFonts w:ascii="Arial" w:hAnsi="Arial" w:cs="Arial"/>
            <w:sz w:val="24"/>
            <w:szCs w:val="24"/>
          </w:rPr>
          <w:t>IHG Annual Report 2024</w:t>
        </w:r>
      </w:hyperlink>
      <w:r w:rsidRPr="0053170F">
        <w:rPr>
          <w:rFonts w:ascii="Arial" w:hAnsi="Arial" w:cs="Arial"/>
          <w:sz w:val="24"/>
          <w:szCs w:val="24"/>
        </w:rPr>
        <w:t xml:space="preserve"> (Accessed: 10 August 2026).</w:t>
      </w:r>
    </w:p>
    <w:p w14:paraId="66F2A960" w14:textId="77777777" w:rsidR="00946B2D" w:rsidRPr="0053170F" w:rsidRDefault="00946B2D" w:rsidP="00946B2D">
      <w:pPr>
        <w:jc w:val="both"/>
        <w:rPr>
          <w:rFonts w:ascii="Arial" w:hAnsi="Arial" w:cs="Arial"/>
          <w:sz w:val="24"/>
          <w:szCs w:val="24"/>
        </w:rPr>
      </w:pPr>
      <w:r w:rsidRPr="0053170F">
        <w:rPr>
          <w:rFonts w:ascii="Arial" w:hAnsi="Arial" w:cs="Arial"/>
          <w:sz w:val="24"/>
          <w:szCs w:val="24"/>
        </w:rPr>
        <w:t xml:space="preserve">InterContinental Hotels Group PLC (2026) </w:t>
      </w:r>
      <w:r w:rsidRPr="0053170F">
        <w:rPr>
          <w:rFonts w:ascii="Arial" w:hAnsi="Arial" w:cs="Arial"/>
          <w:i/>
          <w:iCs/>
          <w:sz w:val="24"/>
          <w:szCs w:val="24"/>
        </w:rPr>
        <w:t>Full Year Results for the year to 31 December 2025</w:t>
      </w:r>
      <w:r w:rsidRPr="0053170F">
        <w:rPr>
          <w:rFonts w:ascii="Arial" w:hAnsi="Arial" w:cs="Arial"/>
          <w:sz w:val="24"/>
          <w:szCs w:val="24"/>
        </w:rPr>
        <w:t xml:space="preserve">. Windsor: IHG. Available at: </w:t>
      </w:r>
      <w:hyperlink r:id="rId31" w:history="1">
        <w:r w:rsidRPr="0053170F">
          <w:rPr>
            <w:rStyle w:val="Hyperlink"/>
            <w:rFonts w:ascii="Arial" w:hAnsi="Arial" w:cs="Arial"/>
            <w:sz w:val="24"/>
            <w:szCs w:val="24"/>
          </w:rPr>
          <w:t>IHG 2025 results</w:t>
        </w:r>
      </w:hyperlink>
      <w:r w:rsidRPr="0053170F">
        <w:rPr>
          <w:rFonts w:ascii="Arial" w:hAnsi="Arial" w:cs="Arial"/>
          <w:sz w:val="24"/>
          <w:szCs w:val="24"/>
        </w:rPr>
        <w:t xml:space="preserve"> (Accessed: 10 August 2026).</w:t>
      </w:r>
    </w:p>
    <w:p w14:paraId="0658A41E" w14:textId="77777777" w:rsidR="00946B2D" w:rsidRPr="0053170F" w:rsidRDefault="00946B2D" w:rsidP="00946B2D">
      <w:pPr>
        <w:jc w:val="both"/>
        <w:rPr>
          <w:rFonts w:ascii="Arial" w:hAnsi="Arial" w:cs="Arial"/>
          <w:sz w:val="24"/>
          <w:szCs w:val="24"/>
        </w:rPr>
      </w:pPr>
      <w:r w:rsidRPr="0053170F">
        <w:rPr>
          <w:rFonts w:ascii="Arial" w:hAnsi="Arial" w:cs="Arial"/>
          <w:sz w:val="24"/>
          <w:szCs w:val="24"/>
        </w:rPr>
        <w:t xml:space="preserve">InterContinental Hotels Group PLC (2026) </w:t>
      </w:r>
      <w:r w:rsidRPr="0053170F">
        <w:rPr>
          <w:rFonts w:ascii="Arial" w:hAnsi="Arial" w:cs="Arial"/>
          <w:i/>
          <w:iCs/>
          <w:sz w:val="24"/>
          <w:szCs w:val="24"/>
        </w:rPr>
        <w:t>Annual Report and Form 20-F 2025</w:t>
      </w:r>
      <w:r w:rsidRPr="0053170F">
        <w:rPr>
          <w:rFonts w:ascii="Arial" w:hAnsi="Arial" w:cs="Arial"/>
          <w:sz w:val="24"/>
          <w:szCs w:val="24"/>
        </w:rPr>
        <w:t xml:space="preserve">. Windsor: IHG. Available at: </w:t>
      </w:r>
      <w:hyperlink r:id="rId32" w:history="1">
        <w:r w:rsidRPr="0053170F">
          <w:rPr>
            <w:rStyle w:val="Hyperlink"/>
            <w:rFonts w:ascii="Arial" w:hAnsi="Arial" w:cs="Arial"/>
            <w:sz w:val="24"/>
            <w:szCs w:val="24"/>
          </w:rPr>
          <w:t>IHG Annual Report 2025</w:t>
        </w:r>
      </w:hyperlink>
      <w:r w:rsidRPr="0053170F">
        <w:rPr>
          <w:rFonts w:ascii="Arial" w:hAnsi="Arial" w:cs="Arial"/>
          <w:sz w:val="24"/>
          <w:szCs w:val="24"/>
        </w:rPr>
        <w:t xml:space="preserve"> (Accessed: 10 August 2026).</w:t>
      </w:r>
    </w:p>
    <w:p w14:paraId="119CB704" w14:textId="77777777" w:rsidR="00946B2D" w:rsidRPr="0053170F" w:rsidRDefault="00946B2D" w:rsidP="00946B2D">
      <w:pPr>
        <w:jc w:val="both"/>
        <w:rPr>
          <w:rFonts w:ascii="Arial" w:hAnsi="Arial" w:cs="Arial"/>
          <w:sz w:val="24"/>
          <w:szCs w:val="24"/>
        </w:rPr>
      </w:pPr>
      <w:r w:rsidRPr="0053170F">
        <w:rPr>
          <w:rFonts w:ascii="Arial" w:hAnsi="Arial" w:cs="Arial"/>
          <w:sz w:val="24"/>
          <w:szCs w:val="24"/>
        </w:rPr>
        <w:t xml:space="preserve">InterContinental Hotels Group PLC (2026) </w:t>
      </w:r>
      <w:r w:rsidRPr="0053170F">
        <w:rPr>
          <w:rFonts w:ascii="Arial" w:hAnsi="Arial" w:cs="Arial"/>
          <w:i/>
          <w:iCs/>
          <w:sz w:val="24"/>
          <w:szCs w:val="24"/>
        </w:rPr>
        <w:t>Annual Report</w:t>
      </w:r>
      <w:r w:rsidRPr="0053170F">
        <w:rPr>
          <w:rFonts w:ascii="Arial" w:hAnsi="Arial" w:cs="Arial"/>
          <w:sz w:val="24"/>
          <w:szCs w:val="24"/>
        </w:rPr>
        <w:t xml:space="preserve">. Windsor: IHG. Available at: </w:t>
      </w:r>
      <w:hyperlink r:id="rId33" w:history="1">
        <w:r w:rsidRPr="0053170F">
          <w:rPr>
            <w:rStyle w:val="Hyperlink"/>
            <w:rFonts w:ascii="Arial" w:hAnsi="Arial" w:cs="Arial"/>
            <w:sz w:val="24"/>
            <w:szCs w:val="24"/>
          </w:rPr>
          <w:t>IHG investor annual reports</w:t>
        </w:r>
      </w:hyperlink>
      <w:r w:rsidRPr="0053170F">
        <w:rPr>
          <w:rFonts w:ascii="Arial" w:hAnsi="Arial" w:cs="Arial"/>
          <w:sz w:val="24"/>
          <w:szCs w:val="24"/>
        </w:rPr>
        <w:t xml:space="preserve"> (Accessed: 10 August 2026).</w:t>
      </w:r>
    </w:p>
    <w:p w14:paraId="18C2152A" w14:textId="77777777" w:rsidR="00946B2D" w:rsidRPr="0053170F" w:rsidRDefault="00946B2D" w:rsidP="00946B2D">
      <w:pPr>
        <w:jc w:val="both"/>
        <w:rPr>
          <w:rFonts w:ascii="Arial" w:hAnsi="Arial" w:cs="Arial"/>
          <w:sz w:val="24"/>
          <w:szCs w:val="24"/>
        </w:rPr>
      </w:pPr>
    </w:p>
    <w:p w14:paraId="7B20BE5E" w14:textId="77777777" w:rsidR="00F838D0" w:rsidRPr="0053170F" w:rsidRDefault="00F838D0" w:rsidP="00366C84">
      <w:pPr>
        <w:jc w:val="both"/>
        <w:rPr>
          <w:rFonts w:ascii="Arial" w:hAnsi="Arial" w:cs="Arial"/>
          <w:sz w:val="24"/>
          <w:szCs w:val="24"/>
        </w:rPr>
      </w:pPr>
    </w:p>
    <w:p w14:paraId="7C42FE2B" w14:textId="77777777" w:rsidR="00F838D0" w:rsidRPr="0053170F" w:rsidRDefault="00F838D0" w:rsidP="00366C84">
      <w:pPr>
        <w:jc w:val="both"/>
        <w:rPr>
          <w:rFonts w:ascii="Arial" w:hAnsi="Arial" w:cs="Arial"/>
          <w:sz w:val="24"/>
          <w:szCs w:val="24"/>
        </w:rPr>
      </w:pPr>
    </w:p>
    <w:p w14:paraId="38343B76" w14:textId="77777777" w:rsidR="00F838D0" w:rsidRPr="0053170F" w:rsidRDefault="00F838D0" w:rsidP="00366C84">
      <w:pPr>
        <w:jc w:val="both"/>
        <w:rPr>
          <w:rFonts w:ascii="Arial" w:hAnsi="Arial" w:cs="Arial"/>
          <w:sz w:val="24"/>
          <w:szCs w:val="24"/>
        </w:rPr>
      </w:pPr>
    </w:p>
    <w:p w14:paraId="143BB499" w14:textId="77777777" w:rsidR="00F838D0" w:rsidRPr="0053170F" w:rsidRDefault="00F838D0" w:rsidP="00366C84">
      <w:pPr>
        <w:jc w:val="both"/>
        <w:rPr>
          <w:rFonts w:ascii="Arial" w:hAnsi="Arial" w:cs="Arial"/>
          <w:sz w:val="24"/>
          <w:szCs w:val="24"/>
        </w:rPr>
      </w:pPr>
    </w:p>
    <w:sectPr w:rsidR="00F838D0" w:rsidRPr="005317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8B4642" w14:textId="77777777" w:rsidR="001C140E" w:rsidRDefault="001C140E" w:rsidP="00C1241F">
      <w:pPr>
        <w:spacing w:after="0" w:line="240" w:lineRule="auto"/>
      </w:pPr>
      <w:r>
        <w:separator/>
      </w:r>
    </w:p>
  </w:endnote>
  <w:endnote w:type="continuationSeparator" w:id="0">
    <w:p w14:paraId="218E3BC3" w14:textId="77777777" w:rsidR="001C140E" w:rsidRDefault="001C140E" w:rsidP="00C12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21D254" w14:textId="77777777" w:rsidR="001C140E" w:rsidRDefault="001C140E" w:rsidP="00C1241F">
      <w:pPr>
        <w:spacing w:after="0" w:line="240" w:lineRule="auto"/>
      </w:pPr>
      <w:r>
        <w:separator/>
      </w:r>
    </w:p>
  </w:footnote>
  <w:footnote w:type="continuationSeparator" w:id="0">
    <w:p w14:paraId="079C5FC5" w14:textId="77777777" w:rsidR="001C140E" w:rsidRDefault="001C140E" w:rsidP="00C124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A7A90"/>
    <w:multiLevelType w:val="hybridMultilevel"/>
    <w:tmpl w:val="E65E61E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3592320"/>
    <w:multiLevelType w:val="multilevel"/>
    <w:tmpl w:val="7DA21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CB73CD"/>
    <w:multiLevelType w:val="hybridMultilevel"/>
    <w:tmpl w:val="817299C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6EC0628"/>
    <w:multiLevelType w:val="multilevel"/>
    <w:tmpl w:val="93280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C67DD8"/>
    <w:multiLevelType w:val="multilevel"/>
    <w:tmpl w:val="57B08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E43E13"/>
    <w:multiLevelType w:val="multilevel"/>
    <w:tmpl w:val="5562E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4D3FA6"/>
    <w:multiLevelType w:val="multilevel"/>
    <w:tmpl w:val="0D921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5621EA"/>
    <w:multiLevelType w:val="multilevel"/>
    <w:tmpl w:val="89E6A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7E2077"/>
    <w:multiLevelType w:val="multilevel"/>
    <w:tmpl w:val="3F0E4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2EB6677"/>
    <w:multiLevelType w:val="multilevel"/>
    <w:tmpl w:val="677A2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E07FA2"/>
    <w:multiLevelType w:val="multilevel"/>
    <w:tmpl w:val="95183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B61DE1"/>
    <w:multiLevelType w:val="multilevel"/>
    <w:tmpl w:val="07E89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189007B"/>
    <w:multiLevelType w:val="multilevel"/>
    <w:tmpl w:val="5224B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526A2E"/>
    <w:multiLevelType w:val="multilevel"/>
    <w:tmpl w:val="84CC2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1843834">
    <w:abstractNumId w:val="12"/>
  </w:num>
  <w:num w:numId="2" w16cid:durableId="950474640">
    <w:abstractNumId w:val="9"/>
  </w:num>
  <w:num w:numId="3" w16cid:durableId="1406298290">
    <w:abstractNumId w:val="5"/>
  </w:num>
  <w:num w:numId="4" w16cid:durableId="1558541778">
    <w:abstractNumId w:val="10"/>
  </w:num>
  <w:num w:numId="5" w16cid:durableId="257176705">
    <w:abstractNumId w:val="8"/>
  </w:num>
  <w:num w:numId="6" w16cid:durableId="1611740101">
    <w:abstractNumId w:val="6"/>
  </w:num>
  <w:num w:numId="7" w16cid:durableId="1372417736">
    <w:abstractNumId w:val="4"/>
  </w:num>
  <w:num w:numId="8" w16cid:durableId="314531683">
    <w:abstractNumId w:val="7"/>
  </w:num>
  <w:num w:numId="9" w16cid:durableId="1842116481">
    <w:abstractNumId w:val="3"/>
  </w:num>
  <w:num w:numId="10" w16cid:durableId="980691558">
    <w:abstractNumId w:val="13"/>
  </w:num>
  <w:num w:numId="11" w16cid:durableId="1738436282">
    <w:abstractNumId w:val="11"/>
  </w:num>
  <w:num w:numId="12" w16cid:durableId="1137070717">
    <w:abstractNumId w:val="1"/>
  </w:num>
  <w:num w:numId="13" w16cid:durableId="975722961">
    <w:abstractNumId w:val="0"/>
  </w:num>
  <w:num w:numId="14" w16cid:durableId="1431592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8D0"/>
    <w:rsid w:val="000114FF"/>
    <w:rsid w:val="00027F97"/>
    <w:rsid w:val="00045C2C"/>
    <w:rsid w:val="000638AB"/>
    <w:rsid w:val="000C1231"/>
    <w:rsid w:val="000D4834"/>
    <w:rsid w:val="000E241B"/>
    <w:rsid w:val="000F1279"/>
    <w:rsid w:val="000F2BDF"/>
    <w:rsid w:val="000F2F62"/>
    <w:rsid w:val="0016130B"/>
    <w:rsid w:val="00174412"/>
    <w:rsid w:val="001B54A2"/>
    <w:rsid w:val="001C140E"/>
    <w:rsid w:val="001E3349"/>
    <w:rsid w:val="002579B6"/>
    <w:rsid w:val="002A70A0"/>
    <w:rsid w:val="002A778A"/>
    <w:rsid w:val="002B010E"/>
    <w:rsid w:val="002D4047"/>
    <w:rsid w:val="002E746A"/>
    <w:rsid w:val="002F21D2"/>
    <w:rsid w:val="0032273D"/>
    <w:rsid w:val="00345A28"/>
    <w:rsid w:val="00366C84"/>
    <w:rsid w:val="00367650"/>
    <w:rsid w:val="003C5660"/>
    <w:rsid w:val="003E0975"/>
    <w:rsid w:val="00413F5C"/>
    <w:rsid w:val="00437EBC"/>
    <w:rsid w:val="00460D71"/>
    <w:rsid w:val="004934DF"/>
    <w:rsid w:val="00493C81"/>
    <w:rsid w:val="004A235F"/>
    <w:rsid w:val="004A4F31"/>
    <w:rsid w:val="004D2A7B"/>
    <w:rsid w:val="004F02C2"/>
    <w:rsid w:val="004F6B69"/>
    <w:rsid w:val="005124C8"/>
    <w:rsid w:val="0053170F"/>
    <w:rsid w:val="0055511C"/>
    <w:rsid w:val="00583261"/>
    <w:rsid w:val="00584BF2"/>
    <w:rsid w:val="00592611"/>
    <w:rsid w:val="00592A28"/>
    <w:rsid w:val="005C28E1"/>
    <w:rsid w:val="005C3872"/>
    <w:rsid w:val="005C5F67"/>
    <w:rsid w:val="005E4F8C"/>
    <w:rsid w:val="00606DF3"/>
    <w:rsid w:val="00620D27"/>
    <w:rsid w:val="006476F2"/>
    <w:rsid w:val="00687AC0"/>
    <w:rsid w:val="006937C2"/>
    <w:rsid w:val="006C12F4"/>
    <w:rsid w:val="006F4D11"/>
    <w:rsid w:val="00742C19"/>
    <w:rsid w:val="00747717"/>
    <w:rsid w:val="00761A63"/>
    <w:rsid w:val="00775932"/>
    <w:rsid w:val="00780AC5"/>
    <w:rsid w:val="007874E2"/>
    <w:rsid w:val="0078756E"/>
    <w:rsid w:val="007A051C"/>
    <w:rsid w:val="007B6D1C"/>
    <w:rsid w:val="0080201F"/>
    <w:rsid w:val="00802347"/>
    <w:rsid w:val="00811557"/>
    <w:rsid w:val="00832B54"/>
    <w:rsid w:val="00834B5A"/>
    <w:rsid w:val="00852B7E"/>
    <w:rsid w:val="00867A17"/>
    <w:rsid w:val="008806CF"/>
    <w:rsid w:val="00883502"/>
    <w:rsid w:val="008A3DB7"/>
    <w:rsid w:val="008A792B"/>
    <w:rsid w:val="008D0976"/>
    <w:rsid w:val="008E56AB"/>
    <w:rsid w:val="008E742C"/>
    <w:rsid w:val="00907602"/>
    <w:rsid w:val="0091050B"/>
    <w:rsid w:val="00931B44"/>
    <w:rsid w:val="00941287"/>
    <w:rsid w:val="00946B2D"/>
    <w:rsid w:val="00955058"/>
    <w:rsid w:val="0096330D"/>
    <w:rsid w:val="00967A7F"/>
    <w:rsid w:val="00985C76"/>
    <w:rsid w:val="00991F92"/>
    <w:rsid w:val="009A33D6"/>
    <w:rsid w:val="009A4A4A"/>
    <w:rsid w:val="009F0C65"/>
    <w:rsid w:val="00A1051F"/>
    <w:rsid w:val="00A64344"/>
    <w:rsid w:val="00A75B62"/>
    <w:rsid w:val="00A82544"/>
    <w:rsid w:val="00A93F0D"/>
    <w:rsid w:val="00AA125F"/>
    <w:rsid w:val="00AB5485"/>
    <w:rsid w:val="00B27230"/>
    <w:rsid w:val="00B74D11"/>
    <w:rsid w:val="00B80CEF"/>
    <w:rsid w:val="00B91D5C"/>
    <w:rsid w:val="00BB6C54"/>
    <w:rsid w:val="00BE5951"/>
    <w:rsid w:val="00BF526E"/>
    <w:rsid w:val="00C03BFE"/>
    <w:rsid w:val="00C1210C"/>
    <w:rsid w:val="00C1241F"/>
    <w:rsid w:val="00C52A32"/>
    <w:rsid w:val="00C54EB8"/>
    <w:rsid w:val="00C653FA"/>
    <w:rsid w:val="00CB2920"/>
    <w:rsid w:val="00CB44B7"/>
    <w:rsid w:val="00CB47B7"/>
    <w:rsid w:val="00CC6254"/>
    <w:rsid w:val="00D04149"/>
    <w:rsid w:val="00D24AF6"/>
    <w:rsid w:val="00D33030"/>
    <w:rsid w:val="00D33654"/>
    <w:rsid w:val="00D35B61"/>
    <w:rsid w:val="00D43C6A"/>
    <w:rsid w:val="00D82D04"/>
    <w:rsid w:val="00DA6089"/>
    <w:rsid w:val="00DB43E7"/>
    <w:rsid w:val="00DD6FB2"/>
    <w:rsid w:val="00E01381"/>
    <w:rsid w:val="00E57E74"/>
    <w:rsid w:val="00E67E34"/>
    <w:rsid w:val="00E710DD"/>
    <w:rsid w:val="00EC609E"/>
    <w:rsid w:val="00EF5839"/>
    <w:rsid w:val="00F32A0D"/>
    <w:rsid w:val="00F838D0"/>
    <w:rsid w:val="00FA5395"/>
    <w:rsid w:val="00FB340F"/>
    <w:rsid w:val="00FC3B3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08AE8"/>
  <w15:chartTrackingRefBased/>
  <w15:docId w15:val="{33EC0D6F-A915-460D-9318-A286EFAD3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38D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838D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838D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838D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838D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838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38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38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38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38D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838D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838D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838D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838D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838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38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38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38D0"/>
    <w:rPr>
      <w:rFonts w:eastAsiaTheme="majorEastAsia" w:cstheme="majorBidi"/>
      <w:color w:val="272727" w:themeColor="text1" w:themeTint="D8"/>
    </w:rPr>
  </w:style>
  <w:style w:type="paragraph" w:styleId="Title">
    <w:name w:val="Title"/>
    <w:basedOn w:val="Normal"/>
    <w:next w:val="Normal"/>
    <w:link w:val="TitleChar"/>
    <w:uiPriority w:val="10"/>
    <w:qFormat/>
    <w:rsid w:val="00F838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38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38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38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38D0"/>
    <w:pPr>
      <w:spacing w:before="160"/>
      <w:jc w:val="center"/>
    </w:pPr>
    <w:rPr>
      <w:i/>
      <w:iCs/>
      <w:color w:val="404040" w:themeColor="text1" w:themeTint="BF"/>
    </w:rPr>
  </w:style>
  <w:style w:type="character" w:customStyle="1" w:styleId="QuoteChar">
    <w:name w:val="Quote Char"/>
    <w:basedOn w:val="DefaultParagraphFont"/>
    <w:link w:val="Quote"/>
    <w:uiPriority w:val="29"/>
    <w:rsid w:val="00F838D0"/>
    <w:rPr>
      <w:i/>
      <w:iCs/>
      <w:color w:val="404040" w:themeColor="text1" w:themeTint="BF"/>
    </w:rPr>
  </w:style>
  <w:style w:type="paragraph" w:styleId="ListParagraph">
    <w:name w:val="List Paragraph"/>
    <w:basedOn w:val="Normal"/>
    <w:uiPriority w:val="34"/>
    <w:qFormat/>
    <w:rsid w:val="00F838D0"/>
    <w:pPr>
      <w:ind w:left="720"/>
      <w:contextualSpacing/>
    </w:pPr>
  </w:style>
  <w:style w:type="character" w:styleId="IntenseEmphasis">
    <w:name w:val="Intense Emphasis"/>
    <w:basedOn w:val="DefaultParagraphFont"/>
    <w:uiPriority w:val="21"/>
    <w:qFormat/>
    <w:rsid w:val="00F838D0"/>
    <w:rPr>
      <w:i/>
      <w:iCs/>
      <w:color w:val="2F5496" w:themeColor="accent1" w:themeShade="BF"/>
    </w:rPr>
  </w:style>
  <w:style w:type="paragraph" w:styleId="IntenseQuote">
    <w:name w:val="Intense Quote"/>
    <w:basedOn w:val="Normal"/>
    <w:next w:val="Normal"/>
    <w:link w:val="IntenseQuoteChar"/>
    <w:uiPriority w:val="30"/>
    <w:qFormat/>
    <w:rsid w:val="00F838D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838D0"/>
    <w:rPr>
      <w:i/>
      <w:iCs/>
      <w:color w:val="2F5496" w:themeColor="accent1" w:themeShade="BF"/>
    </w:rPr>
  </w:style>
  <w:style w:type="character" w:styleId="IntenseReference">
    <w:name w:val="Intense Reference"/>
    <w:basedOn w:val="DefaultParagraphFont"/>
    <w:uiPriority w:val="32"/>
    <w:qFormat/>
    <w:rsid w:val="00F838D0"/>
    <w:rPr>
      <w:b/>
      <w:bCs/>
      <w:smallCaps/>
      <w:color w:val="2F5496" w:themeColor="accent1" w:themeShade="BF"/>
      <w:spacing w:val="5"/>
    </w:rPr>
  </w:style>
  <w:style w:type="character" w:styleId="Hyperlink">
    <w:name w:val="Hyperlink"/>
    <w:basedOn w:val="DefaultParagraphFont"/>
    <w:uiPriority w:val="99"/>
    <w:unhideWhenUsed/>
    <w:rsid w:val="00F838D0"/>
    <w:rPr>
      <w:color w:val="0563C1" w:themeColor="hyperlink"/>
      <w:u w:val="single"/>
    </w:rPr>
  </w:style>
  <w:style w:type="character" w:styleId="UnresolvedMention">
    <w:name w:val="Unresolved Mention"/>
    <w:basedOn w:val="DefaultParagraphFont"/>
    <w:uiPriority w:val="99"/>
    <w:semiHidden/>
    <w:unhideWhenUsed/>
    <w:rsid w:val="00F838D0"/>
    <w:rPr>
      <w:color w:val="605E5C"/>
      <w:shd w:val="clear" w:color="auto" w:fill="E1DFDD"/>
    </w:rPr>
  </w:style>
  <w:style w:type="table" w:styleId="GridTable5Dark-Accent5">
    <w:name w:val="Grid Table 5 Dark Accent 5"/>
    <w:basedOn w:val="TableNormal"/>
    <w:uiPriority w:val="50"/>
    <w:rsid w:val="00D24AF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TableGrid">
    <w:name w:val="Table Grid"/>
    <w:basedOn w:val="TableNormal"/>
    <w:uiPriority w:val="39"/>
    <w:rsid w:val="000F2F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0F2F62"/>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DD6FB2"/>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5Dark-Accent6">
    <w:name w:val="Grid Table 5 Dark Accent 6"/>
    <w:basedOn w:val="TableNormal"/>
    <w:uiPriority w:val="50"/>
    <w:rsid w:val="009412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Accent3">
    <w:name w:val="Grid Table 6 Colorful Accent 3"/>
    <w:basedOn w:val="TableNormal"/>
    <w:uiPriority w:val="51"/>
    <w:rsid w:val="00174412"/>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Header">
    <w:name w:val="header"/>
    <w:basedOn w:val="Normal"/>
    <w:link w:val="HeaderChar"/>
    <w:uiPriority w:val="99"/>
    <w:unhideWhenUsed/>
    <w:rsid w:val="00C124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241F"/>
  </w:style>
  <w:style w:type="paragraph" w:styleId="Footer">
    <w:name w:val="footer"/>
    <w:basedOn w:val="Normal"/>
    <w:link w:val="FooterChar"/>
    <w:uiPriority w:val="99"/>
    <w:unhideWhenUsed/>
    <w:rsid w:val="00C124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241F"/>
  </w:style>
  <w:style w:type="paragraph" w:styleId="NormalWeb">
    <w:name w:val="Normal (Web)"/>
    <w:basedOn w:val="Normal"/>
    <w:uiPriority w:val="99"/>
    <w:semiHidden/>
    <w:unhideWhenUsed/>
    <w:rsid w:val="00413F5C"/>
    <w:rPr>
      <w:rFonts w:ascii="Times New Roman" w:hAnsi="Times New Roman" w:cs="Times New Roman"/>
      <w:sz w:val="24"/>
      <w:szCs w:val="24"/>
    </w:rPr>
  </w:style>
  <w:style w:type="paragraph" w:styleId="TOCHeading">
    <w:name w:val="TOC Heading"/>
    <w:basedOn w:val="Heading1"/>
    <w:next w:val="Normal"/>
    <w:uiPriority w:val="39"/>
    <w:unhideWhenUsed/>
    <w:qFormat/>
    <w:rsid w:val="00D3303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D33030"/>
    <w:pPr>
      <w:spacing w:after="100"/>
    </w:pPr>
  </w:style>
  <w:style w:type="paragraph" w:styleId="TOC2">
    <w:name w:val="toc 2"/>
    <w:basedOn w:val="Normal"/>
    <w:next w:val="Normal"/>
    <w:autoRedefine/>
    <w:uiPriority w:val="39"/>
    <w:unhideWhenUsed/>
    <w:rsid w:val="00D33030"/>
    <w:pPr>
      <w:spacing w:after="100"/>
      <w:ind w:left="220"/>
    </w:pPr>
  </w:style>
  <w:style w:type="paragraph" w:styleId="TOC3">
    <w:name w:val="toc 3"/>
    <w:basedOn w:val="Normal"/>
    <w:next w:val="Normal"/>
    <w:autoRedefine/>
    <w:uiPriority w:val="39"/>
    <w:unhideWhenUsed/>
    <w:rsid w:val="00D33030"/>
    <w:pPr>
      <w:spacing w:after="100"/>
      <w:ind w:left="440"/>
    </w:pPr>
  </w:style>
  <w:style w:type="paragraph" w:styleId="NoSpacing">
    <w:name w:val="No Spacing"/>
    <w:uiPriority w:val="1"/>
    <w:qFormat/>
    <w:rsid w:val="00FC3B3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hgplc.com/en/investors/annual-report?utm_source=chatgpt.com" TargetMode="External"/><Relationship Id="rId18" Type="http://schemas.openxmlformats.org/officeDocument/2006/relationships/hyperlink" Target="https://www.ihgplc.com/~/media/Files/I/Ihg-Plc/investors/annual-report/annual-report-2022.pdf?utm_source=chatgpt.com" TargetMode="External"/><Relationship Id="rId26" Type="http://schemas.openxmlformats.org/officeDocument/2006/relationships/hyperlink" Target="https://www.ihgplc.com/en/news-and-media/news-releases/2023/full-year-results-for-the-year-to-31-dec-2022?utm_source=chatgpt.com" TargetMode="External"/><Relationship Id="rId3" Type="http://schemas.openxmlformats.org/officeDocument/2006/relationships/styles" Target="styles.xml"/><Relationship Id="rId21" Type="http://schemas.openxmlformats.org/officeDocument/2006/relationships/hyperlink" Target="https://www.ihgplc.com/en/investors/annual-report?utm_source=chatgpt.com"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ihgplc.com/en/investors/2024-annual-report?utm_source=chatgpt.com" TargetMode="External"/><Relationship Id="rId17" Type="http://schemas.openxmlformats.org/officeDocument/2006/relationships/hyperlink" Target="https://www.ihgplc.com/en/investors/annual-report?utm_source=chatgpt.com" TargetMode="External"/><Relationship Id="rId25" Type="http://schemas.openxmlformats.org/officeDocument/2006/relationships/hyperlink" Target="https://www.ihgplc.com/en/investors/2021-annual-report?utm_source=chatgpt.com" TargetMode="External"/><Relationship Id="rId33" Type="http://schemas.openxmlformats.org/officeDocument/2006/relationships/hyperlink" Target="https://www.ihgplc.com/en/investors/annual-report?utm_source=chatgpt.com" TargetMode="External"/><Relationship Id="rId2" Type="http://schemas.openxmlformats.org/officeDocument/2006/relationships/numbering" Target="numbering.xml"/><Relationship Id="rId16" Type="http://schemas.openxmlformats.org/officeDocument/2006/relationships/hyperlink" Target="https://pages.stern.nyu.edu/~adamodar/New_Home_Page/datafile/wcdata.html?utm_source=chatgpt.com" TargetMode="External"/><Relationship Id="rId20" Type="http://schemas.openxmlformats.org/officeDocument/2006/relationships/hyperlink" Target="https://www.ihgplc.com/en/investors/2024-annual-report?utm_source=chatgpt.com" TargetMode="External"/><Relationship Id="rId29" Type="http://schemas.openxmlformats.org/officeDocument/2006/relationships/hyperlink" Target="https://www.ihgplc.com/en/news-and-media/news-releases/2025/full-year-results-for-the-year-to-31-dec-2024?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hgplc.com/en/investors/annual-report?utm_source=chatgpt.com" TargetMode="External"/><Relationship Id="rId24" Type="http://schemas.openxmlformats.org/officeDocument/2006/relationships/hyperlink" Target="https://www.ihgplc.com/en/news-and-media/news-releases/2022/preliminary-results-for-the-year-to-31-december-2021?utm_source=chatgpt.com" TargetMode="External"/><Relationship Id="rId32" Type="http://schemas.openxmlformats.org/officeDocument/2006/relationships/hyperlink" Target="https://www.ihgplc.com/~/media/Files/I/Ihg-Plc/investors/annual-report/2025/ihg-ar25-interactive.pdf?utm_source=chatgpt.com" TargetMode="External"/><Relationship Id="rId5" Type="http://schemas.openxmlformats.org/officeDocument/2006/relationships/webSettings" Target="webSettings.xml"/><Relationship Id="rId15" Type="http://schemas.openxmlformats.org/officeDocument/2006/relationships/hyperlink" Target="https://www.zacks.com/stocks/industry-rank/industry/Hotels-and-Motels-81?utm_source=chatgpt.com" TargetMode="External"/><Relationship Id="rId23" Type="http://schemas.openxmlformats.org/officeDocument/2006/relationships/hyperlink" Target="https://www.ihgplc.com/en/news-and-media/news-releases/2025/full-year-results-for-the-year-to-31-dec-2024?utm_source=chatgpt.com" TargetMode="External"/><Relationship Id="rId28" Type="http://schemas.openxmlformats.org/officeDocument/2006/relationships/hyperlink" Target="https://www.ihgplc.com/~/media/Files/I/Ihg-Plc/investors/annual-report/2023/annual-report-2023.pdf?utm_source=chatgpt.com" TargetMode="External"/><Relationship Id="rId10" Type="http://schemas.openxmlformats.org/officeDocument/2006/relationships/hyperlink" Target="https://www.ihgplc.com/~/media/Files/I/Ihg-Plc/investors/annual-report/annual-report-2022.pdf?utm_source=chatgpt.com" TargetMode="External"/><Relationship Id="rId19" Type="http://schemas.openxmlformats.org/officeDocument/2006/relationships/hyperlink" Target="https://www.ihgplc.com/~/media/Files/I/Ihg-Plc/investors/annual-report/2023/downloads/group-financial-statements-ar2023.pdf?utm_source=chatgpt.com" TargetMode="External"/><Relationship Id="rId31" Type="http://schemas.openxmlformats.org/officeDocument/2006/relationships/hyperlink" Target="https://www.ihgplc.com/en/news-and-media/news-releases/2026/full-year-results-for-the-year-to-31-dec-2025?utm_source=chatgpt.com" TargetMode="External"/><Relationship Id="rId4" Type="http://schemas.openxmlformats.org/officeDocument/2006/relationships/settings" Target="settings.xml"/><Relationship Id="rId9" Type="http://schemas.openxmlformats.org/officeDocument/2006/relationships/hyperlink" Target="https://www.ihgplc.com/en/investors/2021-annual-report?utm_source=chatgpt.com" TargetMode="External"/><Relationship Id="rId14" Type="http://schemas.openxmlformats.org/officeDocument/2006/relationships/hyperlink" Target="https://www.ihgplc.com/en/news-and-media/news-releases/2026/full-year-results-for-the-year-to-31-dec-2025?utm_source=chatgpt.com" TargetMode="External"/><Relationship Id="rId22" Type="http://schemas.openxmlformats.org/officeDocument/2006/relationships/hyperlink" Target="https://www.ihgplc.com/en/news-and-media/news-releases/2026/full-year-results-for-the-year-to-31-dec-2025?utm_source=chatgpt.com" TargetMode="External"/><Relationship Id="rId27" Type="http://schemas.openxmlformats.org/officeDocument/2006/relationships/hyperlink" Target="https://www.ihgplc.com/en/news-and-media/news-releases/2024/full-year-results-for-the-year-to-31-dec-2023?utm_source=chatgpt.com" TargetMode="External"/><Relationship Id="rId30" Type="http://schemas.openxmlformats.org/officeDocument/2006/relationships/hyperlink" Target="https://www.ihgplc.com/en/investors/2024-annual-report?utm_source=chatgpt.com"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85E844-BA4A-462A-B738-0ED4D92CB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2072</TotalTime>
  <Pages>26</Pages>
  <Words>7394</Words>
  <Characters>42151</Characters>
  <Application>Microsoft Office Word</Application>
  <DocSecurity>0</DocSecurity>
  <Lines>351</Lines>
  <Paragraphs>98</Paragraphs>
  <ScaleCrop>false</ScaleCrop>
  <Company/>
  <LinksUpToDate>false</LinksUpToDate>
  <CharactersWithSpaces>49447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RUPANSHI SETALVAD</dc:creator>
  <cp:keywords/>
  <dc:description/>
  <cp:lastModifiedBy>RUPANSHI SETALVAD</cp:lastModifiedBy>
  <cp:revision>124</cp:revision>
  <dcterms:created xsi:type="dcterms:W3CDTF">2026-08-10T11:55:00Z</dcterms:created>
  <dcterms:modified xsi:type="dcterms:W3CDTF">2026-08-12T22:43:00Z</dcterms:modified>
</cp:coreProperties>
</file>