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DD0FB" w14:textId="77777777" w:rsidR="008A15BE" w:rsidRPr="00770A2C" w:rsidRDefault="008A15BE" w:rsidP="008A15BE">
      <w:pPr>
        <w:spacing w:before="240" w:after="120" w:line="276" w:lineRule="auto"/>
        <w:rPr>
          <w:rFonts w:cs="Arial"/>
          <w:b/>
          <w:bCs/>
          <w:sz w:val="36"/>
          <w:szCs w:val="36"/>
        </w:rPr>
      </w:pPr>
      <w:r w:rsidRPr="00770A2C">
        <w:rPr>
          <w:rFonts w:cs="Arial"/>
          <w:noProof/>
        </w:rPr>
        <w:drawing>
          <wp:inline distT="0" distB="0" distL="0" distR="0" wp14:anchorId="405ED293" wp14:editId="10C117FD">
            <wp:extent cx="2362200" cy="944881"/>
            <wp:effectExtent l="0" t="0" r="0" b="7620"/>
            <wp:docPr id="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82223" name="Picture 1" descr="A close-up of black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65840" cy="946337"/>
                    </a:xfrm>
                    <a:prstGeom prst="rect">
                      <a:avLst/>
                    </a:prstGeom>
                    <a:noFill/>
                    <a:ln>
                      <a:noFill/>
                    </a:ln>
                  </pic:spPr>
                </pic:pic>
              </a:graphicData>
            </a:graphic>
          </wp:inline>
        </w:drawing>
      </w:r>
      <w:r w:rsidRPr="00770A2C">
        <w:rPr>
          <w:rFonts w:cs="Arial"/>
          <w:b/>
          <w:bCs/>
          <w:sz w:val="36"/>
          <w:szCs w:val="36"/>
        </w:rPr>
        <w:t xml:space="preserve"> </w:t>
      </w:r>
    </w:p>
    <w:p w14:paraId="148917FD" w14:textId="77777777" w:rsidR="00D94F0B" w:rsidRPr="00770A2C" w:rsidRDefault="00D94F0B" w:rsidP="00D94F0B">
      <w:pPr>
        <w:spacing w:before="240" w:after="120" w:line="240" w:lineRule="auto"/>
        <w:jc w:val="center"/>
        <w:rPr>
          <w:rFonts w:cs="Arial"/>
          <w:b/>
          <w:bCs/>
          <w:sz w:val="34"/>
          <w:szCs w:val="34"/>
        </w:rPr>
      </w:pPr>
    </w:p>
    <w:p w14:paraId="00256BBA" w14:textId="77777777" w:rsidR="00D94F0B" w:rsidRPr="00770A2C" w:rsidRDefault="00D94F0B" w:rsidP="00D94F0B">
      <w:pPr>
        <w:spacing w:before="240" w:after="120" w:line="240" w:lineRule="auto"/>
        <w:jc w:val="center"/>
        <w:rPr>
          <w:rFonts w:cs="Arial"/>
          <w:b/>
          <w:bCs/>
          <w:sz w:val="34"/>
          <w:szCs w:val="34"/>
        </w:rPr>
      </w:pPr>
    </w:p>
    <w:p w14:paraId="015060DD" w14:textId="1A95BF22" w:rsidR="008A15BE" w:rsidRPr="00770A2C" w:rsidRDefault="008A15BE" w:rsidP="00626B84">
      <w:pPr>
        <w:spacing w:before="120" w:after="120"/>
        <w:jc w:val="center"/>
        <w:rPr>
          <w:rFonts w:cs="Arial"/>
          <w:sz w:val="30"/>
          <w:szCs w:val="30"/>
        </w:rPr>
      </w:pPr>
      <w:bookmarkStart w:id="0" w:name="_Hlk214561857"/>
      <w:r w:rsidRPr="00770A2C">
        <w:rPr>
          <w:rFonts w:cs="Arial"/>
          <w:b/>
          <w:bCs/>
          <w:sz w:val="30"/>
          <w:szCs w:val="30"/>
        </w:rPr>
        <w:t>Program:</w:t>
      </w:r>
      <w:r w:rsidRPr="00770A2C">
        <w:rPr>
          <w:rFonts w:cs="Arial"/>
          <w:bCs/>
          <w:sz w:val="30"/>
          <w:szCs w:val="30"/>
        </w:rPr>
        <w:t xml:space="preserve"> </w:t>
      </w:r>
      <w:r w:rsidR="00EF10E3" w:rsidRPr="00EF10E3">
        <w:rPr>
          <w:rFonts w:cs="Arial"/>
          <w:bCs/>
          <w:sz w:val="30"/>
          <w:szCs w:val="30"/>
        </w:rPr>
        <w:t>Certificate of Higher Education Skills for the Workplace (Health and Social Care)</w:t>
      </w:r>
    </w:p>
    <w:p w14:paraId="03A09EA8" w14:textId="780223B5" w:rsidR="008A15BE" w:rsidRPr="00770A2C" w:rsidRDefault="008A15BE" w:rsidP="00626B84">
      <w:pPr>
        <w:spacing w:before="120" w:after="120"/>
        <w:jc w:val="center"/>
        <w:rPr>
          <w:rFonts w:cs="Arial"/>
          <w:bCs/>
          <w:sz w:val="30"/>
          <w:szCs w:val="30"/>
        </w:rPr>
      </w:pPr>
      <w:r w:rsidRPr="00770A2C">
        <w:rPr>
          <w:rFonts w:cs="Arial"/>
          <w:b/>
          <w:bCs/>
          <w:sz w:val="30"/>
          <w:szCs w:val="30"/>
        </w:rPr>
        <w:t>Module:</w:t>
      </w:r>
      <w:r w:rsidRPr="00770A2C">
        <w:rPr>
          <w:rFonts w:cs="Arial"/>
          <w:sz w:val="30"/>
          <w:szCs w:val="30"/>
        </w:rPr>
        <w:t xml:space="preserve"> </w:t>
      </w:r>
      <w:r w:rsidR="00EF10E3" w:rsidRPr="00EF10E3">
        <w:rPr>
          <w:rFonts w:cs="Arial"/>
          <w:bCs/>
          <w:sz w:val="30"/>
          <w:szCs w:val="30"/>
        </w:rPr>
        <w:t xml:space="preserve">Professional Development within Health and Social Care </w:t>
      </w:r>
      <w:r w:rsidRPr="00770A2C">
        <w:rPr>
          <w:rFonts w:cs="Arial"/>
          <w:sz w:val="30"/>
          <w:szCs w:val="30"/>
        </w:rPr>
        <w:t>(LCHS40</w:t>
      </w:r>
      <w:r w:rsidR="00EF10E3">
        <w:rPr>
          <w:rFonts w:cs="Arial"/>
          <w:sz w:val="30"/>
          <w:szCs w:val="30"/>
        </w:rPr>
        <w:t>09</w:t>
      </w:r>
      <w:r w:rsidRPr="00770A2C">
        <w:rPr>
          <w:rFonts w:cs="Arial"/>
          <w:sz w:val="30"/>
          <w:szCs w:val="30"/>
        </w:rPr>
        <w:t>)</w:t>
      </w:r>
    </w:p>
    <w:p w14:paraId="43F3587E" w14:textId="51A29EED" w:rsidR="008A15BE" w:rsidRPr="00770A2C" w:rsidRDefault="008A15BE" w:rsidP="00626B84">
      <w:pPr>
        <w:spacing w:before="120" w:after="120"/>
        <w:jc w:val="center"/>
        <w:rPr>
          <w:rFonts w:cs="Arial"/>
          <w:sz w:val="30"/>
          <w:szCs w:val="30"/>
        </w:rPr>
      </w:pPr>
      <w:r w:rsidRPr="00770A2C">
        <w:rPr>
          <w:rFonts w:cs="Arial"/>
          <w:b/>
          <w:bCs/>
          <w:sz w:val="30"/>
          <w:szCs w:val="30"/>
        </w:rPr>
        <w:t>Lecturer:</w:t>
      </w:r>
      <w:r w:rsidRPr="00770A2C">
        <w:rPr>
          <w:rFonts w:cs="Arial"/>
          <w:b/>
          <w:sz w:val="30"/>
          <w:szCs w:val="30"/>
        </w:rPr>
        <w:t xml:space="preserve"> </w:t>
      </w:r>
      <w:r w:rsidR="0019267A" w:rsidRPr="0019267A">
        <w:rPr>
          <w:rFonts w:cs="Arial"/>
          <w:sz w:val="30"/>
          <w:szCs w:val="30"/>
        </w:rPr>
        <w:t>Olubukola Adegbite</w:t>
      </w:r>
    </w:p>
    <w:p w14:paraId="6996A75B" w14:textId="2F04BCAA" w:rsidR="008A15BE" w:rsidRPr="00770A2C" w:rsidRDefault="008A15BE" w:rsidP="00626B84">
      <w:pPr>
        <w:spacing w:before="120" w:after="120"/>
        <w:jc w:val="center"/>
        <w:rPr>
          <w:rFonts w:cs="Arial"/>
          <w:bCs/>
          <w:sz w:val="30"/>
          <w:szCs w:val="30"/>
        </w:rPr>
      </w:pPr>
      <w:r w:rsidRPr="00770A2C">
        <w:rPr>
          <w:rFonts w:cs="Arial"/>
          <w:b/>
          <w:bCs/>
          <w:sz w:val="30"/>
          <w:szCs w:val="30"/>
        </w:rPr>
        <w:t>Assignment Title:</w:t>
      </w:r>
      <w:r w:rsidRPr="00770A2C">
        <w:rPr>
          <w:rFonts w:cs="Arial"/>
          <w:sz w:val="30"/>
          <w:szCs w:val="30"/>
        </w:rPr>
        <w:t xml:space="preserve"> </w:t>
      </w:r>
      <w:r w:rsidR="00AE03A1" w:rsidRPr="00AE03A1">
        <w:rPr>
          <w:rFonts w:cs="Arial"/>
          <w:bCs/>
          <w:sz w:val="30"/>
          <w:szCs w:val="30"/>
        </w:rPr>
        <w:t>Personal Development Portfolio</w:t>
      </w:r>
    </w:p>
    <w:bookmarkEnd w:id="0"/>
    <w:p w14:paraId="6AC6CB24" w14:textId="77777777" w:rsidR="00D94F0B" w:rsidRPr="00770A2C" w:rsidRDefault="00D94F0B" w:rsidP="00626B84">
      <w:pPr>
        <w:spacing w:before="120" w:after="120"/>
        <w:jc w:val="center"/>
        <w:rPr>
          <w:rFonts w:cs="Arial"/>
          <w:bCs/>
          <w:sz w:val="30"/>
          <w:szCs w:val="30"/>
        </w:rPr>
      </w:pPr>
      <w:r w:rsidRPr="00770A2C">
        <w:rPr>
          <w:rFonts w:cs="Arial"/>
          <w:b/>
          <w:bCs/>
          <w:sz w:val="30"/>
          <w:szCs w:val="30"/>
        </w:rPr>
        <w:t xml:space="preserve">Student Name: </w:t>
      </w:r>
      <w:proofErr w:type="spellStart"/>
      <w:r w:rsidRPr="00770A2C">
        <w:rPr>
          <w:rFonts w:cs="Arial"/>
          <w:bCs/>
          <w:sz w:val="30"/>
          <w:szCs w:val="30"/>
        </w:rPr>
        <w:t>Sumeyah</w:t>
      </w:r>
      <w:proofErr w:type="spellEnd"/>
      <w:r w:rsidRPr="00770A2C">
        <w:rPr>
          <w:rFonts w:cs="Arial"/>
          <w:bCs/>
          <w:sz w:val="30"/>
          <w:szCs w:val="30"/>
        </w:rPr>
        <w:t xml:space="preserve"> Patel</w:t>
      </w:r>
    </w:p>
    <w:p w14:paraId="742C83BC" w14:textId="434A02E6" w:rsidR="00D94F0B" w:rsidRPr="00770A2C" w:rsidRDefault="00D94F0B" w:rsidP="00626B84">
      <w:pPr>
        <w:spacing w:before="120" w:after="120"/>
        <w:jc w:val="center"/>
        <w:rPr>
          <w:rFonts w:cs="Arial"/>
          <w:sz w:val="30"/>
          <w:szCs w:val="30"/>
          <w:shd w:val="clear" w:color="auto" w:fill="FFFFFF"/>
        </w:rPr>
      </w:pPr>
      <w:r w:rsidRPr="00770A2C">
        <w:rPr>
          <w:rFonts w:cs="Arial"/>
          <w:b/>
          <w:bCs/>
          <w:sz w:val="30"/>
          <w:szCs w:val="30"/>
        </w:rPr>
        <w:t xml:space="preserve">Student ID: </w:t>
      </w:r>
      <w:r w:rsidRPr="00770A2C">
        <w:rPr>
          <w:rFonts w:cs="Arial"/>
          <w:sz w:val="30"/>
          <w:szCs w:val="30"/>
        </w:rPr>
        <w:t>2423720</w:t>
      </w:r>
    </w:p>
    <w:p w14:paraId="1E095A5D" w14:textId="7389B0AC" w:rsidR="008A15BE" w:rsidRPr="00770A2C" w:rsidRDefault="008A15BE" w:rsidP="00626B84">
      <w:pPr>
        <w:spacing w:before="120" w:after="120"/>
        <w:jc w:val="center"/>
        <w:rPr>
          <w:rFonts w:cs="Arial"/>
          <w:b/>
          <w:bCs/>
          <w:sz w:val="30"/>
          <w:szCs w:val="30"/>
        </w:rPr>
      </w:pPr>
      <w:r w:rsidRPr="00770A2C">
        <w:rPr>
          <w:rFonts w:cs="Arial"/>
          <w:b/>
          <w:bCs/>
          <w:sz w:val="30"/>
          <w:szCs w:val="30"/>
        </w:rPr>
        <w:t xml:space="preserve">Word count: </w:t>
      </w:r>
      <w:r w:rsidR="00626B84">
        <w:rPr>
          <w:rFonts w:cs="Arial"/>
          <w:sz w:val="30"/>
          <w:szCs w:val="30"/>
        </w:rPr>
        <w:t>21</w:t>
      </w:r>
      <w:r w:rsidR="009F362C">
        <w:rPr>
          <w:rFonts w:cs="Arial"/>
          <w:sz w:val="30"/>
          <w:szCs w:val="30"/>
        </w:rPr>
        <w:t>77</w:t>
      </w:r>
    </w:p>
    <w:p w14:paraId="67DC6897" w14:textId="3522C8D5" w:rsidR="008A15BE" w:rsidRPr="00770A2C" w:rsidRDefault="008A15BE" w:rsidP="00626B84">
      <w:pPr>
        <w:spacing w:before="120" w:after="120"/>
        <w:jc w:val="center"/>
        <w:rPr>
          <w:rFonts w:cs="Arial"/>
          <w:sz w:val="30"/>
          <w:szCs w:val="30"/>
        </w:rPr>
      </w:pPr>
      <w:r w:rsidRPr="00770A2C">
        <w:rPr>
          <w:rFonts w:cs="Arial"/>
          <w:b/>
          <w:bCs/>
          <w:sz w:val="30"/>
          <w:szCs w:val="30"/>
        </w:rPr>
        <w:t>Date of Submission:</w:t>
      </w:r>
      <w:r w:rsidRPr="00770A2C">
        <w:rPr>
          <w:rFonts w:cs="Arial"/>
          <w:sz w:val="30"/>
          <w:szCs w:val="30"/>
        </w:rPr>
        <w:t xml:space="preserve"> </w:t>
      </w:r>
      <w:r w:rsidR="00AE03A1">
        <w:rPr>
          <w:rFonts w:cs="Arial"/>
          <w:sz w:val="30"/>
          <w:szCs w:val="30"/>
        </w:rPr>
        <w:t>21</w:t>
      </w:r>
      <w:r w:rsidRPr="00770A2C">
        <w:rPr>
          <w:rFonts w:cs="Arial"/>
          <w:sz w:val="30"/>
          <w:szCs w:val="30"/>
        </w:rPr>
        <w:t xml:space="preserve"> November 2025</w:t>
      </w:r>
    </w:p>
    <w:p w14:paraId="5F016D35" w14:textId="0DA55BA6" w:rsidR="0024260F" w:rsidRPr="00770A2C" w:rsidRDefault="0024260F" w:rsidP="0024260F">
      <w:pPr>
        <w:rPr>
          <w:rFonts w:cs="Arial"/>
          <w:sz w:val="22"/>
          <w:szCs w:val="22"/>
        </w:rPr>
      </w:pPr>
    </w:p>
    <w:p w14:paraId="0AEF39EA" w14:textId="77777777" w:rsidR="0024260F" w:rsidRPr="00770A2C" w:rsidRDefault="0024260F" w:rsidP="00806131">
      <w:pPr>
        <w:rPr>
          <w:rFonts w:cs="Arial"/>
        </w:rPr>
      </w:pPr>
    </w:p>
    <w:p w14:paraId="2186CC1F" w14:textId="77777777" w:rsidR="003A31A8" w:rsidRPr="00770A2C" w:rsidRDefault="0024260F">
      <w:pPr>
        <w:rPr>
          <w:rFonts w:eastAsiaTheme="majorEastAsia" w:cs="Arial"/>
          <w:b/>
          <w:color w:val="2F5496" w:themeColor="accent1" w:themeShade="BF"/>
          <w:sz w:val="22"/>
          <w:szCs w:val="22"/>
        </w:rPr>
      </w:pPr>
      <w:r w:rsidRPr="00770A2C">
        <w:rPr>
          <w:rFonts w:cs="Arial"/>
          <w:sz w:val="22"/>
          <w:szCs w:val="22"/>
        </w:rPr>
        <w:br w:type="page"/>
      </w:r>
    </w:p>
    <w:sdt>
      <w:sdtPr>
        <w:rPr>
          <w:rFonts w:asciiTheme="minorHAnsi" w:eastAsiaTheme="minorHAnsi" w:hAnsiTheme="minorHAnsi" w:cstheme="minorBidi"/>
          <w:color w:val="auto"/>
          <w:kern w:val="2"/>
          <w:sz w:val="24"/>
          <w:szCs w:val="24"/>
          <w14:ligatures w14:val="standardContextual"/>
        </w:rPr>
        <w:id w:val="772288474"/>
        <w:docPartObj>
          <w:docPartGallery w:val="Table of Contents"/>
          <w:docPartUnique/>
        </w:docPartObj>
      </w:sdtPr>
      <w:sdtEndPr>
        <w:rPr>
          <w:rFonts w:ascii="Arial" w:hAnsi="Arial"/>
          <w:b/>
          <w:bCs/>
          <w:noProof/>
        </w:rPr>
      </w:sdtEndPr>
      <w:sdtContent>
        <w:p w14:paraId="77C126F1" w14:textId="55A82E1A" w:rsidR="00EF10E3" w:rsidRPr="00EF10E3" w:rsidRDefault="00EF10E3" w:rsidP="00EF10E3">
          <w:pPr>
            <w:pStyle w:val="TOCHeading"/>
            <w:numPr>
              <w:ilvl w:val="0"/>
              <w:numId w:val="0"/>
            </w:numPr>
            <w:spacing w:line="360" w:lineRule="auto"/>
            <w:ind w:left="432" w:hanging="432"/>
            <w:rPr>
              <w:rFonts w:ascii="Arial" w:hAnsi="Arial" w:cs="Arial"/>
              <w:b/>
              <w:bCs/>
              <w:color w:val="000000" w:themeColor="text1"/>
            </w:rPr>
          </w:pPr>
          <w:r w:rsidRPr="00EF10E3">
            <w:rPr>
              <w:rFonts w:ascii="Arial" w:hAnsi="Arial" w:cs="Arial"/>
              <w:b/>
              <w:bCs/>
              <w:color w:val="000000" w:themeColor="text1"/>
            </w:rPr>
            <w:t>Contents</w:t>
          </w:r>
        </w:p>
        <w:p w14:paraId="1AFA6230" w14:textId="5EA9F14A" w:rsidR="00626B84" w:rsidRDefault="00EF10E3">
          <w:pPr>
            <w:pStyle w:val="TOC1"/>
            <w:tabs>
              <w:tab w:val="right" w:leader="dot" w:pos="9016"/>
            </w:tabs>
            <w:rPr>
              <w:rFonts w:asciiTheme="minorHAnsi" w:eastAsiaTheme="minorEastAsia" w:hAnsiTheme="minorHAnsi"/>
              <w:noProof/>
              <w:szCs w:val="30"/>
              <w:lang w:eastAsia="zh-CN" w:bidi="bn-IN"/>
            </w:rPr>
          </w:pPr>
          <w:r>
            <w:fldChar w:fldCharType="begin"/>
          </w:r>
          <w:r>
            <w:instrText xml:space="preserve"> TOC \o "1-3" \h \z \u </w:instrText>
          </w:r>
          <w:r>
            <w:fldChar w:fldCharType="separate"/>
          </w:r>
          <w:hyperlink w:anchor="_Toc214613886" w:history="1">
            <w:r w:rsidR="00626B84" w:rsidRPr="00645603">
              <w:rPr>
                <w:rStyle w:val="Hyperlink"/>
                <w:noProof/>
              </w:rPr>
              <w:t>Introduction</w:t>
            </w:r>
            <w:r w:rsidR="00626B84">
              <w:rPr>
                <w:noProof/>
                <w:webHidden/>
              </w:rPr>
              <w:tab/>
            </w:r>
            <w:r w:rsidR="00626B84">
              <w:rPr>
                <w:noProof/>
                <w:webHidden/>
              </w:rPr>
              <w:fldChar w:fldCharType="begin"/>
            </w:r>
            <w:r w:rsidR="00626B84">
              <w:rPr>
                <w:noProof/>
                <w:webHidden/>
              </w:rPr>
              <w:instrText xml:space="preserve"> PAGEREF _Toc214613886 \h </w:instrText>
            </w:r>
            <w:r w:rsidR="00626B84">
              <w:rPr>
                <w:noProof/>
                <w:webHidden/>
              </w:rPr>
            </w:r>
            <w:r w:rsidR="00626B84">
              <w:rPr>
                <w:noProof/>
                <w:webHidden/>
              </w:rPr>
              <w:fldChar w:fldCharType="separate"/>
            </w:r>
            <w:r w:rsidR="000543BE">
              <w:rPr>
                <w:noProof/>
                <w:webHidden/>
              </w:rPr>
              <w:t>3</w:t>
            </w:r>
            <w:r w:rsidR="00626B84">
              <w:rPr>
                <w:noProof/>
                <w:webHidden/>
              </w:rPr>
              <w:fldChar w:fldCharType="end"/>
            </w:r>
          </w:hyperlink>
        </w:p>
        <w:p w14:paraId="12957E03" w14:textId="78CA28D2" w:rsidR="00626B84" w:rsidRDefault="00626B84">
          <w:pPr>
            <w:pStyle w:val="TOC1"/>
            <w:tabs>
              <w:tab w:val="left" w:pos="480"/>
              <w:tab w:val="right" w:leader="dot" w:pos="9016"/>
            </w:tabs>
            <w:rPr>
              <w:rFonts w:asciiTheme="minorHAnsi" w:eastAsiaTheme="minorEastAsia" w:hAnsiTheme="minorHAnsi"/>
              <w:noProof/>
              <w:szCs w:val="30"/>
              <w:lang w:eastAsia="zh-CN" w:bidi="bn-IN"/>
            </w:rPr>
          </w:pPr>
          <w:hyperlink w:anchor="_Toc214613887" w:history="1">
            <w:r w:rsidRPr="00645603">
              <w:rPr>
                <w:rStyle w:val="Hyperlink"/>
                <w:noProof/>
              </w:rPr>
              <w:t>1</w:t>
            </w:r>
            <w:r>
              <w:rPr>
                <w:rFonts w:asciiTheme="minorHAnsi" w:eastAsiaTheme="minorEastAsia" w:hAnsiTheme="minorHAnsi"/>
                <w:noProof/>
                <w:szCs w:val="30"/>
                <w:lang w:eastAsia="zh-CN" w:bidi="bn-IN"/>
              </w:rPr>
              <w:tab/>
            </w:r>
            <w:r w:rsidRPr="00645603">
              <w:rPr>
                <w:rStyle w:val="Hyperlink"/>
                <w:noProof/>
              </w:rPr>
              <w:t xml:space="preserve">Job Role Selection: </w:t>
            </w:r>
            <w:r w:rsidRPr="00645603">
              <w:rPr>
                <w:rStyle w:val="Hyperlink"/>
                <w:noProof/>
                <w:lang w:val="en-GB"/>
              </w:rPr>
              <w:t>Health Care Assistant (HCA)</w:t>
            </w:r>
            <w:r>
              <w:rPr>
                <w:noProof/>
                <w:webHidden/>
              </w:rPr>
              <w:tab/>
            </w:r>
            <w:r>
              <w:rPr>
                <w:noProof/>
                <w:webHidden/>
              </w:rPr>
              <w:fldChar w:fldCharType="begin"/>
            </w:r>
            <w:r>
              <w:rPr>
                <w:noProof/>
                <w:webHidden/>
              </w:rPr>
              <w:instrText xml:space="preserve"> PAGEREF _Toc214613887 \h </w:instrText>
            </w:r>
            <w:r>
              <w:rPr>
                <w:noProof/>
                <w:webHidden/>
              </w:rPr>
            </w:r>
            <w:r>
              <w:rPr>
                <w:noProof/>
                <w:webHidden/>
              </w:rPr>
              <w:fldChar w:fldCharType="separate"/>
            </w:r>
            <w:r w:rsidR="000543BE">
              <w:rPr>
                <w:noProof/>
                <w:webHidden/>
              </w:rPr>
              <w:t>3</w:t>
            </w:r>
            <w:r>
              <w:rPr>
                <w:noProof/>
                <w:webHidden/>
              </w:rPr>
              <w:fldChar w:fldCharType="end"/>
            </w:r>
          </w:hyperlink>
        </w:p>
        <w:p w14:paraId="0C0FFC3B" w14:textId="66A74F13" w:rsidR="00626B84" w:rsidRDefault="00626B84">
          <w:pPr>
            <w:pStyle w:val="TOC2"/>
            <w:tabs>
              <w:tab w:val="left" w:pos="960"/>
              <w:tab w:val="right" w:leader="dot" w:pos="9016"/>
            </w:tabs>
            <w:rPr>
              <w:rFonts w:asciiTheme="minorHAnsi" w:eastAsiaTheme="minorEastAsia" w:hAnsiTheme="minorHAnsi"/>
              <w:noProof/>
              <w:szCs w:val="30"/>
              <w:lang w:eastAsia="zh-CN" w:bidi="bn-IN"/>
            </w:rPr>
          </w:pPr>
          <w:hyperlink w:anchor="_Toc214613888" w:history="1">
            <w:r w:rsidRPr="00645603">
              <w:rPr>
                <w:rStyle w:val="Hyperlink"/>
                <w:noProof/>
              </w:rPr>
              <w:t>1.1</w:t>
            </w:r>
            <w:r>
              <w:rPr>
                <w:rFonts w:asciiTheme="minorHAnsi" w:eastAsiaTheme="minorEastAsia" w:hAnsiTheme="minorHAnsi"/>
                <w:noProof/>
                <w:szCs w:val="30"/>
                <w:lang w:eastAsia="zh-CN" w:bidi="bn-IN"/>
              </w:rPr>
              <w:tab/>
            </w:r>
            <w:r w:rsidRPr="00645603">
              <w:rPr>
                <w:rStyle w:val="Hyperlink"/>
                <w:noProof/>
              </w:rPr>
              <w:t>Key Skills Required for HCA and Evidence of Competence</w:t>
            </w:r>
            <w:r>
              <w:rPr>
                <w:noProof/>
                <w:webHidden/>
              </w:rPr>
              <w:tab/>
            </w:r>
            <w:r>
              <w:rPr>
                <w:noProof/>
                <w:webHidden/>
              </w:rPr>
              <w:fldChar w:fldCharType="begin"/>
            </w:r>
            <w:r>
              <w:rPr>
                <w:noProof/>
                <w:webHidden/>
              </w:rPr>
              <w:instrText xml:space="preserve"> PAGEREF _Toc214613888 \h </w:instrText>
            </w:r>
            <w:r>
              <w:rPr>
                <w:noProof/>
                <w:webHidden/>
              </w:rPr>
            </w:r>
            <w:r>
              <w:rPr>
                <w:noProof/>
                <w:webHidden/>
              </w:rPr>
              <w:fldChar w:fldCharType="separate"/>
            </w:r>
            <w:r w:rsidR="000543BE">
              <w:rPr>
                <w:noProof/>
                <w:webHidden/>
              </w:rPr>
              <w:t>3</w:t>
            </w:r>
            <w:r>
              <w:rPr>
                <w:noProof/>
                <w:webHidden/>
              </w:rPr>
              <w:fldChar w:fldCharType="end"/>
            </w:r>
          </w:hyperlink>
        </w:p>
        <w:p w14:paraId="5C4C0D51" w14:textId="79B3789F" w:rsidR="00626B84" w:rsidRDefault="00626B84">
          <w:pPr>
            <w:pStyle w:val="TOC2"/>
            <w:tabs>
              <w:tab w:val="left" w:pos="960"/>
              <w:tab w:val="right" w:leader="dot" w:pos="9016"/>
            </w:tabs>
            <w:rPr>
              <w:rFonts w:asciiTheme="minorHAnsi" w:eastAsiaTheme="minorEastAsia" w:hAnsiTheme="minorHAnsi"/>
              <w:noProof/>
              <w:szCs w:val="30"/>
              <w:lang w:eastAsia="zh-CN" w:bidi="bn-IN"/>
            </w:rPr>
          </w:pPr>
          <w:hyperlink w:anchor="_Toc214613889" w:history="1">
            <w:r w:rsidRPr="00645603">
              <w:rPr>
                <w:rStyle w:val="Hyperlink"/>
                <w:noProof/>
                <w:lang w:val="en-GB"/>
              </w:rPr>
              <w:t>1.2</w:t>
            </w:r>
            <w:r>
              <w:rPr>
                <w:rFonts w:asciiTheme="minorHAnsi" w:eastAsiaTheme="minorEastAsia" w:hAnsiTheme="minorHAnsi"/>
                <w:noProof/>
                <w:szCs w:val="30"/>
                <w:lang w:eastAsia="zh-CN" w:bidi="bn-IN"/>
              </w:rPr>
              <w:tab/>
            </w:r>
            <w:r w:rsidRPr="00645603">
              <w:rPr>
                <w:rStyle w:val="Hyperlink"/>
                <w:noProof/>
                <w:lang w:val="en-GB"/>
              </w:rPr>
              <w:t>Skill Gaps and Personal Development Plan</w:t>
            </w:r>
            <w:r>
              <w:rPr>
                <w:noProof/>
                <w:webHidden/>
              </w:rPr>
              <w:tab/>
            </w:r>
            <w:r>
              <w:rPr>
                <w:noProof/>
                <w:webHidden/>
              </w:rPr>
              <w:fldChar w:fldCharType="begin"/>
            </w:r>
            <w:r>
              <w:rPr>
                <w:noProof/>
                <w:webHidden/>
              </w:rPr>
              <w:instrText xml:space="preserve"> PAGEREF _Toc214613889 \h </w:instrText>
            </w:r>
            <w:r>
              <w:rPr>
                <w:noProof/>
                <w:webHidden/>
              </w:rPr>
            </w:r>
            <w:r>
              <w:rPr>
                <w:noProof/>
                <w:webHidden/>
              </w:rPr>
              <w:fldChar w:fldCharType="separate"/>
            </w:r>
            <w:r w:rsidR="000543BE">
              <w:rPr>
                <w:noProof/>
                <w:webHidden/>
              </w:rPr>
              <w:t>4</w:t>
            </w:r>
            <w:r>
              <w:rPr>
                <w:noProof/>
                <w:webHidden/>
              </w:rPr>
              <w:fldChar w:fldCharType="end"/>
            </w:r>
          </w:hyperlink>
        </w:p>
        <w:p w14:paraId="6CA7CADE" w14:textId="0AE8B61F" w:rsidR="00626B84" w:rsidRDefault="00626B84">
          <w:pPr>
            <w:pStyle w:val="TOC2"/>
            <w:tabs>
              <w:tab w:val="left" w:pos="960"/>
              <w:tab w:val="right" w:leader="dot" w:pos="9016"/>
            </w:tabs>
            <w:rPr>
              <w:rFonts w:asciiTheme="minorHAnsi" w:eastAsiaTheme="minorEastAsia" w:hAnsiTheme="minorHAnsi"/>
              <w:noProof/>
              <w:szCs w:val="30"/>
              <w:lang w:eastAsia="zh-CN" w:bidi="bn-IN"/>
            </w:rPr>
          </w:pPr>
          <w:hyperlink w:anchor="_Toc214613890" w:history="1">
            <w:r w:rsidRPr="00645603">
              <w:rPr>
                <w:rStyle w:val="Hyperlink"/>
                <w:noProof/>
                <w:lang w:val="en-GB"/>
              </w:rPr>
              <w:t>1.3</w:t>
            </w:r>
            <w:r>
              <w:rPr>
                <w:rFonts w:asciiTheme="minorHAnsi" w:eastAsiaTheme="minorEastAsia" w:hAnsiTheme="minorHAnsi"/>
                <w:noProof/>
                <w:szCs w:val="30"/>
                <w:lang w:eastAsia="zh-CN" w:bidi="bn-IN"/>
              </w:rPr>
              <w:tab/>
            </w:r>
            <w:r w:rsidRPr="00645603">
              <w:rPr>
                <w:rStyle w:val="Hyperlink"/>
                <w:noProof/>
                <w:lang w:val="en-GB"/>
              </w:rPr>
              <w:t>Preparation for Interview Questions and Planned Responses</w:t>
            </w:r>
            <w:r>
              <w:rPr>
                <w:noProof/>
                <w:webHidden/>
              </w:rPr>
              <w:tab/>
            </w:r>
            <w:r>
              <w:rPr>
                <w:noProof/>
                <w:webHidden/>
              </w:rPr>
              <w:fldChar w:fldCharType="begin"/>
            </w:r>
            <w:r>
              <w:rPr>
                <w:noProof/>
                <w:webHidden/>
              </w:rPr>
              <w:instrText xml:space="preserve"> PAGEREF _Toc214613890 \h </w:instrText>
            </w:r>
            <w:r>
              <w:rPr>
                <w:noProof/>
                <w:webHidden/>
              </w:rPr>
            </w:r>
            <w:r>
              <w:rPr>
                <w:noProof/>
                <w:webHidden/>
              </w:rPr>
              <w:fldChar w:fldCharType="separate"/>
            </w:r>
            <w:r w:rsidR="000543BE">
              <w:rPr>
                <w:noProof/>
                <w:webHidden/>
              </w:rPr>
              <w:t>6</w:t>
            </w:r>
            <w:r>
              <w:rPr>
                <w:noProof/>
                <w:webHidden/>
              </w:rPr>
              <w:fldChar w:fldCharType="end"/>
            </w:r>
          </w:hyperlink>
        </w:p>
        <w:p w14:paraId="7C1E9CCF" w14:textId="4F7826BB" w:rsidR="00626B84" w:rsidRDefault="00626B84">
          <w:pPr>
            <w:pStyle w:val="TOC1"/>
            <w:tabs>
              <w:tab w:val="left" w:pos="480"/>
              <w:tab w:val="right" w:leader="dot" w:pos="9016"/>
            </w:tabs>
            <w:rPr>
              <w:rFonts w:asciiTheme="minorHAnsi" w:eastAsiaTheme="minorEastAsia" w:hAnsiTheme="minorHAnsi"/>
              <w:noProof/>
              <w:szCs w:val="30"/>
              <w:lang w:eastAsia="zh-CN" w:bidi="bn-IN"/>
            </w:rPr>
          </w:pPr>
          <w:hyperlink w:anchor="_Toc214613891" w:history="1">
            <w:r w:rsidRPr="00645603">
              <w:rPr>
                <w:rStyle w:val="Hyperlink"/>
                <w:noProof/>
              </w:rPr>
              <w:t>2</w:t>
            </w:r>
            <w:r>
              <w:rPr>
                <w:rFonts w:asciiTheme="minorHAnsi" w:eastAsiaTheme="minorEastAsia" w:hAnsiTheme="minorHAnsi"/>
                <w:noProof/>
                <w:szCs w:val="30"/>
                <w:lang w:eastAsia="zh-CN" w:bidi="bn-IN"/>
              </w:rPr>
              <w:tab/>
            </w:r>
            <w:r w:rsidRPr="00645603">
              <w:rPr>
                <w:rStyle w:val="Hyperlink"/>
                <w:noProof/>
                <w:lang w:eastAsia="zh-CN"/>
              </w:rPr>
              <w:t>Essential Skill for Effective Practice in Health and Social Care</w:t>
            </w:r>
            <w:r>
              <w:rPr>
                <w:noProof/>
                <w:webHidden/>
              </w:rPr>
              <w:tab/>
            </w:r>
            <w:r>
              <w:rPr>
                <w:noProof/>
                <w:webHidden/>
              </w:rPr>
              <w:fldChar w:fldCharType="begin"/>
            </w:r>
            <w:r>
              <w:rPr>
                <w:noProof/>
                <w:webHidden/>
              </w:rPr>
              <w:instrText xml:space="preserve"> PAGEREF _Toc214613891 \h </w:instrText>
            </w:r>
            <w:r>
              <w:rPr>
                <w:noProof/>
                <w:webHidden/>
              </w:rPr>
            </w:r>
            <w:r>
              <w:rPr>
                <w:noProof/>
                <w:webHidden/>
              </w:rPr>
              <w:fldChar w:fldCharType="separate"/>
            </w:r>
            <w:r w:rsidR="000543BE">
              <w:rPr>
                <w:noProof/>
                <w:webHidden/>
              </w:rPr>
              <w:t>6</w:t>
            </w:r>
            <w:r>
              <w:rPr>
                <w:noProof/>
                <w:webHidden/>
              </w:rPr>
              <w:fldChar w:fldCharType="end"/>
            </w:r>
          </w:hyperlink>
        </w:p>
        <w:p w14:paraId="3D729C46" w14:textId="436D555F" w:rsidR="00626B84" w:rsidRDefault="00626B84">
          <w:pPr>
            <w:pStyle w:val="TOC1"/>
            <w:tabs>
              <w:tab w:val="left" w:pos="480"/>
              <w:tab w:val="right" w:leader="dot" w:pos="9016"/>
            </w:tabs>
            <w:rPr>
              <w:rFonts w:asciiTheme="minorHAnsi" w:eastAsiaTheme="minorEastAsia" w:hAnsiTheme="minorHAnsi"/>
              <w:noProof/>
              <w:szCs w:val="30"/>
              <w:lang w:eastAsia="zh-CN" w:bidi="bn-IN"/>
            </w:rPr>
          </w:pPr>
          <w:hyperlink w:anchor="_Toc214613892" w:history="1">
            <w:r w:rsidRPr="00645603">
              <w:rPr>
                <w:rStyle w:val="Hyperlink"/>
                <w:noProof/>
              </w:rPr>
              <w:t>3</w:t>
            </w:r>
            <w:r>
              <w:rPr>
                <w:rFonts w:asciiTheme="minorHAnsi" w:eastAsiaTheme="minorEastAsia" w:hAnsiTheme="minorHAnsi"/>
                <w:noProof/>
                <w:szCs w:val="30"/>
                <w:lang w:eastAsia="zh-CN" w:bidi="bn-IN"/>
              </w:rPr>
              <w:tab/>
            </w:r>
            <w:r w:rsidRPr="00645603">
              <w:rPr>
                <w:rStyle w:val="Hyperlink"/>
                <w:noProof/>
              </w:rPr>
              <w:t>Reflective Practice: Setting the Scene</w:t>
            </w:r>
            <w:r>
              <w:rPr>
                <w:noProof/>
                <w:webHidden/>
              </w:rPr>
              <w:tab/>
            </w:r>
            <w:r>
              <w:rPr>
                <w:noProof/>
                <w:webHidden/>
              </w:rPr>
              <w:fldChar w:fldCharType="begin"/>
            </w:r>
            <w:r>
              <w:rPr>
                <w:noProof/>
                <w:webHidden/>
              </w:rPr>
              <w:instrText xml:space="preserve"> PAGEREF _Toc214613892 \h </w:instrText>
            </w:r>
            <w:r>
              <w:rPr>
                <w:noProof/>
                <w:webHidden/>
              </w:rPr>
            </w:r>
            <w:r>
              <w:rPr>
                <w:noProof/>
                <w:webHidden/>
              </w:rPr>
              <w:fldChar w:fldCharType="separate"/>
            </w:r>
            <w:r w:rsidR="000543BE">
              <w:rPr>
                <w:noProof/>
                <w:webHidden/>
              </w:rPr>
              <w:t>8</w:t>
            </w:r>
            <w:r>
              <w:rPr>
                <w:noProof/>
                <w:webHidden/>
              </w:rPr>
              <w:fldChar w:fldCharType="end"/>
            </w:r>
          </w:hyperlink>
        </w:p>
        <w:p w14:paraId="70E1F2A2" w14:textId="1764DC53" w:rsidR="00626B84" w:rsidRDefault="00626B84">
          <w:pPr>
            <w:pStyle w:val="TOC2"/>
            <w:tabs>
              <w:tab w:val="left" w:pos="960"/>
              <w:tab w:val="right" w:leader="dot" w:pos="9016"/>
            </w:tabs>
            <w:rPr>
              <w:rFonts w:asciiTheme="minorHAnsi" w:eastAsiaTheme="minorEastAsia" w:hAnsiTheme="minorHAnsi"/>
              <w:noProof/>
              <w:szCs w:val="30"/>
              <w:lang w:eastAsia="zh-CN" w:bidi="bn-IN"/>
            </w:rPr>
          </w:pPr>
          <w:hyperlink w:anchor="_Toc214613893" w:history="1">
            <w:r w:rsidRPr="00645603">
              <w:rPr>
                <w:rStyle w:val="Hyperlink"/>
                <w:bCs/>
                <w:noProof/>
                <w:lang w:val="en-GB"/>
              </w:rPr>
              <w:t>3.1</w:t>
            </w:r>
            <w:r>
              <w:rPr>
                <w:rFonts w:asciiTheme="minorHAnsi" w:eastAsiaTheme="minorEastAsia" w:hAnsiTheme="minorHAnsi"/>
                <w:noProof/>
                <w:szCs w:val="30"/>
                <w:lang w:eastAsia="zh-CN" w:bidi="bn-IN"/>
              </w:rPr>
              <w:tab/>
            </w:r>
            <w:r w:rsidRPr="00645603">
              <w:rPr>
                <w:rStyle w:val="Hyperlink"/>
                <w:bCs/>
                <w:noProof/>
                <w:lang w:val="en-GB"/>
              </w:rPr>
              <w:t>Experience</w:t>
            </w:r>
            <w:r>
              <w:rPr>
                <w:noProof/>
                <w:webHidden/>
              </w:rPr>
              <w:tab/>
            </w:r>
            <w:r>
              <w:rPr>
                <w:noProof/>
                <w:webHidden/>
              </w:rPr>
              <w:fldChar w:fldCharType="begin"/>
            </w:r>
            <w:r>
              <w:rPr>
                <w:noProof/>
                <w:webHidden/>
              </w:rPr>
              <w:instrText xml:space="preserve"> PAGEREF _Toc214613893 \h </w:instrText>
            </w:r>
            <w:r>
              <w:rPr>
                <w:noProof/>
                <w:webHidden/>
              </w:rPr>
            </w:r>
            <w:r>
              <w:rPr>
                <w:noProof/>
                <w:webHidden/>
              </w:rPr>
              <w:fldChar w:fldCharType="separate"/>
            </w:r>
            <w:r w:rsidR="000543BE">
              <w:rPr>
                <w:noProof/>
                <w:webHidden/>
              </w:rPr>
              <w:t>8</w:t>
            </w:r>
            <w:r>
              <w:rPr>
                <w:noProof/>
                <w:webHidden/>
              </w:rPr>
              <w:fldChar w:fldCharType="end"/>
            </w:r>
          </w:hyperlink>
        </w:p>
        <w:p w14:paraId="27261C73" w14:textId="07261841" w:rsidR="00626B84" w:rsidRDefault="00626B84">
          <w:pPr>
            <w:pStyle w:val="TOC2"/>
            <w:tabs>
              <w:tab w:val="left" w:pos="960"/>
              <w:tab w:val="right" w:leader="dot" w:pos="9016"/>
            </w:tabs>
            <w:rPr>
              <w:rFonts w:asciiTheme="minorHAnsi" w:eastAsiaTheme="minorEastAsia" w:hAnsiTheme="minorHAnsi"/>
              <w:noProof/>
              <w:szCs w:val="30"/>
              <w:lang w:eastAsia="zh-CN" w:bidi="bn-IN"/>
            </w:rPr>
          </w:pPr>
          <w:hyperlink w:anchor="_Toc214613894" w:history="1">
            <w:r w:rsidRPr="00645603">
              <w:rPr>
                <w:rStyle w:val="Hyperlink"/>
                <w:noProof/>
                <w:lang w:val="en-GB"/>
              </w:rPr>
              <w:t>3.2</w:t>
            </w:r>
            <w:r>
              <w:rPr>
                <w:rFonts w:asciiTheme="minorHAnsi" w:eastAsiaTheme="minorEastAsia" w:hAnsiTheme="minorHAnsi"/>
                <w:noProof/>
                <w:szCs w:val="30"/>
                <w:lang w:eastAsia="zh-CN" w:bidi="bn-IN"/>
              </w:rPr>
              <w:tab/>
            </w:r>
            <w:r w:rsidRPr="00645603">
              <w:rPr>
                <w:rStyle w:val="Hyperlink"/>
                <w:noProof/>
                <w:lang w:val="en-GB"/>
              </w:rPr>
              <w:t>Reflection</w:t>
            </w:r>
            <w:r>
              <w:rPr>
                <w:noProof/>
                <w:webHidden/>
              </w:rPr>
              <w:tab/>
            </w:r>
            <w:r>
              <w:rPr>
                <w:noProof/>
                <w:webHidden/>
              </w:rPr>
              <w:fldChar w:fldCharType="begin"/>
            </w:r>
            <w:r>
              <w:rPr>
                <w:noProof/>
                <w:webHidden/>
              </w:rPr>
              <w:instrText xml:space="preserve"> PAGEREF _Toc214613894 \h </w:instrText>
            </w:r>
            <w:r>
              <w:rPr>
                <w:noProof/>
                <w:webHidden/>
              </w:rPr>
            </w:r>
            <w:r>
              <w:rPr>
                <w:noProof/>
                <w:webHidden/>
              </w:rPr>
              <w:fldChar w:fldCharType="separate"/>
            </w:r>
            <w:r w:rsidR="000543BE">
              <w:rPr>
                <w:noProof/>
                <w:webHidden/>
              </w:rPr>
              <w:t>9</w:t>
            </w:r>
            <w:r>
              <w:rPr>
                <w:noProof/>
                <w:webHidden/>
              </w:rPr>
              <w:fldChar w:fldCharType="end"/>
            </w:r>
          </w:hyperlink>
        </w:p>
        <w:p w14:paraId="7C1E3B52" w14:textId="46591F14" w:rsidR="00626B84" w:rsidRDefault="00626B84">
          <w:pPr>
            <w:pStyle w:val="TOC2"/>
            <w:tabs>
              <w:tab w:val="left" w:pos="960"/>
              <w:tab w:val="right" w:leader="dot" w:pos="9016"/>
            </w:tabs>
            <w:rPr>
              <w:rFonts w:asciiTheme="minorHAnsi" w:eastAsiaTheme="minorEastAsia" w:hAnsiTheme="minorHAnsi"/>
              <w:noProof/>
              <w:szCs w:val="30"/>
              <w:lang w:eastAsia="zh-CN" w:bidi="bn-IN"/>
            </w:rPr>
          </w:pPr>
          <w:hyperlink w:anchor="_Toc214613895" w:history="1">
            <w:r w:rsidRPr="00645603">
              <w:rPr>
                <w:rStyle w:val="Hyperlink"/>
                <w:noProof/>
                <w:lang w:val="en-GB"/>
              </w:rPr>
              <w:t>3.3</w:t>
            </w:r>
            <w:r>
              <w:rPr>
                <w:rFonts w:asciiTheme="minorHAnsi" w:eastAsiaTheme="minorEastAsia" w:hAnsiTheme="minorHAnsi"/>
                <w:noProof/>
                <w:szCs w:val="30"/>
                <w:lang w:eastAsia="zh-CN" w:bidi="bn-IN"/>
              </w:rPr>
              <w:tab/>
            </w:r>
            <w:r w:rsidRPr="00645603">
              <w:rPr>
                <w:rStyle w:val="Hyperlink"/>
                <w:noProof/>
                <w:lang w:val="en-GB"/>
              </w:rPr>
              <w:t>Action</w:t>
            </w:r>
            <w:r>
              <w:rPr>
                <w:noProof/>
                <w:webHidden/>
              </w:rPr>
              <w:tab/>
            </w:r>
            <w:r>
              <w:rPr>
                <w:noProof/>
                <w:webHidden/>
              </w:rPr>
              <w:fldChar w:fldCharType="begin"/>
            </w:r>
            <w:r>
              <w:rPr>
                <w:noProof/>
                <w:webHidden/>
              </w:rPr>
              <w:instrText xml:space="preserve"> PAGEREF _Toc214613895 \h </w:instrText>
            </w:r>
            <w:r>
              <w:rPr>
                <w:noProof/>
                <w:webHidden/>
              </w:rPr>
            </w:r>
            <w:r>
              <w:rPr>
                <w:noProof/>
                <w:webHidden/>
              </w:rPr>
              <w:fldChar w:fldCharType="separate"/>
            </w:r>
            <w:r w:rsidR="000543BE">
              <w:rPr>
                <w:noProof/>
                <w:webHidden/>
              </w:rPr>
              <w:t>9</w:t>
            </w:r>
            <w:r>
              <w:rPr>
                <w:noProof/>
                <w:webHidden/>
              </w:rPr>
              <w:fldChar w:fldCharType="end"/>
            </w:r>
          </w:hyperlink>
        </w:p>
        <w:p w14:paraId="2ED6A6EF" w14:textId="47954B1D" w:rsidR="00626B84" w:rsidRDefault="00626B84">
          <w:pPr>
            <w:pStyle w:val="TOC1"/>
            <w:tabs>
              <w:tab w:val="right" w:leader="dot" w:pos="9016"/>
            </w:tabs>
            <w:rPr>
              <w:rFonts w:asciiTheme="minorHAnsi" w:eastAsiaTheme="minorEastAsia" w:hAnsiTheme="minorHAnsi"/>
              <w:noProof/>
              <w:szCs w:val="30"/>
              <w:lang w:eastAsia="zh-CN" w:bidi="bn-IN"/>
            </w:rPr>
          </w:pPr>
          <w:hyperlink w:anchor="_Toc214613896" w:history="1">
            <w:r w:rsidRPr="00645603">
              <w:rPr>
                <w:rStyle w:val="Hyperlink"/>
                <w:noProof/>
              </w:rPr>
              <w:t>Conclusion</w:t>
            </w:r>
            <w:r>
              <w:rPr>
                <w:noProof/>
                <w:webHidden/>
              </w:rPr>
              <w:tab/>
            </w:r>
            <w:r>
              <w:rPr>
                <w:noProof/>
                <w:webHidden/>
              </w:rPr>
              <w:fldChar w:fldCharType="begin"/>
            </w:r>
            <w:r>
              <w:rPr>
                <w:noProof/>
                <w:webHidden/>
              </w:rPr>
              <w:instrText xml:space="preserve"> PAGEREF _Toc214613896 \h </w:instrText>
            </w:r>
            <w:r>
              <w:rPr>
                <w:noProof/>
                <w:webHidden/>
              </w:rPr>
            </w:r>
            <w:r>
              <w:rPr>
                <w:noProof/>
                <w:webHidden/>
              </w:rPr>
              <w:fldChar w:fldCharType="separate"/>
            </w:r>
            <w:r w:rsidR="000543BE">
              <w:rPr>
                <w:noProof/>
                <w:webHidden/>
              </w:rPr>
              <w:t>10</w:t>
            </w:r>
            <w:r>
              <w:rPr>
                <w:noProof/>
                <w:webHidden/>
              </w:rPr>
              <w:fldChar w:fldCharType="end"/>
            </w:r>
          </w:hyperlink>
        </w:p>
        <w:p w14:paraId="7BCEF942" w14:textId="163367FD" w:rsidR="00626B84" w:rsidRDefault="00626B84">
          <w:pPr>
            <w:pStyle w:val="TOC1"/>
            <w:tabs>
              <w:tab w:val="right" w:leader="dot" w:pos="9016"/>
            </w:tabs>
            <w:rPr>
              <w:rFonts w:asciiTheme="minorHAnsi" w:eastAsiaTheme="minorEastAsia" w:hAnsiTheme="minorHAnsi"/>
              <w:noProof/>
              <w:szCs w:val="30"/>
              <w:lang w:eastAsia="zh-CN" w:bidi="bn-IN"/>
            </w:rPr>
          </w:pPr>
          <w:hyperlink w:anchor="_Toc214613897" w:history="1">
            <w:r w:rsidRPr="00645603">
              <w:rPr>
                <w:rStyle w:val="Hyperlink"/>
                <w:noProof/>
                <w:lang w:val="en-GB"/>
              </w:rPr>
              <w:t>References</w:t>
            </w:r>
            <w:r>
              <w:rPr>
                <w:noProof/>
                <w:webHidden/>
              </w:rPr>
              <w:tab/>
            </w:r>
            <w:r>
              <w:rPr>
                <w:noProof/>
                <w:webHidden/>
              </w:rPr>
              <w:fldChar w:fldCharType="begin"/>
            </w:r>
            <w:r>
              <w:rPr>
                <w:noProof/>
                <w:webHidden/>
              </w:rPr>
              <w:instrText xml:space="preserve"> PAGEREF _Toc214613897 \h </w:instrText>
            </w:r>
            <w:r>
              <w:rPr>
                <w:noProof/>
                <w:webHidden/>
              </w:rPr>
            </w:r>
            <w:r>
              <w:rPr>
                <w:noProof/>
                <w:webHidden/>
              </w:rPr>
              <w:fldChar w:fldCharType="separate"/>
            </w:r>
            <w:r w:rsidR="000543BE">
              <w:rPr>
                <w:noProof/>
                <w:webHidden/>
              </w:rPr>
              <w:t>11</w:t>
            </w:r>
            <w:r>
              <w:rPr>
                <w:noProof/>
                <w:webHidden/>
              </w:rPr>
              <w:fldChar w:fldCharType="end"/>
            </w:r>
          </w:hyperlink>
        </w:p>
        <w:p w14:paraId="47FFE4DC" w14:textId="4E3D6265" w:rsidR="00EF10E3" w:rsidRDefault="00EF10E3" w:rsidP="00EF10E3">
          <w:r>
            <w:rPr>
              <w:b/>
              <w:bCs/>
              <w:noProof/>
            </w:rPr>
            <w:fldChar w:fldCharType="end"/>
          </w:r>
        </w:p>
      </w:sdtContent>
    </w:sdt>
    <w:p w14:paraId="4E1B28F7" w14:textId="51B17FF5" w:rsidR="0024260F" w:rsidRPr="00770A2C" w:rsidRDefault="0024260F">
      <w:pPr>
        <w:rPr>
          <w:rFonts w:eastAsiaTheme="majorEastAsia" w:cs="Arial"/>
          <w:b/>
          <w:color w:val="2F5496" w:themeColor="accent1" w:themeShade="BF"/>
          <w:sz w:val="32"/>
          <w:szCs w:val="32"/>
        </w:rPr>
      </w:pPr>
    </w:p>
    <w:p w14:paraId="1D46E86D" w14:textId="77777777" w:rsidR="0024260F" w:rsidRPr="00770A2C" w:rsidRDefault="0024260F" w:rsidP="00806131">
      <w:pPr>
        <w:rPr>
          <w:rFonts w:cs="Arial"/>
        </w:rPr>
      </w:pPr>
    </w:p>
    <w:p w14:paraId="33C0793D" w14:textId="234964EC" w:rsidR="0024260F" w:rsidRPr="00770A2C" w:rsidRDefault="0024260F">
      <w:pPr>
        <w:rPr>
          <w:rFonts w:eastAsiaTheme="majorEastAsia" w:cs="Arial"/>
          <w:b/>
          <w:color w:val="2F5496" w:themeColor="accent1" w:themeShade="BF"/>
          <w:sz w:val="32"/>
          <w:szCs w:val="32"/>
        </w:rPr>
      </w:pPr>
      <w:r w:rsidRPr="00770A2C">
        <w:rPr>
          <w:rFonts w:cs="Arial"/>
          <w:szCs w:val="32"/>
        </w:rPr>
        <w:br w:type="page"/>
      </w:r>
    </w:p>
    <w:p w14:paraId="52EDD532" w14:textId="77777777" w:rsidR="00386EFF" w:rsidRPr="00EF10E3" w:rsidRDefault="00CD2A78" w:rsidP="00A2762C">
      <w:pPr>
        <w:pStyle w:val="Heading1"/>
        <w:numPr>
          <w:ilvl w:val="0"/>
          <w:numId w:val="0"/>
        </w:numPr>
        <w:ind w:left="432" w:hanging="432"/>
      </w:pPr>
      <w:bookmarkStart w:id="1" w:name="_Toc214613886"/>
      <w:r w:rsidRPr="00EF10E3">
        <w:lastRenderedPageBreak/>
        <w:t>Introduction</w:t>
      </w:r>
      <w:bookmarkEnd w:id="1"/>
    </w:p>
    <w:p w14:paraId="0918CE96" w14:textId="77777777" w:rsidR="00EF10E3" w:rsidRPr="00EF10E3" w:rsidRDefault="00CD2A78" w:rsidP="00A2762C">
      <w:pPr>
        <w:rPr>
          <w:lang w:val="en-GB"/>
        </w:rPr>
      </w:pPr>
      <w:r w:rsidRPr="00EF10E3">
        <w:rPr>
          <w:lang w:val="en-GB"/>
        </w:rPr>
        <w:t>This portfolio provides an overview of the key skills, competencies, and professional behaviours required for the role of a Health Care Assistant (HCA). It includes an analysis of my current strengths, areas for development, and a structured Personal Development Plan (PDP) aimed at supporting my growth into the role. The portfolio also incorporates evidence-based discussion on critical thinking and reflective practice, alongside an application of the ERA reflective model to evaluate my recent academic prese</w:t>
      </w:r>
      <w:r w:rsidRPr="00EF10E3">
        <w:rPr>
          <w:lang w:val="en-GB"/>
        </w:rPr>
        <w:t>ntation.</w:t>
      </w:r>
    </w:p>
    <w:p w14:paraId="17BA07CB" w14:textId="77777777" w:rsidR="00EF10E3" w:rsidRPr="00EF10E3" w:rsidRDefault="00EF10E3" w:rsidP="00A2762C">
      <w:pPr>
        <w:pStyle w:val="Heading1"/>
      </w:pPr>
      <w:bookmarkStart w:id="2" w:name="_Toc214613887"/>
      <w:r w:rsidRPr="00EF10E3">
        <w:t xml:space="preserve">Job Role Selection: </w:t>
      </w:r>
      <w:r w:rsidRPr="00EF10E3">
        <w:rPr>
          <w:lang w:val="en-GB"/>
        </w:rPr>
        <w:t>Health Care Assistant (HCA)</w:t>
      </w:r>
      <w:bookmarkEnd w:id="2"/>
    </w:p>
    <w:p w14:paraId="56C9AC2B" w14:textId="060FB57F" w:rsidR="00EF10E3" w:rsidRPr="00EF10E3" w:rsidRDefault="00EF10E3" w:rsidP="00A2762C">
      <w:pPr>
        <w:rPr>
          <w:lang w:val="en-GB"/>
        </w:rPr>
      </w:pPr>
      <w:r w:rsidRPr="00EF10E3">
        <w:rPr>
          <w:lang w:val="en-GB"/>
        </w:rPr>
        <w:t xml:space="preserve">Pursuing a career as a Health Care Assistant (HCA) requires clinical competence, good interpersonal skills and professional values. This action plan gives the description of important skills needed for the job, how do I meet the requirements, skill gaps and a Personal Development Plan </w:t>
      </w:r>
      <w:r w:rsidR="009F362C">
        <w:rPr>
          <w:lang w:val="en-GB"/>
        </w:rPr>
        <w:t>(</w:t>
      </w:r>
      <w:r w:rsidRPr="00EF10E3">
        <w:rPr>
          <w:lang w:val="en-GB"/>
        </w:rPr>
        <w:t>PDP</w:t>
      </w:r>
      <w:r w:rsidR="009F362C">
        <w:rPr>
          <w:lang w:val="en-GB"/>
        </w:rPr>
        <w:t>)</w:t>
      </w:r>
      <w:r w:rsidRPr="00EF10E3">
        <w:rPr>
          <w:lang w:val="en-GB"/>
        </w:rPr>
        <w:t>. Three probable interview questions and answers are also given.</w:t>
      </w:r>
    </w:p>
    <w:p w14:paraId="11DEDB05" w14:textId="70637931" w:rsidR="00EF10E3" w:rsidRPr="00A2762C" w:rsidRDefault="00EF10E3" w:rsidP="00A2762C">
      <w:pPr>
        <w:pStyle w:val="Heading2"/>
      </w:pPr>
      <w:bookmarkStart w:id="3" w:name="_Toc214613888"/>
      <w:r w:rsidRPr="00A2762C">
        <w:t xml:space="preserve">Key Skills Required for </w:t>
      </w:r>
      <w:r w:rsidR="00D63C98" w:rsidRPr="00A2762C">
        <w:t>HCA</w:t>
      </w:r>
      <w:r w:rsidRPr="00A2762C">
        <w:t xml:space="preserve"> and Evidence of Competence</w:t>
      </w:r>
      <w:bookmarkEnd w:id="3"/>
    </w:p>
    <w:p w14:paraId="2D8509C9" w14:textId="301E4C29" w:rsidR="00EF10E3" w:rsidRPr="00EF10E3" w:rsidRDefault="00EF10E3" w:rsidP="00A2762C">
      <w:pPr>
        <w:rPr>
          <w:lang w:val="en-GB"/>
        </w:rPr>
      </w:pPr>
      <w:r w:rsidRPr="00EF10E3">
        <w:rPr>
          <w:lang w:val="en-GB"/>
        </w:rPr>
        <w:t>The HCA role requires effective communication, empathy skills, teamwork, time management, confidentiality, and basic clinical skills including patient observations. Effective communication is especially essential as poor communication and miscommunication during handovers or patient care may inhibit safety and result in negative outcomes (</w:t>
      </w:r>
      <w:r w:rsidR="007876F9" w:rsidRPr="007876F9">
        <w:rPr>
          <w:lang w:val="en-GB"/>
        </w:rPr>
        <w:t xml:space="preserve">Abdullah &amp; </w:t>
      </w:r>
      <w:proofErr w:type="spellStart"/>
      <w:r w:rsidR="007876F9" w:rsidRPr="007876F9">
        <w:rPr>
          <w:lang w:val="en-GB"/>
        </w:rPr>
        <w:t>Ruslan</w:t>
      </w:r>
      <w:proofErr w:type="spellEnd"/>
      <w:r w:rsidR="007876F9" w:rsidRPr="007876F9">
        <w:rPr>
          <w:lang w:val="en-GB"/>
        </w:rPr>
        <w:t>, 2024</w:t>
      </w:r>
      <w:r w:rsidRPr="00EF10E3">
        <w:rPr>
          <w:lang w:val="en-GB"/>
        </w:rPr>
        <w:t xml:space="preserve">; </w:t>
      </w:r>
      <w:proofErr w:type="spellStart"/>
      <w:r w:rsidRPr="00EF10E3">
        <w:rPr>
          <w:lang w:val="en-GB"/>
        </w:rPr>
        <w:t>Atinga</w:t>
      </w:r>
      <w:proofErr w:type="spellEnd"/>
      <w:r w:rsidRPr="00EF10E3">
        <w:rPr>
          <w:lang w:val="en-GB"/>
        </w:rPr>
        <w:t xml:space="preserve"> </w:t>
      </w:r>
      <w:r w:rsidR="009F362C" w:rsidRPr="009F362C">
        <w:rPr>
          <w:i/>
          <w:iCs/>
          <w:lang w:val="en-GB"/>
        </w:rPr>
        <w:t>et al</w:t>
      </w:r>
      <w:r w:rsidRPr="00EF10E3">
        <w:rPr>
          <w:lang w:val="en-GB"/>
        </w:rPr>
        <w:t>., 2024). Through my experience as a volunteer and as a member of academic group projects, I have developed a great ability to deal with information through effective communication which ensures that information is communicated clearly, accurately and in a timely manner.</w:t>
      </w:r>
    </w:p>
    <w:p w14:paraId="63D53BFC" w14:textId="2364E258" w:rsidR="00EF10E3" w:rsidRPr="00EF10E3" w:rsidRDefault="00EF10E3" w:rsidP="00A2762C">
      <w:pPr>
        <w:rPr>
          <w:lang w:val="en-GB"/>
        </w:rPr>
      </w:pPr>
      <w:r w:rsidRPr="00EF10E3">
        <w:rPr>
          <w:lang w:val="en-GB"/>
        </w:rPr>
        <w:t xml:space="preserve">Empathy is necessary for patient-centred care, which breeds trust, respect and improved patient experiences (Kwame and </w:t>
      </w:r>
      <w:proofErr w:type="spellStart"/>
      <w:r w:rsidRPr="00EF10E3">
        <w:rPr>
          <w:lang w:val="en-GB"/>
        </w:rPr>
        <w:t>Petrucka</w:t>
      </w:r>
      <w:proofErr w:type="spellEnd"/>
      <w:r w:rsidRPr="00EF10E3">
        <w:rPr>
          <w:lang w:val="en-GB"/>
        </w:rPr>
        <w:t xml:space="preserve">, 2021). I show empathy by active listening to patients, understanding their needs, and providing emotional support in difficult situations. Teamwork is also essential in healthcare, as HCAs work closely with nurses, doctors, and other members of the multidisciplinary team to provide holistic and coordinated care (Ahmad </w:t>
      </w:r>
      <w:r w:rsidR="009F362C" w:rsidRPr="009F362C">
        <w:rPr>
          <w:i/>
          <w:iCs/>
          <w:lang w:val="en-GB"/>
        </w:rPr>
        <w:t>et al</w:t>
      </w:r>
      <w:r w:rsidRPr="00EF10E3">
        <w:rPr>
          <w:lang w:val="en-GB"/>
        </w:rPr>
        <w:t xml:space="preserve">., 2025; Janes </w:t>
      </w:r>
      <w:r w:rsidR="009F362C" w:rsidRPr="009F362C">
        <w:rPr>
          <w:i/>
          <w:iCs/>
          <w:lang w:val="en-GB"/>
        </w:rPr>
        <w:t>et al</w:t>
      </w:r>
      <w:r w:rsidRPr="00EF10E3">
        <w:rPr>
          <w:lang w:val="en-GB"/>
        </w:rPr>
        <w:t xml:space="preserve">., 2021). My experience working in academic and voluntary teams has helped to build my capacity to communicate </w:t>
      </w:r>
      <w:r w:rsidRPr="00EF10E3">
        <w:rPr>
          <w:lang w:val="en-GB"/>
        </w:rPr>
        <w:lastRenderedPageBreak/>
        <w:t>effectively with team members, manage conflicts in a constructive way and contribute to a supportive and efficient working environment.</w:t>
      </w:r>
    </w:p>
    <w:p w14:paraId="066B15D5" w14:textId="1DC1549E" w:rsidR="00EF10E3" w:rsidRPr="00EF10E3" w:rsidRDefault="00EF10E3" w:rsidP="00A2762C">
      <w:pPr>
        <w:rPr>
          <w:lang w:val="en-GB"/>
        </w:rPr>
      </w:pPr>
      <w:r w:rsidRPr="00EF10E3">
        <w:rPr>
          <w:lang w:val="en-GB"/>
        </w:rPr>
        <w:t>Time management and organisational skills are important when it comes to balancing different responsibilities during working shifts, to ensure patient needs are met on time without compromising quality of care (Baskin and Bartlett, 2021). I have built these skills from volunteering and studying by prioriti</w:t>
      </w:r>
      <w:r w:rsidR="00626B84" w:rsidRPr="00626B84">
        <w:rPr>
          <w:lang w:val="en-GB"/>
        </w:rPr>
        <w:t>s</w:t>
      </w:r>
      <w:r w:rsidRPr="00EF10E3">
        <w:rPr>
          <w:lang w:val="en-GB"/>
        </w:rPr>
        <w:t xml:space="preserve">ing tasks, effective planning, and deadlines. Confidentiality and safeguarding are also core to the HCA role and require sensitivity in establishing patient information and following organisational policies in order to safeguard vulnerable individuals (Ball </w:t>
      </w:r>
      <w:r w:rsidR="009F362C" w:rsidRPr="009F362C">
        <w:rPr>
          <w:i/>
          <w:iCs/>
          <w:lang w:val="en-GB"/>
        </w:rPr>
        <w:t>et al</w:t>
      </w:r>
      <w:r w:rsidRPr="00EF10E3">
        <w:rPr>
          <w:lang w:val="en-GB"/>
        </w:rPr>
        <w:t xml:space="preserve">., 2024; Chambers </w:t>
      </w:r>
      <w:r w:rsidR="009F362C" w:rsidRPr="009F362C">
        <w:rPr>
          <w:i/>
          <w:iCs/>
          <w:lang w:val="en-GB"/>
        </w:rPr>
        <w:t>et al</w:t>
      </w:r>
      <w:r w:rsidRPr="00EF10E3">
        <w:rPr>
          <w:lang w:val="en-GB"/>
        </w:rPr>
        <w:t xml:space="preserve">., 2021). Evidence indicates that the use of digital resilience interventions and structured support can make a big difference and increase wellbeing and work engagement among healthcare staff who can then ensure focus and consistent high-quality care (Larsson </w:t>
      </w:r>
      <w:r w:rsidR="009F362C" w:rsidRPr="009F362C">
        <w:rPr>
          <w:i/>
          <w:iCs/>
          <w:lang w:val="en-GB"/>
        </w:rPr>
        <w:t>et al</w:t>
      </w:r>
      <w:r w:rsidRPr="00EF10E3">
        <w:rPr>
          <w:lang w:val="en-GB"/>
        </w:rPr>
        <w:t xml:space="preserve">., 2025; </w:t>
      </w:r>
      <w:proofErr w:type="spellStart"/>
      <w:r w:rsidRPr="00EF10E3">
        <w:rPr>
          <w:lang w:val="en-GB"/>
        </w:rPr>
        <w:t>Moisoglou</w:t>
      </w:r>
      <w:proofErr w:type="spellEnd"/>
      <w:r w:rsidRPr="00EF10E3">
        <w:rPr>
          <w:lang w:val="en-GB"/>
        </w:rPr>
        <w:t xml:space="preserve"> </w:t>
      </w:r>
      <w:r w:rsidR="009F362C" w:rsidRPr="009F362C">
        <w:rPr>
          <w:i/>
          <w:iCs/>
          <w:lang w:val="en-GB"/>
        </w:rPr>
        <w:t>et al</w:t>
      </w:r>
      <w:r w:rsidRPr="00EF10E3">
        <w:rPr>
          <w:lang w:val="en-GB"/>
        </w:rPr>
        <w:t xml:space="preserve">., 2025; George </w:t>
      </w:r>
      <w:r w:rsidR="009F362C" w:rsidRPr="009F362C">
        <w:rPr>
          <w:i/>
          <w:iCs/>
          <w:lang w:val="en-GB"/>
        </w:rPr>
        <w:t>et al</w:t>
      </w:r>
      <w:r w:rsidRPr="00EF10E3">
        <w:rPr>
          <w:lang w:val="en-GB"/>
        </w:rPr>
        <w:t xml:space="preserve">., 2024; </w:t>
      </w:r>
      <w:proofErr w:type="spellStart"/>
      <w:r w:rsidRPr="00EF10E3">
        <w:rPr>
          <w:lang w:val="en-GB"/>
        </w:rPr>
        <w:t>Khatooni</w:t>
      </w:r>
      <w:proofErr w:type="spellEnd"/>
      <w:r w:rsidRPr="00EF10E3">
        <w:rPr>
          <w:lang w:val="en-GB"/>
        </w:rPr>
        <w:t xml:space="preserve"> </w:t>
      </w:r>
      <w:r w:rsidR="009F362C" w:rsidRPr="009F362C">
        <w:rPr>
          <w:i/>
          <w:iCs/>
          <w:lang w:val="en-GB"/>
        </w:rPr>
        <w:t>et al</w:t>
      </w:r>
      <w:r w:rsidRPr="00EF10E3">
        <w:rPr>
          <w:lang w:val="en-GB"/>
        </w:rPr>
        <w:t>., 2023).</w:t>
      </w:r>
    </w:p>
    <w:p w14:paraId="55313357" w14:textId="77777777" w:rsidR="00EF10E3" w:rsidRPr="00EF10E3" w:rsidRDefault="00EF10E3" w:rsidP="00A2762C">
      <w:pPr>
        <w:pStyle w:val="Heading2"/>
        <w:rPr>
          <w:lang w:val="en-GB"/>
        </w:rPr>
      </w:pPr>
      <w:bookmarkStart w:id="4" w:name="_Toc214613889"/>
      <w:r w:rsidRPr="00EF10E3">
        <w:rPr>
          <w:lang w:val="en-GB"/>
        </w:rPr>
        <w:t>Skill Gaps and Personal Development Plan</w:t>
      </w:r>
      <w:bookmarkEnd w:id="4"/>
    </w:p>
    <w:p w14:paraId="5B8B7BD4" w14:textId="77777777" w:rsidR="00EF10E3" w:rsidRPr="000543BE" w:rsidRDefault="00EF10E3" w:rsidP="000543BE">
      <w:pPr>
        <w:rPr>
          <w:rFonts w:cs="Arial"/>
          <w:lang w:val="en-GB"/>
        </w:rPr>
      </w:pPr>
      <w:r w:rsidRPr="000543BE">
        <w:rPr>
          <w:rFonts w:cs="Arial"/>
          <w:lang w:val="en-GB"/>
        </w:rPr>
        <w:t>While I have strengths that are foundational, I have strengths that I need to grow:</w:t>
      </w:r>
    </w:p>
    <w:p w14:paraId="111A4B16" w14:textId="77777777" w:rsidR="00EF10E3" w:rsidRPr="000543BE" w:rsidRDefault="00EF10E3" w:rsidP="000543BE">
      <w:pPr>
        <w:numPr>
          <w:ilvl w:val="0"/>
          <w:numId w:val="2"/>
        </w:numPr>
        <w:contextualSpacing/>
        <w:rPr>
          <w:rFonts w:cs="Arial"/>
          <w:lang w:val="en-GB"/>
        </w:rPr>
      </w:pPr>
      <w:r w:rsidRPr="000543BE">
        <w:rPr>
          <w:rFonts w:cs="Arial"/>
          <w:b/>
          <w:bCs/>
          <w:lang w:val="en-GB"/>
        </w:rPr>
        <w:t>Clinical Skills:</w:t>
      </w:r>
      <w:r w:rsidRPr="000543BE">
        <w:rPr>
          <w:rFonts w:cs="Arial"/>
          <w:lang w:val="en-GB"/>
        </w:rPr>
        <w:t xml:space="preserve"> Limited years spent performing patient observations in practice (Baskin and Bartlett, 2021). </w:t>
      </w:r>
    </w:p>
    <w:p w14:paraId="38BF4104" w14:textId="21577858" w:rsidR="00EF10E3" w:rsidRPr="000543BE" w:rsidRDefault="00EF10E3" w:rsidP="000543BE">
      <w:pPr>
        <w:numPr>
          <w:ilvl w:val="0"/>
          <w:numId w:val="2"/>
        </w:numPr>
        <w:contextualSpacing/>
        <w:rPr>
          <w:rFonts w:cs="Arial"/>
          <w:lang w:val="en-GB"/>
        </w:rPr>
      </w:pPr>
      <w:r w:rsidRPr="000543BE">
        <w:rPr>
          <w:rFonts w:cs="Arial"/>
          <w:b/>
          <w:bCs/>
          <w:lang w:val="en-GB"/>
        </w:rPr>
        <w:t>Safeguarding Knowledge:</w:t>
      </w:r>
      <w:r w:rsidRPr="000543BE">
        <w:rPr>
          <w:rFonts w:cs="Arial"/>
          <w:lang w:val="en-GB"/>
        </w:rPr>
        <w:t xml:space="preserve"> Need to further understand the adult and child safeguarding policies (Alizadeh-Risani </w:t>
      </w:r>
      <w:r w:rsidR="009F362C" w:rsidRPr="009F362C">
        <w:rPr>
          <w:rFonts w:cs="Arial"/>
          <w:i/>
          <w:iCs/>
          <w:lang w:val="en-GB"/>
        </w:rPr>
        <w:t>et al</w:t>
      </w:r>
      <w:r w:rsidRPr="000543BE">
        <w:rPr>
          <w:rFonts w:cs="Arial"/>
          <w:lang w:val="en-GB"/>
        </w:rPr>
        <w:t>., 2024</w:t>
      </w:r>
      <w:r w:rsidR="00715D7F">
        <w:rPr>
          <w:rFonts w:cs="Arial"/>
          <w:lang w:val="en-GB"/>
        </w:rPr>
        <w:t>).</w:t>
      </w:r>
    </w:p>
    <w:p w14:paraId="1C2E0EDF" w14:textId="77777777" w:rsidR="00EF10E3" w:rsidRPr="000543BE" w:rsidRDefault="00EF10E3" w:rsidP="000543BE">
      <w:pPr>
        <w:numPr>
          <w:ilvl w:val="0"/>
          <w:numId w:val="2"/>
        </w:numPr>
        <w:contextualSpacing/>
        <w:rPr>
          <w:rFonts w:cs="Arial"/>
          <w:lang w:val="en-GB"/>
        </w:rPr>
      </w:pPr>
      <w:r w:rsidRPr="000543BE">
        <w:rPr>
          <w:rFonts w:cs="Arial"/>
          <w:b/>
          <w:bCs/>
          <w:lang w:val="en-GB"/>
        </w:rPr>
        <w:t>Emotional Resilience:</w:t>
      </w:r>
      <w:r w:rsidRPr="000543BE">
        <w:rPr>
          <w:rFonts w:cs="Arial"/>
          <w:lang w:val="en-GB"/>
        </w:rPr>
        <w:t xml:space="preserve"> Need tools to help manage in a high-pressure situation (Kwame and </w:t>
      </w:r>
      <w:proofErr w:type="spellStart"/>
      <w:r w:rsidRPr="000543BE">
        <w:rPr>
          <w:rFonts w:cs="Arial"/>
          <w:lang w:val="en-GB"/>
        </w:rPr>
        <w:t>Petrucka</w:t>
      </w:r>
      <w:proofErr w:type="spellEnd"/>
      <w:r w:rsidRPr="000543BE">
        <w:rPr>
          <w:rFonts w:cs="Arial"/>
          <w:lang w:val="en-GB"/>
        </w:rPr>
        <w:t>, 2021).</w:t>
      </w:r>
    </w:p>
    <w:p w14:paraId="09C19B33" w14:textId="77777777" w:rsidR="00A2762C" w:rsidRDefault="00A2762C">
      <w:pPr>
        <w:spacing w:line="278" w:lineRule="auto"/>
        <w:jc w:val="left"/>
        <w:rPr>
          <w:rFonts w:cs="Arial"/>
          <w:sz w:val="22"/>
          <w:szCs w:val="22"/>
          <w:lang w:val="en-GB"/>
        </w:rPr>
      </w:pPr>
      <w:r>
        <w:rPr>
          <w:rFonts w:cs="Arial"/>
          <w:sz w:val="22"/>
          <w:szCs w:val="22"/>
          <w:lang w:val="en-GB"/>
        </w:rPr>
        <w:br w:type="page"/>
      </w:r>
    </w:p>
    <w:p w14:paraId="2DFD4160" w14:textId="229A0514" w:rsidR="00EF10E3" w:rsidRPr="00EF10E3" w:rsidRDefault="00EF10E3" w:rsidP="000543BE">
      <w:pPr>
        <w:rPr>
          <w:lang w:val="en-GB"/>
        </w:rPr>
      </w:pPr>
      <w:r w:rsidRPr="00EF10E3">
        <w:rPr>
          <w:lang w:val="en-GB"/>
        </w:rPr>
        <w:lastRenderedPageBreak/>
        <w:t>To overcome these gaps, I will follow a PDP in the form of a combination of simulations, use of e-learning and reflective practice.</w:t>
      </w:r>
    </w:p>
    <w:tbl>
      <w:tblPr>
        <w:tblStyle w:val="PlainTable1"/>
        <w:tblpPr w:leftFromText="180" w:rightFromText="180" w:vertAnchor="text" w:horzAnchor="margin" w:tblpY="103"/>
        <w:tblW w:w="0" w:type="auto"/>
        <w:tblLook w:val="04A0" w:firstRow="1" w:lastRow="0" w:firstColumn="1" w:lastColumn="0" w:noHBand="0" w:noVBand="1"/>
      </w:tblPr>
      <w:tblGrid>
        <w:gridCol w:w="1885"/>
        <w:gridCol w:w="1980"/>
        <w:gridCol w:w="2430"/>
        <w:gridCol w:w="1384"/>
        <w:gridCol w:w="1337"/>
      </w:tblGrid>
      <w:tr w:rsidR="00EF10E3" w:rsidRPr="000543BE" w14:paraId="7714D304" w14:textId="77777777" w:rsidTr="00A276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67C1DAD6" w14:textId="77777777" w:rsidR="00EF10E3" w:rsidRPr="000543BE" w:rsidRDefault="00EF10E3" w:rsidP="00A2762C">
            <w:pPr>
              <w:spacing w:before="120" w:after="120" w:line="276" w:lineRule="auto"/>
              <w:jc w:val="left"/>
              <w:rPr>
                <w:rFonts w:cs="Arial"/>
                <w:b w:val="0"/>
                <w:bCs w:val="0"/>
                <w:sz w:val="22"/>
                <w:szCs w:val="22"/>
                <w:lang w:val="en-GB"/>
              </w:rPr>
            </w:pPr>
            <w:r w:rsidRPr="000543BE">
              <w:rPr>
                <w:rFonts w:cs="Arial"/>
                <w:sz w:val="22"/>
                <w:szCs w:val="22"/>
                <w:lang w:val="en-GB"/>
              </w:rPr>
              <w:t>Development Area</w:t>
            </w:r>
          </w:p>
        </w:tc>
        <w:tc>
          <w:tcPr>
            <w:tcW w:w="1980" w:type="dxa"/>
            <w:vAlign w:val="center"/>
            <w:hideMark/>
          </w:tcPr>
          <w:p w14:paraId="12F53137" w14:textId="77777777" w:rsidR="00EF10E3" w:rsidRPr="000543BE" w:rsidRDefault="00EF10E3" w:rsidP="00A2762C">
            <w:pPr>
              <w:spacing w:before="120" w:after="120" w:line="276" w:lineRule="auto"/>
              <w:jc w:val="left"/>
              <w:cnfStyle w:val="100000000000" w:firstRow="1" w:lastRow="0" w:firstColumn="0" w:lastColumn="0" w:oddVBand="0" w:evenVBand="0" w:oddHBand="0" w:evenHBand="0" w:firstRowFirstColumn="0" w:firstRowLastColumn="0" w:lastRowFirstColumn="0" w:lastRowLastColumn="0"/>
              <w:rPr>
                <w:rFonts w:cs="Arial"/>
                <w:b w:val="0"/>
                <w:bCs w:val="0"/>
                <w:sz w:val="22"/>
                <w:szCs w:val="22"/>
                <w:lang w:val="en-GB"/>
              </w:rPr>
            </w:pPr>
            <w:r w:rsidRPr="000543BE">
              <w:rPr>
                <w:rFonts w:cs="Arial"/>
                <w:sz w:val="22"/>
                <w:szCs w:val="22"/>
                <w:lang w:val="en-GB"/>
              </w:rPr>
              <w:t>Goal</w:t>
            </w:r>
          </w:p>
        </w:tc>
        <w:tc>
          <w:tcPr>
            <w:tcW w:w="2430" w:type="dxa"/>
            <w:vAlign w:val="center"/>
            <w:hideMark/>
          </w:tcPr>
          <w:p w14:paraId="636DCCEA" w14:textId="77777777" w:rsidR="00EF10E3" w:rsidRPr="000543BE" w:rsidRDefault="00EF10E3" w:rsidP="00A2762C">
            <w:pPr>
              <w:spacing w:before="120" w:after="120" w:line="276" w:lineRule="auto"/>
              <w:jc w:val="left"/>
              <w:cnfStyle w:val="100000000000" w:firstRow="1" w:lastRow="0" w:firstColumn="0" w:lastColumn="0" w:oddVBand="0" w:evenVBand="0" w:oddHBand="0" w:evenHBand="0" w:firstRowFirstColumn="0" w:firstRowLastColumn="0" w:lastRowFirstColumn="0" w:lastRowLastColumn="0"/>
              <w:rPr>
                <w:rFonts w:cs="Arial"/>
                <w:b w:val="0"/>
                <w:bCs w:val="0"/>
                <w:sz w:val="22"/>
                <w:szCs w:val="22"/>
                <w:lang w:val="en-GB"/>
              </w:rPr>
            </w:pPr>
            <w:r w:rsidRPr="000543BE">
              <w:rPr>
                <w:rFonts w:cs="Arial"/>
                <w:sz w:val="22"/>
                <w:szCs w:val="22"/>
                <w:lang w:val="en-GB"/>
              </w:rPr>
              <w:t>Actions</w:t>
            </w:r>
          </w:p>
        </w:tc>
        <w:tc>
          <w:tcPr>
            <w:tcW w:w="1384" w:type="dxa"/>
            <w:vAlign w:val="center"/>
            <w:hideMark/>
          </w:tcPr>
          <w:p w14:paraId="065B2738" w14:textId="77777777" w:rsidR="00EF10E3" w:rsidRPr="000543BE" w:rsidRDefault="00EF10E3" w:rsidP="00A2762C">
            <w:pPr>
              <w:spacing w:before="120" w:after="120" w:line="276" w:lineRule="auto"/>
              <w:jc w:val="left"/>
              <w:cnfStyle w:val="100000000000" w:firstRow="1" w:lastRow="0" w:firstColumn="0" w:lastColumn="0" w:oddVBand="0" w:evenVBand="0" w:oddHBand="0" w:evenHBand="0" w:firstRowFirstColumn="0" w:firstRowLastColumn="0" w:lastRowFirstColumn="0" w:lastRowLastColumn="0"/>
              <w:rPr>
                <w:rFonts w:cs="Arial"/>
                <w:b w:val="0"/>
                <w:bCs w:val="0"/>
                <w:sz w:val="22"/>
                <w:szCs w:val="22"/>
                <w:lang w:val="en-GB"/>
              </w:rPr>
            </w:pPr>
            <w:r w:rsidRPr="000543BE">
              <w:rPr>
                <w:rFonts w:cs="Arial"/>
                <w:sz w:val="22"/>
                <w:szCs w:val="22"/>
                <w:lang w:val="en-GB"/>
              </w:rPr>
              <w:t>Support Needed</w:t>
            </w:r>
          </w:p>
        </w:tc>
        <w:tc>
          <w:tcPr>
            <w:tcW w:w="0" w:type="auto"/>
            <w:vAlign w:val="center"/>
            <w:hideMark/>
          </w:tcPr>
          <w:p w14:paraId="71FC4CA2" w14:textId="77777777" w:rsidR="00EF10E3" w:rsidRPr="000543BE" w:rsidRDefault="00EF10E3" w:rsidP="00A2762C">
            <w:pPr>
              <w:spacing w:before="120" w:after="120" w:line="276" w:lineRule="auto"/>
              <w:jc w:val="left"/>
              <w:cnfStyle w:val="100000000000" w:firstRow="1" w:lastRow="0" w:firstColumn="0" w:lastColumn="0" w:oddVBand="0" w:evenVBand="0" w:oddHBand="0" w:evenHBand="0" w:firstRowFirstColumn="0" w:firstRowLastColumn="0" w:lastRowFirstColumn="0" w:lastRowLastColumn="0"/>
              <w:rPr>
                <w:rFonts w:cs="Arial"/>
                <w:b w:val="0"/>
                <w:bCs w:val="0"/>
                <w:sz w:val="22"/>
                <w:szCs w:val="22"/>
                <w:lang w:val="en-GB"/>
              </w:rPr>
            </w:pPr>
            <w:r w:rsidRPr="000543BE">
              <w:rPr>
                <w:rFonts w:cs="Arial"/>
                <w:sz w:val="22"/>
                <w:szCs w:val="22"/>
                <w:lang w:val="en-GB"/>
              </w:rPr>
              <w:t>Timescale</w:t>
            </w:r>
          </w:p>
        </w:tc>
      </w:tr>
      <w:tr w:rsidR="00EF10E3" w:rsidRPr="000543BE" w14:paraId="52995E09" w14:textId="77777777" w:rsidTr="00A276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74F03D81" w14:textId="77777777" w:rsidR="00EF10E3" w:rsidRPr="000543BE" w:rsidRDefault="00EF10E3" w:rsidP="00A2762C">
            <w:pPr>
              <w:spacing w:before="120" w:after="120"/>
              <w:jc w:val="left"/>
              <w:rPr>
                <w:rFonts w:cs="Arial"/>
                <w:b w:val="0"/>
                <w:bCs w:val="0"/>
                <w:sz w:val="22"/>
                <w:szCs w:val="22"/>
                <w:lang w:val="en-GB"/>
              </w:rPr>
            </w:pPr>
            <w:r w:rsidRPr="000543BE">
              <w:rPr>
                <w:rFonts w:cs="Arial"/>
                <w:sz w:val="22"/>
                <w:szCs w:val="22"/>
                <w:lang w:val="en-GB"/>
              </w:rPr>
              <w:t>Clinical Skills</w:t>
            </w:r>
          </w:p>
        </w:tc>
        <w:tc>
          <w:tcPr>
            <w:tcW w:w="1980" w:type="dxa"/>
            <w:vAlign w:val="center"/>
            <w:hideMark/>
          </w:tcPr>
          <w:p w14:paraId="3F748436"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Competent in taking and documenting observations</w:t>
            </w:r>
          </w:p>
        </w:tc>
        <w:tc>
          <w:tcPr>
            <w:tcW w:w="2430" w:type="dxa"/>
            <w:vAlign w:val="center"/>
            <w:hideMark/>
          </w:tcPr>
          <w:p w14:paraId="7400D951"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Attend workshops, practice with peers</w:t>
            </w:r>
          </w:p>
        </w:tc>
        <w:tc>
          <w:tcPr>
            <w:tcW w:w="1384" w:type="dxa"/>
            <w:vAlign w:val="center"/>
            <w:hideMark/>
          </w:tcPr>
          <w:p w14:paraId="5F9DE020" w14:textId="51ED5E94"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 xml:space="preserve">Clinical </w:t>
            </w:r>
            <w:r w:rsidR="00A2762C" w:rsidRPr="000543BE">
              <w:rPr>
                <w:rFonts w:cs="Arial"/>
                <w:sz w:val="22"/>
                <w:szCs w:val="22"/>
                <w:lang w:val="en-GB"/>
              </w:rPr>
              <w:t>tutors’</w:t>
            </w:r>
            <w:r w:rsidRPr="000543BE">
              <w:rPr>
                <w:rFonts w:cs="Arial"/>
                <w:sz w:val="22"/>
                <w:szCs w:val="22"/>
                <w:lang w:val="en-GB"/>
              </w:rPr>
              <w:t xml:space="preserve"> supervision</w:t>
            </w:r>
          </w:p>
        </w:tc>
        <w:tc>
          <w:tcPr>
            <w:tcW w:w="0" w:type="auto"/>
            <w:vAlign w:val="center"/>
            <w:hideMark/>
          </w:tcPr>
          <w:p w14:paraId="46AC1473"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3 months</w:t>
            </w:r>
          </w:p>
        </w:tc>
      </w:tr>
      <w:tr w:rsidR="00EF10E3" w:rsidRPr="000543BE" w14:paraId="2A7B71CA" w14:textId="77777777" w:rsidTr="00A2762C">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60B96C70" w14:textId="77777777" w:rsidR="00EF10E3" w:rsidRPr="000543BE" w:rsidRDefault="00EF10E3" w:rsidP="00A2762C">
            <w:pPr>
              <w:spacing w:before="120" w:after="120"/>
              <w:jc w:val="left"/>
              <w:rPr>
                <w:rFonts w:cs="Arial"/>
                <w:b w:val="0"/>
                <w:bCs w:val="0"/>
                <w:sz w:val="22"/>
                <w:szCs w:val="22"/>
                <w:lang w:val="en-GB"/>
              </w:rPr>
            </w:pPr>
            <w:r w:rsidRPr="000543BE">
              <w:rPr>
                <w:rFonts w:cs="Arial"/>
                <w:sz w:val="22"/>
                <w:szCs w:val="22"/>
                <w:lang w:val="en-GB"/>
              </w:rPr>
              <w:t>Safeguarding Knowledge</w:t>
            </w:r>
          </w:p>
        </w:tc>
        <w:tc>
          <w:tcPr>
            <w:tcW w:w="1980" w:type="dxa"/>
            <w:vAlign w:val="center"/>
            <w:hideMark/>
          </w:tcPr>
          <w:p w14:paraId="4481F77A" w14:textId="77777777" w:rsidR="00EF10E3" w:rsidRPr="000543BE" w:rsidRDefault="00EF10E3" w:rsidP="00A2762C">
            <w:pPr>
              <w:spacing w:before="120" w:after="120"/>
              <w:jc w:val="left"/>
              <w:cnfStyle w:val="000000000000" w:firstRow="0" w:lastRow="0" w:firstColumn="0" w:lastColumn="0" w:oddVBand="0" w:evenVBand="0" w:oddHBand="0" w:evenHBand="0" w:firstRowFirstColumn="0" w:firstRowLastColumn="0" w:lastRowFirstColumn="0" w:lastRowLastColumn="0"/>
              <w:rPr>
                <w:rFonts w:cs="Arial"/>
                <w:sz w:val="22"/>
                <w:szCs w:val="22"/>
                <w:lang w:val="en-GB"/>
              </w:rPr>
            </w:pPr>
            <w:r w:rsidRPr="000543BE">
              <w:rPr>
                <w:rFonts w:cs="Arial"/>
                <w:sz w:val="22"/>
                <w:szCs w:val="22"/>
                <w:lang w:val="en-GB"/>
              </w:rPr>
              <w:t>Understanding safeguarding procedures</w:t>
            </w:r>
          </w:p>
        </w:tc>
        <w:tc>
          <w:tcPr>
            <w:tcW w:w="2430" w:type="dxa"/>
            <w:vAlign w:val="center"/>
            <w:hideMark/>
          </w:tcPr>
          <w:p w14:paraId="48FFE7A6" w14:textId="77777777" w:rsidR="00EF10E3" w:rsidRPr="000543BE" w:rsidRDefault="00EF10E3" w:rsidP="00A2762C">
            <w:pPr>
              <w:spacing w:before="120" w:after="120"/>
              <w:jc w:val="left"/>
              <w:cnfStyle w:val="000000000000" w:firstRow="0" w:lastRow="0" w:firstColumn="0" w:lastColumn="0" w:oddVBand="0" w:evenVBand="0" w:oddHBand="0" w:evenHBand="0" w:firstRowFirstColumn="0" w:firstRowLastColumn="0" w:lastRowFirstColumn="0" w:lastRowLastColumn="0"/>
              <w:rPr>
                <w:rFonts w:cs="Arial"/>
                <w:sz w:val="22"/>
                <w:szCs w:val="22"/>
                <w:lang w:val="en-GB"/>
              </w:rPr>
            </w:pPr>
            <w:r w:rsidRPr="000543BE">
              <w:rPr>
                <w:rFonts w:cs="Arial"/>
                <w:sz w:val="22"/>
                <w:szCs w:val="22"/>
                <w:lang w:val="en-GB"/>
              </w:rPr>
              <w:t>Complete online training, review case studies</w:t>
            </w:r>
          </w:p>
        </w:tc>
        <w:tc>
          <w:tcPr>
            <w:tcW w:w="1384" w:type="dxa"/>
            <w:vAlign w:val="center"/>
            <w:hideMark/>
          </w:tcPr>
          <w:p w14:paraId="1C66AD77" w14:textId="77777777" w:rsidR="00EF10E3" w:rsidRPr="000543BE" w:rsidRDefault="00EF10E3" w:rsidP="00A2762C">
            <w:pPr>
              <w:spacing w:before="120" w:after="120"/>
              <w:jc w:val="left"/>
              <w:cnfStyle w:val="000000000000" w:firstRow="0" w:lastRow="0" w:firstColumn="0" w:lastColumn="0" w:oddVBand="0" w:evenVBand="0" w:oddHBand="0" w:evenHBand="0" w:firstRowFirstColumn="0" w:firstRowLastColumn="0" w:lastRowFirstColumn="0" w:lastRowLastColumn="0"/>
              <w:rPr>
                <w:rFonts w:cs="Arial"/>
                <w:sz w:val="22"/>
                <w:szCs w:val="22"/>
                <w:lang w:val="en-GB"/>
              </w:rPr>
            </w:pPr>
            <w:r w:rsidRPr="000543BE">
              <w:rPr>
                <w:rFonts w:cs="Arial"/>
                <w:sz w:val="22"/>
                <w:szCs w:val="22"/>
                <w:lang w:val="en-GB"/>
              </w:rPr>
              <w:t>Access to mentor guidance</w:t>
            </w:r>
          </w:p>
        </w:tc>
        <w:tc>
          <w:tcPr>
            <w:tcW w:w="0" w:type="auto"/>
            <w:vAlign w:val="center"/>
            <w:hideMark/>
          </w:tcPr>
          <w:p w14:paraId="2A195FC2" w14:textId="77777777" w:rsidR="00EF10E3" w:rsidRPr="000543BE" w:rsidRDefault="00EF10E3" w:rsidP="00A2762C">
            <w:pPr>
              <w:spacing w:before="120" w:after="120"/>
              <w:jc w:val="left"/>
              <w:cnfStyle w:val="000000000000" w:firstRow="0" w:lastRow="0" w:firstColumn="0" w:lastColumn="0" w:oddVBand="0" w:evenVBand="0" w:oddHBand="0" w:evenHBand="0" w:firstRowFirstColumn="0" w:firstRowLastColumn="0" w:lastRowFirstColumn="0" w:lastRowLastColumn="0"/>
              <w:rPr>
                <w:rFonts w:cs="Arial"/>
                <w:sz w:val="22"/>
                <w:szCs w:val="22"/>
                <w:lang w:val="en-GB"/>
              </w:rPr>
            </w:pPr>
            <w:r w:rsidRPr="000543BE">
              <w:rPr>
                <w:rFonts w:cs="Arial"/>
                <w:sz w:val="22"/>
                <w:szCs w:val="22"/>
                <w:lang w:val="en-GB"/>
              </w:rPr>
              <w:t>2 months</w:t>
            </w:r>
          </w:p>
        </w:tc>
      </w:tr>
      <w:tr w:rsidR="00EF10E3" w:rsidRPr="000543BE" w14:paraId="5B147C54" w14:textId="77777777" w:rsidTr="00A276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5CC923D4" w14:textId="77777777" w:rsidR="00EF10E3" w:rsidRPr="000543BE" w:rsidRDefault="00EF10E3" w:rsidP="00A2762C">
            <w:pPr>
              <w:spacing w:before="120" w:after="120"/>
              <w:jc w:val="left"/>
              <w:rPr>
                <w:rFonts w:cs="Arial"/>
                <w:b w:val="0"/>
                <w:bCs w:val="0"/>
                <w:sz w:val="22"/>
                <w:szCs w:val="22"/>
                <w:lang w:val="en-GB"/>
              </w:rPr>
            </w:pPr>
            <w:r w:rsidRPr="000543BE">
              <w:rPr>
                <w:rFonts w:cs="Arial"/>
                <w:sz w:val="22"/>
                <w:szCs w:val="22"/>
                <w:lang w:val="en-GB"/>
              </w:rPr>
              <w:t>Emotional Resilience</w:t>
            </w:r>
          </w:p>
        </w:tc>
        <w:tc>
          <w:tcPr>
            <w:tcW w:w="1980" w:type="dxa"/>
            <w:vAlign w:val="center"/>
            <w:hideMark/>
          </w:tcPr>
          <w:p w14:paraId="2B7066DD"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Develop coping strategies</w:t>
            </w:r>
          </w:p>
        </w:tc>
        <w:tc>
          <w:tcPr>
            <w:tcW w:w="2430" w:type="dxa"/>
            <w:vAlign w:val="center"/>
            <w:hideMark/>
          </w:tcPr>
          <w:p w14:paraId="122706E0"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Reflective journaling, digital resilience programs</w:t>
            </w:r>
          </w:p>
        </w:tc>
        <w:tc>
          <w:tcPr>
            <w:tcW w:w="1384" w:type="dxa"/>
            <w:vAlign w:val="center"/>
            <w:hideMark/>
          </w:tcPr>
          <w:p w14:paraId="7E3F8A00"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Peer and lecturer support</w:t>
            </w:r>
          </w:p>
        </w:tc>
        <w:tc>
          <w:tcPr>
            <w:tcW w:w="0" w:type="auto"/>
            <w:vAlign w:val="center"/>
            <w:hideMark/>
          </w:tcPr>
          <w:p w14:paraId="669E1EE7"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Ongoing</w:t>
            </w:r>
          </w:p>
        </w:tc>
      </w:tr>
      <w:tr w:rsidR="00EF10E3" w:rsidRPr="000543BE" w14:paraId="13DA0F36" w14:textId="77777777" w:rsidTr="00A2762C">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3BF27862" w14:textId="77777777" w:rsidR="00EF10E3" w:rsidRPr="000543BE" w:rsidRDefault="00EF10E3" w:rsidP="00A2762C">
            <w:pPr>
              <w:spacing w:before="120" w:after="120"/>
              <w:jc w:val="left"/>
              <w:rPr>
                <w:rFonts w:cs="Arial"/>
                <w:b w:val="0"/>
                <w:bCs w:val="0"/>
                <w:sz w:val="22"/>
                <w:szCs w:val="22"/>
                <w:lang w:val="en-GB"/>
              </w:rPr>
            </w:pPr>
            <w:r w:rsidRPr="000543BE">
              <w:rPr>
                <w:rFonts w:cs="Arial"/>
                <w:sz w:val="22"/>
                <w:szCs w:val="22"/>
                <w:lang w:val="en-GB"/>
              </w:rPr>
              <w:t>Communication</w:t>
            </w:r>
          </w:p>
        </w:tc>
        <w:tc>
          <w:tcPr>
            <w:tcW w:w="1980" w:type="dxa"/>
            <w:vAlign w:val="center"/>
            <w:hideMark/>
          </w:tcPr>
          <w:p w14:paraId="60012795" w14:textId="77777777" w:rsidR="00EF10E3" w:rsidRPr="000543BE" w:rsidRDefault="00EF10E3" w:rsidP="00A2762C">
            <w:pPr>
              <w:spacing w:before="120" w:after="120"/>
              <w:jc w:val="left"/>
              <w:cnfStyle w:val="000000000000" w:firstRow="0" w:lastRow="0" w:firstColumn="0" w:lastColumn="0" w:oddVBand="0" w:evenVBand="0" w:oddHBand="0" w:evenHBand="0" w:firstRowFirstColumn="0" w:firstRowLastColumn="0" w:lastRowFirstColumn="0" w:lastRowLastColumn="0"/>
              <w:rPr>
                <w:rFonts w:cs="Arial"/>
                <w:sz w:val="22"/>
                <w:szCs w:val="22"/>
                <w:lang w:val="en-GB"/>
              </w:rPr>
            </w:pPr>
            <w:r w:rsidRPr="000543BE">
              <w:rPr>
                <w:rFonts w:cs="Arial"/>
                <w:sz w:val="22"/>
                <w:szCs w:val="22"/>
                <w:lang w:val="en-GB"/>
              </w:rPr>
              <w:t>Improve interprofessional communication</w:t>
            </w:r>
          </w:p>
        </w:tc>
        <w:tc>
          <w:tcPr>
            <w:tcW w:w="2430" w:type="dxa"/>
            <w:vAlign w:val="center"/>
            <w:hideMark/>
          </w:tcPr>
          <w:p w14:paraId="2758731F" w14:textId="77777777" w:rsidR="00EF10E3" w:rsidRPr="000543BE" w:rsidRDefault="00EF10E3" w:rsidP="00A2762C">
            <w:pPr>
              <w:spacing w:before="120" w:after="120"/>
              <w:jc w:val="left"/>
              <w:cnfStyle w:val="000000000000" w:firstRow="0" w:lastRow="0" w:firstColumn="0" w:lastColumn="0" w:oddVBand="0" w:evenVBand="0" w:oddHBand="0" w:evenHBand="0" w:firstRowFirstColumn="0" w:firstRowLastColumn="0" w:lastRowFirstColumn="0" w:lastRowLastColumn="0"/>
              <w:rPr>
                <w:rFonts w:cs="Arial"/>
                <w:sz w:val="22"/>
                <w:szCs w:val="22"/>
                <w:lang w:val="en-GB"/>
              </w:rPr>
            </w:pPr>
            <w:r w:rsidRPr="000543BE">
              <w:rPr>
                <w:rFonts w:cs="Arial"/>
                <w:sz w:val="22"/>
                <w:szCs w:val="22"/>
                <w:lang w:val="en-GB"/>
              </w:rPr>
              <w:t>Role-play handovers, practice structured communication tools</w:t>
            </w:r>
          </w:p>
        </w:tc>
        <w:tc>
          <w:tcPr>
            <w:tcW w:w="1384" w:type="dxa"/>
            <w:vAlign w:val="center"/>
            <w:hideMark/>
          </w:tcPr>
          <w:p w14:paraId="074526A2" w14:textId="77777777" w:rsidR="00EF10E3" w:rsidRPr="000543BE" w:rsidRDefault="00EF10E3" w:rsidP="00A2762C">
            <w:pPr>
              <w:spacing w:before="120" w:after="120"/>
              <w:jc w:val="left"/>
              <w:cnfStyle w:val="000000000000" w:firstRow="0" w:lastRow="0" w:firstColumn="0" w:lastColumn="0" w:oddVBand="0" w:evenVBand="0" w:oddHBand="0" w:evenHBand="0" w:firstRowFirstColumn="0" w:firstRowLastColumn="0" w:lastRowFirstColumn="0" w:lastRowLastColumn="0"/>
              <w:rPr>
                <w:rFonts w:cs="Arial"/>
                <w:sz w:val="22"/>
                <w:szCs w:val="22"/>
                <w:lang w:val="en-GB"/>
              </w:rPr>
            </w:pPr>
            <w:r w:rsidRPr="000543BE">
              <w:rPr>
                <w:rFonts w:cs="Arial"/>
                <w:sz w:val="22"/>
                <w:szCs w:val="22"/>
                <w:lang w:val="en-GB"/>
              </w:rPr>
              <w:t>Feedback from staff</w:t>
            </w:r>
          </w:p>
        </w:tc>
        <w:tc>
          <w:tcPr>
            <w:tcW w:w="0" w:type="auto"/>
            <w:vAlign w:val="center"/>
            <w:hideMark/>
          </w:tcPr>
          <w:p w14:paraId="02E7DB70" w14:textId="77777777" w:rsidR="00EF10E3" w:rsidRPr="000543BE" w:rsidRDefault="00EF10E3" w:rsidP="00A2762C">
            <w:pPr>
              <w:spacing w:before="120" w:after="120"/>
              <w:jc w:val="left"/>
              <w:cnfStyle w:val="000000000000" w:firstRow="0" w:lastRow="0" w:firstColumn="0" w:lastColumn="0" w:oddVBand="0" w:evenVBand="0" w:oddHBand="0" w:evenHBand="0" w:firstRowFirstColumn="0" w:firstRowLastColumn="0" w:lastRowFirstColumn="0" w:lastRowLastColumn="0"/>
              <w:rPr>
                <w:rFonts w:cs="Arial"/>
                <w:sz w:val="22"/>
                <w:szCs w:val="22"/>
                <w:lang w:val="en-GB"/>
              </w:rPr>
            </w:pPr>
            <w:r w:rsidRPr="000543BE">
              <w:rPr>
                <w:rFonts w:cs="Arial"/>
                <w:sz w:val="22"/>
                <w:szCs w:val="22"/>
                <w:lang w:val="en-GB"/>
              </w:rPr>
              <w:t>1–2 months</w:t>
            </w:r>
          </w:p>
        </w:tc>
      </w:tr>
      <w:tr w:rsidR="00EF10E3" w:rsidRPr="000543BE" w14:paraId="73450DF7" w14:textId="77777777" w:rsidTr="00A276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2F8654F3" w14:textId="77777777" w:rsidR="00EF10E3" w:rsidRPr="000543BE" w:rsidRDefault="00EF10E3" w:rsidP="00A2762C">
            <w:pPr>
              <w:spacing w:before="120" w:after="120"/>
              <w:jc w:val="left"/>
              <w:rPr>
                <w:rFonts w:cs="Arial"/>
                <w:b w:val="0"/>
                <w:bCs w:val="0"/>
                <w:sz w:val="22"/>
                <w:szCs w:val="22"/>
                <w:lang w:val="en-GB"/>
              </w:rPr>
            </w:pPr>
            <w:r w:rsidRPr="000543BE">
              <w:rPr>
                <w:rFonts w:cs="Arial"/>
                <w:sz w:val="22"/>
                <w:szCs w:val="22"/>
                <w:lang w:val="en-GB"/>
              </w:rPr>
              <w:t>Time Management</w:t>
            </w:r>
          </w:p>
        </w:tc>
        <w:tc>
          <w:tcPr>
            <w:tcW w:w="1980" w:type="dxa"/>
            <w:vAlign w:val="center"/>
            <w:hideMark/>
          </w:tcPr>
          <w:p w14:paraId="4F75BFF3"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Prioritise tasks efficiently</w:t>
            </w:r>
          </w:p>
        </w:tc>
        <w:tc>
          <w:tcPr>
            <w:tcW w:w="2430" w:type="dxa"/>
            <w:vAlign w:val="center"/>
            <w:hideMark/>
          </w:tcPr>
          <w:p w14:paraId="7351A6AA"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Shadow experienced HCAs, simulate shift planning</w:t>
            </w:r>
          </w:p>
        </w:tc>
        <w:tc>
          <w:tcPr>
            <w:tcW w:w="1384" w:type="dxa"/>
            <w:vAlign w:val="center"/>
            <w:hideMark/>
          </w:tcPr>
          <w:p w14:paraId="1E73BC59"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Supervisor support</w:t>
            </w:r>
          </w:p>
        </w:tc>
        <w:tc>
          <w:tcPr>
            <w:tcW w:w="0" w:type="auto"/>
            <w:vAlign w:val="center"/>
            <w:hideMark/>
          </w:tcPr>
          <w:p w14:paraId="590D6E15" w14:textId="77777777" w:rsidR="00EF10E3" w:rsidRPr="000543BE" w:rsidRDefault="00EF10E3" w:rsidP="00A2762C">
            <w:pPr>
              <w:spacing w:before="120" w:after="120"/>
              <w:jc w:val="left"/>
              <w:cnfStyle w:val="000000100000" w:firstRow="0" w:lastRow="0" w:firstColumn="0" w:lastColumn="0" w:oddVBand="0" w:evenVBand="0" w:oddHBand="1" w:evenHBand="0" w:firstRowFirstColumn="0" w:firstRowLastColumn="0" w:lastRowFirstColumn="0" w:lastRowLastColumn="0"/>
              <w:rPr>
                <w:rFonts w:cs="Arial"/>
                <w:sz w:val="22"/>
                <w:szCs w:val="22"/>
                <w:lang w:val="en-GB"/>
              </w:rPr>
            </w:pPr>
            <w:r w:rsidRPr="000543BE">
              <w:rPr>
                <w:rFonts w:cs="Arial"/>
                <w:sz w:val="22"/>
                <w:szCs w:val="22"/>
                <w:lang w:val="en-GB"/>
              </w:rPr>
              <w:t>During placement</w:t>
            </w:r>
          </w:p>
        </w:tc>
      </w:tr>
    </w:tbl>
    <w:p w14:paraId="3B35C3FA" w14:textId="2083378A" w:rsidR="00EF10E3" w:rsidRPr="00EF10E3" w:rsidRDefault="00EF10E3" w:rsidP="00A2762C">
      <w:pPr>
        <w:keepNext/>
        <w:spacing w:before="120" w:after="120"/>
        <w:jc w:val="center"/>
        <w:rPr>
          <w:rFonts w:cs="Arial"/>
          <w:color w:val="000000" w:themeColor="text1"/>
          <w:sz w:val="22"/>
          <w:szCs w:val="22"/>
          <w:lang w:val="en-GB"/>
        </w:rPr>
      </w:pPr>
      <w:r w:rsidRPr="00EF10E3">
        <w:rPr>
          <w:rFonts w:cs="Arial"/>
          <w:color w:val="000000" w:themeColor="text1"/>
          <w:sz w:val="22"/>
          <w:szCs w:val="22"/>
          <w:lang w:val="en-GB"/>
        </w:rPr>
        <w:t xml:space="preserve">Table </w:t>
      </w:r>
      <w:r w:rsidRPr="00EF10E3">
        <w:rPr>
          <w:rFonts w:cs="Arial"/>
          <w:color w:val="000000" w:themeColor="text1"/>
          <w:sz w:val="22"/>
          <w:szCs w:val="22"/>
          <w:lang w:val="en-GB"/>
        </w:rPr>
        <w:fldChar w:fldCharType="begin"/>
      </w:r>
      <w:r w:rsidRPr="00EF10E3">
        <w:rPr>
          <w:rFonts w:cs="Arial"/>
          <w:color w:val="000000" w:themeColor="text1"/>
          <w:sz w:val="22"/>
          <w:szCs w:val="22"/>
          <w:lang w:val="en-GB"/>
        </w:rPr>
        <w:instrText xml:space="preserve"> SEQ Table \* ARABIC </w:instrText>
      </w:r>
      <w:r w:rsidRPr="00EF10E3">
        <w:rPr>
          <w:rFonts w:cs="Arial"/>
          <w:color w:val="000000" w:themeColor="text1"/>
          <w:sz w:val="22"/>
          <w:szCs w:val="22"/>
          <w:lang w:val="en-GB"/>
        </w:rPr>
        <w:fldChar w:fldCharType="separate"/>
      </w:r>
      <w:r w:rsidRPr="00EF10E3">
        <w:rPr>
          <w:rFonts w:cs="Arial"/>
          <w:color w:val="000000" w:themeColor="text1"/>
          <w:sz w:val="22"/>
          <w:szCs w:val="22"/>
          <w:lang w:val="en-GB"/>
        </w:rPr>
        <w:t>1</w:t>
      </w:r>
      <w:r w:rsidRPr="00EF10E3">
        <w:rPr>
          <w:rFonts w:cs="Arial"/>
          <w:color w:val="000000" w:themeColor="text1"/>
          <w:sz w:val="22"/>
          <w:szCs w:val="22"/>
          <w:lang w:val="en-GB"/>
        </w:rPr>
        <w:fldChar w:fldCharType="end"/>
      </w:r>
      <w:r w:rsidRPr="00EF10E3">
        <w:rPr>
          <w:rFonts w:cs="Arial"/>
          <w:color w:val="000000" w:themeColor="text1"/>
          <w:sz w:val="22"/>
          <w:szCs w:val="22"/>
          <w:lang w:val="en-GB"/>
        </w:rPr>
        <w:t>:</w:t>
      </w:r>
      <w:r w:rsidR="00A2762C">
        <w:rPr>
          <w:rFonts w:cs="Arial"/>
          <w:color w:val="000000" w:themeColor="text1"/>
          <w:sz w:val="22"/>
          <w:szCs w:val="22"/>
          <w:lang w:val="en-GB"/>
        </w:rPr>
        <w:t xml:space="preserve"> </w:t>
      </w:r>
      <w:r w:rsidRPr="00EF10E3">
        <w:rPr>
          <w:rFonts w:cs="Arial"/>
          <w:color w:val="000000" w:themeColor="text1"/>
          <w:sz w:val="22"/>
          <w:szCs w:val="22"/>
          <w:lang w:val="en-GB"/>
        </w:rPr>
        <w:t>Personal Development Plan (PDP)</w:t>
      </w:r>
    </w:p>
    <w:p w14:paraId="18AC226B" w14:textId="3990BB51" w:rsidR="00A2762C" w:rsidRDefault="00EF10E3" w:rsidP="000543BE">
      <w:pPr>
        <w:rPr>
          <w:lang w:val="en-GB"/>
        </w:rPr>
      </w:pPr>
      <w:r w:rsidRPr="00EF10E3">
        <w:rPr>
          <w:lang w:val="en-GB"/>
        </w:rPr>
        <w:t xml:space="preserve">Simulation and inter-professional education are evidence-based ways of developing competence and teamwork (Alizadeh-Risani </w:t>
      </w:r>
      <w:r w:rsidR="009F362C" w:rsidRPr="009F362C">
        <w:rPr>
          <w:i/>
          <w:iCs/>
          <w:lang w:val="en-GB"/>
        </w:rPr>
        <w:t>et al</w:t>
      </w:r>
      <w:r w:rsidRPr="00EF10E3">
        <w:rPr>
          <w:lang w:val="en-GB"/>
        </w:rPr>
        <w:t>., 2024). Resilience Interventions Although staff wellbeing is improved, resilience interventions, such as workshops or reflecting and guided without peer</w:t>
      </w:r>
      <w:r w:rsidR="00B664CA">
        <w:rPr>
          <w:lang w:val="en-GB"/>
        </w:rPr>
        <w:t xml:space="preserve">. </w:t>
      </w:r>
      <w:r w:rsidRPr="00EF10E3">
        <w:rPr>
          <w:lang w:val="en-GB"/>
        </w:rPr>
        <w:t>Medication education and structured handover training can also contribute to enhancing patient safety</w:t>
      </w:r>
      <w:r w:rsidR="00DC2DD6">
        <w:rPr>
          <w:lang w:val="en-GB"/>
        </w:rPr>
        <w:t xml:space="preserve"> </w:t>
      </w:r>
      <w:r w:rsidR="00FC274B" w:rsidRPr="000543BE">
        <w:rPr>
          <w:rFonts w:cs="Arial"/>
          <w:lang w:val="en-GB"/>
        </w:rPr>
        <w:t xml:space="preserve">(Alizadeh-Risani </w:t>
      </w:r>
      <w:r w:rsidR="009F362C" w:rsidRPr="009F362C">
        <w:rPr>
          <w:rFonts w:cs="Arial"/>
          <w:i/>
          <w:iCs/>
          <w:lang w:val="en-GB"/>
        </w:rPr>
        <w:t>et al</w:t>
      </w:r>
      <w:r w:rsidR="00FC274B" w:rsidRPr="000543BE">
        <w:rPr>
          <w:rFonts w:cs="Arial"/>
          <w:lang w:val="en-GB"/>
        </w:rPr>
        <w:t>., 2024</w:t>
      </w:r>
      <w:r w:rsidR="00FC274B">
        <w:rPr>
          <w:rFonts w:cs="Arial"/>
          <w:lang w:val="en-GB"/>
        </w:rPr>
        <w:t>).</w:t>
      </w:r>
    </w:p>
    <w:p w14:paraId="620334C6" w14:textId="5311BB33" w:rsidR="00EF10E3" w:rsidRPr="00EF10E3" w:rsidRDefault="00A2762C" w:rsidP="00A2762C">
      <w:pPr>
        <w:spacing w:line="278" w:lineRule="auto"/>
        <w:jc w:val="left"/>
        <w:rPr>
          <w:rFonts w:cs="Arial"/>
          <w:sz w:val="22"/>
          <w:szCs w:val="22"/>
          <w:lang w:val="en-GB"/>
        </w:rPr>
      </w:pPr>
      <w:r>
        <w:rPr>
          <w:rFonts w:cs="Arial"/>
          <w:sz w:val="22"/>
          <w:szCs w:val="22"/>
          <w:lang w:val="en-GB"/>
        </w:rPr>
        <w:br w:type="page"/>
      </w:r>
    </w:p>
    <w:p w14:paraId="1EB1191F" w14:textId="77777777" w:rsidR="00EF10E3" w:rsidRPr="00EF10E3" w:rsidRDefault="00EF10E3" w:rsidP="00A2762C">
      <w:pPr>
        <w:pStyle w:val="Heading2"/>
        <w:rPr>
          <w:lang w:val="en-GB"/>
        </w:rPr>
      </w:pPr>
      <w:bookmarkStart w:id="5" w:name="_Toc214613890"/>
      <w:r w:rsidRPr="00EF10E3">
        <w:rPr>
          <w:lang w:val="en-GB"/>
        </w:rPr>
        <w:lastRenderedPageBreak/>
        <w:t>Preparation for Interview Questions and Planned Responses</w:t>
      </w:r>
      <w:bookmarkEnd w:id="5"/>
    </w:p>
    <w:p w14:paraId="0B1D8139" w14:textId="38AA528D" w:rsidR="00EF10E3" w:rsidRPr="00EF10E3" w:rsidRDefault="00EF10E3" w:rsidP="000543BE">
      <w:pPr>
        <w:rPr>
          <w:lang w:val="en-GB"/>
        </w:rPr>
      </w:pPr>
      <w:r w:rsidRPr="00EF10E3">
        <w:rPr>
          <w:lang w:val="en-GB"/>
        </w:rPr>
        <w:t xml:space="preserve">A common Healthcare Assistant interviewing question will be, why do I want to work within the role? I would explain that I want to have direct support to patients and make a notable impact in their day-to-day lives. Volunteering has taught me how important it is to be compassionate in caring for patients to make a difference in their wellbeing (Ahmad </w:t>
      </w:r>
      <w:r w:rsidR="009F362C" w:rsidRPr="009F362C">
        <w:rPr>
          <w:i/>
          <w:iCs/>
          <w:lang w:val="en-GB"/>
        </w:rPr>
        <w:t>et al</w:t>
      </w:r>
      <w:r w:rsidRPr="00EF10E3">
        <w:rPr>
          <w:lang w:val="en-GB"/>
        </w:rPr>
        <w:t xml:space="preserve">., 2025; Baskin and Bartlett, 2021). </w:t>
      </w:r>
    </w:p>
    <w:p w14:paraId="05F31BB6" w14:textId="694BD260" w:rsidR="00EF10E3" w:rsidRPr="00EF10E3" w:rsidRDefault="00EF10E3" w:rsidP="000543BE">
      <w:pPr>
        <w:rPr>
          <w:lang w:val="en-GB"/>
        </w:rPr>
      </w:pPr>
      <w:r w:rsidRPr="00EF10E3">
        <w:rPr>
          <w:lang w:val="en-GB"/>
        </w:rPr>
        <w:t>Interviewers usually ask for examples of good communication. During group work, I coordinated the tasks, made sure that everything was clear, and assisted those members that were struggling with their responsibilities. This experience helped improve my communication, active listening and problem-solving skills, which are directly applicable to patient care (</w:t>
      </w:r>
      <w:r w:rsidR="007876F9" w:rsidRPr="007876F9">
        <w:rPr>
          <w:lang w:val="en-GB"/>
        </w:rPr>
        <w:t>Abdullah</w:t>
      </w:r>
      <w:r w:rsidR="009F362C">
        <w:rPr>
          <w:lang w:val="en-GB"/>
        </w:rPr>
        <w:t xml:space="preserve"> </w:t>
      </w:r>
      <w:r w:rsidR="007876F9" w:rsidRPr="007876F9">
        <w:rPr>
          <w:lang w:val="en-GB"/>
        </w:rPr>
        <w:t xml:space="preserve">&amp; </w:t>
      </w:r>
      <w:proofErr w:type="spellStart"/>
      <w:r w:rsidR="007876F9" w:rsidRPr="007876F9">
        <w:rPr>
          <w:lang w:val="en-GB"/>
        </w:rPr>
        <w:t>Ruslan</w:t>
      </w:r>
      <w:proofErr w:type="spellEnd"/>
      <w:r w:rsidR="007876F9" w:rsidRPr="007876F9">
        <w:rPr>
          <w:lang w:val="en-GB"/>
        </w:rPr>
        <w:t>, 2024</w:t>
      </w:r>
      <w:r w:rsidRPr="00EF10E3">
        <w:rPr>
          <w:lang w:val="en-GB"/>
        </w:rPr>
        <w:t xml:space="preserve">; </w:t>
      </w:r>
      <w:proofErr w:type="spellStart"/>
      <w:r w:rsidRPr="00EF10E3">
        <w:rPr>
          <w:lang w:val="en-GB"/>
        </w:rPr>
        <w:t>Atinga</w:t>
      </w:r>
      <w:proofErr w:type="spellEnd"/>
      <w:r w:rsidRPr="00EF10E3">
        <w:rPr>
          <w:lang w:val="en-GB"/>
        </w:rPr>
        <w:t xml:space="preserve"> </w:t>
      </w:r>
      <w:r w:rsidR="009F362C" w:rsidRPr="009F362C">
        <w:rPr>
          <w:i/>
          <w:iCs/>
          <w:lang w:val="en-GB"/>
        </w:rPr>
        <w:t>et al</w:t>
      </w:r>
      <w:r w:rsidRPr="00EF10E3">
        <w:rPr>
          <w:lang w:val="en-GB"/>
        </w:rPr>
        <w:t xml:space="preserve">., 2024). </w:t>
      </w:r>
    </w:p>
    <w:p w14:paraId="5A7ACAD7" w14:textId="5FD232A3" w:rsidR="00EF10E3" w:rsidRPr="00EF10E3" w:rsidRDefault="00EF10E3" w:rsidP="000543BE">
      <w:pPr>
        <w:rPr>
          <w:lang w:val="en-GB"/>
        </w:rPr>
      </w:pPr>
      <w:r w:rsidRPr="00EF10E3">
        <w:rPr>
          <w:lang w:val="en-GB"/>
        </w:rPr>
        <w:t xml:space="preserve">Another common question is how do I deal with a difficult situation with a patient. I would stay calm, listen empathetically, validate their feelings and negotiate a suitable solution. If required, I would escalate to senior staff following safeguarding protocols as I would want to maintain the patient's dignity and safety (Ball </w:t>
      </w:r>
      <w:r w:rsidR="009F362C" w:rsidRPr="009F362C">
        <w:rPr>
          <w:i/>
          <w:iCs/>
          <w:lang w:val="en-GB"/>
        </w:rPr>
        <w:t>et al</w:t>
      </w:r>
      <w:r w:rsidRPr="00EF10E3">
        <w:rPr>
          <w:lang w:val="en-GB"/>
        </w:rPr>
        <w:t xml:space="preserve">., 2024; Chambers </w:t>
      </w:r>
      <w:r w:rsidR="009F362C" w:rsidRPr="009F362C">
        <w:rPr>
          <w:i/>
          <w:iCs/>
          <w:lang w:val="en-GB"/>
        </w:rPr>
        <w:t>et al</w:t>
      </w:r>
      <w:r w:rsidRPr="00EF10E3">
        <w:rPr>
          <w:lang w:val="en-GB"/>
        </w:rPr>
        <w:t xml:space="preserve">., 2021; Kwame and </w:t>
      </w:r>
      <w:proofErr w:type="spellStart"/>
      <w:r w:rsidRPr="00EF10E3">
        <w:rPr>
          <w:lang w:val="en-GB"/>
        </w:rPr>
        <w:t>Petrucka</w:t>
      </w:r>
      <w:proofErr w:type="spellEnd"/>
      <w:r w:rsidRPr="00EF10E3">
        <w:rPr>
          <w:lang w:val="en-GB"/>
        </w:rPr>
        <w:t>, 2021).</w:t>
      </w:r>
    </w:p>
    <w:p w14:paraId="56EFD13D" w14:textId="77777777" w:rsidR="00626B84" w:rsidRPr="00626B84" w:rsidRDefault="00626B84" w:rsidP="00626B84">
      <w:pPr>
        <w:pStyle w:val="Heading1"/>
        <w:rPr>
          <w:lang w:eastAsia="zh-CN" w:bidi="bn-IN"/>
        </w:rPr>
      </w:pPr>
      <w:bookmarkStart w:id="6" w:name="_Toc214613891"/>
      <w:r w:rsidRPr="00626B84">
        <w:rPr>
          <w:lang w:eastAsia="zh-CN" w:bidi="bn-IN"/>
        </w:rPr>
        <w:t>Essential Skill for Effective Practice in Health and Social Care</w:t>
      </w:r>
      <w:bookmarkEnd w:id="6"/>
    </w:p>
    <w:p w14:paraId="13FCACF1" w14:textId="187440B8" w:rsidR="00EF10E3" w:rsidRPr="00EF10E3" w:rsidRDefault="00EF10E3" w:rsidP="000543BE">
      <w:pPr>
        <w:rPr>
          <w:lang w:val="en-GB"/>
        </w:rPr>
      </w:pPr>
      <w:r w:rsidRPr="00EF10E3">
        <w:rPr>
          <w:lang w:val="en-GB"/>
        </w:rPr>
        <w:t xml:space="preserve">Critical thinking and reflective practice are key skills in the field of health and social care, and they can help staff members to make informed decisions, evaluate their actions, and continually improve the quality of care they provide. These skills are important in supporting safe practice, improving professional judgement, ensuring care is person-centred and evidence-based. </w:t>
      </w:r>
      <w:r w:rsidR="005571A5" w:rsidRPr="00A2762C">
        <w:rPr>
          <w:rFonts w:cs="Arial"/>
          <w:color w:val="000000" w:themeColor="text1"/>
        </w:rPr>
        <w:t>Schön</w:t>
      </w:r>
      <w:r w:rsidRPr="00EF10E3">
        <w:rPr>
          <w:lang w:val="en-GB"/>
        </w:rPr>
        <w:t xml:space="preserve"> (1992) is clear about reflective practitioners in that they constantly consider their actions within the complex environments is also very clear in that examining underlying assumptions enhances professional learning. Together the practice of critical thinking and reflection forms the basis for safe, effective, and accountable practice of healthcare. </w:t>
      </w:r>
    </w:p>
    <w:p w14:paraId="5F834CA6" w14:textId="3C589241" w:rsidR="00EF10E3" w:rsidRPr="00EF10E3" w:rsidRDefault="00EF10E3" w:rsidP="000543BE">
      <w:pPr>
        <w:rPr>
          <w:lang w:val="en-GB"/>
        </w:rPr>
      </w:pPr>
      <w:r w:rsidRPr="00EF10E3">
        <w:rPr>
          <w:lang w:val="en-GB"/>
        </w:rPr>
        <w:t xml:space="preserve">Nicol and Macfarlane-Dick (2006) explain that analytical thinking helps to improve self-regulated decision-making, which allows practitioners to evaluate evidence and look for inconsistencies. Similarly, Whittington </w:t>
      </w:r>
      <w:r w:rsidR="009F362C" w:rsidRPr="009F362C">
        <w:rPr>
          <w:i/>
          <w:iCs/>
          <w:lang w:val="en-GB"/>
        </w:rPr>
        <w:t>et al</w:t>
      </w:r>
      <w:r w:rsidRPr="00EF10E3">
        <w:rPr>
          <w:lang w:val="en-GB"/>
        </w:rPr>
        <w:t xml:space="preserve">. (2019) emphasise thinking in a structured strategic manner as a way to assure informed and evidence-based judgement. These perspectives illustrate that critical thinking enables staff to challenge assumptions made, validate information and use accurate and relevant information as a foundation for decisions - a key requirement to work in fast-paced clinical environments. </w:t>
      </w:r>
    </w:p>
    <w:p w14:paraId="4B2077DC" w14:textId="77777777" w:rsidR="00EF10E3" w:rsidRPr="00EF10E3" w:rsidRDefault="00EF10E3" w:rsidP="000543BE">
      <w:pPr>
        <w:rPr>
          <w:lang w:val="en-GB"/>
        </w:rPr>
      </w:pPr>
      <w:r w:rsidRPr="00EF10E3">
        <w:rPr>
          <w:lang w:val="en-GB"/>
        </w:rPr>
        <w:t>Gibbs reflective cycle is still one of the most popular cycles used in health education because of its clarity and systematic stages of analysis (Gibbs, 1988). Moon (2013) also believes that reflection contributes to the development of professional knowledge as it allows learners to make meaningful connections between theory and practice. Research by Husebo, O'Regan and Nestel (2015) also shows that reflective processes enhance learning during clinical simulations by helping staff to evaluate their behaviours and emotional responses. Through continuous reflection healthcare workers enhance self-awareness, modify their communication approach and enhance person centredness of their practice.</w:t>
      </w:r>
    </w:p>
    <w:p w14:paraId="37A320EB" w14:textId="7F203BAC" w:rsidR="00EF10E3" w:rsidRPr="00EF10E3" w:rsidRDefault="00EF10E3" w:rsidP="000543BE">
      <w:pPr>
        <w:rPr>
          <w:lang w:val="en-GB"/>
        </w:rPr>
      </w:pPr>
      <w:r w:rsidRPr="00EF10E3">
        <w:rPr>
          <w:lang w:val="en-GB"/>
        </w:rPr>
        <w:t>Teamwork in health and social care is also reliant on great critical thinking and reflective skills. Effective collaboration takes information, correct interpretation, recogni</w:t>
      </w:r>
      <w:r w:rsidR="00626B84" w:rsidRPr="00626B84">
        <w:rPr>
          <w:lang w:val="en-GB"/>
        </w:rPr>
        <w:t>s</w:t>
      </w:r>
      <w:r w:rsidRPr="00EF10E3">
        <w:rPr>
          <w:lang w:val="en-GB"/>
        </w:rPr>
        <w:t xml:space="preserve">ing differences of opinion, and constructive interactions in decision-making. McLaney </w:t>
      </w:r>
      <w:r w:rsidR="009F362C" w:rsidRPr="009F362C">
        <w:rPr>
          <w:i/>
          <w:iCs/>
          <w:lang w:val="en-GB"/>
        </w:rPr>
        <w:t>et al</w:t>
      </w:r>
      <w:r w:rsidRPr="00EF10E3">
        <w:rPr>
          <w:lang w:val="en-GB"/>
        </w:rPr>
        <w:t xml:space="preserve">. (2022) show that interprofessional teamwork is enhanced when staff participate in reflective dialogue and evidence analytical competence when conversing in a clinical setting. Reflective practice aids in team learning as individual team members analyse team performance with respect to communication patterns and team problem solving processes. </w:t>
      </w:r>
    </w:p>
    <w:p w14:paraId="0832A3BA" w14:textId="77777777" w:rsidR="00EF10E3" w:rsidRPr="00EF10E3" w:rsidRDefault="00EF10E3" w:rsidP="000543BE">
      <w:pPr>
        <w:rPr>
          <w:lang w:val="en-GB"/>
        </w:rPr>
      </w:pPr>
      <w:r w:rsidRPr="00EF10E3">
        <w:rPr>
          <w:lang w:val="en-GB"/>
        </w:rPr>
        <w:t xml:space="preserve">Safeguarding is again an area where critical thinking and reflection are important. Healthcare professionals need to acknowledge signs of abuse, take risks seriously and follow suitable reporting procedures. Fragkos (2016) is keen to highlight the strengths of being more aware of subtle behavioural cues and being able to objectively evaluate safeguarding concerns and as reflective practitioners. Critical evaluation of information will help staff avoid bias, while reflective thinking helps them to understand the emotional, relations and context in which they make decisions. Together, these skills promote correct, ethical and timely safeguarding actions. </w:t>
      </w:r>
    </w:p>
    <w:p w14:paraId="19BFCD92" w14:textId="77777777" w:rsidR="00EF10E3" w:rsidRPr="00EF10E3" w:rsidRDefault="00EF10E3" w:rsidP="000543BE">
      <w:pPr>
        <w:rPr>
          <w:lang w:val="en-GB"/>
        </w:rPr>
      </w:pPr>
      <w:r w:rsidRPr="00EF10E3">
        <w:rPr>
          <w:lang w:val="en-GB"/>
        </w:rPr>
        <w:t xml:space="preserve">Furthermore, critical thinking and reflection play an important role in an emotional resilience - an underlying competence of the frontline healthcare staff. NHS England's (2024) Long Term Workforce Plan emphasises the importance of building resilience and reflecting on burnout and reflection in supporting staff wellbeing. Reflective learning helps practitioners to analyse their emotional responses, as well as explore their stress triggers and build more effective coping strategies (Moon, 2013). This is a continuous process that aids staff in remaining professional during trying situations and ensures that patient care is also compassionate and safe. </w:t>
      </w:r>
    </w:p>
    <w:p w14:paraId="6542F0E2" w14:textId="53214AF7" w:rsidR="00EF10E3" w:rsidRPr="00EF10E3" w:rsidRDefault="00EF10E3" w:rsidP="000543BE">
      <w:pPr>
        <w:rPr>
          <w:lang w:val="en-GB"/>
        </w:rPr>
      </w:pPr>
      <w:r w:rsidRPr="00EF10E3">
        <w:rPr>
          <w:lang w:val="en-GB"/>
        </w:rPr>
        <w:t xml:space="preserve">In conclusion, critical thinking and reflection is an essential aspect of effective, safe, and compassionate healthcare practice. They are conducive to high quality decision making, improving patient safety, team-working and safeguarding responsibilities, and developing emotional resilience. By participating in reflective practice and being very analytical, health care workers are able to continually improve their competence and be able to contribute to the overall effectiveness of health and social care services. </w:t>
      </w:r>
    </w:p>
    <w:p w14:paraId="5F767D28" w14:textId="77777777" w:rsidR="00386EFF" w:rsidRPr="00EF10E3" w:rsidRDefault="00CD2A78" w:rsidP="00715D7F">
      <w:pPr>
        <w:pStyle w:val="Heading1"/>
        <w:rPr>
          <w:rFonts w:ascii="Times New Roman" w:hAnsi="Times New Roman" w:cs="Times New Roman"/>
          <w:sz w:val="22"/>
          <w:szCs w:val="22"/>
        </w:rPr>
      </w:pPr>
      <w:bookmarkStart w:id="7" w:name="_Toc214613892"/>
      <w:r w:rsidRPr="00EF10E3">
        <w:t xml:space="preserve">Reflective Practice: </w:t>
      </w:r>
      <w:r w:rsidRPr="00A2762C">
        <w:t>Setting</w:t>
      </w:r>
      <w:r w:rsidRPr="00EF10E3">
        <w:t xml:space="preserve"> the Scene</w:t>
      </w:r>
      <w:bookmarkEnd w:id="7"/>
    </w:p>
    <w:p w14:paraId="5FAC475D" w14:textId="77777777" w:rsidR="00EF10E3" w:rsidRPr="00EF10E3" w:rsidRDefault="00EF10E3" w:rsidP="000543BE">
      <w:pPr>
        <w:rPr>
          <w:b/>
          <w:bCs/>
          <w:lang w:val="en-GB"/>
        </w:rPr>
      </w:pPr>
      <w:r w:rsidRPr="00EF10E3">
        <w:rPr>
          <w:lang w:val="en-GB"/>
        </w:rPr>
        <w:t>Reflective practise is key to health and social care education as it ensures a stronger sense of self-awareness and enhances personal growth and professional competency. The ERA model (Experience-Reflection- Action) helps learners to analyse performance, evaluate meaning and plan improve. This structured approach also promotes emotional resilience and wellbeing for the healthcare professionals (London, Sessa and Shelley, 2023).</w:t>
      </w:r>
    </w:p>
    <w:p w14:paraId="3AC83A6B" w14:textId="77777777" w:rsidR="00A2762C" w:rsidRDefault="00EF10E3" w:rsidP="00A2762C">
      <w:pPr>
        <w:pStyle w:val="Heading2"/>
        <w:rPr>
          <w:bCs/>
          <w:lang w:val="en-GB"/>
        </w:rPr>
      </w:pPr>
      <w:bookmarkStart w:id="8" w:name="_Toc214613893"/>
      <w:r w:rsidRPr="00EF10E3">
        <w:rPr>
          <w:bCs/>
          <w:lang w:val="en-GB"/>
        </w:rPr>
        <w:t>Experience</w:t>
      </w:r>
      <w:bookmarkEnd w:id="8"/>
    </w:p>
    <w:p w14:paraId="6F3AA0D6" w14:textId="551BFB5C" w:rsidR="00EF10E3" w:rsidRPr="00EF10E3" w:rsidRDefault="00EF10E3" w:rsidP="00A2762C">
      <w:pPr>
        <w:rPr>
          <w:b/>
          <w:bCs/>
          <w:lang w:val="en-GB"/>
        </w:rPr>
      </w:pPr>
      <w:r w:rsidRPr="00EF10E3">
        <w:rPr>
          <w:lang w:val="en-GB"/>
        </w:rPr>
        <w:t>My presentation was about a personal SWOT analysis about my strengths, weaknesses, opportunities and threats related to my educational development. I found strengths such as hands-on experience working with children, communication skills, the ability to manage time and a passion for helping others. This type of experience is in line with the growing demand in early years and care environments</w:t>
      </w:r>
      <w:r w:rsidR="00715D7F">
        <w:rPr>
          <w:lang w:val="en-GB"/>
        </w:rPr>
        <w:t xml:space="preserve"> </w:t>
      </w:r>
      <w:r w:rsidR="00715D7F" w:rsidRPr="00EF10E3">
        <w:rPr>
          <w:lang w:val="en-GB"/>
        </w:rPr>
        <w:t>(</w:t>
      </w:r>
      <w:proofErr w:type="spellStart"/>
      <w:r w:rsidR="00715D7F" w:rsidRPr="00EF10E3">
        <w:rPr>
          <w:lang w:val="en-GB"/>
        </w:rPr>
        <w:t>Puyt</w:t>
      </w:r>
      <w:proofErr w:type="spellEnd"/>
      <w:r w:rsidR="00715D7F" w:rsidRPr="00EF10E3">
        <w:rPr>
          <w:lang w:val="en-GB"/>
        </w:rPr>
        <w:t xml:space="preserve">, Lie and </w:t>
      </w:r>
      <w:proofErr w:type="spellStart"/>
      <w:r w:rsidR="00715D7F" w:rsidRPr="00EF10E3">
        <w:rPr>
          <w:lang w:val="en-GB"/>
        </w:rPr>
        <w:t>Wilderom</w:t>
      </w:r>
      <w:proofErr w:type="spellEnd"/>
      <w:r w:rsidR="00715D7F" w:rsidRPr="00EF10E3">
        <w:rPr>
          <w:lang w:val="en-GB"/>
        </w:rPr>
        <w:t xml:space="preserve">, 2023). </w:t>
      </w:r>
      <w:r w:rsidR="00715D7F">
        <w:rPr>
          <w:lang w:val="en-GB"/>
        </w:rPr>
        <w:t xml:space="preserve"> </w:t>
      </w:r>
      <w:r w:rsidRPr="00EF10E3">
        <w:rPr>
          <w:lang w:val="en-GB"/>
        </w:rPr>
        <w:t>My weaknesses were low levels of higher education experience, lack of confidence in academic writing, low exposure to other sectors in care and issues with digital learning platforms. There were opportunities including academic support at UWTSD (2025), pathways to progress to health and social care degree and good labour-market opportunities within sector (Morgan, 2025). My lecturer's feedback indicated my strong structure and clearly explained, but with a need for deeper discussion of weaknesses as well as more critical and clearer fit with professional</w:t>
      </w:r>
      <w:r w:rsidRPr="00EF10E3">
        <w:rPr>
          <w:b/>
          <w:bCs/>
          <w:lang w:val="en-GB"/>
        </w:rPr>
        <w:t xml:space="preserve"> </w:t>
      </w:r>
      <w:r w:rsidRPr="00EF10E3">
        <w:rPr>
          <w:lang w:val="en-GB"/>
        </w:rPr>
        <w:t>expectations.</w:t>
      </w:r>
    </w:p>
    <w:p w14:paraId="39EC87CA" w14:textId="77777777" w:rsidR="00A2762C" w:rsidRDefault="00EF10E3" w:rsidP="00A2762C">
      <w:pPr>
        <w:pStyle w:val="Heading2"/>
        <w:rPr>
          <w:lang w:val="en-GB"/>
        </w:rPr>
      </w:pPr>
      <w:bookmarkStart w:id="9" w:name="_Toc214613894"/>
      <w:r w:rsidRPr="00EF10E3">
        <w:rPr>
          <w:lang w:val="en-GB"/>
        </w:rPr>
        <w:t>Reflection</w:t>
      </w:r>
      <w:bookmarkEnd w:id="9"/>
    </w:p>
    <w:p w14:paraId="37391AB8" w14:textId="5A8FB1E8" w:rsidR="00EF10E3" w:rsidRPr="00EF10E3" w:rsidRDefault="00EF10E3" w:rsidP="00A2762C">
      <w:pPr>
        <w:rPr>
          <w:lang w:val="en-GB"/>
        </w:rPr>
      </w:pPr>
      <w:r w:rsidRPr="00EF10E3">
        <w:rPr>
          <w:lang w:val="en-GB"/>
        </w:rPr>
        <w:t xml:space="preserve">Critically reflecting on the experience, I recognise that my confidence to explain real life practise supported effective communication - an essential skill for HCAs because they need to build relationships with service users, including those with complex needs (Pereira </w:t>
      </w:r>
      <w:r w:rsidR="009F362C" w:rsidRPr="009F362C">
        <w:rPr>
          <w:i/>
          <w:iCs/>
          <w:lang w:val="en-GB"/>
        </w:rPr>
        <w:t>et al</w:t>
      </w:r>
      <w:r w:rsidRPr="00EF10E3">
        <w:rPr>
          <w:lang w:val="en-GB"/>
        </w:rPr>
        <w:t>., 2022). My good presentation delivery is reflected in the strength in communication identified in my SWOT analysis. However, the presentation was not deeply analysed in terms of critical evaluation. While I recognised lack of academic experience as one of the weaknesses, I did not make a complete link to the academic demands leading to healthcare-related work becoming increasingly demanding in relation to degree-level study choice (</w:t>
      </w:r>
      <w:proofErr w:type="spellStart"/>
      <w:r w:rsidRPr="00EF10E3">
        <w:rPr>
          <w:lang w:val="en-GB"/>
        </w:rPr>
        <w:t>Puyt</w:t>
      </w:r>
      <w:proofErr w:type="spellEnd"/>
      <w:r w:rsidRPr="00EF10E3">
        <w:rPr>
          <w:lang w:val="en-GB"/>
        </w:rPr>
        <w:t xml:space="preserve">, Lie and </w:t>
      </w:r>
      <w:proofErr w:type="spellStart"/>
      <w:r w:rsidRPr="00EF10E3">
        <w:rPr>
          <w:lang w:val="en-GB"/>
        </w:rPr>
        <w:t>Wilderom</w:t>
      </w:r>
      <w:proofErr w:type="spellEnd"/>
      <w:r w:rsidRPr="00EF10E3">
        <w:rPr>
          <w:lang w:val="en-GB"/>
        </w:rPr>
        <w:t>, 2023). Literature further suggests that professional growth in care roles calls for proactive engagement with learning and development (Duval and Wicklund, 1972), which could have been emphasised more clearly by myself</w:t>
      </w:r>
      <w:r w:rsidR="00715D7F">
        <w:rPr>
          <w:lang w:val="en-GB"/>
        </w:rPr>
        <w:t xml:space="preserve">. </w:t>
      </w:r>
      <w:r w:rsidRPr="00EF10E3">
        <w:rPr>
          <w:lang w:val="en-GB"/>
        </w:rPr>
        <w:t>Research shows that environments that are characterised by high pressure often expose care staff early in their careers to stress and emotional fatigue (Morgan, 2025). Emotionally, I felt good about the positive feedback and bad about the limited critical depth. However, reflecting on practice means acknowledging such discomfort as the source of growth which supports long-term resilience (London, Sessa and Shelley, 2023).</w:t>
      </w:r>
    </w:p>
    <w:p w14:paraId="56686199" w14:textId="77777777" w:rsidR="00A2762C" w:rsidRDefault="00EF10E3" w:rsidP="00A2762C">
      <w:pPr>
        <w:pStyle w:val="Heading2"/>
        <w:rPr>
          <w:lang w:val="en-GB"/>
        </w:rPr>
      </w:pPr>
      <w:bookmarkStart w:id="10" w:name="_Toc214613895"/>
      <w:r w:rsidRPr="00EF10E3">
        <w:rPr>
          <w:lang w:val="en-GB"/>
        </w:rPr>
        <w:t>Action</w:t>
      </w:r>
      <w:bookmarkEnd w:id="10"/>
    </w:p>
    <w:p w14:paraId="24C2CAC1" w14:textId="2ED25735" w:rsidR="00EF10E3" w:rsidRPr="00EF10E3" w:rsidRDefault="00EF10E3" w:rsidP="00A2762C">
      <w:pPr>
        <w:rPr>
          <w:lang w:val="en-GB"/>
        </w:rPr>
      </w:pPr>
      <w:r w:rsidRPr="00EF10E3">
        <w:rPr>
          <w:lang w:val="en-GB"/>
        </w:rPr>
        <w:t xml:space="preserve">To better my future presentations, I will critically analyse by making connexions between personal experiences and academic literature and professional frameworks. I will rely on sources such as </w:t>
      </w:r>
      <w:proofErr w:type="spellStart"/>
      <w:r w:rsidRPr="00EF10E3">
        <w:rPr>
          <w:lang w:val="en-GB"/>
        </w:rPr>
        <w:t>Puyt</w:t>
      </w:r>
      <w:proofErr w:type="spellEnd"/>
      <w:r w:rsidRPr="00EF10E3">
        <w:rPr>
          <w:lang w:val="en-GB"/>
        </w:rPr>
        <w:t xml:space="preserve">, Lie and </w:t>
      </w:r>
      <w:proofErr w:type="spellStart"/>
      <w:r w:rsidRPr="00EF10E3">
        <w:rPr>
          <w:lang w:val="en-GB"/>
        </w:rPr>
        <w:t>Wilderom</w:t>
      </w:r>
      <w:proofErr w:type="spellEnd"/>
      <w:r w:rsidRPr="00EF10E3">
        <w:rPr>
          <w:lang w:val="en-GB"/>
        </w:rPr>
        <w:t xml:space="preserve"> (2023) in order to offer enhanced analysis as opposed to description. I will also be rehearsing more often to increase fluency. In line with development recommendations for HCAs in diverse environments, I will also seek placements outside of childcare, to expanding the range of settings in which I work around children- in care homes or a community support setting. Finally, I will use strategic planning approaches, such as SMART goals, to monitor progress. This is in line with leadership development principles that focus on structured learning and reflective development (Duval and Wicklund, 1972). Through these actions I will be able to continue building the skills and confidence in working in health and social care.</w:t>
      </w:r>
    </w:p>
    <w:p w14:paraId="5FE913A5" w14:textId="77777777" w:rsidR="00386EFF" w:rsidRPr="00EF10E3" w:rsidRDefault="00CD2A78" w:rsidP="00A2762C">
      <w:pPr>
        <w:pStyle w:val="Heading1"/>
        <w:numPr>
          <w:ilvl w:val="0"/>
          <w:numId w:val="0"/>
        </w:numPr>
        <w:ind w:left="432" w:hanging="432"/>
      </w:pPr>
      <w:bookmarkStart w:id="11" w:name="_Toc214613896"/>
      <w:r w:rsidRPr="00EF10E3">
        <w:t>Conclusion</w:t>
      </w:r>
      <w:bookmarkEnd w:id="11"/>
    </w:p>
    <w:p w14:paraId="10FD1BE8" w14:textId="24C152A9" w:rsidR="000543BE" w:rsidRDefault="00EF10E3" w:rsidP="00EF10E3">
      <w:pPr>
        <w:rPr>
          <w:b/>
          <w:bCs/>
          <w:lang w:val="en-GB"/>
        </w:rPr>
      </w:pPr>
      <w:r w:rsidRPr="00EF10E3">
        <w:rPr>
          <w:lang w:val="en-GB"/>
        </w:rPr>
        <w:t>In summary, developing into a competent Health Care Assistant requires strong communication, teamwork, safeguarding awareness, emotional resilience, and a commitment to continuous learning. Through critical thinking, structured reflection, and targeted development activities, I am building the skills and confidence necessary for safe, effective, and compassionate practice. By following my PDP and engaging with reflective models, I will continue to grow professionally and contribute positively to health and social care settings.</w:t>
      </w:r>
    </w:p>
    <w:p w14:paraId="278CD0B9" w14:textId="77777777" w:rsidR="000543BE" w:rsidRDefault="000543BE">
      <w:pPr>
        <w:spacing w:line="278" w:lineRule="auto"/>
        <w:jc w:val="left"/>
        <w:rPr>
          <w:b/>
          <w:bCs/>
          <w:lang w:val="en-GB"/>
        </w:rPr>
      </w:pPr>
      <w:r>
        <w:rPr>
          <w:b/>
          <w:bCs/>
          <w:lang w:val="en-GB"/>
        </w:rPr>
        <w:br w:type="page"/>
      </w:r>
    </w:p>
    <w:p w14:paraId="7563CB21" w14:textId="77777777" w:rsidR="00EF10E3" w:rsidRDefault="00EF10E3" w:rsidP="000543BE">
      <w:pPr>
        <w:pStyle w:val="Heading1"/>
        <w:numPr>
          <w:ilvl w:val="0"/>
          <w:numId w:val="0"/>
        </w:numPr>
        <w:rPr>
          <w:lang w:val="en-GB"/>
        </w:rPr>
      </w:pPr>
      <w:bookmarkStart w:id="12" w:name="_Toc214613897"/>
      <w:r w:rsidRPr="00EF10E3">
        <w:rPr>
          <w:lang w:val="en-GB"/>
        </w:rPr>
        <w:t>References</w:t>
      </w:r>
      <w:bookmarkEnd w:id="12"/>
    </w:p>
    <w:p w14:paraId="2DF89715" w14:textId="77777777" w:rsidR="009F362C" w:rsidRPr="009F362C" w:rsidRDefault="009F362C" w:rsidP="009F362C">
      <w:pPr>
        <w:jc w:val="left"/>
        <w:rPr>
          <w:color w:val="000000" w:themeColor="text1"/>
        </w:rPr>
      </w:pPr>
      <w:r w:rsidRPr="009F362C">
        <w:rPr>
          <w:color w:val="000000" w:themeColor="text1"/>
        </w:rPr>
        <w:t xml:space="preserve">Abdullah, S.N.D. and Ruslan, R. (2024) ‘A review of communication and patient safety’, </w:t>
      </w:r>
      <w:r w:rsidRPr="009F362C">
        <w:rPr>
          <w:i/>
          <w:iCs/>
          <w:color w:val="000000" w:themeColor="text1"/>
        </w:rPr>
        <w:t>International Journal of Care Scholars</w:t>
      </w:r>
      <w:r w:rsidRPr="009F362C">
        <w:rPr>
          <w:color w:val="000000" w:themeColor="text1"/>
        </w:rPr>
        <w:t xml:space="preserve">, 7(1). Available at: </w:t>
      </w:r>
      <w:hyperlink r:id="rId8" w:tgtFrame="_new" w:history="1">
        <w:r w:rsidRPr="009F362C">
          <w:rPr>
            <w:rStyle w:val="Hyperlink"/>
            <w:color w:val="000000" w:themeColor="text1"/>
            <w:u w:val="none"/>
          </w:rPr>
          <w:t>https://doi.org/10.31436/ijcs.v7i1.344</w:t>
        </w:r>
      </w:hyperlink>
    </w:p>
    <w:p w14:paraId="34C8CA22" w14:textId="4F561325" w:rsidR="009F362C" w:rsidRPr="009F362C" w:rsidRDefault="009F362C" w:rsidP="009F362C">
      <w:pPr>
        <w:jc w:val="left"/>
        <w:rPr>
          <w:color w:val="000000" w:themeColor="text1"/>
        </w:rPr>
      </w:pPr>
      <w:r w:rsidRPr="009F362C">
        <w:rPr>
          <w:color w:val="000000" w:themeColor="text1"/>
        </w:rPr>
        <w:t xml:space="preserve">Ahmad, B. </w:t>
      </w:r>
      <w:r w:rsidRPr="009F362C">
        <w:rPr>
          <w:i/>
          <w:iCs/>
          <w:color w:val="000000" w:themeColor="text1"/>
        </w:rPr>
        <w:t>et al</w:t>
      </w:r>
      <w:r w:rsidRPr="009F362C">
        <w:rPr>
          <w:color w:val="000000" w:themeColor="text1"/>
        </w:rPr>
        <w:t xml:space="preserve">. (2025) ‘Coping strategies and resilient behaviour among frontline healthcare workers: a scoping review’, </w:t>
      </w:r>
      <w:r w:rsidRPr="009F362C">
        <w:rPr>
          <w:i/>
          <w:iCs/>
          <w:color w:val="000000" w:themeColor="text1"/>
        </w:rPr>
        <w:t>Dialogues in Health</w:t>
      </w:r>
      <w:r w:rsidRPr="009F362C">
        <w:rPr>
          <w:color w:val="000000" w:themeColor="text1"/>
        </w:rPr>
        <w:t xml:space="preserve">, p. 100252. Available at: </w:t>
      </w:r>
      <w:hyperlink r:id="rId9" w:tgtFrame="_new" w:history="1">
        <w:r w:rsidRPr="009F362C">
          <w:rPr>
            <w:rStyle w:val="Hyperlink"/>
            <w:color w:val="000000" w:themeColor="text1"/>
            <w:u w:val="none"/>
          </w:rPr>
          <w:t>https://doi.org/10.1016/j.dialog.2025.100252</w:t>
        </w:r>
      </w:hyperlink>
    </w:p>
    <w:p w14:paraId="15FF5B76" w14:textId="2FE751C0" w:rsidR="009F362C" w:rsidRPr="009F362C" w:rsidRDefault="009F362C" w:rsidP="009F362C">
      <w:pPr>
        <w:jc w:val="left"/>
        <w:rPr>
          <w:color w:val="000000" w:themeColor="text1"/>
        </w:rPr>
      </w:pPr>
      <w:r w:rsidRPr="009F362C">
        <w:rPr>
          <w:color w:val="000000" w:themeColor="text1"/>
        </w:rPr>
        <w:t xml:space="preserve">Alizadeh-Risani, A., </w:t>
      </w:r>
      <w:proofErr w:type="spellStart"/>
      <w:r w:rsidRPr="009F362C">
        <w:rPr>
          <w:color w:val="000000" w:themeColor="text1"/>
        </w:rPr>
        <w:t>Mohammadkhah</w:t>
      </w:r>
      <w:proofErr w:type="spellEnd"/>
      <w:r w:rsidRPr="009F362C">
        <w:rPr>
          <w:color w:val="000000" w:themeColor="text1"/>
        </w:rPr>
        <w:t xml:space="preserve">, F., Pourhabib, A. </w:t>
      </w:r>
      <w:r w:rsidRPr="009F362C">
        <w:rPr>
          <w:i/>
          <w:iCs/>
          <w:color w:val="000000" w:themeColor="text1"/>
        </w:rPr>
        <w:t>et al</w:t>
      </w:r>
      <w:r w:rsidRPr="009F362C">
        <w:rPr>
          <w:color w:val="000000" w:themeColor="text1"/>
        </w:rPr>
        <w:t xml:space="preserve">. (2024) ‘Comparison of the SBAR method and modified handover model on handover quality and nurse perception in the emergency department: a quasi-experimental study’, </w:t>
      </w:r>
      <w:r w:rsidRPr="009F362C">
        <w:rPr>
          <w:i/>
          <w:iCs/>
          <w:color w:val="000000" w:themeColor="text1"/>
        </w:rPr>
        <w:t>BMC Nursing</w:t>
      </w:r>
      <w:r w:rsidRPr="009F362C">
        <w:rPr>
          <w:color w:val="000000" w:themeColor="text1"/>
        </w:rPr>
        <w:t xml:space="preserve">, 23, p. 585. Available at: </w:t>
      </w:r>
      <w:hyperlink r:id="rId10" w:tgtFrame="_new" w:history="1">
        <w:r w:rsidRPr="009F362C">
          <w:rPr>
            <w:rStyle w:val="Hyperlink"/>
            <w:color w:val="000000" w:themeColor="text1"/>
            <w:u w:val="none"/>
          </w:rPr>
          <w:t>https://doi.org/10.1186/s12912-024-02266-4</w:t>
        </w:r>
      </w:hyperlink>
    </w:p>
    <w:p w14:paraId="006480EF" w14:textId="78EEB289" w:rsidR="009F362C" w:rsidRPr="009F362C" w:rsidRDefault="009F362C" w:rsidP="009F362C">
      <w:pPr>
        <w:jc w:val="left"/>
        <w:rPr>
          <w:color w:val="000000" w:themeColor="text1"/>
        </w:rPr>
      </w:pPr>
      <w:r w:rsidRPr="009F362C">
        <w:rPr>
          <w:color w:val="000000" w:themeColor="text1"/>
          <w:lang w:val="nl-NL"/>
        </w:rPr>
        <w:t xml:space="preserve">Atinga, R.A. </w:t>
      </w:r>
      <w:r w:rsidRPr="009F362C">
        <w:rPr>
          <w:i/>
          <w:iCs/>
          <w:color w:val="000000" w:themeColor="text1"/>
          <w:lang w:val="nl-NL"/>
        </w:rPr>
        <w:t>et al</w:t>
      </w:r>
      <w:r w:rsidRPr="009F362C">
        <w:rPr>
          <w:color w:val="000000" w:themeColor="text1"/>
          <w:lang w:val="nl-NL"/>
        </w:rPr>
        <w:t xml:space="preserve">. </w:t>
      </w:r>
      <w:r w:rsidRPr="009F362C">
        <w:rPr>
          <w:color w:val="000000" w:themeColor="text1"/>
        </w:rPr>
        <w:t xml:space="preserve">(2024) ‘“It’s the patient that suffers from poor communication”: analysing communication gaps and associated consequences in handover events from nurses’ experiences’, </w:t>
      </w:r>
      <w:r w:rsidRPr="009F362C">
        <w:rPr>
          <w:i/>
          <w:iCs/>
          <w:color w:val="000000" w:themeColor="text1"/>
        </w:rPr>
        <w:t>SSM – Qualitative Research in Health</w:t>
      </w:r>
      <w:r w:rsidRPr="009F362C">
        <w:rPr>
          <w:color w:val="000000" w:themeColor="text1"/>
        </w:rPr>
        <w:t xml:space="preserve">, 6(100482). Available at: </w:t>
      </w:r>
      <w:hyperlink r:id="rId11" w:tgtFrame="_new" w:history="1">
        <w:r w:rsidRPr="009F362C">
          <w:rPr>
            <w:rStyle w:val="Hyperlink"/>
            <w:color w:val="000000" w:themeColor="text1"/>
            <w:u w:val="none"/>
          </w:rPr>
          <w:t>https://doi.org/10.1016/j.ssmqr.2024.100482</w:t>
        </w:r>
      </w:hyperlink>
    </w:p>
    <w:p w14:paraId="2AB2F3BE" w14:textId="77777777" w:rsidR="009F362C" w:rsidRPr="009F362C" w:rsidRDefault="009F362C" w:rsidP="009F362C">
      <w:pPr>
        <w:jc w:val="left"/>
        <w:rPr>
          <w:color w:val="000000" w:themeColor="text1"/>
        </w:rPr>
      </w:pPr>
      <w:r w:rsidRPr="009F362C">
        <w:rPr>
          <w:color w:val="000000" w:themeColor="text1"/>
        </w:rPr>
        <w:t xml:space="preserve">Ball, E.J., McElwee, J.D. and McManus, M.A. (2024) ‘Multi-agency safeguarding: from everyone’s responsibility to a collective responsibility’, </w:t>
      </w:r>
      <w:r w:rsidRPr="009F362C">
        <w:rPr>
          <w:i/>
          <w:iCs/>
          <w:color w:val="000000" w:themeColor="text1"/>
        </w:rPr>
        <w:t>Journal of Community Safety and Well-being</w:t>
      </w:r>
      <w:r w:rsidRPr="009F362C">
        <w:rPr>
          <w:color w:val="000000" w:themeColor="text1"/>
        </w:rPr>
        <w:t xml:space="preserve">, 9(2), pp. 104–108. Available at: </w:t>
      </w:r>
      <w:hyperlink r:id="rId12" w:tgtFrame="_new" w:history="1">
        <w:r w:rsidRPr="009F362C">
          <w:rPr>
            <w:rStyle w:val="Hyperlink"/>
            <w:color w:val="000000" w:themeColor="text1"/>
            <w:u w:val="none"/>
          </w:rPr>
          <w:t>https://doi.org/10.35502/jcswb.371</w:t>
        </w:r>
      </w:hyperlink>
    </w:p>
    <w:p w14:paraId="2E3D8C3A" w14:textId="77777777" w:rsidR="009F362C" w:rsidRPr="009F362C" w:rsidRDefault="009F362C" w:rsidP="009F362C">
      <w:pPr>
        <w:jc w:val="left"/>
        <w:rPr>
          <w:color w:val="000000" w:themeColor="text1"/>
        </w:rPr>
      </w:pPr>
      <w:r w:rsidRPr="009F362C">
        <w:rPr>
          <w:color w:val="000000" w:themeColor="text1"/>
        </w:rPr>
        <w:t xml:space="preserve">Baskin, R.G. and Bartlett, R. (2021) ‘Healthcare worker resilience during the COVID-19 pandemic: an integrative review’, </w:t>
      </w:r>
      <w:r w:rsidRPr="009F362C">
        <w:rPr>
          <w:i/>
          <w:iCs/>
          <w:color w:val="000000" w:themeColor="text1"/>
        </w:rPr>
        <w:t>Journal of Nursing Management</w:t>
      </w:r>
      <w:r w:rsidRPr="009F362C">
        <w:rPr>
          <w:color w:val="000000" w:themeColor="text1"/>
        </w:rPr>
        <w:t xml:space="preserve">, 29(8). Available at: </w:t>
      </w:r>
      <w:hyperlink r:id="rId13" w:tgtFrame="_new" w:history="1">
        <w:r w:rsidRPr="009F362C">
          <w:rPr>
            <w:rStyle w:val="Hyperlink"/>
            <w:color w:val="000000" w:themeColor="text1"/>
            <w:u w:val="none"/>
          </w:rPr>
          <w:t>https://doi.org/10.1111/jonm.13395</w:t>
        </w:r>
      </w:hyperlink>
    </w:p>
    <w:p w14:paraId="0A396AE2" w14:textId="77777777" w:rsidR="009F362C" w:rsidRPr="009F362C" w:rsidRDefault="009F362C" w:rsidP="009F362C">
      <w:pPr>
        <w:jc w:val="left"/>
        <w:rPr>
          <w:color w:val="000000" w:themeColor="text1"/>
        </w:rPr>
      </w:pPr>
      <w:r w:rsidRPr="009F362C">
        <w:rPr>
          <w:color w:val="000000" w:themeColor="text1"/>
        </w:rPr>
        <w:t xml:space="preserve">Chambers, D., Cantrell, A. and Booth, A. (2021) ‘Recognition of risk and prevention in safeguarding of children and young people: a mapping review and component analysis of service development interventions aimed at health and social care professionals’, </w:t>
      </w:r>
      <w:r w:rsidRPr="009F362C">
        <w:rPr>
          <w:i/>
          <w:iCs/>
          <w:color w:val="000000" w:themeColor="text1"/>
        </w:rPr>
        <w:t>BMC Health Services Research</w:t>
      </w:r>
      <w:r w:rsidRPr="009F362C">
        <w:rPr>
          <w:color w:val="000000" w:themeColor="text1"/>
        </w:rPr>
        <w:t xml:space="preserve">, 21(1). Available at: </w:t>
      </w:r>
      <w:hyperlink r:id="rId14" w:tgtFrame="_new" w:history="1">
        <w:r w:rsidRPr="009F362C">
          <w:rPr>
            <w:rStyle w:val="Hyperlink"/>
            <w:color w:val="000000" w:themeColor="text1"/>
            <w:u w:val="none"/>
          </w:rPr>
          <w:t>https://doi.org/10.1186/s12913-021-07257-8</w:t>
        </w:r>
      </w:hyperlink>
    </w:p>
    <w:p w14:paraId="57C62376" w14:textId="77777777" w:rsidR="009F362C" w:rsidRPr="009F362C" w:rsidRDefault="009F362C" w:rsidP="009F362C">
      <w:pPr>
        <w:jc w:val="left"/>
        <w:rPr>
          <w:color w:val="000000" w:themeColor="text1"/>
        </w:rPr>
      </w:pPr>
      <w:r w:rsidRPr="009F362C">
        <w:rPr>
          <w:color w:val="000000" w:themeColor="text1"/>
        </w:rPr>
        <w:t xml:space="preserve">Duval, S. and Wicklund, R.A. (1972) </w:t>
      </w:r>
      <w:r w:rsidRPr="009F362C">
        <w:rPr>
          <w:i/>
          <w:iCs/>
          <w:color w:val="000000" w:themeColor="text1"/>
        </w:rPr>
        <w:t>A Theory of Objective Self Awareness</w:t>
      </w:r>
      <w:r w:rsidRPr="009F362C">
        <w:rPr>
          <w:color w:val="000000" w:themeColor="text1"/>
        </w:rPr>
        <w:t>. Academic Press.</w:t>
      </w:r>
    </w:p>
    <w:p w14:paraId="674B4B05" w14:textId="77777777" w:rsidR="009F362C" w:rsidRPr="009F362C" w:rsidRDefault="009F362C" w:rsidP="009F362C">
      <w:pPr>
        <w:jc w:val="left"/>
        <w:rPr>
          <w:color w:val="000000" w:themeColor="text1"/>
        </w:rPr>
      </w:pPr>
      <w:r w:rsidRPr="009F362C">
        <w:rPr>
          <w:color w:val="000000" w:themeColor="text1"/>
        </w:rPr>
        <w:t xml:space="preserve">Fragkos, K. (2016) ‘Reflective practice in healthcare education: an umbrella review’, </w:t>
      </w:r>
      <w:r w:rsidRPr="009F362C">
        <w:rPr>
          <w:i/>
          <w:iCs/>
          <w:color w:val="000000" w:themeColor="text1"/>
        </w:rPr>
        <w:t>Education Sciences</w:t>
      </w:r>
      <w:r w:rsidRPr="009F362C">
        <w:rPr>
          <w:color w:val="000000" w:themeColor="text1"/>
        </w:rPr>
        <w:t xml:space="preserve">, 6(4), p. 27. Available at: </w:t>
      </w:r>
      <w:hyperlink r:id="rId15" w:tgtFrame="_new" w:history="1">
        <w:r w:rsidRPr="009F362C">
          <w:rPr>
            <w:rStyle w:val="Hyperlink"/>
            <w:color w:val="000000" w:themeColor="text1"/>
            <w:u w:val="none"/>
          </w:rPr>
          <w:t>https://doi.org/10.3390/educsci6030027</w:t>
        </w:r>
      </w:hyperlink>
    </w:p>
    <w:p w14:paraId="4E89E0E6" w14:textId="254849A0" w:rsidR="009F362C" w:rsidRPr="009F362C" w:rsidRDefault="009F362C" w:rsidP="009F362C">
      <w:pPr>
        <w:jc w:val="left"/>
        <w:rPr>
          <w:color w:val="000000" w:themeColor="text1"/>
        </w:rPr>
      </w:pPr>
      <w:r w:rsidRPr="009F362C">
        <w:rPr>
          <w:color w:val="000000" w:themeColor="text1"/>
        </w:rPr>
        <w:t xml:space="preserve">George, N., Warshawsky, N. and Doucette, J. (2024) ‘Nursing resilience: an evidence-based approach’, </w:t>
      </w:r>
      <w:r w:rsidRPr="009F362C">
        <w:rPr>
          <w:i/>
          <w:iCs/>
          <w:color w:val="000000" w:themeColor="text1"/>
        </w:rPr>
        <w:t>JONA: The Journal of Nursing Administration</w:t>
      </w:r>
      <w:r w:rsidRPr="009F362C">
        <w:rPr>
          <w:color w:val="000000" w:themeColor="text1"/>
        </w:rPr>
        <w:t>, 54(10). Available at: https://doi.org/10.1097/NNA.0000000000001488</w:t>
      </w:r>
    </w:p>
    <w:p w14:paraId="1A85A87B" w14:textId="77777777" w:rsidR="009F362C" w:rsidRPr="009F362C" w:rsidRDefault="009F362C" w:rsidP="009F362C">
      <w:pPr>
        <w:jc w:val="left"/>
        <w:rPr>
          <w:color w:val="000000" w:themeColor="text1"/>
        </w:rPr>
      </w:pPr>
      <w:r w:rsidRPr="009F362C">
        <w:rPr>
          <w:color w:val="000000" w:themeColor="text1"/>
        </w:rPr>
        <w:t xml:space="preserve">Gibbs, G. (1988) </w:t>
      </w:r>
      <w:r w:rsidRPr="009F362C">
        <w:rPr>
          <w:i/>
          <w:iCs/>
          <w:color w:val="000000" w:themeColor="text1"/>
        </w:rPr>
        <w:t>Learning by Doing</w:t>
      </w:r>
      <w:r w:rsidRPr="009F362C">
        <w:rPr>
          <w:color w:val="000000" w:themeColor="text1"/>
        </w:rPr>
        <w:t>. Oxford Brookes University.</w:t>
      </w:r>
    </w:p>
    <w:p w14:paraId="149D30C2" w14:textId="382FBE5B" w:rsidR="009F362C" w:rsidRPr="009F362C" w:rsidRDefault="009F362C" w:rsidP="009F362C">
      <w:pPr>
        <w:jc w:val="left"/>
        <w:rPr>
          <w:color w:val="000000" w:themeColor="text1"/>
        </w:rPr>
      </w:pPr>
      <w:r w:rsidRPr="009F362C">
        <w:rPr>
          <w:color w:val="000000" w:themeColor="text1"/>
        </w:rPr>
        <w:t>Huseb</w:t>
      </w:r>
      <w:r>
        <w:rPr>
          <w:color w:val="000000" w:themeColor="text1"/>
        </w:rPr>
        <w:t>o</w:t>
      </w:r>
      <w:r w:rsidRPr="009F362C">
        <w:rPr>
          <w:color w:val="000000" w:themeColor="text1"/>
        </w:rPr>
        <w:t xml:space="preserve">, S.E., O’Regan, S. and Nestel, D. (2015) ‘Reflective practice and its role in simulation’, </w:t>
      </w:r>
      <w:r w:rsidRPr="009F362C">
        <w:rPr>
          <w:i/>
          <w:iCs/>
          <w:color w:val="000000" w:themeColor="text1"/>
        </w:rPr>
        <w:t>Clinical Simulation in Nursing</w:t>
      </w:r>
      <w:r w:rsidRPr="009F362C">
        <w:rPr>
          <w:color w:val="000000" w:themeColor="text1"/>
        </w:rPr>
        <w:t xml:space="preserve">, 11(8), pp. 368–375. Available at: </w:t>
      </w:r>
      <w:hyperlink r:id="rId16" w:tgtFrame="_new" w:history="1">
        <w:r w:rsidRPr="009F362C">
          <w:rPr>
            <w:rStyle w:val="Hyperlink"/>
            <w:color w:val="000000" w:themeColor="text1"/>
            <w:u w:val="none"/>
          </w:rPr>
          <w:t>https://doi.org/10.1016/j.ecns.2015.04.005</w:t>
        </w:r>
      </w:hyperlink>
    </w:p>
    <w:p w14:paraId="6D642D2F" w14:textId="6752BC69" w:rsidR="009F362C" w:rsidRPr="009F362C" w:rsidRDefault="009F362C" w:rsidP="009F362C">
      <w:pPr>
        <w:jc w:val="left"/>
        <w:rPr>
          <w:color w:val="000000" w:themeColor="text1"/>
        </w:rPr>
      </w:pPr>
      <w:r w:rsidRPr="009F362C">
        <w:rPr>
          <w:color w:val="000000" w:themeColor="text1"/>
        </w:rPr>
        <w:t xml:space="preserve">Janes, G. </w:t>
      </w:r>
      <w:r w:rsidRPr="009F362C">
        <w:rPr>
          <w:i/>
          <w:iCs/>
          <w:color w:val="000000" w:themeColor="text1"/>
        </w:rPr>
        <w:t>et al</w:t>
      </w:r>
      <w:r w:rsidRPr="009F362C">
        <w:rPr>
          <w:color w:val="000000" w:themeColor="text1"/>
        </w:rPr>
        <w:t xml:space="preserve">. (2021) ‘The association between health care staff engagement and patient safety outcomes’, </w:t>
      </w:r>
      <w:r w:rsidRPr="009F362C">
        <w:rPr>
          <w:i/>
          <w:iCs/>
          <w:color w:val="000000" w:themeColor="text1"/>
        </w:rPr>
        <w:t>Journal of Patient Safety</w:t>
      </w:r>
      <w:r w:rsidRPr="009F362C">
        <w:rPr>
          <w:color w:val="000000" w:themeColor="text1"/>
        </w:rPr>
        <w:t>, Publish Ahead of Print</w:t>
      </w:r>
      <w:r>
        <w:rPr>
          <w:color w:val="000000" w:themeColor="text1"/>
        </w:rPr>
        <w:t xml:space="preserve"> </w:t>
      </w:r>
      <w:r w:rsidRPr="009F362C">
        <w:rPr>
          <w:color w:val="000000" w:themeColor="text1"/>
        </w:rPr>
        <w:t xml:space="preserve">(3). Available at: </w:t>
      </w:r>
      <w:hyperlink r:id="rId17" w:tgtFrame="_new" w:history="1">
        <w:r w:rsidRPr="009F362C">
          <w:rPr>
            <w:rStyle w:val="Hyperlink"/>
            <w:color w:val="000000" w:themeColor="text1"/>
            <w:u w:val="none"/>
          </w:rPr>
          <w:t>https://doi.org/10.1097/PTS.0000000000000807</w:t>
        </w:r>
      </w:hyperlink>
    </w:p>
    <w:p w14:paraId="37265272" w14:textId="304E1A5A" w:rsidR="009F362C" w:rsidRPr="009F362C" w:rsidRDefault="009F362C" w:rsidP="009F362C">
      <w:pPr>
        <w:jc w:val="left"/>
        <w:rPr>
          <w:color w:val="000000" w:themeColor="text1"/>
        </w:rPr>
      </w:pPr>
      <w:proofErr w:type="spellStart"/>
      <w:r w:rsidRPr="009F362C">
        <w:rPr>
          <w:color w:val="000000" w:themeColor="text1"/>
        </w:rPr>
        <w:t>Khatooni</w:t>
      </w:r>
      <w:proofErr w:type="spellEnd"/>
      <w:r w:rsidRPr="009F362C">
        <w:rPr>
          <w:color w:val="000000" w:themeColor="text1"/>
        </w:rPr>
        <w:t xml:space="preserve">, M. </w:t>
      </w:r>
      <w:r w:rsidRPr="009F362C">
        <w:rPr>
          <w:i/>
          <w:iCs/>
          <w:color w:val="000000" w:themeColor="text1"/>
        </w:rPr>
        <w:t>et al</w:t>
      </w:r>
      <w:r w:rsidRPr="009F362C">
        <w:rPr>
          <w:color w:val="000000" w:themeColor="text1"/>
        </w:rPr>
        <w:t xml:space="preserve">. (2023) ‘Resilience of first-line nurses during adaptation to the COVID-19 pandemic: a grounded theory study’, </w:t>
      </w:r>
      <w:r w:rsidRPr="009F362C">
        <w:rPr>
          <w:i/>
          <w:iCs/>
          <w:color w:val="000000" w:themeColor="text1"/>
        </w:rPr>
        <w:t>Japan Journal of Nursing Science: JJNS</w:t>
      </w:r>
      <w:r w:rsidRPr="009F362C">
        <w:rPr>
          <w:color w:val="000000" w:themeColor="text1"/>
        </w:rPr>
        <w:t xml:space="preserve">, 20(4), p. e12548. Available at: </w:t>
      </w:r>
      <w:hyperlink r:id="rId18" w:tgtFrame="_new" w:history="1">
        <w:r w:rsidRPr="009F362C">
          <w:rPr>
            <w:rStyle w:val="Hyperlink"/>
            <w:color w:val="000000" w:themeColor="text1"/>
            <w:u w:val="none"/>
          </w:rPr>
          <w:t>https://doi.org/10.1111/jjns.12548</w:t>
        </w:r>
      </w:hyperlink>
    </w:p>
    <w:p w14:paraId="5435A852" w14:textId="77777777" w:rsidR="009F362C" w:rsidRPr="009F362C" w:rsidRDefault="009F362C" w:rsidP="009F362C">
      <w:pPr>
        <w:jc w:val="left"/>
        <w:rPr>
          <w:color w:val="000000" w:themeColor="text1"/>
        </w:rPr>
      </w:pPr>
      <w:r w:rsidRPr="009F362C">
        <w:rPr>
          <w:color w:val="000000" w:themeColor="text1"/>
        </w:rPr>
        <w:t xml:space="preserve">Kwame, A. and </w:t>
      </w:r>
      <w:proofErr w:type="spellStart"/>
      <w:r w:rsidRPr="009F362C">
        <w:rPr>
          <w:color w:val="000000" w:themeColor="text1"/>
        </w:rPr>
        <w:t>Petrucka</w:t>
      </w:r>
      <w:proofErr w:type="spellEnd"/>
      <w:r w:rsidRPr="009F362C">
        <w:rPr>
          <w:color w:val="000000" w:themeColor="text1"/>
        </w:rPr>
        <w:t xml:space="preserve">, P. (2021) ‘A literature-based study of patient-centred care and communication in nurse-patient interactions: barriers, facilitators, and the way forward’, </w:t>
      </w:r>
      <w:r w:rsidRPr="009F362C">
        <w:rPr>
          <w:i/>
          <w:iCs/>
          <w:color w:val="000000" w:themeColor="text1"/>
        </w:rPr>
        <w:t>BMC Nursing</w:t>
      </w:r>
      <w:r w:rsidRPr="009F362C">
        <w:rPr>
          <w:color w:val="000000" w:themeColor="text1"/>
        </w:rPr>
        <w:t xml:space="preserve">, 20(158), pp. 1–10. Available at: </w:t>
      </w:r>
      <w:hyperlink r:id="rId19" w:tgtFrame="_new" w:history="1">
        <w:r w:rsidRPr="009F362C">
          <w:rPr>
            <w:rStyle w:val="Hyperlink"/>
            <w:color w:val="000000" w:themeColor="text1"/>
            <w:u w:val="none"/>
          </w:rPr>
          <w:t>https://doi.org/10.1186/s12912-021-00684-2</w:t>
        </w:r>
      </w:hyperlink>
    </w:p>
    <w:p w14:paraId="29872184" w14:textId="56999CDB" w:rsidR="009F362C" w:rsidRPr="009F362C" w:rsidRDefault="009F362C" w:rsidP="009F362C">
      <w:pPr>
        <w:jc w:val="left"/>
        <w:rPr>
          <w:color w:val="000000" w:themeColor="text1"/>
        </w:rPr>
      </w:pPr>
      <w:r w:rsidRPr="009F362C">
        <w:rPr>
          <w:color w:val="000000" w:themeColor="text1"/>
        </w:rPr>
        <w:t xml:space="preserve">Larsson, M. </w:t>
      </w:r>
      <w:r w:rsidRPr="009F362C">
        <w:rPr>
          <w:i/>
          <w:iCs/>
          <w:color w:val="000000" w:themeColor="text1"/>
        </w:rPr>
        <w:t>et al</w:t>
      </w:r>
      <w:r w:rsidRPr="009F362C">
        <w:rPr>
          <w:color w:val="000000" w:themeColor="text1"/>
        </w:rPr>
        <w:t xml:space="preserve">. (2025) ‘Digital resilience interventions for healthcare workers: a systematic review’, </w:t>
      </w:r>
      <w:r w:rsidRPr="009F362C">
        <w:rPr>
          <w:i/>
          <w:iCs/>
          <w:color w:val="000000" w:themeColor="text1"/>
        </w:rPr>
        <w:t>Frontiers in Psychiatry</w:t>
      </w:r>
      <w:r w:rsidRPr="009F362C">
        <w:rPr>
          <w:color w:val="000000" w:themeColor="text1"/>
        </w:rPr>
        <w:t xml:space="preserve">, 16. Available at: </w:t>
      </w:r>
      <w:hyperlink r:id="rId20" w:tgtFrame="_new" w:history="1">
        <w:r w:rsidRPr="009F362C">
          <w:rPr>
            <w:rStyle w:val="Hyperlink"/>
            <w:color w:val="000000" w:themeColor="text1"/>
            <w:u w:val="none"/>
          </w:rPr>
          <w:t>https://doi.org/10.3389/fpsyt.2025.1519670</w:t>
        </w:r>
      </w:hyperlink>
    </w:p>
    <w:p w14:paraId="401D829F" w14:textId="77777777" w:rsidR="009F362C" w:rsidRPr="009F362C" w:rsidRDefault="009F362C" w:rsidP="009F362C">
      <w:pPr>
        <w:jc w:val="left"/>
        <w:rPr>
          <w:color w:val="000000" w:themeColor="text1"/>
        </w:rPr>
      </w:pPr>
      <w:r w:rsidRPr="009F362C">
        <w:rPr>
          <w:color w:val="000000" w:themeColor="text1"/>
        </w:rPr>
        <w:t xml:space="preserve">London, M., Sessa, V.I. and Shelley, L.A. (2023) ‘Developing self-awareness: learning processes for self and interpersonal growth’, </w:t>
      </w:r>
      <w:r w:rsidRPr="009F362C">
        <w:rPr>
          <w:i/>
          <w:iCs/>
          <w:color w:val="000000" w:themeColor="text1"/>
        </w:rPr>
        <w:t xml:space="preserve">Annual Review of </w:t>
      </w:r>
      <w:proofErr w:type="spellStart"/>
      <w:r w:rsidRPr="009F362C">
        <w:rPr>
          <w:i/>
          <w:iCs/>
          <w:color w:val="000000" w:themeColor="text1"/>
        </w:rPr>
        <w:t>Organisational</w:t>
      </w:r>
      <w:proofErr w:type="spellEnd"/>
      <w:r w:rsidRPr="009F362C">
        <w:rPr>
          <w:i/>
          <w:iCs/>
          <w:color w:val="000000" w:themeColor="text1"/>
        </w:rPr>
        <w:t xml:space="preserve"> Psychology and </w:t>
      </w:r>
      <w:proofErr w:type="spellStart"/>
      <w:r w:rsidRPr="009F362C">
        <w:rPr>
          <w:i/>
          <w:iCs/>
          <w:color w:val="000000" w:themeColor="text1"/>
        </w:rPr>
        <w:t>Organisational</w:t>
      </w:r>
      <w:proofErr w:type="spellEnd"/>
      <w:r w:rsidRPr="009F362C">
        <w:rPr>
          <w:i/>
          <w:iCs/>
          <w:color w:val="000000" w:themeColor="text1"/>
        </w:rPr>
        <w:t xml:space="preserve"> Behaviour</w:t>
      </w:r>
      <w:r w:rsidRPr="009F362C">
        <w:rPr>
          <w:color w:val="000000" w:themeColor="text1"/>
        </w:rPr>
        <w:t>, 10(1), pp. 261–288.</w:t>
      </w:r>
    </w:p>
    <w:p w14:paraId="4728D40B" w14:textId="113DC34B" w:rsidR="009F362C" w:rsidRPr="009F362C" w:rsidRDefault="009F362C" w:rsidP="009F362C">
      <w:pPr>
        <w:jc w:val="left"/>
        <w:rPr>
          <w:color w:val="000000" w:themeColor="text1"/>
        </w:rPr>
      </w:pPr>
      <w:r w:rsidRPr="009F362C">
        <w:rPr>
          <w:color w:val="000000" w:themeColor="text1"/>
        </w:rPr>
        <w:t xml:space="preserve">McLaney, E. </w:t>
      </w:r>
      <w:r w:rsidRPr="009F362C">
        <w:rPr>
          <w:i/>
          <w:iCs/>
          <w:color w:val="000000" w:themeColor="text1"/>
        </w:rPr>
        <w:t>et al</w:t>
      </w:r>
      <w:r w:rsidRPr="009F362C">
        <w:rPr>
          <w:color w:val="000000" w:themeColor="text1"/>
        </w:rPr>
        <w:t xml:space="preserve">. (2022) ‘A framework for interprofessional team collaboration in a hospital setting: advancing team competencies and </w:t>
      </w:r>
      <w:proofErr w:type="spellStart"/>
      <w:r w:rsidRPr="009F362C">
        <w:rPr>
          <w:color w:val="000000" w:themeColor="text1"/>
        </w:rPr>
        <w:t>behaviours</w:t>
      </w:r>
      <w:proofErr w:type="spellEnd"/>
      <w:r w:rsidRPr="009F362C">
        <w:rPr>
          <w:color w:val="000000" w:themeColor="text1"/>
        </w:rPr>
        <w:t xml:space="preserve">’, </w:t>
      </w:r>
      <w:r w:rsidRPr="009F362C">
        <w:rPr>
          <w:i/>
          <w:iCs/>
          <w:color w:val="000000" w:themeColor="text1"/>
        </w:rPr>
        <w:t>Healthcare Management Forum</w:t>
      </w:r>
      <w:r w:rsidRPr="009F362C">
        <w:rPr>
          <w:color w:val="000000" w:themeColor="text1"/>
        </w:rPr>
        <w:t xml:space="preserve">, 35(2), pp. 112–117. Available at: </w:t>
      </w:r>
      <w:hyperlink r:id="rId21" w:tgtFrame="_new" w:history="1">
        <w:r w:rsidRPr="009F362C">
          <w:rPr>
            <w:rStyle w:val="Hyperlink"/>
            <w:color w:val="000000" w:themeColor="text1"/>
            <w:u w:val="none"/>
          </w:rPr>
          <w:t>https://journals.sagepub.com/doi/full/10.1177/08404704211063584</w:t>
        </w:r>
      </w:hyperlink>
    </w:p>
    <w:p w14:paraId="045B9260" w14:textId="2079CFAC" w:rsidR="009F362C" w:rsidRPr="009F362C" w:rsidRDefault="009F362C" w:rsidP="009F362C">
      <w:pPr>
        <w:jc w:val="left"/>
        <w:rPr>
          <w:color w:val="000000" w:themeColor="text1"/>
        </w:rPr>
      </w:pPr>
      <w:r w:rsidRPr="009F362C">
        <w:rPr>
          <w:color w:val="000000" w:themeColor="text1"/>
        </w:rPr>
        <w:t xml:space="preserve">Moisoglou, I. </w:t>
      </w:r>
      <w:r w:rsidRPr="009F362C">
        <w:rPr>
          <w:i/>
          <w:iCs/>
          <w:color w:val="000000" w:themeColor="text1"/>
        </w:rPr>
        <w:t>et al</w:t>
      </w:r>
      <w:r w:rsidRPr="009F362C">
        <w:rPr>
          <w:color w:val="000000" w:themeColor="text1"/>
        </w:rPr>
        <w:t xml:space="preserve">. (2025) ‘Resilience protects nurses from workplace gaslighting and quiet quitting, and improves their work engagement: a cross-sectional study in Greece’, </w:t>
      </w:r>
      <w:r w:rsidRPr="009F362C">
        <w:rPr>
          <w:i/>
          <w:iCs/>
          <w:color w:val="000000" w:themeColor="text1"/>
        </w:rPr>
        <w:t>Healthcare</w:t>
      </w:r>
      <w:r w:rsidRPr="009F362C">
        <w:rPr>
          <w:color w:val="000000" w:themeColor="text1"/>
        </w:rPr>
        <w:t xml:space="preserve">, 13(16), p. 2064. Available at: </w:t>
      </w:r>
      <w:hyperlink r:id="rId22" w:tgtFrame="_new" w:history="1">
        <w:r w:rsidRPr="009F362C">
          <w:rPr>
            <w:rStyle w:val="Hyperlink"/>
            <w:color w:val="000000" w:themeColor="text1"/>
            <w:u w:val="none"/>
          </w:rPr>
          <w:t>https://doi.org/10.3390/healthcare13162064</w:t>
        </w:r>
      </w:hyperlink>
    </w:p>
    <w:p w14:paraId="480B2153" w14:textId="77777777" w:rsidR="009F362C" w:rsidRPr="009F362C" w:rsidRDefault="009F362C" w:rsidP="009F362C">
      <w:pPr>
        <w:jc w:val="left"/>
        <w:rPr>
          <w:color w:val="000000" w:themeColor="text1"/>
        </w:rPr>
      </w:pPr>
      <w:r w:rsidRPr="009F362C">
        <w:rPr>
          <w:color w:val="000000" w:themeColor="text1"/>
        </w:rPr>
        <w:t xml:space="preserve">Moon, J.A. (2013) </w:t>
      </w:r>
      <w:r w:rsidRPr="009F362C">
        <w:rPr>
          <w:i/>
          <w:iCs/>
          <w:color w:val="000000" w:themeColor="text1"/>
        </w:rPr>
        <w:t>Reflection in Learning and Professional Development</w:t>
      </w:r>
      <w:r w:rsidRPr="009F362C">
        <w:rPr>
          <w:color w:val="000000" w:themeColor="text1"/>
        </w:rPr>
        <w:t xml:space="preserve">. Routledge. Available at: </w:t>
      </w:r>
      <w:hyperlink r:id="rId23" w:tgtFrame="_new" w:history="1">
        <w:r w:rsidRPr="009F362C">
          <w:rPr>
            <w:rStyle w:val="Hyperlink"/>
            <w:color w:val="000000" w:themeColor="text1"/>
            <w:u w:val="none"/>
          </w:rPr>
          <w:t>https://doi.org/10.4324/9780203822296</w:t>
        </w:r>
      </w:hyperlink>
    </w:p>
    <w:p w14:paraId="6E0A4CAF" w14:textId="77777777" w:rsidR="009F362C" w:rsidRPr="009F362C" w:rsidRDefault="009F362C" w:rsidP="009F362C">
      <w:pPr>
        <w:jc w:val="left"/>
        <w:rPr>
          <w:color w:val="000000" w:themeColor="text1"/>
        </w:rPr>
      </w:pPr>
      <w:r w:rsidRPr="009F362C">
        <w:rPr>
          <w:color w:val="000000" w:themeColor="text1"/>
        </w:rPr>
        <w:t xml:space="preserve">Morgan, M. (2025) </w:t>
      </w:r>
      <w:r w:rsidRPr="009F362C">
        <w:rPr>
          <w:i/>
          <w:iCs/>
          <w:color w:val="000000" w:themeColor="text1"/>
        </w:rPr>
        <w:t>Health and Social Care Industry Demand: Is It Still a Good Career in 2025?</w:t>
      </w:r>
      <w:r w:rsidRPr="009F362C">
        <w:rPr>
          <w:color w:val="000000" w:themeColor="text1"/>
        </w:rPr>
        <w:t xml:space="preserve"> Academy for Health and Fitness. Available at: </w:t>
      </w:r>
      <w:hyperlink r:id="rId24" w:tgtFrame="_new" w:history="1">
        <w:r w:rsidRPr="009F362C">
          <w:rPr>
            <w:rStyle w:val="Hyperlink"/>
            <w:color w:val="000000" w:themeColor="text1"/>
            <w:u w:val="none"/>
          </w:rPr>
          <w:t>https://uk.hfonline.org/health-and-social-care-industry-demand-is-it-still-a-good-career-in-2025/</w:t>
        </w:r>
      </w:hyperlink>
    </w:p>
    <w:p w14:paraId="1C2CC61E" w14:textId="77777777" w:rsidR="009F362C" w:rsidRPr="009F362C" w:rsidRDefault="009F362C" w:rsidP="009F362C">
      <w:pPr>
        <w:jc w:val="left"/>
        <w:rPr>
          <w:color w:val="000000" w:themeColor="text1"/>
        </w:rPr>
      </w:pPr>
      <w:r w:rsidRPr="009F362C">
        <w:rPr>
          <w:color w:val="000000" w:themeColor="text1"/>
        </w:rPr>
        <w:t xml:space="preserve">NHS England (2024) </w:t>
      </w:r>
      <w:r w:rsidRPr="009F362C">
        <w:rPr>
          <w:i/>
          <w:iCs/>
          <w:color w:val="000000" w:themeColor="text1"/>
        </w:rPr>
        <w:t>NHS England – NHS Long Term Workforce Plan</w:t>
      </w:r>
      <w:r w:rsidRPr="009F362C">
        <w:rPr>
          <w:color w:val="000000" w:themeColor="text1"/>
        </w:rPr>
        <w:t xml:space="preserve">. Available at: </w:t>
      </w:r>
      <w:hyperlink r:id="rId25" w:tgtFrame="_new" w:history="1">
        <w:r w:rsidRPr="009F362C">
          <w:rPr>
            <w:rStyle w:val="Hyperlink"/>
            <w:color w:val="000000" w:themeColor="text1"/>
            <w:u w:val="none"/>
          </w:rPr>
          <w:t>https://www.england.nhs.uk/long-read/nhs-long-term-workforce-plan-2/</w:t>
        </w:r>
      </w:hyperlink>
    </w:p>
    <w:p w14:paraId="7CB94024" w14:textId="77777777" w:rsidR="009F362C" w:rsidRPr="009F362C" w:rsidRDefault="009F362C" w:rsidP="009F362C">
      <w:pPr>
        <w:jc w:val="left"/>
        <w:rPr>
          <w:color w:val="000000" w:themeColor="text1"/>
        </w:rPr>
      </w:pPr>
      <w:r w:rsidRPr="009F362C">
        <w:rPr>
          <w:color w:val="000000" w:themeColor="text1"/>
        </w:rPr>
        <w:t xml:space="preserve">Nicol, D.J. and Macfarlane-Dick, D. (2006) ‘Formative assessment and self-regulated learning: a model and seven principles of good feedback practice’, </w:t>
      </w:r>
      <w:r w:rsidRPr="009F362C">
        <w:rPr>
          <w:i/>
          <w:iCs/>
          <w:color w:val="000000" w:themeColor="text1"/>
        </w:rPr>
        <w:t>Studies in Higher Education</w:t>
      </w:r>
      <w:r w:rsidRPr="009F362C">
        <w:rPr>
          <w:color w:val="000000" w:themeColor="text1"/>
        </w:rPr>
        <w:t xml:space="preserve">, 31(2), pp. 199–218. Available at: </w:t>
      </w:r>
      <w:hyperlink r:id="rId26" w:tgtFrame="_new" w:history="1">
        <w:r w:rsidRPr="009F362C">
          <w:rPr>
            <w:rStyle w:val="Hyperlink"/>
            <w:color w:val="000000" w:themeColor="text1"/>
            <w:u w:val="none"/>
          </w:rPr>
          <w:t>https://doi.org/10.1080/03075070600572090</w:t>
        </w:r>
      </w:hyperlink>
    </w:p>
    <w:p w14:paraId="69DE9DB6" w14:textId="1160B3F3" w:rsidR="009F362C" w:rsidRPr="009F362C" w:rsidRDefault="009F362C" w:rsidP="009F362C">
      <w:pPr>
        <w:jc w:val="left"/>
        <w:rPr>
          <w:color w:val="000000" w:themeColor="text1"/>
        </w:rPr>
      </w:pPr>
      <w:r w:rsidRPr="009F362C">
        <w:rPr>
          <w:color w:val="000000" w:themeColor="text1"/>
          <w:lang w:val="nl-NL"/>
        </w:rPr>
        <w:t xml:space="preserve">Pereira, R.F. </w:t>
      </w:r>
      <w:r w:rsidRPr="009F362C">
        <w:rPr>
          <w:i/>
          <w:iCs/>
          <w:color w:val="000000" w:themeColor="text1"/>
          <w:lang w:val="nl-NL"/>
        </w:rPr>
        <w:t>et al</w:t>
      </w:r>
      <w:r w:rsidRPr="009F362C">
        <w:rPr>
          <w:color w:val="000000" w:themeColor="text1"/>
          <w:lang w:val="nl-NL"/>
        </w:rPr>
        <w:t xml:space="preserve">. </w:t>
      </w:r>
      <w:r w:rsidRPr="009F362C">
        <w:rPr>
          <w:color w:val="000000" w:themeColor="text1"/>
        </w:rPr>
        <w:t xml:space="preserve">(2022) ‘Volunteers’ experiences building relationships with long-term care residents who have advanced dementia’, </w:t>
      </w:r>
      <w:r w:rsidRPr="009F362C">
        <w:rPr>
          <w:i/>
          <w:iCs/>
          <w:color w:val="000000" w:themeColor="text1"/>
        </w:rPr>
        <w:t>Dementia</w:t>
      </w:r>
      <w:r w:rsidRPr="009F362C">
        <w:rPr>
          <w:color w:val="000000" w:themeColor="text1"/>
        </w:rPr>
        <w:t xml:space="preserve">, 1(1), p. 147130122211131. Available at: </w:t>
      </w:r>
      <w:hyperlink r:id="rId27" w:tgtFrame="_new" w:history="1">
        <w:r w:rsidRPr="009F362C">
          <w:rPr>
            <w:rStyle w:val="Hyperlink"/>
            <w:color w:val="000000" w:themeColor="text1"/>
            <w:u w:val="none"/>
          </w:rPr>
          <w:t>https://doi.org/10.1177/14713012221113191</w:t>
        </w:r>
      </w:hyperlink>
    </w:p>
    <w:p w14:paraId="1C553A0B" w14:textId="77777777" w:rsidR="009F362C" w:rsidRPr="009F362C" w:rsidRDefault="009F362C" w:rsidP="009F362C">
      <w:pPr>
        <w:jc w:val="left"/>
        <w:rPr>
          <w:color w:val="000000" w:themeColor="text1"/>
        </w:rPr>
      </w:pPr>
      <w:r w:rsidRPr="009F362C">
        <w:rPr>
          <w:color w:val="000000" w:themeColor="text1"/>
        </w:rPr>
        <w:t xml:space="preserve">Puyt, R.W., Lie, F.B. and </w:t>
      </w:r>
      <w:proofErr w:type="spellStart"/>
      <w:r w:rsidRPr="009F362C">
        <w:rPr>
          <w:color w:val="000000" w:themeColor="text1"/>
        </w:rPr>
        <w:t>Wilderom</w:t>
      </w:r>
      <w:proofErr w:type="spellEnd"/>
      <w:r w:rsidRPr="009F362C">
        <w:rPr>
          <w:color w:val="000000" w:themeColor="text1"/>
        </w:rPr>
        <w:t xml:space="preserve">, C.P.M. (2023) ‘The origins of SWOT analysis’, </w:t>
      </w:r>
      <w:r w:rsidRPr="009F362C">
        <w:rPr>
          <w:i/>
          <w:iCs/>
          <w:color w:val="000000" w:themeColor="text1"/>
        </w:rPr>
        <w:t>Long Range Planning</w:t>
      </w:r>
      <w:r w:rsidRPr="009F362C">
        <w:rPr>
          <w:color w:val="000000" w:themeColor="text1"/>
        </w:rPr>
        <w:t xml:space="preserve">, 56(3), p. 102304. Available at: </w:t>
      </w:r>
      <w:hyperlink r:id="rId28" w:tgtFrame="_new" w:history="1">
        <w:r w:rsidRPr="009F362C">
          <w:rPr>
            <w:rStyle w:val="Hyperlink"/>
            <w:color w:val="000000" w:themeColor="text1"/>
            <w:u w:val="none"/>
          </w:rPr>
          <w:t>https://doi.org/10.1016/j.lrp.2023.102304</w:t>
        </w:r>
      </w:hyperlink>
    </w:p>
    <w:p w14:paraId="0CA07331" w14:textId="77777777" w:rsidR="009F362C" w:rsidRPr="009F362C" w:rsidRDefault="009F362C" w:rsidP="009F362C">
      <w:pPr>
        <w:jc w:val="left"/>
        <w:rPr>
          <w:color w:val="000000" w:themeColor="text1"/>
        </w:rPr>
      </w:pPr>
      <w:r w:rsidRPr="009F362C">
        <w:rPr>
          <w:color w:val="000000" w:themeColor="text1"/>
        </w:rPr>
        <w:t xml:space="preserve">Schön, D.A. (1992) </w:t>
      </w:r>
      <w:r w:rsidRPr="009F362C">
        <w:rPr>
          <w:i/>
          <w:iCs/>
          <w:color w:val="000000" w:themeColor="text1"/>
        </w:rPr>
        <w:t>The Reflective Practitioner</w:t>
      </w:r>
      <w:r w:rsidRPr="009F362C">
        <w:rPr>
          <w:color w:val="000000" w:themeColor="text1"/>
        </w:rPr>
        <w:t xml:space="preserve">. 1st </w:t>
      </w:r>
      <w:proofErr w:type="spellStart"/>
      <w:r w:rsidRPr="009F362C">
        <w:rPr>
          <w:color w:val="000000" w:themeColor="text1"/>
        </w:rPr>
        <w:t>edn</w:t>
      </w:r>
      <w:proofErr w:type="spellEnd"/>
      <w:r w:rsidRPr="009F362C">
        <w:rPr>
          <w:color w:val="000000" w:themeColor="text1"/>
        </w:rPr>
        <w:t xml:space="preserve">. Routledge. Available at: </w:t>
      </w:r>
      <w:hyperlink r:id="rId29" w:tgtFrame="_new" w:history="1">
        <w:r w:rsidRPr="009F362C">
          <w:rPr>
            <w:rStyle w:val="Hyperlink"/>
            <w:color w:val="000000" w:themeColor="text1"/>
            <w:u w:val="none"/>
          </w:rPr>
          <w:t>https://doi.org/10.4324/9781315237473</w:t>
        </w:r>
      </w:hyperlink>
    </w:p>
    <w:p w14:paraId="026FE550" w14:textId="77777777" w:rsidR="009F362C" w:rsidRPr="009F362C" w:rsidRDefault="009F362C" w:rsidP="009F362C">
      <w:pPr>
        <w:jc w:val="left"/>
        <w:rPr>
          <w:color w:val="000000" w:themeColor="text1"/>
        </w:rPr>
      </w:pPr>
      <w:r w:rsidRPr="009F362C">
        <w:rPr>
          <w:color w:val="000000" w:themeColor="text1"/>
        </w:rPr>
        <w:t xml:space="preserve">UWTSD (2025) </w:t>
      </w:r>
      <w:r w:rsidRPr="009F362C">
        <w:rPr>
          <w:i/>
          <w:iCs/>
          <w:color w:val="000000" w:themeColor="text1"/>
        </w:rPr>
        <w:t>Student Support and Wellbeing</w:t>
      </w:r>
      <w:r w:rsidRPr="009F362C">
        <w:rPr>
          <w:color w:val="000000" w:themeColor="text1"/>
        </w:rPr>
        <w:t xml:space="preserve">. University of Wales Trinity Saint David. Available at: </w:t>
      </w:r>
      <w:hyperlink r:id="rId30" w:tgtFrame="_new" w:history="1">
        <w:r w:rsidRPr="009F362C">
          <w:rPr>
            <w:rStyle w:val="Hyperlink"/>
            <w:color w:val="000000" w:themeColor="text1"/>
            <w:u w:val="none"/>
          </w:rPr>
          <w:t>https://www.uwtsd.ac.uk/study/experience-and-facilities/student-support-and-wellbeing</w:t>
        </w:r>
      </w:hyperlink>
    </w:p>
    <w:p w14:paraId="11140895" w14:textId="5DB042C8" w:rsidR="004552F5" w:rsidRPr="009F362C" w:rsidRDefault="009F362C" w:rsidP="009F362C">
      <w:pPr>
        <w:jc w:val="left"/>
        <w:rPr>
          <w:color w:val="000000" w:themeColor="text1"/>
        </w:rPr>
      </w:pPr>
      <w:r w:rsidRPr="009F362C">
        <w:rPr>
          <w:color w:val="000000" w:themeColor="text1"/>
        </w:rPr>
        <w:t xml:space="preserve">Whittington, R. </w:t>
      </w:r>
      <w:r w:rsidRPr="009F362C">
        <w:rPr>
          <w:i/>
          <w:iCs/>
          <w:color w:val="000000" w:themeColor="text1"/>
        </w:rPr>
        <w:t>et al</w:t>
      </w:r>
      <w:r w:rsidRPr="009F362C">
        <w:rPr>
          <w:color w:val="000000" w:themeColor="text1"/>
        </w:rPr>
        <w:t xml:space="preserve">. (2019) </w:t>
      </w:r>
      <w:r w:rsidRPr="009F362C">
        <w:rPr>
          <w:i/>
          <w:iCs/>
          <w:color w:val="000000" w:themeColor="text1"/>
        </w:rPr>
        <w:t>Exploring Strategy</w:t>
      </w:r>
      <w:r w:rsidRPr="009F362C">
        <w:rPr>
          <w:color w:val="000000" w:themeColor="text1"/>
        </w:rPr>
        <w:t xml:space="preserve">. 12th </w:t>
      </w:r>
      <w:proofErr w:type="spellStart"/>
      <w:r w:rsidRPr="009F362C">
        <w:rPr>
          <w:color w:val="000000" w:themeColor="text1"/>
        </w:rPr>
        <w:t>edn</w:t>
      </w:r>
      <w:proofErr w:type="spellEnd"/>
      <w:r w:rsidRPr="009F362C">
        <w:rPr>
          <w:color w:val="000000" w:themeColor="text1"/>
        </w:rPr>
        <w:t>. Hoboken: Pearson.</w:t>
      </w:r>
    </w:p>
    <w:sectPr w:rsidR="004552F5" w:rsidRPr="009F362C" w:rsidSect="00A2762C">
      <w:footerReference w:type="default" r:id="rId31"/>
      <w:pgSz w:w="11906" w:h="16838" w:code="9"/>
      <w:pgMar w:top="1440" w:right="1440" w:bottom="1440" w:left="1440" w:header="720" w:footer="720" w:gutter="0"/>
      <w:pgBorders w:offsetFrom="page">
        <w:top w:val="single" w:sz="12" w:space="24" w:color="auto" w:shadow="1"/>
        <w:left w:val="single" w:sz="12" w:space="24" w:color="auto" w:shadow="1"/>
        <w:bottom w:val="single" w:sz="12" w:space="24" w:color="auto" w:shadow="1"/>
        <w:right w:val="single" w:sz="12"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930FF" w14:textId="77777777" w:rsidR="00CB7640" w:rsidRDefault="00CB7640" w:rsidP="00183A68">
      <w:pPr>
        <w:spacing w:after="0" w:line="240" w:lineRule="auto"/>
      </w:pPr>
      <w:r>
        <w:separator/>
      </w:r>
    </w:p>
  </w:endnote>
  <w:endnote w:type="continuationSeparator" w:id="0">
    <w:p w14:paraId="723FAFB7" w14:textId="77777777" w:rsidR="00CB7640" w:rsidRDefault="00CB7640" w:rsidP="0018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694712"/>
      <w:docPartObj>
        <w:docPartGallery w:val="Page Numbers (Bottom of Page)"/>
        <w:docPartUnique/>
      </w:docPartObj>
    </w:sdtPr>
    <w:sdtEndPr/>
    <w:sdtContent>
      <w:p w14:paraId="48F87E42" w14:textId="17B716E8" w:rsidR="003A31A8" w:rsidRDefault="003A31A8">
        <w:pPr>
          <w:pStyle w:val="Footer"/>
          <w:jc w:val="center"/>
        </w:pPr>
        <w:r>
          <w:fldChar w:fldCharType="begin"/>
        </w:r>
        <w:r>
          <w:instrText>PAGE   \* MERGEFORMAT</w:instrText>
        </w:r>
        <w:r>
          <w:fldChar w:fldCharType="separate"/>
        </w:r>
        <w:r>
          <w:rPr>
            <w:lang w:val="en-GB"/>
          </w:rPr>
          <w:t>2</w:t>
        </w:r>
        <w:r>
          <w:fldChar w:fldCharType="end"/>
        </w:r>
      </w:p>
    </w:sdtContent>
  </w:sdt>
  <w:p w14:paraId="5DE7DD93" w14:textId="77777777" w:rsidR="003A31A8" w:rsidRDefault="003A3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5F8BE" w14:textId="77777777" w:rsidR="00CB7640" w:rsidRDefault="00CB7640" w:rsidP="00183A68">
      <w:pPr>
        <w:spacing w:after="0" w:line="240" w:lineRule="auto"/>
      </w:pPr>
      <w:r>
        <w:separator/>
      </w:r>
    </w:p>
  </w:footnote>
  <w:footnote w:type="continuationSeparator" w:id="0">
    <w:p w14:paraId="59B5F7A5" w14:textId="77777777" w:rsidR="00CB7640" w:rsidRDefault="00CB7640" w:rsidP="0018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13F7"/>
    <w:multiLevelType w:val="hybridMultilevel"/>
    <w:tmpl w:val="C336815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A26657F"/>
    <w:multiLevelType w:val="multilevel"/>
    <w:tmpl w:val="0A2C91E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2AB79E5"/>
    <w:multiLevelType w:val="hybridMultilevel"/>
    <w:tmpl w:val="54F0F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5286320">
    <w:abstractNumId w:val="1"/>
  </w:num>
  <w:num w:numId="2" w16cid:durableId="614599467">
    <w:abstractNumId w:val="0"/>
  </w:num>
  <w:num w:numId="3" w16cid:durableId="1873417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8BF"/>
    <w:rsid w:val="000543BE"/>
    <w:rsid w:val="00085DFD"/>
    <w:rsid w:val="000C7D8A"/>
    <w:rsid w:val="00117CA3"/>
    <w:rsid w:val="00124CEE"/>
    <w:rsid w:val="00183A68"/>
    <w:rsid w:val="0019267A"/>
    <w:rsid w:val="001A0D71"/>
    <w:rsid w:val="001F4FAA"/>
    <w:rsid w:val="001F6353"/>
    <w:rsid w:val="00225655"/>
    <w:rsid w:val="0024260F"/>
    <w:rsid w:val="00247862"/>
    <w:rsid w:val="00280468"/>
    <w:rsid w:val="002839CB"/>
    <w:rsid w:val="0028707E"/>
    <w:rsid w:val="003162B1"/>
    <w:rsid w:val="00386EFF"/>
    <w:rsid w:val="00390B62"/>
    <w:rsid w:val="00390E3D"/>
    <w:rsid w:val="003A31A8"/>
    <w:rsid w:val="003B6307"/>
    <w:rsid w:val="003C3451"/>
    <w:rsid w:val="003F0AB2"/>
    <w:rsid w:val="003F17FD"/>
    <w:rsid w:val="00406092"/>
    <w:rsid w:val="004552F5"/>
    <w:rsid w:val="00494C12"/>
    <w:rsid w:val="004A551D"/>
    <w:rsid w:val="004F652C"/>
    <w:rsid w:val="005146A4"/>
    <w:rsid w:val="005229C9"/>
    <w:rsid w:val="005571A5"/>
    <w:rsid w:val="005B5452"/>
    <w:rsid w:val="005F0F42"/>
    <w:rsid w:val="00626B84"/>
    <w:rsid w:val="00672272"/>
    <w:rsid w:val="006C2B6A"/>
    <w:rsid w:val="006C75A9"/>
    <w:rsid w:val="00715D7F"/>
    <w:rsid w:val="00770A2C"/>
    <w:rsid w:val="007876F9"/>
    <w:rsid w:val="007A33DB"/>
    <w:rsid w:val="007C032F"/>
    <w:rsid w:val="007F57FE"/>
    <w:rsid w:val="00806131"/>
    <w:rsid w:val="00814D41"/>
    <w:rsid w:val="00853F9C"/>
    <w:rsid w:val="008938BF"/>
    <w:rsid w:val="008A15BE"/>
    <w:rsid w:val="008A420C"/>
    <w:rsid w:val="008A7787"/>
    <w:rsid w:val="008B5E99"/>
    <w:rsid w:val="00923400"/>
    <w:rsid w:val="00936FED"/>
    <w:rsid w:val="009841CF"/>
    <w:rsid w:val="009A5CBF"/>
    <w:rsid w:val="009F362C"/>
    <w:rsid w:val="00A2762C"/>
    <w:rsid w:val="00A325A9"/>
    <w:rsid w:val="00A84C31"/>
    <w:rsid w:val="00AD0713"/>
    <w:rsid w:val="00AE03A1"/>
    <w:rsid w:val="00AF090E"/>
    <w:rsid w:val="00B11ABB"/>
    <w:rsid w:val="00B664CA"/>
    <w:rsid w:val="00BD566E"/>
    <w:rsid w:val="00C26DC6"/>
    <w:rsid w:val="00C75188"/>
    <w:rsid w:val="00C75D2D"/>
    <w:rsid w:val="00C8405C"/>
    <w:rsid w:val="00CB7640"/>
    <w:rsid w:val="00CC5284"/>
    <w:rsid w:val="00D1608F"/>
    <w:rsid w:val="00D63C98"/>
    <w:rsid w:val="00D94F0B"/>
    <w:rsid w:val="00DC2DD6"/>
    <w:rsid w:val="00E76361"/>
    <w:rsid w:val="00ED004C"/>
    <w:rsid w:val="00EF10E3"/>
    <w:rsid w:val="00F140A6"/>
    <w:rsid w:val="00F449DE"/>
    <w:rsid w:val="00FC274B"/>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6BDA4"/>
  <w15:chartTrackingRefBased/>
  <w15:docId w15:val="{EB139DA4-0D13-4292-A7FE-466F2BF3C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62C"/>
    <w:pPr>
      <w:spacing w:line="360" w:lineRule="auto"/>
      <w:jc w:val="both"/>
    </w:pPr>
    <w:rPr>
      <w:rFonts w:ascii="Arial" w:hAnsi="Arial"/>
    </w:rPr>
  </w:style>
  <w:style w:type="paragraph" w:styleId="Heading1">
    <w:name w:val="heading 1"/>
    <w:basedOn w:val="Normal"/>
    <w:next w:val="Normal"/>
    <w:link w:val="Heading1Char"/>
    <w:uiPriority w:val="9"/>
    <w:qFormat/>
    <w:rsid w:val="00A2762C"/>
    <w:pPr>
      <w:keepNext/>
      <w:keepLines/>
      <w:numPr>
        <w:numId w:val="1"/>
      </w:numPr>
      <w:spacing w:before="120" w:after="80"/>
      <w:outlineLvl w:val="0"/>
    </w:pPr>
    <w:rPr>
      <w:rFonts w:eastAsiaTheme="majorEastAsia" w:cstheme="majorBidi"/>
      <w:b/>
      <w:color w:val="1F3864" w:themeColor="accent1" w:themeShade="80"/>
      <w:sz w:val="30"/>
      <w:szCs w:val="40"/>
    </w:rPr>
  </w:style>
  <w:style w:type="paragraph" w:styleId="Heading2">
    <w:name w:val="heading 2"/>
    <w:basedOn w:val="Normal"/>
    <w:next w:val="Normal"/>
    <w:link w:val="Heading2Char"/>
    <w:uiPriority w:val="9"/>
    <w:unhideWhenUsed/>
    <w:qFormat/>
    <w:rsid w:val="00A2762C"/>
    <w:pPr>
      <w:keepNext/>
      <w:keepLines/>
      <w:numPr>
        <w:ilvl w:val="1"/>
        <w:numId w:val="1"/>
      </w:numPr>
      <w:spacing w:after="120"/>
      <w:outlineLvl w:val="1"/>
    </w:pPr>
    <w:rPr>
      <w:rFonts w:eastAsiaTheme="majorEastAsia" w:cstheme="majorBidi"/>
      <w:b/>
      <w:color w:val="1F3864" w:themeColor="accent1" w:themeShade="80"/>
      <w:sz w:val="28"/>
      <w:szCs w:val="32"/>
    </w:rPr>
  </w:style>
  <w:style w:type="paragraph" w:styleId="Heading3">
    <w:name w:val="heading 3"/>
    <w:basedOn w:val="Normal"/>
    <w:next w:val="Normal"/>
    <w:link w:val="Heading3Char"/>
    <w:uiPriority w:val="9"/>
    <w:semiHidden/>
    <w:unhideWhenUsed/>
    <w:qFormat/>
    <w:rsid w:val="008938BF"/>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38BF"/>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38BF"/>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38BF"/>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38BF"/>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38BF"/>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38BF"/>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62C"/>
    <w:rPr>
      <w:rFonts w:ascii="Arial" w:eastAsiaTheme="majorEastAsia" w:hAnsi="Arial" w:cstheme="majorBidi"/>
      <w:b/>
      <w:color w:val="1F3864" w:themeColor="accent1" w:themeShade="80"/>
      <w:sz w:val="30"/>
      <w:szCs w:val="40"/>
    </w:rPr>
  </w:style>
  <w:style w:type="character" w:customStyle="1" w:styleId="Heading2Char">
    <w:name w:val="Heading 2 Char"/>
    <w:basedOn w:val="DefaultParagraphFont"/>
    <w:link w:val="Heading2"/>
    <w:uiPriority w:val="9"/>
    <w:rsid w:val="00A2762C"/>
    <w:rPr>
      <w:rFonts w:ascii="Arial" w:eastAsiaTheme="majorEastAsia" w:hAnsi="Arial" w:cstheme="majorBidi"/>
      <w:b/>
      <w:color w:val="1F3864" w:themeColor="accent1" w:themeShade="80"/>
      <w:sz w:val="28"/>
      <w:szCs w:val="32"/>
    </w:rPr>
  </w:style>
  <w:style w:type="character" w:customStyle="1" w:styleId="Heading3Char">
    <w:name w:val="Heading 3 Char"/>
    <w:basedOn w:val="DefaultParagraphFont"/>
    <w:link w:val="Heading3"/>
    <w:uiPriority w:val="9"/>
    <w:semiHidden/>
    <w:rsid w:val="008938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38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38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38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38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38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38BF"/>
    <w:rPr>
      <w:rFonts w:eastAsiaTheme="majorEastAsia" w:cstheme="majorBidi"/>
      <w:color w:val="272727" w:themeColor="text1" w:themeTint="D8"/>
    </w:rPr>
  </w:style>
  <w:style w:type="paragraph" w:styleId="Title">
    <w:name w:val="Title"/>
    <w:basedOn w:val="Normal"/>
    <w:next w:val="Normal"/>
    <w:link w:val="TitleChar"/>
    <w:uiPriority w:val="10"/>
    <w:qFormat/>
    <w:rsid w:val="00893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8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38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38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38BF"/>
    <w:pPr>
      <w:spacing w:before="160"/>
      <w:jc w:val="center"/>
    </w:pPr>
    <w:rPr>
      <w:i/>
      <w:iCs/>
      <w:color w:val="404040" w:themeColor="text1" w:themeTint="BF"/>
    </w:rPr>
  </w:style>
  <w:style w:type="character" w:customStyle="1" w:styleId="QuoteChar">
    <w:name w:val="Quote Char"/>
    <w:basedOn w:val="DefaultParagraphFont"/>
    <w:link w:val="Quote"/>
    <w:uiPriority w:val="29"/>
    <w:rsid w:val="008938BF"/>
    <w:rPr>
      <w:i/>
      <w:iCs/>
      <w:color w:val="404040" w:themeColor="text1" w:themeTint="BF"/>
    </w:rPr>
  </w:style>
  <w:style w:type="paragraph" w:styleId="ListParagraph">
    <w:name w:val="List Paragraph"/>
    <w:basedOn w:val="Normal"/>
    <w:uiPriority w:val="34"/>
    <w:qFormat/>
    <w:rsid w:val="008938BF"/>
    <w:pPr>
      <w:ind w:left="720"/>
      <w:contextualSpacing/>
    </w:pPr>
  </w:style>
  <w:style w:type="character" w:styleId="IntenseEmphasis">
    <w:name w:val="Intense Emphasis"/>
    <w:basedOn w:val="DefaultParagraphFont"/>
    <w:uiPriority w:val="21"/>
    <w:qFormat/>
    <w:rsid w:val="008938BF"/>
    <w:rPr>
      <w:i/>
      <w:iCs/>
      <w:color w:val="2F5496" w:themeColor="accent1" w:themeShade="BF"/>
    </w:rPr>
  </w:style>
  <w:style w:type="paragraph" w:styleId="IntenseQuote">
    <w:name w:val="Intense Quote"/>
    <w:basedOn w:val="Normal"/>
    <w:next w:val="Normal"/>
    <w:link w:val="IntenseQuoteChar"/>
    <w:uiPriority w:val="30"/>
    <w:qFormat/>
    <w:rsid w:val="008938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38BF"/>
    <w:rPr>
      <w:i/>
      <w:iCs/>
      <w:color w:val="2F5496" w:themeColor="accent1" w:themeShade="BF"/>
    </w:rPr>
  </w:style>
  <w:style w:type="character" w:styleId="IntenseReference">
    <w:name w:val="Intense Reference"/>
    <w:basedOn w:val="DefaultParagraphFont"/>
    <w:uiPriority w:val="32"/>
    <w:qFormat/>
    <w:rsid w:val="008938BF"/>
    <w:rPr>
      <w:b/>
      <w:bCs/>
      <w:smallCaps/>
      <w:color w:val="2F5496" w:themeColor="accent1" w:themeShade="BF"/>
      <w:spacing w:val="5"/>
    </w:rPr>
  </w:style>
  <w:style w:type="character" w:styleId="Hyperlink">
    <w:name w:val="Hyperlink"/>
    <w:basedOn w:val="DefaultParagraphFont"/>
    <w:uiPriority w:val="99"/>
    <w:unhideWhenUsed/>
    <w:rsid w:val="005229C9"/>
    <w:rPr>
      <w:color w:val="0563C1" w:themeColor="hyperlink"/>
      <w:u w:val="single"/>
    </w:rPr>
  </w:style>
  <w:style w:type="character" w:styleId="UnresolvedMention">
    <w:name w:val="Unresolved Mention"/>
    <w:basedOn w:val="DefaultParagraphFont"/>
    <w:uiPriority w:val="99"/>
    <w:semiHidden/>
    <w:unhideWhenUsed/>
    <w:rsid w:val="005229C9"/>
    <w:rPr>
      <w:color w:val="605E5C"/>
      <w:shd w:val="clear" w:color="auto" w:fill="E1DFDD"/>
    </w:rPr>
  </w:style>
  <w:style w:type="character" w:styleId="FollowedHyperlink">
    <w:name w:val="FollowedHyperlink"/>
    <w:basedOn w:val="DefaultParagraphFont"/>
    <w:uiPriority w:val="99"/>
    <w:semiHidden/>
    <w:unhideWhenUsed/>
    <w:rsid w:val="001F6353"/>
    <w:rPr>
      <w:color w:val="954F72" w:themeColor="followedHyperlink"/>
      <w:u w:val="single"/>
    </w:rPr>
  </w:style>
  <w:style w:type="paragraph" w:styleId="Header">
    <w:name w:val="header"/>
    <w:basedOn w:val="Normal"/>
    <w:link w:val="HeaderChar"/>
    <w:uiPriority w:val="99"/>
    <w:unhideWhenUsed/>
    <w:rsid w:val="00183A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A68"/>
  </w:style>
  <w:style w:type="paragraph" w:styleId="Footer">
    <w:name w:val="footer"/>
    <w:basedOn w:val="Normal"/>
    <w:link w:val="FooterChar"/>
    <w:uiPriority w:val="99"/>
    <w:unhideWhenUsed/>
    <w:rsid w:val="00183A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A68"/>
  </w:style>
  <w:style w:type="paragraph" w:styleId="TOCHeading">
    <w:name w:val="TOC Heading"/>
    <w:basedOn w:val="Heading1"/>
    <w:next w:val="Normal"/>
    <w:uiPriority w:val="39"/>
    <w:unhideWhenUsed/>
    <w:qFormat/>
    <w:rsid w:val="0024260F"/>
    <w:pPr>
      <w:spacing w:before="240" w:after="0" w:line="259" w:lineRule="auto"/>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24260F"/>
    <w:pPr>
      <w:spacing w:after="100"/>
    </w:pPr>
  </w:style>
  <w:style w:type="paragraph" w:styleId="TOC2">
    <w:name w:val="toc 2"/>
    <w:basedOn w:val="Normal"/>
    <w:next w:val="Normal"/>
    <w:autoRedefine/>
    <w:uiPriority w:val="39"/>
    <w:unhideWhenUsed/>
    <w:rsid w:val="0024260F"/>
    <w:pPr>
      <w:spacing w:after="100"/>
      <w:ind w:left="240"/>
    </w:pPr>
  </w:style>
  <w:style w:type="paragraph" w:styleId="NormalWeb">
    <w:name w:val="Normal (Web)"/>
    <w:basedOn w:val="Normal"/>
    <w:uiPriority w:val="99"/>
    <w:unhideWhenUsed/>
    <w:rsid w:val="00770A2C"/>
    <w:pPr>
      <w:spacing w:before="100" w:beforeAutospacing="1" w:after="100" w:afterAutospacing="1" w:line="240" w:lineRule="auto"/>
    </w:pPr>
    <w:rPr>
      <w:rFonts w:ascii="Times New Roman" w:eastAsia="Times New Roman" w:hAnsi="Times New Roman" w:cs="Times New Roman"/>
      <w:kern w:val="0"/>
      <w:lang w:eastAsia="zh-CN" w:bidi="bn-IN"/>
      <w14:ligatures w14:val="none"/>
    </w:rPr>
  </w:style>
  <w:style w:type="character" w:styleId="Emphasis">
    <w:name w:val="Emphasis"/>
    <w:basedOn w:val="DefaultParagraphFont"/>
    <w:uiPriority w:val="20"/>
    <w:qFormat/>
    <w:rsid w:val="00770A2C"/>
    <w:rPr>
      <w:i/>
      <w:iCs/>
    </w:rPr>
  </w:style>
  <w:style w:type="table" w:styleId="PlainTable5">
    <w:name w:val="Plain Table 5"/>
    <w:basedOn w:val="TableNormal"/>
    <w:uiPriority w:val="45"/>
    <w:rsid w:val="00EF10E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A276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626B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436/ijcs.v7i1.344" TargetMode="External" /><Relationship Id="rId13" Type="http://schemas.openxmlformats.org/officeDocument/2006/relationships/hyperlink" Target="https://doi.org/10.1111/jonm.13395" TargetMode="External" /><Relationship Id="rId18" Type="http://schemas.openxmlformats.org/officeDocument/2006/relationships/hyperlink" Target="https://doi.org/10.1111/jjns.12548" TargetMode="External" /><Relationship Id="rId26" Type="http://schemas.openxmlformats.org/officeDocument/2006/relationships/hyperlink" Target="https://doi.org/10.1080/03075070600572090" TargetMode="External" /><Relationship Id="rId3" Type="http://schemas.openxmlformats.org/officeDocument/2006/relationships/settings" Target="settings.xml" /><Relationship Id="rId21" Type="http://schemas.openxmlformats.org/officeDocument/2006/relationships/hyperlink" Target="https://journals.sagepub.com/doi/full/10.1177/08404704211063584" TargetMode="External" /><Relationship Id="rId7" Type="http://schemas.openxmlformats.org/officeDocument/2006/relationships/image" Target="media/image1.jpeg" /><Relationship Id="rId12" Type="http://schemas.openxmlformats.org/officeDocument/2006/relationships/hyperlink" Target="https://doi.org/10.35502/jcswb.371" TargetMode="External" /><Relationship Id="rId17" Type="http://schemas.openxmlformats.org/officeDocument/2006/relationships/hyperlink" Target="https://doi.org/10.1097/PTS.0000000000000807" TargetMode="External" /><Relationship Id="rId25" Type="http://schemas.openxmlformats.org/officeDocument/2006/relationships/hyperlink" Target="https://www.england.nhs.uk/long-read/nhs-long-term-workforce-plan-2/" TargetMode="External" /><Relationship Id="rId33"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doi.org/10.1016/j.ecns.2015.04.005" TargetMode="External" /><Relationship Id="rId20" Type="http://schemas.openxmlformats.org/officeDocument/2006/relationships/hyperlink" Target="https://doi.org/10.3389/fpsyt.2025.1519670" TargetMode="External" /><Relationship Id="rId29" Type="http://schemas.openxmlformats.org/officeDocument/2006/relationships/hyperlink" Target="https://doi.org/10.4324/9781315237473"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doi.org/10.1016/j.ssmqr.2024.100482" TargetMode="External" /><Relationship Id="rId24" Type="http://schemas.openxmlformats.org/officeDocument/2006/relationships/hyperlink" Target="https://uk.hfonline.org/health-and-social-care-industry-demand-is-it-still-a-good-career-in-2025/" TargetMode="External" /><Relationship Id="rId32"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doi.org/10.3390/educsci6030027" TargetMode="External" /><Relationship Id="rId23" Type="http://schemas.openxmlformats.org/officeDocument/2006/relationships/hyperlink" Target="https://doi.org/10.4324/9780203822296" TargetMode="External" /><Relationship Id="rId28" Type="http://schemas.openxmlformats.org/officeDocument/2006/relationships/hyperlink" Target="https://doi.org/10.1016/j.lrp.2023.102304" TargetMode="External" /><Relationship Id="rId10" Type="http://schemas.openxmlformats.org/officeDocument/2006/relationships/hyperlink" Target="https://doi.org/10.1186/s12912-024-02266-4" TargetMode="External" /><Relationship Id="rId19" Type="http://schemas.openxmlformats.org/officeDocument/2006/relationships/hyperlink" Target="https://doi.org/10.1186/s12912-021-00684-2" TargetMode="External" /><Relationship Id="rId31"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doi.org/10.1016/j.dialog.2025.100252" TargetMode="External" /><Relationship Id="rId14" Type="http://schemas.openxmlformats.org/officeDocument/2006/relationships/hyperlink" Target="https://doi.org/10.1186/s12913-021-07257-8" TargetMode="External" /><Relationship Id="rId22" Type="http://schemas.openxmlformats.org/officeDocument/2006/relationships/hyperlink" Target="https://doi.org/10.3390/healthcare13162064" TargetMode="External" /><Relationship Id="rId27" Type="http://schemas.openxmlformats.org/officeDocument/2006/relationships/hyperlink" Target="https://doi.org/10.1177/14713012221113191" TargetMode="External" /><Relationship Id="rId30" Type="http://schemas.openxmlformats.org/officeDocument/2006/relationships/hyperlink" Target="https://www.uwtsd.ac.uk/study/experience-and-facilities/student-support-and-wellbei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3638</Words>
  <Characters>20741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zoya bibi</cp:lastModifiedBy>
  <cp:revision>2</cp:revision>
  <dcterms:created xsi:type="dcterms:W3CDTF">2025-11-21T07:01:00Z</dcterms:created>
  <dcterms:modified xsi:type="dcterms:W3CDTF">2025-11-21T07:01:00Z</dcterms:modified>
</cp:coreProperties>
</file>