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8C686E" w14:textId="683A67B6" w:rsidR="00B93338" w:rsidRDefault="00B93338" w:rsidP="00B93338">
      <w:pPr>
        <w:rPr>
          <w:rFonts w:eastAsia="Times New Roman" w:cstheme="minorHAnsi"/>
          <w:color w:val="373A3C"/>
          <w:lang w:eastAsia="en-GB"/>
        </w:rPr>
      </w:pPr>
      <w:r>
        <w:rPr>
          <w:rFonts w:eastAsia="Times New Roman" w:cstheme="minorHAnsi"/>
          <w:color w:val="373A3C"/>
          <w:lang w:eastAsia="en-GB"/>
        </w:rPr>
        <w:t>Graeme Guthrie</w:t>
      </w:r>
    </w:p>
    <w:p w14:paraId="23A9AA94" w14:textId="68B27F51" w:rsidR="00B93338" w:rsidRDefault="00B93338" w:rsidP="00B93338">
      <w:pPr>
        <w:rPr>
          <w:rFonts w:eastAsia="Times New Roman" w:cstheme="minorHAnsi"/>
          <w:color w:val="373A3C"/>
          <w:lang w:eastAsia="en-GB"/>
        </w:rPr>
      </w:pPr>
      <w:r>
        <w:rPr>
          <w:rFonts w:eastAsia="Times New Roman" w:cstheme="minorHAnsi"/>
          <w:color w:val="373A3C"/>
          <w:lang w:eastAsia="en-GB"/>
        </w:rPr>
        <w:t>Student no. 1805312</w:t>
      </w:r>
    </w:p>
    <w:p w14:paraId="22CB35FF" w14:textId="1E720774" w:rsidR="00ED1BF9" w:rsidRPr="00B93338" w:rsidRDefault="00ED1BF9" w:rsidP="00B93338">
      <w:pPr>
        <w:rPr>
          <w:rFonts w:eastAsia="Times New Roman" w:cstheme="minorHAnsi"/>
          <w:color w:val="373A3C"/>
          <w:lang w:eastAsia="en-GB"/>
        </w:rPr>
      </w:pPr>
      <w:r>
        <w:rPr>
          <w:rFonts w:eastAsia="Times New Roman" w:cstheme="minorHAnsi"/>
          <w:color w:val="373A3C"/>
          <w:lang w:eastAsia="en-GB"/>
        </w:rPr>
        <w:t>26/6/2021</w:t>
      </w:r>
    </w:p>
    <w:p w14:paraId="2E09D80F" w14:textId="77777777" w:rsidR="00B93338" w:rsidRDefault="00B93338" w:rsidP="00A03FFB">
      <w:pPr>
        <w:jc w:val="center"/>
        <w:rPr>
          <w:rFonts w:eastAsia="Times New Roman" w:cstheme="minorHAnsi"/>
          <w:i/>
          <w:iCs/>
          <w:color w:val="373A3C"/>
          <w:lang w:eastAsia="en-GB"/>
        </w:rPr>
      </w:pPr>
    </w:p>
    <w:p w14:paraId="3F3E1867" w14:textId="77777777" w:rsidR="00ED1BF9" w:rsidRDefault="00ED1BF9" w:rsidP="00ED1BF9">
      <w:pPr>
        <w:rPr>
          <w:rFonts w:eastAsia="Times New Roman" w:cstheme="minorHAnsi"/>
          <w:i/>
          <w:iCs/>
          <w:color w:val="373A3C"/>
          <w:lang w:eastAsia="en-GB"/>
        </w:rPr>
      </w:pPr>
    </w:p>
    <w:p w14:paraId="2D7046AF" w14:textId="1794B706" w:rsidR="005A5516" w:rsidRPr="00ED1BF9" w:rsidRDefault="005A5516" w:rsidP="00ED1BF9">
      <w:pPr>
        <w:rPr>
          <w:rFonts w:eastAsia="Times New Roman" w:cstheme="minorHAnsi"/>
          <w:i/>
          <w:iCs/>
          <w:color w:val="373A3C"/>
          <w:sz w:val="28"/>
          <w:szCs w:val="28"/>
          <w:lang w:eastAsia="en-GB"/>
        </w:rPr>
      </w:pPr>
      <w:r w:rsidRPr="00ED1BF9">
        <w:rPr>
          <w:rFonts w:eastAsia="Times New Roman" w:cstheme="minorHAnsi"/>
          <w:i/>
          <w:iCs/>
          <w:color w:val="373A3C"/>
          <w:sz w:val="28"/>
          <w:szCs w:val="28"/>
          <w:lang w:eastAsia="en-GB"/>
        </w:rPr>
        <w:t>Drawing on secondary scholarship and your own reflections, please answer the following: What is reception </w:t>
      </w:r>
      <w:proofErr w:type="gramStart"/>
      <w:r w:rsidRPr="00ED1BF9">
        <w:rPr>
          <w:rFonts w:eastAsia="Times New Roman" w:cstheme="minorHAnsi"/>
          <w:i/>
          <w:iCs/>
          <w:color w:val="373A3C"/>
          <w:sz w:val="28"/>
          <w:szCs w:val="28"/>
          <w:lang w:eastAsia="en-GB"/>
        </w:rPr>
        <w:t>history</w:t>
      </w:r>
      <w:proofErr w:type="gramEnd"/>
      <w:r w:rsidRPr="00ED1BF9">
        <w:rPr>
          <w:rFonts w:eastAsia="Times New Roman" w:cstheme="minorHAnsi"/>
          <w:i/>
          <w:iCs/>
          <w:color w:val="373A3C"/>
          <w:sz w:val="28"/>
          <w:szCs w:val="28"/>
          <w:lang w:eastAsia="en-GB"/>
        </w:rPr>
        <w:t> and does it have value in Biblical Studies?</w:t>
      </w:r>
    </w:p>
    <w:p w14:paraId="47547041" w14:textId="77777777" w:rsidR="005A5516" w:rsidRPr="00634BED" w:rsidRDefault="005A5516" w:rsidP="005A5516">
      <w:pPr>
        <w:rPr>
          <w:rFonts w:eastAsia="Times New Roman" w:cstheme="minorHAnsi"/>
          <w:color w:val="373A3C"/>
          <w:lang w:eastAsia="en-GB"/>
        </w:rPr>
      </w:pPr>
    </w:p>
    <w:p w14:paraId="0D634ECC" w14:textId="77777777" w:rsidR="005A5516" w:rsidRPr="00634BED" w:rsidRDefault="005A5516" w:rsidP="005A5516">
      <w:pPr>
        <w:rPr>
          <w:rFonts w:eastAsia="Times New Roman" w:cstheme="minorHAnsi"/>
          <w:color w:val="373A3C"/>
          <w:lang w:eastAsia="en-GB"/>
        </w:rPr>
      </w:pPr>
    </w:p>
    <w:p w14:paraId="35D2B224" w14:textId="634D6497" w:rsidR="005A5516" w:rsidRDefault="005A5516" w:rsidP="005A5516">
      <w:pPr>
        <w:rPr>
          <w:rFonts w:eastAsia="Times New Roman" w:cstheme="minorHAnsi"/>
          <w:color w:val="373A3C"/>
          <w:lang w:eastAsia="en-GB"/>
        </w:rPr>
      </w:pPr>
      <w:r w:rsidRPr="00634BED">
        <w:rPr>
          <w:rFonts w:eastAsia="Times New Roman" w:cstheme="minorHAnsi"/>
          <w:color w:val="373A3C"/>
          <w:lang w:eastAsia="en-GB"/>
        </w:rPr>
        <w:t xml:space="preserve">I will divide this </w:t>
      </w:r>
      <w:r w:rsidR="004E75AD">
        <w:rPr>
          <w:rFonts w:eastAsia="Times New Roman" w:cstheme="minorHAnsi"/>
          <w:color w:val="373A3C"/>
          <w:lang w:eastAsia="en-GB"/>
        </w:rPr>
        <w:t xml:space="preserve">brief </w:t>
      </w:r>
      <w:r w:rsidRPr="00634BED">
        <w:rPr>
          <w:rFonts w:eastAsia="Times New Roman" w:cstheme="minorHAnsi"/>
          <w:color w:val="373A3C"/>
          <w:lang w:eastAsia="en-GB"/>
        </w:rPr>
        <w:t xml:space="preserve">work into two </w:t>
      </w:r>
      <w:r w:rsidR="004E75AD">
        <w:rPr>
          <w:rFonts w:eastAsia="Times New Roman" w:cstheme="minorHAnsi"/>
          <w:color w:val="373A3C"/>
          <w:lang w:eastAsia="en-GB"/>
        </w:rPr>
        <w:t>parts</w:t>
      </w:r>
      <w:r w:rsidRPr="00634BED">
        <w:rPr>
          <w:rFonts w:eastAsia="Times New Roman" w:cstheme="minorHAnsi"/>
          <w:color w:val="373A3C"/>
          <w:lang w:eastAsia="en-GB"/>
        </w:rPr>
        <w:t xml:space="preserve">: firstly, defining reception history and outlining its conception; secondly, considering the role reception history has to play (both positive and negative) in contemporary </w:t>
      </w:r>
      <w:r w:rsidR="00A03FFB" w:rsidRPr="00634BED">
        <w:rPr>
          <w:rFonts w:eastAsia="Times New Roman" w:cstheme="minorHAnsi"/>
          <w:color w:val="373A3C"/>
          <w:lang w:eastAsia="en-GB"/>
        </w:rPr>
        <w:t>B</w:t>
      </w:r>
      <w:r w:rsidRPr="00634BED">
        <w:rPr>
          <w:rFonts w:eastAsia="Times New Roman" w:cstheme="minorHAnsi"/>
          <w:color w:val="373A3C"/>
          <w:lang w:eastAsia="en-GB"/>
        </w:rPr>
        <w:t xml:space="preserve">iblical studies. </w:t>
      </w:r>
    </w:p>
    <w:p w14:paraId="0DEB7B51" w14:textId="77777777" w:rsidR="00ED1BF9" w:rsidRPr="00634BED" w:rsidRDefault="00ED1BF9" w:rsidP="005A5516">
      <w:pPr>
        <w:rPr>
          <w:rFonts w:eastAsia="Times New Roman" w:cstheme="minorHAnsi"/>
          <w:color w:val="373A3C"/>
          <w:lang w:eastAsia="en-GB"/>
        </w:rPr>
      </w:pPr>
    </w:p>
    <w:p w14:paraId="6F08D43C" w14:textId="77777777" w:rsidR="005A5516" w:rsidRPr="00634BED" w:rsidRDefault="005A5516" w:rsidP="005A5516">
      <w:pPr>
        <w:rPr>
          <w:rFonts w:eastAsia="Times New Roman" w:cstheme="minorHAnsi"/>
          <w:color w:val="373A3C"/>
          <w:lang w:eastAsia="en-GB"/>
        </w:rPr>
      </w:pPr>
    </w:p>
    <w:p w14:paraId="40C2F4BD" w14:textId="14D3DCC6" w:rsidR="005A5516" w:rsidRPr="00634BED" w:rsidRDefault="005A5516" w:rsidP="005A5516">
      <w:pPr>
        <w:pStyle w:val="ListParagraph"/>
        <w:numPr>
          <w:ilvl w:val="0"/>
          <w:numId w:val="1"/>
        </w:numPr>
        <w:rPr>
          <w:rFonts w:eastAsia="Times New Roman" w:cstheme="minorHAnsi"/>
          <w:i/>
          <w:iCs/>
          <w:lang w:eastAsia="en-GB"/>
        </w:rPr>
      </w:pPr>
      <w:r w:rsidRPr="00634BED">
        <w:rPr>
          <w:rFonts w:eastAsia="Times New Roman" w:cstheme="minorHAnsi"/>
          <w:i/>
          <w:iCs/>
          <w:lang w:eastAsia="en-GB"/>
        </w:rPr>
        <w:t xml:space="preserve">Definition and </w:t>
      </w:r>
      <w:r w:rsidR="00533890" w:rsidRPr="00634BED">
        <w:rPr>
          <w:rFonts w:eastAsia="Times New Roman" w:cstheme="minorHAnsi"/>
          <w:i/>
          <w:iCs/>
          <w:lang w:eastAsia="en-GB"/>
        </w:rPr>
        <w:t>H</w:t>
      </w:r>
      <w:r w:rsidRPr="00634BED">
        <w:rPr>
          <w:rFonts w:eastAsia="Times New Roman" w:cstheme="minorHAnsi"/>
          <w:i/>
          <w:iCs/>
          <w:lang w:eastAsia="en-GB"/>
        </w:rPr>
        <w:t>istory.</w:t>
      </w:r>
    </w:p>
    <w:p w14:paraId="1233C2B7" w14:textId="77777777" w:rsidR="005A5516" w:rsidRPr="00634BED" w:rsidRDefault="005A5516" w:rsidP="005A5516">
      <w:pPr>
        <w:rPr>
          <w:rFonts w:eastAsia="Times New Roman" w:cstheme="minorHAnsi"/>
          <w:lang w:eastAsia="en-GB"/>
        </w:rPr>
      </w:pPr>
    </w:p>
    <w:p w14:paraId="66C1A7F7" w14:textId="432FDBA0" w:rsidR="005A5516" w:rsidRPr="00634BED" w:rsidRDefault="005A5516" w:rsidP="005A5516">
      <w:pPr>
        <w:rPr>
          <w:rFonts w:eastAsia="Times New Roman" w:cstheme="minorHAnsi"/>
          <w:lang w:eastAsia="en-GB"/>
        </w:rPr>
      </w:pPr>
      <w:r w:rsidRPr="00634BED">
        <w:rPr>
          <w:rFonts w:eastAsia="Times New Roman" w:cstheme="minorHAnsi"/>
          <w:lang w:eastAsia="en-GB"/>
        </w:rPr>
        <w:t xml:space="preserve">Reception history can </w:t>
      </w:r>
      <w:r w:rsidR="00A03FFB" w:rsidRPr="00634BED">
        <w:rPr>
          <w:rFonts w:eastAsia="Times New Roman" w:cstheme="minorHAnsi"/>
          <w:lang w:eastAsia="en-GB"/>
        </w:rPr>
        <w:t>broadly</w:t>
      </w:r>
      <w:r w:rsidRPr="00634BED">
        <w:rPr>
          <w:rFonts w:eastAsia="Times New Roman" w:cstheme="minorHAnsi"/>
          <w:lang w:eastAsia="en-GB"/>
        </w:rPr>
        <w:t xml:space="preserve"> be defined as “the study of the way in which a text’s interpreters have read the text in their various social and religious contexts”.</w:t>
      </w:r>
      <w:r w:rsidRPr="00634BED">
        <w:rPr>
          <w:rStyle w:val="FootnoteReference"/>
          <w:rFonts w:eastAsia="Times New Roman" w:cstheme="minorHAnsi"/>
          <w:lang w:eastAsia="en-GB"/>
        </w:rPr>
        <w:footnoteReference w:id="1"/>
      </w:r>
      <w:r w:rsidRPr="00634BED">
        <w:rPr>
          <w:rFonts w:eastAsia="Times New Roman" w:cstheme="minorHAnsi"/>
          <w:lang w:eastAsia="en-GB"/>
        </w:rPr>
        <w:t xml:space="preserve"> It can be distinguished from mere reception (</w:t>
      </w:r>
      <w:r w:rsidR="00A03FFB" w:rsidRPr="00634BED">
        <w:rPr>
          <w:rFonts w:eastAsia="Times New Roman" w:cstheme="minorHAnsi"/>
          <w:lang w:eastAsia="en-GB"/>
        </w:rPr>
        <w:t xml:space="preserve">all the </w:t>
      </w:r>
      <w:r w:rsidRPr="00634BED">
        <w:rPr>
          <w:rFonts w:eastAsia="Times New Roman" w:cstheme="minorHAnsi"/>
          <w:lang w:eastAsia="en-GB"/>
        </w:rPr>
        <w:t xml:space="preserve">ways a text has been interpreted over the previous three </w:t>
      </w:r>
      <w:r w:rsidR="004E75AD" w:rsidRPr="00634BED">
        <w:rPr>
          <w:rFonts w:eastAsia="Times New Roman" w:cstheme="minorHAnsi"/>
          <w:lang w:eastAsia="en-GB"/>
        </w:rPr>
        <w:t>millennia</w:t>
      </w:r>
      <w:r w:rsidR="00A03FFB" w:rsidRPr="00634BED">
        <w:rPr>
          <w:rFonts w:eastAsia="Times New Roman" w:cstheme="minorHAnsi"/>
          <w:lang w:eastAsia="en-GB"/>
        </w:rPr>
        <w:t>, which is clearly immeasurable</w:t>
      </w:r>
      <w:r w:rsidRPr="00634BED">
        <w:rPr>
          <w:rFonts w:eastAsia="Times New Roman" w:cstheme="minorHAnsi"/>
          <w:lang w:eastAsia="en-GB"/>
        </w:rPr>
        <w:t xml:space="preserve">) in that reception history is an organisation of the </w:t>
      </w:r>
      <w:r w:rsidR="00A03FFB" w:rsidRPr="00634BED">
        <w:rPr>
          <w:rFonts w:eastAsia="Times New Roman" w:cstheme="minorHAnsi"/>
          <w:lang w:eastAsia="en-GB"/>
        </w:rPr>
        <w:t xml:space="preserve">interpreted </w:t>
      </w:r>
      <w:r w:rsidRPr="00634BED">
        <w:rPr>
          <w:rFonts w:eastAsia="Times New Roman" w:cstheme="minorHAnsi"/>
          <w:lang w:eastAsia="en-GB"/>
        </w:rPr>
        <w:t>material into some form of order.</w:t>
      </w:r>
      <w:r w:rsidRPr="00634BED">
        <w:rPr>
          <w:rStyle w:val="FootnoteReference"/>
          <w:rFonts w:eastAsia="Times New Roman" w:cstheme="minorHAnsi"/>
          <w:lang w:eastAsia="en-GB"/>
        </w:rPr>
        <w:footnoteReference w:id="2"/>
      </w:r>
      <w:r w:rsidR="00A03FFB" w:rsidRPr="00634BED">
        <w:rPr>
          <w:rFonts w:eastAsia="Times New Roman" w:cstheme="minorHAnsi"/>
          <w:lang w:eastAsia="en-GB"/>
        </w:rPr>
        <w:t xml:space="preserve"> What makes </w:t>
      </w:r>
      <w:r w:rsidR="004E75AD">
        <w:rPr>
          <w:rFonts w:eastAsia="Times New Roman" w:cstheme="minorHAnsi"/>
          <w:lang w:eastAsia="en-GB"/>
        </w:rPr>
        <w:t>it</w:t>
      </w:r>
      <w:r w:rsidR="00A03FFB" w:rsidRPr="00634BED">
        <w:rPr>
          <w:rFonts w:eastAsia="Times New Roman" w:cstheme="minorHAnsi"/>
          <w:lang w:eastAsia="en-GB"/>
        </w:rPr>
        <w:t xml:space="preserve"> unique in comparison to other methods of Biblical interpretation is that it is not limited solely to interpretive writings, but utilises poetry, art, film, </w:t>
      </w:r>
      <w:r w:rsidR="00C71E23" w:rsidRPr="00634BED">
        <w:rPr>
          <w:rFonts w:eastAsia="Times New Roman" w:cstheme="minorHAnsi"/>
          <w:lang w:eastAsia="en-GB"/>
        </w:rPr>
        <w:t>novels</w:t>
      </w:r>
      <w:r w:rsidR="004E75AD">
        <w:rPr>
          <w:rFonts w:eastAsia="Times New Roman" w:cstheme="minorHAnsi"/>
          <w:lang w:eastAsia="en-GB"/>
        </w:rPr>
        <w:t xml:space="preserve"> </w:t>
      </w:r>
      <w:r w:rsidR="00C71E23" w:rsidRPr="00634BED">
        <w:rPr>
          <w:rFonts w:eastAsia="Times New Roman" w:cstheme="minorHAnsi"/>
          <w:lang w:eastAsia="en-GB"/>
        </w:rPr>
        <w:t xml:space="preserve">and </w:t>
      </w:r>
      <w:r w:rsidR="004E75AD">
        <w:rPr>
          <w:rFonts w:eastAsia="Times New Roman" w:cstheme="minorHAnsi"/>
          <w:lang w:eastAsia="en-GB"/>
        </w:rPr>
        <w:t>m</w:t>
      </w:r>
      <w:r w:rsidR="00C71E23" w:rsidRPr="00634BED">
        <w:rPr>
          <w:rFonts w:eastAsia="Times New Roman" w:cstheme="minorHAnsi"/>
          <w:lang w:eastAsia="en-GB"/>
        </w:rPr>
        <w:t>any other genre,</w:t>
      </w:r>
      <w:r w:rsidR="004E75AD">
        <w:rPr>
          <w:rFonts w:eastAsia="Times New Roman" w:cstheme="minorHAnsi"/>
          <w:lang w:eastAsia="en-GB"/>
        </w:rPr>
        <w:t xml:space="preserve"> provided</w:t>
      </w:r>
      <w:r w:rsidR="00C71E23" w:rsidRPr="00634BED">
        <w:rPr>
          <w:rFonts w:eastAsia="Times New Roman" w:cstheme="minorHAnsi"/>
          <w:lang w:eastAsia="en-GB"/>
        </w:rPr>
        <w:t xml:space="preserve"> it has in some way interpreted the text in question.</w:t>
      </w:r>
      <w:r w:rsidR="002D7008" w:rsidRPr="00634BED">
        <w:rPr>
          <w:rStyle w:val="FootnoteReference"/>
          <w:rFonts w:eastAsia="Times New Roman" w:cstheme="minorHAnsi"/>
          <w:lang w:eastAsia="en-GB"/>
        </w:rPr>
        <w:footnoteReference w:id="3"/>
      </w:r>
    </w:p>
    <w:p w14:paraId="2E55A57E" w14:textId="77777777" w:rsidR="005A5516" w:rsidRPr="00634BED" w:rsidRDefault="005A5516" w:rsidP="005A5516">
      <w:pPr>
        <w:rPr>
          <w:rFonts w:eastAsia="Times New Roman" w:cstheme="minorHAnsi"/>
          <w:lang w:eastAsia="en-GB"/>
        </w:rPr>
      </w:pPr>
    </w:p>
    <w:p w14:paraId="572985DB" w14:textId="77777777" w:rsidR="00ED1BF9" w:rsidRDefault="005A5516" w:rsidP="005A5516">
      <w:pPr>
        <w:rPr>
          <w:rFonts w:cstheme="minorHAnsi"/>
        </w:rPr>
      </w:pPr>
      <w:r w:rsidRPr="00634BED">
        <w:rPr>
          <w:rFonts w:eastAsia="Times New Roman" w:cstheme="minorHAnsi"/>
          <w:lang w:eastAsia="en-GB"/>
        </w:rPr>
        <w:t xml:space="preserve">There is </w:t>
      </w:r>
      <w:r w:rsidR="004E75AD">
        <w:rPr>
          <w:rFonts w:eastAsia="Times New Roman" w:cstheme="minorHAnsi"/>
          <w:lang w:eastAsia="en-GB"/>
        </w:rPr>
        <w:t xml:space="preserve">general </w:t>
      </w:r>
      <w:r w:rsidRPr="00634BED">
        <w:rPr>
          <w:rFonts w:eastAsia="Times New Roman" w:cstheme="minorHAnsi"/>
          <w:lang w:eastAsia="en-GB"/>
        </w:rPr>
        <w:t xml:space="preserve">agreement that the </w:t>
      </w:r>
      <w:r w:rsidR="00C71E23" w:rsidRPr="00634BED">
        <w:rPr>
          <w:rFonts w:eastAsia="Times New Roman" w:cstheme="minorHAnsi"/>
          <w:lang w:eastAsia="en-GB"/>
        </w:rPr>
        <w:t xml:space="preserve">hermeneutical </w:t>
      </w:r>
      <w:r w:rsidRPr="00634BED">
        <w:rPr>
          <w:rFonts w:eastAsia="Times New Roman" w:cstheme="minorHAnsi"/>
          <w:lang w:eastAsia="en-GB"/>
        </w:rPr>
        <w:t xml:space="preserve">principles undergirding reception history originate in the writings of Hans George Gadamer, most notably his landmark </w:t>
      </w:r>
      <w:r w:rsidR="004E75AD">
        <w:rPr>
          <w:rFonts w:eastAsia="Times New Roman" w:cstheme="minorHAnsi"/>
          <w:lang w:eastAsia="en-GB"/>
        </w:rPr>
        <w:t xml:space="preserve">1960 </w:t>
      </w:r>
      <w:r w:rsidRPr="00634BED">
        <w:rPr>
          <w:rFonts w:eastAsia="Times New Roman" w:cstheme="minorHAnsi"/>
          <w:lang w:eastAsia="en-GB"/>
        </w:rPr>
        <w:t xml:space="preserve">monograph </w:t>
      </w:r>
      <w:r w:rsidRPr="00634BED">
        <w:rPr>
          <w:rFonts w:eastAsia="Times New Roman" w:cstheme="minorHAnsi"/>
          <w:i/>
          <w:iCs/>
          <w:lang w:eastAsia="en-GB"/>
        </w:rPr>
        <w:t>Truth and Method</w:t>
      </w:r>
      <w:r w:rsidRPr="00634BED">
        <w:rPr>
          <w:rFonts w:eastAsia="Times New Roman" w:cstheme="minorHAnsi"/>
          <w:lang w:eastAsia="en-GB"/>
        </w:rPr>
        <w:t>.</w:t>
      </w:r>
      <w:r w:rsidRPr="00634BED">
        <w:rPr>
          <w:rStyle w:val="FootnoteReference"/>
          <w:rFonts w:eastAsia="Times New Roman" w:cstheme="minorHAnsi"/>
          <w:lang w:eastAsia="en-GB"/>
        </w:rPr>
        <w:footnoteReference w:id="4"/>
      </w:r>
      <w:r w:rsidRPr="00634BED">
        <w:rPr>
          <w:rFonts w:eastAsia="Times New Roman" w:cstheme="minorHAnsi"/>
          <w:lang w:eastAsia="en-GB"/>
        </w:rPr>
        <w:t xml:space="preserve"> Gadamer argued there is no such thing as an unbiased reading of any text, and that all interpretation is historically conditioned </w:t>
      </w:r>
      <w:r w:rsidR="00C71E23" w:rsidRPr="00634BED">
        <w:rPr>
          <w:rFonts w:eastAsia="Times New Roman" w:cstheme="minorHAnsi"/>
          <w:lang w:eastAsia="en-GB"/>
        </w:rPr>
        <w:t xml:space="preserve">and </w:t>
      </w:r>
      <w:r w:rsidRPr="00634BED">
        <w:rPr>
          <w:rFonts w:eastAsia="Times New Roman" w:cstheme="minorHAnsi"/>
          <w:lang w:eastAsia="en-GB"/>
        </w:rPr>
        <w:t>thus dependent on the tradition to which the interpreter</w:t>
      </w:r>
      <w:r w:rsidR="00C71E23" w:rsidRPr="00634BED">
        <w:rPr>
          <w:rFonts w:eastAsia="Times New Roman" w:cstheme="minorHAnsi"/>
          <w:lang w:eastAsia="en-GB"/>
        </w:rPr>
        <w:t xml:space="preserve"> </w:t>
      </w:r>
      <w:r w:rsidRPr="00634BED">
        <w:rPr>
          <w:rFonts w:eastAsia="Times New Roman" w:cstheme="minorHAnsi"/>
          <w:lang w:eastAsia="en-GB"/>
        </w:rPr>
        <w:t>belongs</w:t>
      </w:r>
      <w:r w:rsidR="00C71E23" w:rsidRPr="00634BED">
        <w:rPr>
          <w:rFonts w:eastAsia="Times New Roman" w:cstheme="minorHAnsi"/>
          <w:lang w:eastAsia="en-GB"/>
        </w:rPr>
        <w:t>:</w:t>
      </w:r>
      <w:r w:rsidRPr="00634BED">
        <w:rPr>
          <w:rStyle w:val="FootnoteReference"/>
          <w:rFonts w:eastAsia="Times New Roman" w:cstheme="minorHAnsi"/>
          <w:lang w:eastAsia="en-GB"/>
        </w:rPr>
        <w:footnoteReference w:id="5"/>
      </w:r>
      <w:r w:rsidRPr="00634BED">
        <w:rPr>
          <w:rFonts w:eastAsia="Times New Roman" w:cstheme="minorHAnsi"/>
          <w:lang w:eastAsia="en-GB"/>
        </w:rPr>
        <w:t xml:space="preserve"> </w:t>
      </w:r>
      <w:r w:rsidRPr="00634BED">
        <w:rPr>
          <w:rFonts w:cstheme="minorHAnsi"/>
        </w:rPr>
        <w:t>“History does not belong to us; we belong to it.”</w:t>
      </w:r>
      <w:r w:rsidRPr="00634BED">
        <w:rPr>
          <w:rStyle w:val="FootnoteReference"/>
          <w:rFonts w:cstheme="minorHAnsi"/>
        </w:rPr>
        <w:footnoteReference w:id="6"/>
      </w:r>
      <w:r w:rsidRPr="00634BED">
        <w:rPr>
          <w:rFonts w:cstheme="minorHAnsi"/>
        </w:rPr>
        <w:t xml:space="preserve"> Gadamer himself pioneered the use of the word </w:t>
      </w:r>
      <w:r w:rsidRPr="00634BED">
        <w:rPr>
          <w:rFonts w:cstheme="minorHAnsi"/>
          <w:i/>
          <w:iCs/>
        </w:rPr>
        <w:t>Wirkungsgschichte,</w:t>
      </w:r>
      <w:r w:rsidRPr="00634BED">
        <w:rPr>
          <w:rFonts w:cstheme="minorHAnsi"/>
        </w:rPr>
        <w:t xml:space="preserve"> (“effective history” or “history of influence”), pertaining to the way in which </w:t>
      </w:r>
      <w:r w:rsidR="00C71E23" w:rsidRPr="00634BED">
        <w:rPr>
          <w:rFonts w:cstheme="minorHAnsi"/>
        </w:rPr>
        <w:t>B</w:t>
      </w:r>
      <w:r w:rsidRPr="00634BED">
        <w:rPr>
          <w:rFonts w:cstheme="minorHAnsi"/>
        </w:rPr>
        <w:t>iblical texts have shaped cultures.</w:t>
      </w:r>
      <w:r w:rsidRPr="00634BED">
        <w:rPr>
          <w:rStyle w:val="FootnoteReference"/>
          <w:rFonts w:cstheme="minorHAnsi"/>
        </w:rPr>
        <w:footnoteReference w:id="7"/>
      </w:r>
      <w:r w:rsidRPr="00634BED">
        <w:rPr>
          <w:rFonts w:cstheme="minorHAnsi"/>
        </w:rPr>
        <w:t xml:space="preserve"> His view was that the interpreter shou</w:t>
      </w:r>
      <w:r w:rsidR="00C71E23" w:rsidRPr="00634BED">
        <w:rPr>
          <w:rFonts w:cstheme="minorHAnsi"/>
        </w:rPr>
        <w:t>ld</w:t>
      </w:r>
      <w:r w:rsidRPr="00634BED">
        <w:rPr>
          <w:rFonts w:cstheme="minorHAnsi"/>
        </w:rPr>
        <w:t xml:space="preserve"> enter into a “benevolent</w:t>
      </w:r>
    </w:p>
    <w:p w14:paraId="26BAA8CB" w14:textId="30BCD44E" w:rsidR="005A5516" w:rsidRPr="00634BED" w:rsidRDefault="005A5516" w:rsidP="005A5516">
      <w:pPr>
        <w:rPr>
          <w:rFonts w:cstheme="minorHAnsi"/>
        </w:rPr>
      </w:pPr>
      <w:r w:rsidRPr="00634BED">
        <w:rPr>
          <w:rFonts w:cstheme="minorHAnsi"/>
        </w:rPr>
        <w:lastRenderedPageBreak/>
        <w:t>dialogue” with the tradition of interpret</w:t>
      </w:r>
      <w:r w:rsidR="00C71E23" w:rsidRPr="00634BED">
        <w:rPr>
          <w:rFonts w:cstheme="minorHAnsi"/>
        </w:rPr>
        <w:t>a</w:t>
      </w:r>
      <w:r w:rsidRPr="00634BED">
        <w:rPr>
          <w:rFonts w:cstheme="minorHAnsi"/>
        </w:rPr>
        <w:t xml:space="preserve">tion throughout history as a </w:t>
      </w:r>
      <w:r w:rsidR="008F17AF" w:rsidRPr="00634BED">
        <w:rPr>
          <w:rFonts w:cstheme="minorHAnsi"/>
        </w:rPr>
        <w:t xml:space="preserve">means </w:t>
      </w:r>
      <w:r w:rsidRPr="00634BED">
        <w:rPr>
          <w:rFonts w:cstheme="minorHAnsi"/>
        </w:rPr>
        <w:t xml:space="preserve">of </w:t>
      </w:r>
      <w:r w:rsidR="00B52B06" w:rsidRPr="00634BED">
        <w:rPr>
          <w:rFonts w:cstheme="minorHAnsi"/>
        </w:rPr>
        <w:t xml:space="preserve">opening up hitherto </w:t>
      </w:r>
      <w:proofErr w:type="gramStart"/>
      <w:r w:rsidR="008F17AF" w:rsidRPr="00634BED">
        <w:rPr>
          <w:rFonts w:cstheme="minorHAnsi"/>
        </w:rPr>
        <w:t xml:space="preserve">unnoticed </w:t>
      </w:r>
      <w:r w:rsidR="00B52B06" w:rsidRPr="00634BED">
        <w:rPr>
          <w:rFonts w:cstheme="minorHAnsi"/>
        </w:rPr>
        <w:t xml:space="preserve"> avenues</w:t>
      </w:r>
      <w:proofErr w:type="gramEnd"/>
      <w:r w:rsidR="00B52B06" w:rsidRPr="00634BED">
        <w:rPr>
          <w:rFonts w:cstheme="minorHAnsi"/>
        </w:rPr>
        <w:t xml:space="preserve"> in a text. </w:t>
      </w:r>
      <w:r w:rsidRPr="00634BED">
        <w:rPr>
          <w:rFonts w:cstheme="minorHAnsi"/>
        </w:rPr>
        <w:t>Importantly, whilst he was critical of the</w:t>
      </w:r>
      <w:r w:rsidR="00B52B06" w:rsidRPr="00634BED">
        <w:rPr>
          <w:rFonts w:cstheme="minorHAnsi"/>
        </w:rPr>
        <w:t xml:space="preserve"> </w:t>
      </w:r>
      <w:r w:rsidR="002810AA">
        <w:rPr>
          <w:rFonts w:cstheme="minorHAnsi"/>
        </w:rPr>
        <w:t xml:space="preserve">popular </w:t>
      </w:r>
      <w:r w:rsidRPr="00634BED">
        <w:rPr>
          <w:rFonts w:cstheme="minorHAnsi"/>
        </w:rPr>
        <w:t>historical</w:t>
      </w:r>
      <w:r w:rsidR="00B52B06" w:rsidRPr="00634BED">
        <w:rPr>
          <w:rFonts w:cstheme="minorHAnsi"/>
        </w:rPr>
        <w:t xml:space="preserve"> </w:t>
      </w:r>
      <w:r w:rsidRPr="00634BED">
        <w:rPr>
          <w:rFonts w:cstheme="minorHAnsi"/>
        </w:rPr>
        <w:t>method</w:t>
      </w:r>
      <w:r w:rsidR="002810AA">
        <w:rPr>
          <w:rFonts w:cstheme="minorHAnsi"/>
        </w:rPr>
        <w:t xml:space="preserve">, </w:t>
      </w:r>
      <w:r w:rsidRPr="00634BED">
        <w:rPr>
          <w:rFonts w:cstheme="minorHAnsi"/>
        </w:rPr>
        <w:t xml:space="preserve">he did not </w:t>
      </w:r>
      <w:r w:rsidR="00B52B06" w:rsidRPr="00634BED">
        <w:rPr>
          <w:rFonts w:cstheme="minorHAnsi"/>
        </w:rPr>
        <w:t>suggest</w:t>
      </w:r>
      <w:r w:rsidRPr="00634BED">
        <w:rPr>
          <w:rFonts w:cstheme="minorHAnsi"/>
        </w:rPr>
        <w:t xml:space="preserve"> that </w:t>
      </w:r>
      <w:r w:rsidRPr="00634BED">
        <w:rPr>
          <w:rFonts w:cstheme="minorHAnsi"/>
          <w:i/>
          <w:iCs/>
        </w:rPr>
        <w:t>Wirkungsgeschite</w:t>
      </w:r>
      <w:r w:rsidRPr="00634BED">
        <w:rPr>
          <w:rFonts w:cstheme="minorHAnsi"/>
        </w:rPr>
        <w:t xml:space="preserve"> </w:t>
      </w:r>
      <w:r w:rsidR="00634BED" w:rsidRPr="00634BED">
        <w:rPr>
          <w:rFonts w:cstheme="minorHAnsi"/>
        </w:rPr>
        <w:t xml:space="preserve">should </w:t>
      </w:r>
      <w:r w:rsidR="00B52B06" w:rsidRPr="00634BED">
        <w:rPr>
          <w:rFonts w:cstheme="minorHAnsi"/>
        </w:rPr>
        <w:t>be</w:t>
      </w:r>
      <w:r w:rsidRPr="00634BED">
        <w:rPr>
          <w:rFonts w:cstheme="minorHAnsi"/>
        </w:rPr>
        <w:t xml:space="preserve"> a </w:t>
      </w:r>
      <w:r w:rsidR="00B52B06" w:rsidRPr="00634BED">
        <w:rPr>
          <w:rFonts w:cstheme="minorHAnsi"/>
        </w:rPr>
        <w:t>distinct</w:t>
      </w:r>
      <w:r w:rsidRPr="00634BED">
        <w:rPr>
          <w:rFonts w:cstheme="minorHAnsi"/>
        </w:rPr>
        <w:t xml:space="preserve"> </w:t>
      </w:r>
      <w:r w:rsidRPr="00634BED">
        <w:rPr>
          <w:rFonts w:cstheme="minorHAnsi"/>
          <w:color w:val="000000" w:themeColor="text1"/>
        </w:rPr>
        <w:t>discipline</w:t>
      </w:r>
      <w:r w:rsidR="00634BED" w:rsidRPr="00634BED">
        <w:rPr>
          <w:rFonts w:cstheme="minorHAnsi"/>
          <w:color w:val="000000" w:themeColor="text1"/>
        </w:rPr>
        <w:t xml:space="preserve"> within Biblical studies, but rather a hermeneutical approach that encompassed the various methodologies (including the historical-critical approach).</w:t>
      </w:r>
      <w:r w:rsidR="00865393" w:rsidRPr="00634BED">
        <w:rPr>
          <w:rStyle w:val="FootnoteReference"/>
          <w:rFonts w:cstheme="minorHAnsi"/>
          <w:color w:val="000000" w:themeColor="text1"/>
        </w:rPr>
        <w:footnoteReference w:id="8"/>
      </w:r>
      <w:r w:rsidR="00634BED" w:rsidRPr="00634BED">
        <w:rPr>
          <w:rFonts w:cstheme="minorHAnsi"/>
        </w:rPr>
        <w:t xml:space="preserve"> </w:t>
      </w:r>
      <w:r w:rsidRPr="00634BED">
        <w:rPr>
          <w:rFonts w:cstheme="minorHAnsi"/>
        </w:rPr>
        <w:t>It was Gadamer</w:t>
      </w:r>
      <w:r w:rsidR="008F17AF" w:rsidRPr="00634BED">
        <w:rPr>
          <w:rFonts w:cstheme="minorHAnsi"/>
        </w:rPr>
        <w:t>’s student</w:t>
      </w:r>
      <w:r w:rsidRPr="00634BED">
        <w:rPr>
          <w:rFonts w:cstheme="minorHAnsi"/>
        </w:rPr>
        <w:t>, H</w:t>
      </w:r>
      <w:r w:rsidR="008F17AF" w:rsidRPr="00634BED">
        <w:rPr>
          <w:rFonts w:cstheme="minorHAnsi"/>
        </w:rPr>
        <w:t xml:space="preserve">ans </w:t>
      </w:r>
      <w:r w:rsidRPr="00634BED">
        <w:rPr>
          <w:rFonts w:cstheme="minorHAnsi"/>
        </w:rPr>
        <w:t>R</w:t>
      </w:r>
      <w:r w:rsidR="008F17AF" w:rsidRPr="00634BED">
        <w:rPr>
          <w:rFonts w:cstheme="minorHAnsi"/>
        </w:rPr>
        <w:t>obert</w:t>
      </w:r>
      <w:r w:rsidRPr="00634BED">
        <w:rPr>
          <w:rFonts w:cstheme="minorHAnsi"/>
        </w:rPr>
        <w:t xml:space="preserve"> Jauss, who built upon the foundation of his mentor and more explicitly developed the concept of “reception </w:t>
      </w:r>
      <w:r w:rsidR="008F17AF" w:rsidRPr="00634BED">
        <w:rPr>
          <w:rFonts w:cstheme="minorHAnsi"/>
        </w:rPr>
        <w:t>theory</w:t>
      </w:r>
      <w:r w:rsidRPr="00634BED">
        <w:rPr>
          <w:rFonts w:cstheme="minorHAnsi"/>
        </w:rPr>
        <w:t xml:space="preserve">” </w:t>
      </w:r>
      <w:r w:rsidR="008F17AF" w:rsidRPr="00634BED">
        <w:rPr>
          <w:rFonts w:cstheme="minorHAnsi"/>
        </w:rPr>
        <w:t>(</w:t>
      </w:r>
      <w:r w:rsidR="008F17AF" w:rsidRPr="00634BED">
        <w:rPr>
          <w:rFonts w:cstheme="minorHAnsi"/>
          <w:i/>
          <w:iCs/>
        </w:rPr>
        <w:t>Rezeptionsaesthetik</w:t>
      </w:r>
      <w:r w:rsidR="008F17AF" w:rsidRPr="00634BED">
        <w:rPr>
          <w:rFonts w:cstheme="minorHAnsi"/>
        </w:rPr>
        <w:t xml:space="preserve">) </w:t>
      </w:r>
      <w:r w:rsidRPr="00634BED">
        <w:rPr>
          <w:rFonts w:cstheme="minorHAnsi"/>
        </w:rPr>
        <w:t>as a distinct method in literary hermeneutics</w:t>
      </w:r>
      <w:r w:rsidR="008F17AF" w:rsidRPr="00634BED">
        <w:rPr>
          <w:rFonts w:cstheme="minorHAnsi"/>
        </w:rPr>
        <w:t xml:space="preserve"> that have</w:t>
      </w:r>
      <w:r w:rsidR="00865393" w:rsidRPr="00634BED">
        <w:rPr>
          <w:rFonts w:cstheme="minorHAnsi"/>
        </w:rPr>
        <w:t xml:space="preserve"> </w:t>
      </w:r>
      <w:r w:rsidR="008F17AF" w:rsidRPr="00634BED">
        <w:rPr>
          <w:rFonts w:cstheme="minorHAnsi"/>
        </w:rPr>
        <w:t>been utilised in Biblical studies.</w:t>
      </w:r>
      <w:r w:rsidRPr="00634BED">
        <w:rPr>
          <w:rStyle w:val="FootnoteReference"/>
          <w:rFonts w:cstheme="minorHAnsi"/>
        </w:rPr>
        <w:footnoteReference w:id="9"/>
      </w:r>
    </w:p>
    <w:p w14:paraId="241EA1BF" w14:textId="462FD3D5" w:rsidR="00FE3A8A" w:rsidRPr="00634BED" w:rsidRDefault="00FE3A8A" w:rsidP="005A5516">
      <w:pPr>
        <w:rPr>
          <w:rFonts w:cstheme="minorHAnsi"/>
        </w:rPr>
      </w:pPr>
    </w:p>
    <w:p w14:paraId="71F1E4B8" w14:textId="6F01145F" w:rsidR="005A5516" w:rsidRDefault="005A5516" w:rsidP="005A5516">
      <w:pPr>
        <w:rPr>
          <w:rFonts w:cstheme="minorHAnsi"/>
        </w:rPr>
      </w:pPr>
      <w:r w:rsidRPr="00634BED">
        <w:rPr>
          <w:rFonts w:cstheme="minorHAnsi"/>
        </w:rPr>
        <w:t>Since the pioneering work of Gadamer and Jauss there has been an increasing body of literature and scholarly interest in the use of reception history. In 1985 Ulrich Luz produced a three volume work on Matthew’s Gospel which</w:t>
      </w:r>
      <w:r w:rsidR="002810AA">
        <w:rPr>
          <w:rFonts w:cstheme="minorHAnsi"/>
        </w:rPr>
        <w:t xml:space="preserve"> </w:t>
      </w:r>
      <w:r w:rsidRPr="00634BED">
        <w:rPr>
          <w:rFonts w:cstheme="minorHAnsi"/>
        </w:rPr>
        <w:t>included a section of reception history with each pericope.</w:t>
      </w:r>
      <w:r w:rsidRPr="00634BED">
        <w:rPr>
          <w:rStyle w:val="FootnoteReference"/>
          <w:rFonts w:cstheme="minorHAnsi"/>
        </w:rPr>
        <w:footnoteReference w:id="10"/>
      </w:r>
      <w:r w:rsidR="002D7008" w:rsidRPr="00634BED">
        <w:rPr>
          <w:rFonts w:cstheme="minorHAnsi"/>
        </w:rPr>
        <w:t xml:space="preserve"> </w:t>
      </w:r>
      <w:r w:rsidRPr="00634BED">
        <w:rPr>
          <w:rFonts w:cstheme="minorHAnsi"/>
        </w:rPr>
        <w:t xml:space="preserve">The </w:t>
      </w:r>
      <w:r w:rsidR="008F17AF" w:rsidRPr="00634BED">
        <w:rPr>
          <w:rFonts w:cstheme="minorHAnsi"/>
        </w:rPr>
        <w:t xml:space="preserve">ongoing </w:t>
      </w:r>
      <w:r w:rsidRPr="00634BED">
        <w:rPr>
          <w:rFonts w:cstheme="minorHAnsi"/>
        </w:rPr>
        <w:t>Blackwell Bible Commentary series</w:t>
      </w:r>
      <w:r w:rsidR="002D7008" w:rsidRPr="00634BED">
        <w:rPr>
          <w:rFonts w:cstheme="minorHAnsi"/>
        </w:rPr>
        <w:t xml:space="preserve"> </w:t>
      </w:r>
      <w:r w:rsidRPr="00634BED">
        <w:rPr>
          <w:rFonts w:cstheme="minorHAnsi"/>
        </w:rPr>
        <w:t>aim</w:t>
      </w:r>
      <w:r w:rsidR="008F17AF" w:rsidRPr="00634BED">
        <w:rPr>
          <w:rFonts w:cstheme="minorHAnsi"/>
        </w:rPr>
        <w:t>s</w:t>
      </w:r>
      <w:r w:rsidRPr="00634BED">
        <w:rPr>
          <w:rFonts w:cstheme="minorHAnsi"/>
        </w:rPr>
        <w:t xml:space="preserve"> to produce a commentary for each </w:t>
      </w:r>
      <w:r w:rsidR="008F17AF" w:rsidRPr="00634BED">
        <w:rPr>
          <w:rFonts w:cstheme="minorHAnsi"/>
        </w:rPr>
        <w:t>B</w:t>
      </w:r>
      <w:r w:rsidRPr="00634BED">
        <w:rPr>
          <w:rFonts w:cstheme="minorHAnsi"/>
        </w:rPr>
        <w:t xml:space="preserve">iblical book with a </w:t>
      </w:r>
      <w:r w:rsidR="008F17AF" w:rsidRPr="00634BED">
        <w:rPr>
          <w:rFonts w:cstheme="minorHAnsi"/>
        </w:rPr>
        <w:t xml:space="preserve">specific </w:t>
      </w:r>
      <w:r w:rsidRPr="00634BED">
        <w:rPr>
          <w:rFonts w:cstheme="minorHAnsi"/>
        </w:rPr>
        <w:t>focu</w:t>
      </w:r>
      <w:r w:rsidR="008F17AF" w:rsidRPr="00634BED">
        <w:rPr>
          <w:rFonts w:cstheme="minorHAnsi"/>
        </w:rPr>
        <w:t>s</w:t>
      </w:r>
      <w:r w:rsidRPr="00634BED">
        <w:rPr>
          <w:rFonts w:cstheme="minorHAnsi"/>
        </w:rPr>
        <w:t xml:space="preserve"> on the reception history of the text.</w:t>
      </w:r>
      <w:r w:rsidR="008F17AF" w:rsidRPr="00634BED">
        <w:rPr>
          <w:rStyle w:val="FootnoteReference"/>
          <w:rFonts w:cstheme="minorHAnsi"/>
        </w:rPr>
        <w:footnoteReference w:id="11"/>
      </w:r>
      <w:r w:rsidRPr="00634BED">
        <w:rPr>
          <w:rFonts w:cstheme="minorHAnsi"/>
        </w:rPr>
        <w:t xml:space="preserve"> </w:t>
      </w:r>
      <w:r w:rsidR="002D7008" w:rsidRPr="00634BED">
        <w:rPr>
          <w:rFonts w:cstheme="minorHAnsi"/>
        </w:rPr>
        <w:t xml:space="preserve">At the university level </w:t>
      </w:r>
      <w:r w:rsidRPr="00634BED">
        <w:rPr>
          <w:rFonts w:cstheme="minorHAnsi"/>
        </w:rPr>
        <w:t xml:space="preserve">the </w:t>
      </w:r>
      <w:r w:rsidR="002D7008" w:rsidRPr="00634BED">
        <w:rPr>
          <w:rFonts w:cstheme="minorHAnsi"/>
        </w:rPr>
        <w:t>Ox</w:t>
      </w:r>
      <w:r w:rsidRPr="00634BED">
        <w:rPr>
          <w:rFonts w:cstheme="minorHAnsi"/>
        </w:rPr>
        <w:t xml:space="preserve">ford </w:t>
      </w:r>
      <w:r w:rsidR="002D7008" w:rsidRPr="00634BED">
        <w:rPr>
          <w:rFonts w:cstheme="minorHAnsi"/>
          <w:i/>
          <w:iCs/>
        </w:rPr>
        <w:t>C</w:t>
      </w:r>
      <w:r w:rsidRPr="00634BED">
        <w:rPr>
          <w:rFonts w:cstheme="minorHAnsi"/>
          <w:i/>
          <w:iCs/>
        </w:rPr>
        <w:t xml:space="preserve">entre </w:t>
      </w:r>
      <w:r w:rsidR="002D7008" w:rsidRPr="00634BED">
        <w:rPr>
          <w:rFonts w:cstheme="minorHAnsi"/>
          <w:i/>
          <w:iCs/>
        </w:rPr>
        <w:t>for</w:t>
      </w:r>
      <w:r w:rsidRPr="00634BED">
        <w:rPr>
          <w:rFonts w:cstheme="minorHAnsi"/>
          <w:i/>
          <w:iCs/>
        </w:rPr>
        <w:t xml:space="preserve"> </w:t>
      </w:r>
      <w:r w:rsidR="002D7008" w:rsidRPr="00634BED">
        <w:rPr>
          <w:rFonts w:cstheme="minorHAnsi"/>
          <w:i/>
          <w:iCs/>
        </w:rPr>
        <w:t>R</w:t>
      </w:r>
      <w:r w:rsidRPr="00634BED">
        <w:rPr>
          <w:rFonts w:cstheme="minorHAnsi"/>
          <w:i/>
          <w:iCs/>
        </w:rPr>
        <w:t xml:space="preserve">eception </w:t>
      </w:r>
      <w:r w:rsidR="002D7008" w:rsidRPr="00634BED">
        <w:rPr>
          <w:rFonts w:cstheme="minorHAnsi"/>
          <w:i/>
          <w:iCs/>
        </w:rPr>
        <w:t>H</w:t>
      </w:r>
      <w:r w:rsidRPr="00634BED">
        <w:rPr>
          <w:rFonts w:cstheme="minorHAnsi"/>
          <w:i/>
          <w:iCs/>
        </w:rPr>
        <w:t>istory</w:t>
      </w:r>
      <w:r w:rsidR="002D7008" w:rsidRPr="00634BED">
        <w:rPr>
          <w:rFonts w:cstheme="minorHAnsi"/>
          <w:i/>
          <w:iCs/>
        </w:rPr>
        <w:t xml:space="preserve"> of the Bible</w:t>
      </w:r>
      <w:r w:rsidRPr="00634BED">
        <w:rPr>
          <w:rFonts w:cstheme="minorHAnsi"/>
          <w:i/>
          <w:iCs/>
        </w:rPr>
        <w:t xml:space="preserve"> </w:t>
      </w:r>
      <w:r w:rsidR="002D7008" w:rsidRPr="00634BED">
        <w:rPr>
          <w:rFonts w:cstheme="minorHAnsi"/>
        </w:rPr>
        <w:t xml:space="preserve">was </w:t>
      </w:r>
      <w:r w:rsidRPr="00634BED">
        <w:rPr>
          <w:rFonts w:cstheme="minorHAnsi"/>
        </w:rPr>
        <w:t>established</w:t>
      </w:r>
      <w:r w:rsidR="002D7008" w:rsidRPr="00634BED">
        <w:rPr>
          <w:rFonts w:cstheme="minorHAnsi"/>
        </w:rPr>
        <w:t xml:space="preserve"> in 2002</w:t>
      </w:r>
      <w:r w:rsidRPr="00634BED">
        <w:rPr>
          <w:rFonts w:cstheme="minorHAnsi"/>
        </w:rPr>
        <w:t xml:space="preserve">, </w:t>
      </w:r>
      <w:r w:rsidR="002D7008" w:rsidRPr="00634BED">
        <w:rPr>
          <w:rFonts w:cstheme="minorHAnsi"/>
        </w:rPr>
        <w:t>with regular multi-disciplinary conferences, and two academic journals with a specific focus on reception history are now in print.</w:t>
      </w:r>
      <w:r w:rsidR="002D7008" w:rsidRPr="00634BED">
        <w:rPr>
          <w:rStyle w:val="FootnoteReference"/>
          <w:rFonts w:cstheme="minorHAnsi"/>
        </w:rPr>
        <w:footnoteReference w:id="12"/>
      </w:r>
    </w:p>
    <w:p w14:paraId="17777D58" w14:textId="77777777" w:rsidR="00ED1BF9" w:rsidRPr="00634BED" w:rsidRDefault="00ED1BF9" w:rsidP="005A5516">
      <w:pPr>
        <w:rPr>
          <w:rFonts w:cstheme="minorHAnsi"/>
        </w:rPr>
      </w:pPr>
    </w:p>
    <w:p w14:paraId="72EA2E66" w14:textId="7533651F" w:rsidR="004F6320" w:rsidRPr="00634BED" w:rsidRDefault="004F6320" w:rsidP="005A5516">
      <w:pPr>
        <w:rPr>
          <w:rFonts w:cstheme="minorHAnsi"/>
        </w:rPr>
      </w:pPr>
    </w:p>
    <w:p w14:paraId="261836F4" w14:textId="34B6C39A" w:rsidR="007F27EA" w:rsidRPr="00634BED" w:rsidRDefault="00EC738D" w:rsidP="007F27EA">
      <w:pPr>
        <w:pStyle w:val="ListParagraph"/>
        <w:numPr>
          <w:ilvl w:val="1"/>
          <w:numId w:val="5"/>
        </w:numPr>
        <w:rPr>
          <w:rFonts w:cstheme="minorHAnsi"/>
          <w:i/>
          <w:iCs/>
        </w:rPr>
      </w:pPr>
      <w:r w:rsidRPr="00634BED">
        <w:rPr>
          <w:rFonts w:cstheme="minorHAnsi"/>
          <w:i/>
          <w:iCs/>
        </w:rPr>
        <w:t xml:space="preserve">The </w:t>
      </w:r>
      <w:r w:rsidR="00E722DF" w:rsidRPr="00634BED">
        <w:rPr>
          <w:rFonts w:cstheme="minorHAnsi"/>
          <w:i/>
          <w:iCs/>
        </w:rPr>
        <w:t>Value</w:t>
      </w:r>
      <w:r w:rsidRPr="00634BED">
        <w:rPr>
          <w:rFonts w:cstheme="minorHAnsi"/>
          <w:i/>
          <w:iCs/>
        </w:rPr>
        <w:t xml:space="preserve"> of Reception History</w:t>
      </w:r>
      <w:r w:rsidR="004F6320" w:rsidRPr="00634BED">
        <w:rPr>
          <w:rFonts w:cstheme="minorHAnsi"/>
          <w:i/>
          <w:iCs/>
        </w:rPr>
        <w:t xml:space="preserve"> for </w:t>
      </w:r>
      <w:r w:rsidRPr="00634BED">
        <w:rPr>
          <w:rFonts w:cstheme="minorHAnsi"/>
          <w:i/>
          <w:iCs/>
        </w:rPr>
        <w:t>B</w:t>
      </w:r>
      <w:r w:rsidR="004F6320" w:rsidRPr="00634BED">
        <w:rPr>
          <w:rFonts w:cstheme="minorHAnsi"/>
          <w:i/>
          <w:iCs/>
        </w:rPr>
        <w:t>iblical studies</w:t>
      </w:r>
      <w:r w:rsidR="002D7008" w:rsidRPr="00634BED">
        <w:rPr>
          <w:rFonts w:cstheme="minorHAnsi"/>
          <w:i/>
          <w:iCs/>
        </w:rPr>
        <w:t>.</w:t>
      </w:r>
    </w:p>
    <w:p w14:paraId="03868AFE" w14:textId="77777777" w:rsidR="007F27EA" w:rsidRPr="00634BED" w:rsidRDefault="007F27EA" w:rsidP="007F27EA">
      <w:pPr>
        <w:pStyle w:val="ListParagraph"/>
        <w:ind w:left="360"/>
        <w:rPr>
          <w:rFonts w:cstheme="minorHAnsi"/>
          <w:i/>
          <w:iCs/>
        </w:rPr>
      </w:pPr>
    </w:p>
    <w:p w14:paraId="075BA372" w14:textId="578AC7AB" w:rsidR="008B52C6" w:rsidRPr="00634BED" w:rsidRDefault="0023148D" w:rsidP="004F6320">
      <w:pPr>
        <w:rPr>
          <w:rFonts w:cstheme="minorHAnsi"/>
        </w:rPr>
      </w:pPr>
      <w:r w:rsidRPr="00634BED">
        <w:rPr>
          <w:rFonts w:cstheme="minorHAnsi"/>
        </w:rPr>
        <w:t>T</w:t>
      </w:r>
      <w:r w:rsidR="004F6320" w:rsidRPr="00634BED">
        <w:rPr>
          <w:rFonts w:cstheme="minorHAnsi"/>
        </w:rPr>
        <w:t xml:space="preserve">he obvious </w:t>
      </w:r>
      <w:r w:rsidR="002810AA">
        <w:rPr>
          <w:rFonts w:cstheme="minorHAnsi"/>
        </w:rPr>
        <w:t>positive factor</w:t>
      </w:r>
      <w:r w:rsidR="004F6320" w:rsidRPr="00634BED">
        <w:rPr>
          <w:rFonts w:cstheme="minorHAnsi"/>
        </w:rPr>
        <w:t xml:space="preserve"> is that reception history</w:t>
      </w:r>
      <w:r w:rsidR="002810AA">
        <w:rPr>
          <w:rFonts w:cstheme="minorHAnsi"/>
        </w:rPr>
        <w:t xml:space="preserve"> </w:t>
      </w:r>
      <w:r w:rsidR="004F6320" w:rsidRPr="00634BED">
        <w:rPr>
          <w:rFonts w:cstheme="minorHAnsi"/>
        </w:rPr>
        <w:t>immeasurably broadens the horizon of available material f</w:t>
      </w:r>
      <w:r w:rsidRPr="00634BED">
        <w:rPr>
          <w:rFonts w:cstheme="minorHAnsi"/>
        </w:rPr>
        <w:t>rom which</w:t>
      </w:r>
      <w:r w:rsidR="004F6320" w:rsidRPr="00634BED">
        <w:rPr>
          <w:rFonts w:cstheme="minorHAnsi"/>
        </w:rPr>
        <w:t xml:space="preserve"> the interpreter </w:t>
      </w:r>
      <w:r w:rsidR="008B52C6" w:rsidRPr="00634BED">
        <w:rPr>
          <w:rFonts w:cstheme="minorHAnsi"/>
        </w:rPr>
        <w:t>may</w:t>
      </w:r>
      <w:r w:rsidRPr="00634BED">
        <w:rPr>
          <w:rFonts w:cstheme="minorHAnsi"/>
        </w:rPr>
        <w:t xml:space="preserve"> draw</w:t>
      </w:r>
      <w:r w:rsidR="004F6320" w:rsidRPr="00634BED">
        <w:rPr>
          <w:rFonts w:cstheme="minorHAnsi"/>
        </w:rPr>
        <w:t xml:space="preserve">. Rather than focusing on the meaning of a text located to a particular time and space, reception history considers the interpretation of a text across multiple boundaries: time, </w:t>
      </w:r>
      <w:r w:rsidR="008B52C6" w:rsidRPr="00634BED">
        <w:rPr>
          <w:rFonts w:cstheme="minorHAnsi"/>
        </w:rPr>
        <w:t>space</w:t>
      </w:r>
      <w:r w:rsidR="004F6320" w:rsidRPr="00634BED">
        <w:rPr>
          <w:rFonts w:cstheme="minorHAnsi"/>
        </w:rPr>
        <w:t>, culture, race, gender, social, economic, religious. As such, a vast diversity of voices pertaining to the text can contribute to its interpretation</w:t>
      </w:r>
      <w:r w:rsidR="002810AA">
        <w:rPr>
          <w:rFonts w:cstheme="minorHAnsi"/>
        </w:rPr>
        <w:t xml:space="preserve">, and </w:t>
      </w:r>
      <w:r w:rsidR="008B52C6" w:rsidRPr="00634BED">
        <w:rPr>
          <w:rFonts w:cstheme="minorHAnsi"/>
        </w:rPr>
        <w:t>multitudinous</w:t>
      </w:r>
      <w:r w:rsidR="00035924" w:rsidRPr="00634BED">
        <w:rPr>
          <w:rFonts w:cstheme="minorHAnsi"/>
        </w:rPr>
        <w:t xml:space="preserve"> voices can </w:t>
      </w:r>
      <w:r w:rsidR="00E722DF" w:rsidRPr="00634BED">
        <w:rPr>
          <w:rFonts w:cstheme="minorHAnsi"/>
        </w:rPr>
        <w:t>foster</w:t>
      </w:r>
      <w:r w:rsidR="00035924" w:rsidRPr="00634BED">
        <w:rPr>
          <w:rFonts w:cstheme="minorHAnsi"/>
        </w:rPr>
        <w:t xml:space="preserve"> novel readings of the text which</w:t>
      </w:r>
      <w:r w:rsidR="002810AA">
        <w:rPr>
          <w:rFonts w:cstheme="minorHAnsi"/>
        </w:rPr>
        <w:t xml:space="preserve"> may have</w:t>
      </w:r>
      <w:r w:rsidR="00035924" w:rsidRPr="00634BED">
        <w:rPr>
          <w:rFonts w:cstheme="minorHAnsi"/>
        </w:rPr>
        <w:t xml:space="preserve"> otherwise</w:t>
      </w:r>
      <w:r w:rsidR="002810AA">
        <w:rPr>
          <w:rFonts w:cstheme="minorHAnsi"/>
        </w:rPr>
        <w:t xml:space="preserve"> </w:t>
      </w:r>
      <w:r w:rsidR="00035924" w:rsidRPr="00634BED">
        <w:rPr>
          <w:rFonts w:cstheme="minorHAnsi"/>
        </w:rPr>
        <w:t xml:space="preserve">gone unnoticed. </w:t>
      </w:r>
    </w:p>
    <w:p w14:paraId="6D22B22D" w14:textId="77777777" w:rsidR="008B52C6" w:rsidRPr="00634BED" w:rsidRDefault="008B52C6" w:rsidP="004F6320">
      <w:pPr>
        <w:rPr>
          <w:rFonts w:cstheme="minorHAnsi"/>
        </w:rPr>
      </w:pPr>
    </w:p>
    <w:p w14:paraId="608A8A74" w14:textId="7B1BF434" w:rsidR="0023148D" w:rsidRPr="00634BED" w:rsidRDefault="005A0E26" w:rsidP="004F6320">
      <w:pPr>
        <w:rPr>
          <w:rFonts w:cstheme="minorHAnsi"/>
        </w:rPr>
      </w:pPr>
      <w:r w:rsidRPr="00634BED">
        <w:rPr>
          <w:rFonts w:cstheme="minorHAnsi"/>
        </w:rPr>
        <w:t xml:space="preserve">Reception history thus takes seriously the </w:t>
      </w:r>
      <w:r w:rsidR="002810AA">
        <w:rPr>
          <w:rFonts w:cstheme="minorHAnsi"/>
        </w:rPr>
        <w:t>problem</w:t>
      </w:r>
      <w:r w:rsidRPr="00634BED">
        <w:rPr>
          <w:rFonts w:cstheme="minorHAnsi"/>
        </w:rPr>
        <w:t xml:space="preserve"> of </w:t>
      </w:r>
      <w:r w:rsidR="002810AA">
        <w:rPr>
          <w:rFonts w:cstheme="minorHAnsi"/>
        </w:rPr>
        <w:t>“neutral”</w:t>
      </w:r>
      <w:r w:rsidRPr="00634BED">
        <w:rPr>
          <w:rFonts w:cstheme="minorHAnsi"/>
        </w:rPr>
        <w:t xml:space="preserve"> Biblical scholarship</w:t>
      </w:r>
      <w:r w:rsidR="002810AA">
        <w:rPr>
          <w:rFonts w:cstheme="minorHAnsi"/>
        </w:rPr>
        <w:t xml:space="preserve"> </w:t>
      </w:r>
      <w:r w:rsidRPr="00634BED">
        <w:rPr>
          <w:rFonts w:cstheme="minorHAnsi"/>
        </w:rPr>
        <w:t>and accepts</w:t>
      </w:r>
      <w:r w:rsidR="00E722DF" w:rsidRPr="00634BED">
        <w:rPr>
          <w:rFonts w:cstheme="minorHAnsi"/>
        </w:rPr>
        <w:t xml:space="preserve"> </w:t>
      </w:r>
      <w:r w:rsidRPr="00634BED">
        <w:rPr>
          <w:rFonts w:cstheme="minorHAnsi"/>
        </w:rPr>
        <w:t xml:space="preserve">that all interpretation is contextualised. The emergence of many interpretive methods </w:t>
      </w:r>
      <w:r w:rsidR="00500FF2" w:rsidRPr="00634BED">
        <w:rPr>
          <w:rFonts w:cstheme="minorHAnsi"/>
        </w:rPr>
        <w:t xml:space="preserve">over </w:t>
      </w:r>
      <w:r w:rsidRPr="00634BED">
        <w:rPr>
          <w:rFonts w:cstheme="minorHAnsi"/>
        </w:rPr>
        <w:t>the last centur</w:t>
      </w:r>
      <w:r w:rsidR="00E722DF" w:rsidRPr="00634BED">
        <w:rPr>
          <w:rFonts w:cstheme="minorHAnsi"/>
        </w:rPr>
        <w:t>y</w:t>
      </w:r>
      <w:r w:rsidRPr="00634BED">
        <w:rPr>
          <w:rFonts w:cstheme="minorHAnsi"/>
        </w:rPr>
        <w:t xml:space="preserve"> (such as </w:t>
      </w:r>
      <w:r w:rsidR="00512009" w:rsidRPr="00634BED">
        <w:rPr>
          <w:rFonts w:cstheme="minorHAnsi"/>
        </w:rPr>
        <w:t xml:space="preserve">reader-response, </w:t>
      </w:r>
      <w:r w:rsidRPr="00634BED">
        <w:rPr>
          <w:rFonts w:cstheme="minorHAnsi"/>
        </w:rPr>
        <w:t>liberation, black, feminist</w:t>
      </w:r>
      <w:r w:rsidR="002810AA">
        <w:rPr>
          <w:rFonts w:cstheme="minorHAnsi"/>
        </w:rPr>
        <w:t xml:space="preserve"> </w:t>
      </w:r>
      <w:r w:rsidRPr="00634BED">
        <w:rPr>
          <w:rFonts w:cstheme="minorHAnsi"/>
        </w:rPr>
        <w:t>and post-colonial criticism) have been in response to a perceived fixed method of interpretation (</w:t>
      </w:r>
      <w:r w:rsidR="00512009" w:rsidRPr="00634BED">
        <w:rPr>
          <w:rFonts w:cstheme="minorHAnsi"/>
        </w:rPr>
        <w:t xml:space="preserve">predominantly </w:t>
      </w:r>
      <w:r w:rsidRPr="00634BED">
        <w:rPr>
          <w:rFonts w:cstheme="minorHAnsi"/>
        </w:rPr>
        <w:t xml:space="preserve">historical-critical) that has truncated </w:t>
      </w:r>
      <w:r w:rsidR="00035924" w:rsidRPr="00634BED">
        <w:rPr>
          <w:rFonts w:cstheme="minorHAnsi"/>
        </w:rPr>
        <w:t>what the Biblical text m</w:t>
      </w:r>
      <w:r w:rsidR="00500FF2" w:rsidRPr="00634BED">
        <w:rPr>
          <w:rFonts w:cstheme="minorHAnsi"/>
        </w:rPr>
        <w:t>ay</w:t>
      </w:r>
      <w:r w:rsidR="00035924" w:rsidRPr="00634BED">
        <w:rPr>
          <w:rFonts w:cstheme="minorHAnsi"/>
        </w:rPr>
        <w:t xml:space="preserve"> have to say. Reception history can utilise all of these</w:t>
      </w:r>
      <w:r w:rsidR="00E722DF" w:rsidRPr="00634BED">
        <w:rPr>
          <w:rFonts w:cstheme="minorHAnsi"/>
        </w:rPr>
        <w:t xml:space="preserve"> </w:t>
      </w:r>
      <w:r w:rsidR="00035924" w:rsidRPr="00634BED">
        <w:rPr>
          <w:rFonts w:cstheme="minorHAnsi"/>
        </w:rPr>
        <w:t xml:space="preserve">methods precisely because it considers all forms of </w:t>
      </w:r>
      <w:r w:rsidR="00035924" w:rsidRPr="00634BED">
        <w:rPr>
          <w:rFonts w:cstheme="minorHAnsi"/>
        </w:rPr>
        <w:lastRenderedPageBreak/>
        <w:t xml:space="preserve">interpretation throughout time. </w:t>
      </w:r>
      <w:r w:rsidR="0023148D" w:rsidRPr="00634BED">
        <w:rPr>
          <w:rFonts w:cstheme="minorHAnsi"/>
        </w:rPr>
        <w:t>S</w:t>
      </w:r>
      <w:r w:rsidR="00512009" w:rsidRPr="00634BED">
        <w:rPr>
          <w:rFonts w:cstheme="minorHAnsi"/>
        </w:rPr>
        <w:t xml:space="preserve">trictly speaking reception history </w:t>
      </w:r>
      <w:r w:rsidR="0023148D" w:rsidRPr="00634BED">
        <w:rPr>
          <w:rFonts w:cstheme="minorHAnsi"/>
        </w:rPr>
        <w:t xml:space="preserve">thus </w:t>
      </w:r>
      <w:r w:rsidR="00512009" w:rsidRPr="00634BED">
        <w:rPr>
          <w:rFonts w:cstheme="minorHAnsi"/>
        </w:rPr>
        <w:t>includes the historical-critical method</w:t>
      </w:r>
      <w:r w:rsidR="0023148D" w:rsidRPr="00634BED">
        <w:rPr>
          <w:rFonts w:cstheme="minorHAnsi"/>
        </w:rPr>
        <w:t>, though the converse is not necessarily tru</w:t>
      </w:r>
      <w:r w:rsidR="00500FF2" w:rsidRPr="00634BED">
        <w:rPr>
          <w:rFonts w:cstheme="minorHAnsi"/>
        </w:rPr>
        <w:t>e</w:t>
      </w:r>
      <w:r w:rsidR="0023148D" w:rsidRPr="00634BED">
        <w:rPr>
          <w:rFonts w:cstheme="minorHAnsi"/>
        </w:rPr>
        <w:t xml:space="preserve">. </w:t>
      </w:r>
    </w:p>
    <w:p w14:paraId="7FEDF171" w14:textId="77777777" w:rsidR="0023148D" w:rsidRPr="00634BED" w:rsidRDefault="0023148D" w:rsidP="004F6320">
      <w:pPr>
        <w:rPr>
          <w:rFonts w:cstheme="minorHAnsi"/>
        </w:rPr>
      </w:pPr>
    </w:p>
    <w:p w14:paraId="5DA9DC11" w14:textId="252CA488" w:rsidR="00035924" w:rsidRPr="00634BED" w:rsidRDefault="00035924" w:rsidP="004F6320">
      <w:pPr>
        <w:rPr>
          <w:rFonts w:cstheme="minorHAnsi"/>
        </w:rPr>
      </w:pPr>
      <w:r w:rsidRPr="00634BED">
        <w:rPr>
          <w:rFonts w:cstheme="minorHAnsi"/>
        </w:rPr>
        <w:t xml:space="preserve">Further, </w:t>
      </w:r>
      <w:r w:rsidR="00500FF2" w:rsidRPr="00634BED">
        <w:rPr>
          <w:rFonts w:cstheme="minorHAnsi"/>
        </w:rPr>
        <w:t xml:space="preserve">and importantly for academic Biblical studies, </w:t>
      </w:r>
      <w:r w:rsidRPr="00634BED">
        <w:rPr>
          <w:rFonts w:cstheme="minorHAnsi"/>
        </w:rPr>
        <w:t xml:space="preserve">it can bring together </w:t>
      </w:r>
      <w:r w:rsidR="0023148D" w:rsidRPr="00634BED">
        <w:rPr>
          <w:rFonts w:cstheme="minorHAnsi"/>
        </w:rPr>
        <w:t xml:space="preserve">a variety of </w:t>
      </w:r>
      <w:r w:rsidRPr="00634BED">
        <w:rPr>
          <w:rFonts w:cstheme="minorHAnsi"/>
        </w:rPr>
        <w:t>disciplines into meaningful dialogue: theology, the arts, literature, media studies, politics.</w:t>
      </w:r>
      <w:r w:rsidR="002810AA">
        <w:rPr>
          <w:rFonts w:cstheme="minorHAnsi"/>
        </w:rPr>
        <w:t xml:space="preserve"> </w:t>
      </w:r>
      <w:r w:rsidRPr="00634BED">
        <w:rPr>
          <w:rFonts w:cstheme="minorHAnsi"/>
        </w:rPr>
        <w:t xml:space="preserve">One of the successes of the Oxford Centre </w:t>
      </w:r>
      <w:r w:rsidR="00500FF2" w:rsidRPr="00634BED">
        <w:rPr>
          <w:rFonts w:cstheme="minorHAnsi"/>
        </w:rPr>
        <w:t xml:space="preserve">has been </w:t>
      </w:r>
      <w:r w:rsidRPr="00634BED">
        <w:rPr>
          <w:rFonts w:cstheme="minorHAnsi"/>
        </w:rPr>
        <w:t>precisely this, that it continues to build bridges between various discipl</w:t>
      </w:r>
      <w:r w:rsidR="00E722DF" w:rsidRPr="00634BED">
        <w:rPr>
          <w:rFonts w:cstheme="minorHAnsi"/>
        </w:rPr>
        <w:t>ines</w:t>
      </w:r>
      <w:r w:rsidRPr="00634BED">
        <w:rPr>
          <w:rFonts w:cstheme="minorHAnsi"/>
        </w:rPr>
        <w:t xml:space="preserve"> and fosters communal learning</w:t>
      </w:r>
      <w:r w:rsidR="00500FF2" w:rsidRPr="00634BED">
        <w:rPr>
          <w:rStyle w:val="FootnoteReference"/>
          <w:rFonts w:cstheme="minorHAnsi"/>
        </w:rPr>
        <w:footnoteReference w:id="13"/>
      </w:r>
      <w:r w:rsidR="0023148D" w:rsidRPr="00634BED">
        <w:rPr>
          <w:rFonts w:cstheme="minorHAnsi"/>
        </w:rPr>
        <w:t xml:space="preserve">. </w:t>
      </w:r>
    </w:p>
    <w:p w14:paraId="56DD481E" w14:textId="02249832" w:rsidR="0023148D" w:rsidRPr="00634BED" w:rsidRDefault="0023148D" w:rsidP="004F6320">
      <w:pPr>
        <w:rPr>
          <w:rFonts w:cstheme="minorHAnsi"/>
        </w:rPr>
      </w:pPr>
    </w:p>
    <w:p w14:paraId="53DFA318" w14:textId="5E10641F" w:rsidR="007F27EA" w:rsidRDefault="0023148D" w:rsidP="004F6320">
      <w:pPr>
        <w:rPr>
          <w:rFonts w:cstheme="minorHAnsi"/>
        </w:rPr>
      </w:pPr>
      <w:r w:rsidRPr="00634BED">
        <w:rPr>
          <w:rFonts w:cstheme="minorHAnsi"/>
        </w:rPr>
        <w:t>Finally, in light of the above, I believe reception history has immense value in an increasingly multi-cultural and pluralistic society. Whilst there is a wealth of interpretive resources available throughout Church history, reception history can</w:t>
      </w:r>
      <w:r w:rsidR="00E722DF" w:rsidRPr="00634BED">
        <w:rPr>
          <w:rFonts w:cstheme="minorHAnsi"/>
        </w:rPr>
        <w:t xml:space="preserve"> </w:t>
      </w:r>
      <w:r w:rsidRPr="00634BED">
        <w:rPr>
          <w:rFonts w:cstheme="minorHAnsi"/>
        </w:rPr>
        <w:t>study Christian, Jewish, Islamic and voices from any faith (or none) as meaningful contributions to the interpretation of a Biblical text.</w:t>
      </w:r>
    </w:p>
    <w:p w14:paraId="35DDDA38" w14:textId="77777777" w:rsidR="00ED1BF9" w:rsidRPr="00634BED" w:rsidRDefault="00ED1BF9" w:rsidP="004F6320">
      <w:pPr>
        <w:rPr>
          <w:rFonts w:cstheme="minorHAnsi"/>
        </w:rPr>
      </w:pPr>
    </w:p>
    <w:p w14:paraId="09D0C83B" w14:textId="77777777" w:rsidR="007F27EA" w:rsidRPr="00634BED" w:rsidRDefault="007F27EA" w:rsidP="007F27EA">
      <w:pPr>
        <w:rPr>
          <w:rFonts w:cstheme="minorHAnsi"/>
        </w:rPr>
      </w:pPr>
    </w:p>
    <w:p w14:paraId="52AA6DA7" w14:textId="0EB4C625" w:rsidR="0023148D" w:rsidRPr="00634BED" w:rsidRDefault="007F27EA" w:rsidP="007F27EA">
      <w:pPr>
        <w:pStyle w:val="ListParagraph"/>
        <w:numPr>
          <w:ilvl w:val="1"/>
          <w:numId w:val="5"/>
        </w:numPr>
        <w:rPr>
          <w:rFonts w:cstheme="minorHAnsi"/>
          <w:i/>
          <w:iCs/>
        </w:rPr>
      </w:pPr>
      <w:r w:rsidRPr="00634BED">
        <w:rPr>
          <w:rFonts w:cstheme="minorHAnsi"/>
          <w:i/>
          <w:iCs/>
        </w:rPr>
        <w:t>Potential Challenges for Reception History.</w:t>
      </w:r>
    </w:p>
    <w:p w14:paraId="07838140" w14:textId="77777777" w:rsidR="007F27EA" w:rsidRPr="00634BED" w:rsidRDefault="007F27EA" w:rsidP="007F27EA">
      <w:pPr>
        <w:pStyle w:val="ListParagraph"/>
        <w:ind w:left="360"/>
        <w:rPr>
          <w:rFonts w:cstheme="minorHAnsi"/>
          <w:i/>
          <w:iCs/>
        </w:rPr>
      </w:pPr>
    </w:p>
    <w:p w14:paraId="7925F27A" w14:textId="437EFD01" w:rsidR="00AC2A16" w:rsidRPr="00634BED" w:rsidRDefault="00FE3A8A" w:rsidP="0023148D">
      <w:pPr>
        <w:rPr>
          <w:rFonts w:cstheme="minorHAnsi"/>
        </w:rPr>
      </w:pPr>
      <w:r w:rsidRPr="00634BED">
        <w:rPr>
          <w:rFonts w:cstheme="minorHAnsi"/>
        </w:rPr>
        <w:t xml:space="preserve">The immediate benefit of reception history (the vast material </w:t>
      </w:r>
      <w:r w:rsidR="00EC738D" w:rsidRPr="00634BED">
        <w:rPr>
          <w:rFonts w:cstheme="minorHAnsi"/>
        </w:rPr>
        <w:t>available</w:t>
      </w:r>
      <w:r w:rsidRPr="00634BED">
        <w:rPr>
          <w:rFonts w:cstheme="minorHAnsi"/>
        </w:rPr>
        <w:t>) at once presents a clear problem, posed as a</w:t>
      </w:r>
      <w:r w:rsidR="002810AA">
        <w:rPr>
          <w:rFonts w:cstheme="minorHAnsi"/>
        </w:rPr>
        <w:t xml:space="preserve"> </w:t>
      </w:r>
      <w:r w:rsidRPr="00634BED">
        <w:rPr>
          <w:rFonts w:cstheme="minorHAnsi"/>
        </w:rPr>
        <w:t>question by Roberts: Where does one start? And how does one decide how to organ</w:t>
      </w:r>
      <w:r w:rsidR="00500FF2" w:rsidRPr="00634BED">
        <w:rPr>
          <w:rFonts w:cstheme="minorHAnsi"/>
        </w:rPr>
        <w:t>ise</w:t>
      </w:r>
      <w:r w:rsidRPr="00634BED">
        <w:rPr>
          <w:rFonts w:cstheme="minorHAnsi"/>
        </w:rPr>
        <w:t xml:space="preserve"> the material?”</w:t>
      </w:r>
      <w:r w:rsidR="00500FF2" w:rsidRPr="00634BED">
        <w:rPr>
          <w:rStyle w:val="FootnoteReference"/>
          <w:rFonts w:cstheme="minorHAnsi"/>
        </w:rPr>
        <w:footnoteReference w:id="14"/>
      </w:r>
      <w:r w:rsidR="00500FF2" w:rsidRPr="00634BED">
        <w:rPr>
          <w:rFonts w:cstheme="minorHAnsi"/>
        </w:rPr>
        <w:t xml:space="preserve"> </w:t>
      </w:r>
      <w:r w:rsidR="00EC738D" w:rsidRPr="00634BED">
        <w:rPr>
          <w:rFonts w:cstheme="minorHAnsi"/>
        </w:rPr>
        <w:t>This does not represent merely a theoretical difficulty</w:t>
      </w:r>
      <w:r w:rsidR="002810AA">
        <w:rPr>
          <w:rFonts w:cstheme="minorHAnsi"/>
        </w:rPr>
        <w:t xml:space="preserve"> </w:t>
      </w:r>
      <w:r w:rsidR="00EC738D" w:rsidRPr="00634BED">
        <w:rPr>
          <w:rFonts w:cstheme="minorHAnsi"/>
        </w:rPr>
        <w:t>but a genuine hermeneutical double</w:t>
      </w:r>
      <w:r w:rsidR="00EE7B80" w:rsidRPr="00634BED">
        <w:rPr>
          <w:rFonts w:cstheme="minorHAnsi"/>
        </w:rPr>
        <w:t>-</w:t>
      </w:r>
      <w:r w:rsidR="00EC738D" w:rsidRPr="00634BED">
        <w:rPr>
          <w:rFonts w:cstheme="minorHAnsi"/>
        </w:rPr>
        <w:t xml:space="preserve">edged sword: Gadamer’s philosophical </w:t>
      </w:r>
      <w:r w:rsidR="00C92FAD" w:rsidRPr="00634BED">
        <w:rPr>
          <w:rFonts w:cstheme="minorHAnsi"/>
        </w:rPr>
        <w:t xml:space="preserve">foundation makes explicit the fact that there is no unbiased interpretation, which therefore includes the interpretive work of reception history. </w:t>
      </w:r>
      <w:proofErr w:type="gramStart"/>
      <w:r w:rsidR="00C92FAD" w:rsidRPr="00634BED">
        <w:rPr>
          <w:rFonts w:cstheme="minorHAnsi"/>
        </w:rPr>
        <w:t>Th</w:t>
      </w:r>
      <w:r w:rsidR="00597476">
        <w:rPr>
          <w:rFonts w:cstheme="minorHAnsi"/>
        </w:rPr>
        <w:t>us</w:t>
      </w:r>
      <w:proofErr w:type="gramEnd"/>
      <w:r w:rsidR="00597476">
        <w:rPr>
          <w:rFonts w:cstheme="minorHAnsi"/>
        </w:rPr>
        <w:t xml:space="preserve"> </w:t>
      </w:r>
      <w:r w:rsidR="00C92FAD" w:rsidRPr="00634BED">
        <w:rPr>
          <w:rFonts w:cstheme="minorHAnsi"/>
        </w:rPr>
        <w:t>the interpreter utilising reception history will bring their own bias</w:t>
      </w:r>
      <w:r w:rsidR="00597476">
        <w:rPr>
          <w:rFonts w:cstheme="minorHAnsi"/>
        </w:rPr>
        <w:t xml:space="preserve"> </w:t>
      </w:r>
      <w:r w:rsidR="00C92FAD" w:rsidRPr="00634BED">
        <w:rPr>
          <w:rFonts w:cstheme="minorHAnsi"/>
        </w:rPr>
        <w:t xml:space="preserve">and traditions to bear on their selection of material just as </w:t>
      </w:r>
      <w:r w:rsidR="00AC2A16" w:rsidRPr="00634BED">
        <w:rPr>
          <w:rFonts w:cstheme="minorHAnsi"/>
        </w:rPr>
        <w:t xml:space="preserve">much as </w:t>
      </w:r>
      <w:r w:rsidR="00597476">
        <w:rPr>
          <w:rFonts w:cstheme="minorHAnsi"/>
        </w:rPr>
        <w:t xml:space="preserve">in </w:t>
      </w:r>
      <w:r w:rsidR="00C92FAD" w:rsidRPr="00634BED">
        <w:rPr>
          <w:rFonts w:cstheme="minorHAnsi"/>
        </w:rPr>
        <w:t xml:space="preserve">any other method. This is not an objection to reception history </w:t>
      </w:r>
      <w:r w:rsidR="00C92FAD" w:rsidRPr="00634BED">
        <w:rPr>
          <w:rFonts w:cstheme="minorHAnsi"/>
          <w:i/>
          <w:iCs/>
        </w:rPr>
        <w:t>per se</w:t>
      </w:r>
      <w:r w:rsidR="00C92FAD" w:rsidRPr="00634BED">
        <w:rPr>
          <w:rFonts w:cstheme="minorHAnsi"/>
        </w:rPr>
        <w:t xml:space="preserve">, so much as emphasising the importance of self-awareness and openness for those working in the field. </w:t>
      </w:r>
      <w:r w:rsidR="007F27EA" w:rsidRPr="00634BED">
        <w:rPr>
          <w:rFonts w:cstheme="minorHAnsi"/>
        </w:rPr>
        <w:t xml:space="preserve">David </w:t>
      </w:r>
      <w:r w:rsidR="00C92FAD" w:rsidRPr="00634BED">
        <w:rPr>
          <w:rFonts w:cstheme="minorHAnsi"/>
        </w:rPr>
        <w:t>Par</w:t>
      </w:r>
      <w:r w:rsidR="007F27EA" w:rsidRPr="00634BED">
        <w:rPr>
          <w:rFonts w:cstheme="minorHAnsi"/>
        </w:rPr>
        <w:t>r</w:t>
      </w:r>
      <w:r w:rsidR="00C92FAD" w:rsidRPr="00634BED">
        <w:rPr>
          <w:rFonts w:cstheme="minorHAnsi"/>
        </w:rPr>
        <w:t xml:space="preserve">is puts forth a cogent argument </w:t>
      </w:r>
      <w:r w:rsidR="00196093" w:rsidRPr="00634BED">
        <w:rPr>
          <w:rFonts w:cstheme="minorHAnsi"/>
        </w:rPr>
        <w:t xml:space="preserve">in his introduction to reception history </w:t>
      </w:r>
      <w:r w:rsidR="00196093" w:rsidRPr="00634BED">
        <w:rPr>
          <w:rFonts w:cstheme="minorHAnsi"/>
          <w:i/>
          <w:iCs/>
        </w:rPr>
        <w:t xml:space="preserve">Reading the </w:t>
      </w:r>
      <w:r w:rsidR="00500FF2" w:rsidRPr="00634BED">
        <w:rPr>
          <w:rFonts w:cstheme="minorHAnsi"/>
          <w:i/>
          <w:iCs/>
        </w:rPr>
        <w:t>B</w:t>
      </w:r>
      <w:r w:rsidR="00196093" w:rsidRPr="00634BED">
        <w:rPr>
          <w:rFonts w:cstheme="minorHAnsi"/>
          <w:i/>
          <w:iCs/>
        </w:rPr>
        <w:t xml:space="preserve">ible with </w:t>
      </w:r>
      <w:r w:rsidR="00500FF2" w:rsidRPr="00634BED">
        <w:rPr>
          <w:rFonts w:cstheme="minorHAnsi"/>
          <w:i/>
          <w:iCs/>
        </w:rPr>
        <w:t>G</w:t>
      </w:r>
      <w:r w:rsidR="00196093" w:rsidRPr="00634BED">
        <w:rPr>
          <w:rFonts w:cstheme="minorHAnsi"/>
          <w:i/>
          <w:iCs/>
        </w:rPr>
        <w:t>iants</w:t>
      </w:r>
      <w:r w:rsidR="00196093" w:rsidRPr="00634BED">
        <w:rPr>
          <w:rFonts w:cstheme="minorHAnsi"/>
        </w:rPr>
        <w:t xml:space="preserve"> that the work should be undertaken with charity and an attitude of </w:t>
      </w:r>
      <w:r w:rsidR="007F27EA" w:rsidRPr="00634BED">
        <w:rPr>
          <w:rFonts w:cstheme="minorHAnsi"/>
        </w:rPr>
        <w:t>“</w:t>
      </w:r>
      <w:r w:rsidR="00196093" w:rsidRPr="00634BED">
        <w:rPr>
          <w:rFonts w:cstheme="minorHAnsi"/>
        </w:rPr>
        <w:t>self-discovery</w:t>
      </w:r>
      <w:r w:rsidR="007F27EA" w:rsidRPr="00634BED">
        <w:rPr>
          <w:rFonts w:cstheme="minorHAnsi"/>
        </w:rPr>
        <w:t>”</w:t>
      </w:r>
      <w:r w:rsidR="00196093" w:rsidRPr="00634BED">
        <w:rPr>
          <w:rFonts w:cstheme="minorHAnsi"/>
        </w:rPr>
        <w:t xml:space="preserve">, being willing to have our own </w:t>
      </w:r>
      <w:r w:rsidR="007F27EA" w:rsidRPr="00634BED">
        <w:rPr>
          <w:rFonts w:cstheme="minorHAnsi"/>
        </w:rPr>
        <w:t>prejudices</w:t>
      </w:r>
      <w:r w:rsidR="00196093" w:rsidRPr="00634BED">
        <w:rPr>
          <w:rFonts w:cstheme="minorHAnsi"/>
        </w:rPr>
        <w:t xml:space="preserve"> challenged: </w:t>
      </w:r>
    </w:p>
    <w:p w14:paraId="4716B94B" w14:textId="77777777" w:rsidR="00AC2A16" w:rsidRPr="00634BED" w:rsidRDefault="00AC2A16" w:rsidP="0023148D">
      <w:pPr>
        <w:rPr>
          <w:rFonts w:cstheme="minorHAnsi"/>
        </w:rPr>
      </w:pPr>
    </w:p>
    <w:p w14:paraId="01EAD05F" w14:textId="6720E9A1" w:rsidR="00FE3A8A" w:rsidRPr="00634BED" w:rsidRDefault="00196093" w:rsidP="0023148D">
      <w:pPr>
        <w:rPr>
          <w:rFonts w:cstheme="minorHAnsi"/>
        </w:rPr>
      </w:pPr>
      <w:r w:rsidRPr="00634BED">
        <w:rPr>
          <w:rFonts w:cstheme="minorHAnsi"/>
        </w:rPr>
        <w:t>“</w:t>
      </w:r>
      <w:r w:rsidR="00500FF2" w:rsidRPr="00634BED">
        <w:rPr>
          <w:rFonts w:cstheme="minorHAnsi"/>
        </w:rPr>
        <w:t>O</w:t>
      </w:r>
      <w:r w:rsidRPr="00634BED">
        <w:rPr>
          <w:rFonts w:cstheme="minorHAnsi"/>
        </w:rPr>
        <w:t>nce we begin to examine interpretations and hermeneutical approaches that differ from, and may even challenge, our own, our preconceptions may be provoked”</w:t>
      </w:r>
      <w:r w:rsidR="00AC2A16" w:rsidRPr="00634BED">
        <w:rPr>
          <w:rFonts w:cstheme="minorHAnsi"/>
        </w:rPr>
        <w:t>.</w:t>
      </w:r>
      <w:r w:rsidRPr="00634BED">
        <w:rPr>
          <w:rStyle w:val="FootnoteReference"/>
          <w:rFonts w:cstheme="minorHAnsi"/>
        </w:rPr>
        <w:footnoteReference w:id="15"/>
      </w:r>
    </w:p>
    <w:p w14:paraId="409DAB78" w14:textId="12E671D4" w:rsidR="00AC2A16" w:rsidRPr="00634BED" w:rsidRDefault="00AC2A16" w:rsidP="0023148D">
      <w:pPr>
        <w:rPr>
          <w:rFonts w:cstheme="minorHAnsi"/>
        </w:rPr>
      </w:pPr>
    </w:p>
    <w:p w14:paraId="2DA97B4D" w14:textId="652C2249" w:rsidR="00AC2A16" w:rsidRPr="00634BED" w:rsidRDefault="00AC2A16" w:rsidP="0023148D">
      <w:pPr>
        <w:rPr>
          <w:rFonts w:cstheme="minorHAnsi"/>
        </w:rPr>
      </w:pPr>
      <w:r w:rsidRPr="00634BED">
        <w:rPr>
          <w:rFonts w:cstheme="minorHAnsi"/>
        </w:rPr>
        <w:t xml:space="preserve">The challenge, then, is for honest self-reflection and awareness of the tendency to select a source we may prefer over another, due to our own preconceptions. </w:t>
      </w:r>
    </w:p>
    <w:p w14:paraId="152CDA5D" w14:textId="74C1E8BD" w:rsidR="00FE3A8A" w:rsidRPr="00634BED" w:rsidRDefault="00FE3A8A" w:rsidP="0023148D">
      <w:pPr>
        <w:rPr>
          <w:rFonts w:cstheme="minorHAnsi"/>
        </w:rPr>
      </w:pPr>
    </w:p>
    <w:p w14:paraId="2BF72FD5" w14:textId="7C9AD102" w:rsidR="00FE3A8A" w:rsidRPr="00634BED" w:rsidRDefault="00500FF2" w:rsidP="0023148D">
      <w:pPr>
        <w:rPr>
          <w:rFonts w:cstheme="minorHAnsi"/>
        </w:rPr>
      </w:pPr>
      <w:r w:rsidRPr="00634BED">
        <w:rPr>
          <w:rFonts w:cstheme="minorHAnsi"/>
        </w:rPr>
        <w:t xml:space="preserve">A second criticism is that </w:t>
      </w:r>
      <w:r w:rsidR="00AB3785" w:rsidRPr="00634BED">
        <w:rPr>
          <w:rFonts w:cstheme="minorHAnsi"/>
        </w:rPr>
        <w:t>reception history may utilise interpretative methods that appear fanciful, unscholarly and departing from the literal sense of the text.</w:t>
      </w:r>
      <w:r w:rsidR="00AB3785" w:rsidRPr="00634BED">
        <w:rPr>
          <w:rStyle w:val="FootnoteReference"/>
          <w:rFonts w:cstheme="minorHAnsi"/>
        </w:rPr>
        <w:footnoteReference w:id="16"/>
      </w:r>
      <w:r w:rsidR="00AB3785" w:rsidRPr="00634BED">
        <w:rPr>
          <w:rFonts w:cstheme="minorHAnsi"/>
        </w:rPr>
        <w:t xml:space="preserve"> Similarly, there may appear to be a shift away from the text to the interpreter (such that the text </w:t>
      </w:r>
      <w:r w:rsidR="00EE7B80" w:rsidRPr="00634BED">
        <w:rPr>
          <w:rFonts w:cstheme="minorHAnsi"/>
        </w:rPr>
        <w:t xml:space="preserve">itself </w:t>
      </w:r>
      <w:r w:rsidR="00AB3785" w:rsidRPr="00634BED">
        <w:rPr>
          <w:rFonts w:cstheme="minorHAnsi"/>
        </w:rPr>
        <w:t xml:space="preserve">is no longer important, all that matters is the reader’s response) and an abdication of any ethical </w:t>
      </w:r>
      <w:r w:rsidR="00AB3785" w:rsidRPr="00634BED">
        <w:rPr>
          <w:rFonts w:cstheme="minorHAnsi"/>
        </w:rPr>
        <w:lastRenderedPageBreak/>
        <w:t xml:space="preserve">responsibility on behalf of the interpretation: reception history </w:t>
      </w:r>
      <w:r w:rsidR="00A24B65" w:rsidRPr="00634BED">
        <w:rPr>
          <w:rFonts w:cstheme="minorHAnsi"/>
        </w:rPr>
        <w:t>can thus become</w:t>
      </w:r>
      <w:r w:rsidR="00EE7B80" w:rsidRPr="00634BED">
        <w:rPr>
          <w:rFonts w:cstheme="minorHAnsi"/>
        </w:rPr>
        <w:t xml:space="preserve"> </w:t>
      </w:r>
      <w:r w:rsidR="00AB3785" w:rsidRPr="00634BED">
        <w:rPr>
          <w:rFonts w:cstheme="minorHAnsi"/>
        </w:rPr>
        <w:t>merely descriptive, not evaluative.</w:t>
      </w:r>
      <w:r w:rsidR="00AB3785" w:rsidRPr="00634BED">
        <w:rPr>
          <w:rStyle w:val="FootnoteReference"/>
          <w:rFonts w:cstheme="minorHAnsi"/>
        </w:rPr>
        <w:footnoteReference w:id="17"/>
      </w:r>
    </w:p>
    <w:p w14:paraId="6DA407F7" w14:textId="48D275E8" w:rsidR="00AB3785" w:rsidRPr="00634BED" w:rsidRDefault="00AB3785" w:rsidP="0023148D">
      <w:pPr>
        <w:rPr>
          <w:rFonts w:cstheme="minorHAnsi"/>
        </w:rPr>
      </w:pPr>
    </w:p>
    <w:p w14:paraId="41F04F43" w14:textId="1B0971D5" w:rsidR="00EE7B80" w:rsidRDefault="00AB3785" w:rsidP="0023148D">
      <w:pPr>
        <w:rPr>
          <w:rFonts w:cstheme="minorHAnsi"/>
        </w:rPr>
      </w:pPr>
      <w:r w:rsidRPr="00634BED">
        <w:rPr>
          <w:rFonts w:cstheme="minorHAnsi"/>
        </w:rPr>
        <w:t>Whilst a thorough engagement with these criticisms is beyond the scope of this work and would necessitate a consideration of such factors as the meaning of a text versus its significance,</w:t>
      </w:r>
      <w:r w:rsidR="00EE7B80" w:rsidRPr="00634BED">
        <w:rPr>
          <w:rFonts w:cstheme="minorHAnsi"/>
        </w:rPr>
        <w:t xml:space="preserve"> in what way the text can be authoritative for believers throughout history and the role of the Holy Spirit in guiding the interpretation of the Christian Scriptures,</w:t>
      </w:r>
      <w:r w:rsidR="00EE7B80" w:rsidRPr="00634BED">
        <w:rPr>
          <w:rStyle w:val="FootnoteReference"/>
          <w:rFonts w:cstheme="minorHAnsi"/>
        </w:rPr>
        <w:footnoteReference w:id="18"/>
      </w:r>
      <w:r w:rsidR="00EE7B80" w:rsidRPr="00634BED">
        <w:rPr>
          <w:rFonts w:cstheme="minorHAnsi"/>
        </w:rPr>
        <w:t xml:space="preserve"> I concur that these are legitimate challenges to the proper use of reception history and </w:t>
      </w:r>
      <w:r w:rsidR="00597476">
        <w:rPr>
          <w:rFonts w:cstheme="minorHAnsi"/>
        </w:rPr>
        <w:t xml:space="preserve">clearly necessitate </w:t>
      </w:r>
      <w:r w:rsidR="00EE7B80" w:rsidRPr="00634BED">
        <w:rPr>
          <w:rFonts w:cstheme="minorHAnsi"/>
        </w:rPr>
        <w:t xml:space="preserve">areas for further dialogue and </w:t>
      </w:r>
      <w:r w:rsidR="00597476">
        <w:rPr>
          <w:rFonts w:cstheme="minorHAnsi"/>
        </w:rPr>
        <w:t>research</w:t>
      </w:r>
      <w:r w:rsidR="00EE7B80" w:rsidRPr="00634BED">
        <w:rPr>
          <w:rFonts w:cstheme="minorHAnsi"/>
        </w:rPr>
        <w:t xml:space="preserve">. </w:t>
      </w:r>
    </w:p>
    <w:p w14:paraId="5460C9E6" w14:textId="77777777" w:rsidR="00ED1BF9" w:rsidRPr="00634BED" w:rsidRDefault="00ED1BF9" w:rsidP="0023148D">
      <w:pPr>
        <w:rPr>
          <w:rFonts w:cstheme="minorHAnsi"/>
        </w:rPr>
      </w:pPr>
    </w:p>
    <w:p w14:paraId="3710DF6D" w14:textId="1D58301E" w:rsidR="00EE7B80" w:rsidRPr="00634BED" w:rsidRDefault="00EE7B80" w:rsidP="0023148D">
      <w:pPr>
        <w:rPr>
          <w:rFonts w:cstheme="minorHAnsi"/>
        </w:rPr>
      </w:pPr>
    </w:p>
    <w:p w14:paraId="5B3AA85E" w14:textId="0F59F115" w:rsidR="00EE7B80" w:rsidRPr="00ED1BF9" w:rsidRDefault="00EE7B80" w:rsidP="00ED1BF9">
      <w:pPr>
        <w:pStyle w:val="ListParagraph"/>
        <w:numPr>
          <w:ilvl w:val="0"/>
          <w:numId w:val="6"/>
        </w:numPr>
        <w:rPr>
          <w:rFonts w:cstheme="minorHAnsi"/>
          <w:i/>
          <w:iCs/>
        </w:rPr>
      </w:pPr>
      <w:r w:rsidRPr="00ED1BF9">
        <w:rPr>
          <w:rFonts w:cstheme="minorHAnsi"/>
          <w:i/>
          <w:iCs/>
        </w:rPr>
        <w:t>Summary.</w:t>
      </w:r>
    </w:p>
    <w:p w14:paraId="03EC81A1" w14:textId="2335BA68" w:rsidR="00EE7B80" w:rsidRPr="00634BED" w:rsidRDefault="00EE7B80" w:rsidP="0023148D">
      <w:pPr>
        <w:rPr>
          <w:rFonts w:cstheme="minorHAnsi"/>
          <w:i/>
          <w:iCs/>
        </w:rPr>
      </w:pPr>
    </w:p>
    <w:p w14:paraId="62690B9E" w14:textId="059E5ADA" w:rsidR="004E75AD" w:rsidRDefault="00EE7B80">
      <w:pPr>
        <w:rPr>
          <w:rFonts w:cstheme="minorHAnsi"/>
        </w:rPr>
      </w:pPr>
      <w:r w:rsidRPr="00634BED">
        <w:rPr>
          <w:rFonts w:cstheme="minorHAnsi"/>
        </w:rPr>
        <w:t xml:space="preserve">In conclusion, reception history </w:t>
      </w:r>
      <w:r w:rsidR="00AA67B2" w:rsidRPr="00634BED">
        <w:rPr>
          <w:rFonts w:cstheme="minorHAnsi"/>
        </w:rPr>
        <w:t>is a relatively recent development in the field of Biblical studies that draws upon the interpretation of a text throughout history across a wide variety of genres. I believe it to have clear value for Biblical studies, not least because it opens up the material available to aid interpretation immeasurably and importantly to voices outside one’s own tradition and context. Conversely, the challenge for the future of reception history is for one to have a posture of humility and self-awareness when it comes to selection of material, and to take seriously the potential for fanciful interpretations far removed from the original text to take priority. I believe Gadamer’s “benevolent dialogue” is key here. Reception history at its best will continue to be a dialogue with history, across academic disciplines</w:t>
      </w:r>
      <w:r w:rsidR="00ED1BF9">
        <w:rPr>
          <w:rFonts w:cstheme="minorHAnsi"/>
        </w:rPr>
        <w:t>,</w:t>
      </w:r>
      <w:r w:rsidR="00AA67B2" w:rsidRPr="00634BED">
        <w:rPr>
          <w:rFonts w:cstheme="minorHAnsi"/>
        </w:rPr>
        <w:t xml:space="preserve"> worked out in communities of learning and open to critique.</w:t>
      </w:r>
    </w:p>
    <w:p w14:paraId="390E21C1" w14:textId="77777777" w:rsidR="00597476" w:rsidRDefault="00597476">
      <w:pPr>
        <w:rPr>
          <w:rFonts w:cstheme="minorHAnsi"/>
          <w:i/>
          <w:iCs/>
        </w:rPr>
      </w:pPr>
    </w:p>
    <w:p w14:paraId="058CA244" w14:textId="77777777" w:rsidR="00597476" w:rsidRDefault="00597476">
      <w:pPr>
        <w:rPr>
          <w:rFonts w:cstheme="minorHAnsi"/>
          <w:i/>
          <w:iCs/>
        </w:rPr>
      </w:pPr>
    </w:p>
    <w:p w14:paraId="64DA4109" w14:textId="77777777" w:rsidR="00597476" w:rsidRDefault="00597476">
      <w:pPr>
        <w:rPr>
          <w:rFonts w:cstheme="minorHAnsi"/>
          <w:i/>
          <w:iCs/>
        </w:rPr>
      </w:pPr>
    </w:p>
    <w:p w14:paraId="60165AF0" w14:textId="77777777" w:rsidR="00597476" w:rsidRDefault="00597476">
      <w:pPr>
        <w:rPr>
          <w:rFonts w:cstheme="minorHAnsi"/>
          <w:i/>
          <w:iCs/>
        </w:rPr>
      </w:pPr>
    </w:p>
    <w:p w14:paraId="56F6055D" w14:textId="77777777" w:rsidR="00597476" w:rsidRDefault="00597476">
      <w:pPr>
        <w:rPr>
          <w:rFonts w:cstheme="minorHAnsi"/>
          <w:i/>
          <w:iCs/>
        </w:rPr>
      </w:pPr>
    </w:p>
    <w:p w14:paraId="12F52DC3" w14:textId="77777777" w:rsidR="00597476" w:rsidRDefault="00597476">
      <w:pPr>
        <w:rPr>
          <w:rFonts w:cstheme="minorHAnsi"/>
          <w:i/>
          <w:iCs/>
        </w:rPr>
      </w:pPr>
    </w:p>
    <w:p w14:paraId="2DEC19DF" w14:textId="77777777" w:rsidR="00597476" w:rsidRDefault="00597476">
      <w:pPr>
        <w:rPr>
          <w:rFonts w:cstheme="minorHAnsi"/>
          <w:i/>
          <w:iCs/>
        </w:rPr>
      </w:pPr>
    </w:p>
    <w:p w14:paraId="58990387" w14:textId="77777777" w:rsidR="00597476" w:rsidRDefault="00597476">
      <w:pPr>
        <w:rPr>
          <w:rFonts w:cstheme="minorHAnsi"/>
          <w:i/>
          <w:iCs/>
        </w:rPr>
      </w:pPr>
    </w:p>
    <w:p w14:paraId="24E3FEFF" w14:textId="77777777" w:rsidR="00597476" w:rsidRDefault="00597476">
      <w:pPr>
        <w:rPr>
          <w:rFonts w:cstheme="minorHAnsi"/>
          <w:i/>
          <w:iCs/>
        </w:rPr>
      </w:pPr>
    </w:p>
    <w:p w14:paraId="5BE7EB40" w14:textId="77777777" w:rsidR="00597476" w:rsidRDefault="00597476">
      <w:pPr>
        <w:rPr>
          <w:rFonts w:cstheme="minorHAnsi"/>
          <w:i/>
          <w:iCs/>
        </w:rPr>
      </w:pPr>
    </w:p>
    <w:p w14:paraId="02427E1A" w14:textId="77777777" w:rsidR="00597476" w:rsidRDefault="00597476">
      <w:pPr>
        <w:rPr>
          <w:rFonts w:cstheme="minorHAnsi"/>
          <w:i/>
          <w:iCs/>
        </w:rPr>
      </w:pPr>
    </w:p>
    <w:p w14:paraId="4721C87A" w14:textId="77777777" w:rsidR="00597476" w:rsidRDefault="00597476">
      <w:pPr>
        <w:rPr>
          <w:rFonts w:cstheme="minorHAnsi"/>
          <w:i/>
          <w:iCs/>
        </w:rPr>
      </w:pPr>
    </w:p>
    <w:p w14:paraId="15B942C9" w14:textId="77777777" w:rsidR="00597476" w:rsidRDefault="00597476">
      <w:pPr>
        <w:rPr>
          <w:rFonts w:cstheme="minorHAnsi"/>
          <w:i/>
          <w:iCs/>
        </w:rPr>
      </w:pPr>
    </w:p>
    <w:p w14:paraId="69C65640" w14:textId="77777777" w:rsidR="00597476" w:rsidRDefault="00597476">
      <w:pPr>
        <w:rPr>
          <w:rFonts w:cstheme="minorHAnsi"/>
          <w:i/>
          <w:iCs/>
        </w:rPr>
      </w:pPr>
    </w:p>
    <w:p w14:paraId="6FB2A34B" w14:textId="77777777" w:rsidR="00597476" w:rsidRDefault="00597476">
      <w:pPr>
        <w:rPr>
          <w:rFonts w:cstheme="minorHAnsi"/>
          <w:i/>
          <w:iCs/>
        </w:rPr>
      </w:pPr>
    </w:p>
    <w:p w14:paraId="3EB5AFF9" w14:textId="77777777" w:rsidR="00597476" w:rsidRDefault="00597476">
      <w:pPr>
        <w:rPr>
          <w:rFonts w:cstheme="minorHAnsi"/>
          <w:i/>
          <w:iCs/>
        </w:rPr>
      </w:pPr>
    </w:p>
    <w:p w14:paraId="5DB7862B" w14:textId="77777777" w:rsidR="00597476" w:rsidRDefault="00597476">
      <w:pPr>
        <w:rPr>
          <w:rFonts w:cstheme="minorHAnsi"/>
          <w:i/>
          <w:iCs/>
        </w:rPr>
      </w:pPr>
    </w:p>
    <w:p w14:paraId="5E6531B7" w14:textId="77777777" w:rsidR="00597476" w:rsidRDefault="00597476">
      <w:pPr>
        <w:rPr>
          <w:rFonts w:cstheme="minorHAnsi"/>
          <w:i/>
          <w:iCs/>
        </w:rPr>
      </w:pPr>
    </w:p>
    <w:p w14:paraId="2DAD100C" w14:textId="77777777" w:rsidR="00ED1BF9" w:rsidRDefault="00ED1BF9">
      <w:pPr>
        <w:rPr>
          <w:rFonts w:cstheme="minorHAnsi"/>
          <w:i/>
          <w:iCs/>
        </w:rPr>
      </w:pPr>
    </w:p>
    <w:p w14:paraId="1403C2F3" w14:textId="77777777" w:rsidR="00ED1BF9" w:rsidRDefault="00ED1BF9">
      <w:pPr>
        <w:rPr>
          <w:rFonts w:cstheme="minorHAnsi"/>
          <w:i/>
          <w:iCs/>
        </w:rPr>
      </w:pPr>
    </w:p>
    <w:p w14:paraId="02AD4B15" w14:textId="77777777" w:rsidR="00ED1BF9" w:rsidRDefault="00ED1BF9">
      <w:pPr>
        <w:rPr>
          <w:rFonts w:cstheme="minorHAnsi"/>
          <w:i/>
          <w:iCs/>
        </w:rPr>
      </w:pPr>
    </w:p>
    <w:p w14:paraId="014FD3DA" w14:textId="6F5A9FB1" w:rsidR="00AC2A16" w:rsidRDefault="00AC2A16">
      <w:pPr>
        <w:rPr>
          <w:rFonts w:cstheme="minorHAnsi"/>
          <w:i/>
          <w:iCs/>
        </w:rPr>
      </w:pPr>
      <w:r w:rsidRPr="004E75AD">
        <w:rPr>
          <w:rFonts w:cstheme="minorHAnsi"/>
          <w:i/>
          <w:iCs/>
        </w:rPr>
        <w:lastRenderedPageBreak/>
        <w:t>Bibliography:</w:t>
      </w:r>
    </w:p>
    <w:p w14:paraId="5E7F43CA" w14:textId="535873C0" w:rsidR="004E75AD" w:rsidRDefault="004E75AD">
      <w:pPr>
        <w:rPr>
          <w:rFonts w:cstheme="minorHAnsi"/>
          <w:i/>
          <w:iCs/>
        </w:rPr>
      </w:pPr>
    </w:p>
    <w:p w14:paraId="3004CE3D" w14:textId="2401FF0F" w:rsidR="004E75AD" w:rsidRDefault="004E75AD" w:rsidP="004E75AD">
      <w:pPr>
        <w:rPr>
          <w:rFonts w:cstheme="minorHAnsi"/>
        </w:rPr>
      </w:pPr>
      <w:r w:rsidRPr="00634BED">
        <w:rPr>
          <w:rFonts w:cstheme="minorHAnsi"/>
        </w:rPr>
        <w:t xml:space="preserve">Callaway, M.C. “What’s the Use of Reception History?” Presentation given at the Annual Society of Biblical Literature meeting, San Antonio, Texas, 2004. Accessed at </w:t>
      </w:r>
      <w:hyperlink r:id="rId8" w:history="1">
        <w:r w:rsidRPr="00634BED">
          <w:rPr>
            <w:rStyle w:val="Hyperlink"/>
            <w:rFonts w:cstheme="minorHAnsi"/>
          </w:rPr>
          <w:t>https://drive.google.com/file/d/0BwA21tmQBoRQMHMzdGEtdGNPVk0/view?resourcekey=0-RfOR4fm4QDfLKTX5DKTxcg</w:t>
        </w:r>
      </w:hyperlink>
      <w:r w:rsidRPr="00634BED">
        <w:rPr>
          <w:rFonts w:cstheme="minorHAnsi"/>
        </w:rPr>
        <w:t xml:space="preserve"> on 26/6/21.</w:t>
      </w:r>
    </w:p>
    <w:p w14:paraId="7BA2A3DC" w14:textId="29751EB7" w:rsidR="004E75AD" w:rsidRDefault="004E75AD" w:rsidP="004E75AD">
      <w:pPr>
        <w:rPr>
          <w:rFonts w:cstheme="minorHAnsi"/>
        </w:rPr>
      </w:pPr>
    </w:p>
    <w:p w14:paraId="594496F1" w14:textId="675D6A03" w:rsidR="004E75AD" w:rsidRDefault="004E75AD" w:rsidP="004E75AD">
      <w:pPr>
        <w:rPr>
          <w:rFonts w:cstheme="minorHAnsi"/>
        </w:rPr>
      </w:pPr>
      <w:r w:rsidRPr="00634BED">
        <w:rPr>
          <w:rFonts w:cstheme="minorHAnsi"/>
        </w:rPr>
        <w:t>Joynes, C.E., “Changing Horizons: Reflections on a Decade at Oxford University’s Centre for Reception History of the Bible</w:t>
      </w:r>
      <w:r w:rsidRPr="00634BED">
        <w:rPr>
          <w:rFonts w:cstheme="minorHAnsi"/>
          <w:b/>
          <w:bCs/>
        </w:rPr>
        <w:t xml:space="preserve">”, </w:t>
      </w:r>
      <w:r w:rsidRPr="00634BED">
        <w:rPr>
          <w:rFonts w:cstheme="minorHAnsi"/>
          <w:i/>
          <w:iCs/>
        </w:rPr>
        <w:t>J Bible Recept</w:t>
      </w:r>
      <w:r w:rsidRPr="00634BED">
        <w:rPr>
          <w:rFonts w:cstheme="minorHAnsi"/>
        </w:rPr>
        <w:t xml:space="preserve"> 2014; 1(1), pp.164-171.</w:t>
      </w:r>
    </w:p>
    <w:p w14:paraId="05B8D91F" w14:textId="1F6E408C" w:rsidR="004E75AD" w:rsidRDefault="004E75AD" w:rsidP="004E75AD">
      <w:pPr>
        <w:rPr>
          <w:rFonts w:cstheme="minorHAnsi"/>
        </w:rPr>
      </w:pPr>
    </w:p>
    <w:p w14:paraId="4B27D1D3" w14:textId="6B81DA9D" w:rsidR="004E75AD" w:rsidRDefault="004E75AD" w:rsidP="004E75AD">
      <w:pPr>
        <w:rPr>
          <w:rFonts w:cstheme="minorHAnsi"/>
        </w:rPr>
      </w:pPr>
      <w:r w:rsidRPr="00634BED">
        <w:rPr>
          <w:rFonts w:cstheme="minorHAnsi"/>
        </w:rPr>
        <w:t>Knight, M. “</w:t>
      </w:r>
      <w:r w:rsidRPr="00634BED">
        <w:rPr>
          <w:rFonts w:cstheme="minorHAnsi"/>
          <w:i/>
          <w:iCs/>
        </w:rPr>
        <w:t>Wirkungsgeschichte</w:t>
      </w:r>
      <w:r w:rsidRPr="00634BED">
        <w:rPr>
          <w:rFonts w:cstheme="minorHAnsi"/>
        </w:rPr>
        <w:t xml:space="preserve">, Reception History, Reception Theory”, </w:t>
      </w:r>
      <w:r w:rsidRPr="00634BED">
        <w:rPr>
          <w:rFonts w:cstheme="minorHAnsi"/>
          <w:i/>
          <w:iCs/>
        </w:rPr>
        <w:t>JSNT</w:t>
      </w:r>
      <w:r w:rsidRPr="00634BED">
        <w:rPr>
          <w:rFonts w:cstheme="minorHAnsi"/>
          <w:b/>
          <w:bCs/>
          <w:i/>
          <w:iCs/>
        </w:rPr>
        <w:t xml:space="preserve"> </w:t>
      </w:r>
      <w:r w:rsidRPr="00634BED">
        <w:rPr>
          <w:rFonts w:cstheme="minorHAnsi"/>
        </w:rPr>
        <w:t>2010; 33(2), 137-146.</w:t>
      </w:r>
    </w:p>
    <w:p w14:paraId="6FACB27E" w14:textId="4F48768C" w:rsidR="004E75AD" w:rsidRDefault="004E75AD" w:rsidP="004E75AD">
      <w:pPr>
        <w:rPr>
          <w:rFonts w:cstheme="minorHAnsi"/>
        </w:rPr>
      </w:pPr>
    </w:p>
    <w:p w14:paraId="4400994E" w14:textId="12BBE079" w:rsidR="004E75AD" w:rsidRDefault="004E75AD" w:rsidP="004E75AD">
      <w:pPr>
        <w:rPr>
          <w:rFonts w:cstheme="minorHAnsi"/>
        </w:rPr>
      </w:pPr>
      <w:r w:rsidRPr="00634BED">
        <w:rPr>
          <w:rFonts w:cstheme="minorHAnsi"/>
        </w:rPr>
        <w:t xml:space="preserve">Mitchell, M.M., “Rhetorical and New Literary Criticism”. In Rogers, J.W. and Lieu, J.M., </w:t>
      </w:r>
      <w:r w:rsidRPr="00634BED">
        <w:rPr>
          <w:rFonts w:cstheme="minorHAnsi"/>
          <w:i/>
          <w:iCs/>
        </w:rPr>
        <w:t xml:space="preserve">The Oxford Handbook of Biblical Studies </w:t>
      </w:r>
      <w:r w:rsidRPr="00634BED">
        <w:rPr>
          <w:rFonts w:cstheme="minorHAnsi"/>
        </w:rPr>
        <w:t>(Oxford: Oxford university Press, 2006), pp.615-633.</w:t>
      </w:r>
    </w:p>
    <w:p w14:paraId="4C9F3B94" w14:textId="13BD6A65" w:rsidR="004E75AD" w:rsidRDefault="004E75AD" w:rsidP="004E75AD">
      <w:pPr>
        <w:rPr>
          <w:rFonts w:cstheme="minorHAnsi"/>
        </w:rPr>
      </w:pPr>
    </w:p>
    <w:p w14:paraId="03F6AF66" w14:textId="2619FCC1" w:rsidR="004E75AD" w:rsidRDefault="004E75AD" w:rsidP="004E75AD">
      <w:pPr>
        <w:rPr>
          <w:rFonts w:cstheme="minorHAnsi"/>
        </w:rPr>
      </w:pPr>
      <w:r w:rsidRPr="00634BED">
        <w:rPr>
          <w:rFonts w:cstheme="minorHAnsi"/>
        </w:rPr>
        <w:t>Parris, D.P., (2006): Reading the Bible with Giants: How 2000 Years of Biblical Interpretation Can Shed Light on Old Texts. (Milton Keynes: Paternoster, 2006).</w:t>
      </w:r>
    </w:p>
    <w:p w14:paraId="4E023435" w14:textId="4599A2A8" w:rsidR="004E75AD" w:rsidRDefault="004E75AD" w:rsidP="004E75AD">
      <w:pPr>
        <w:rPr>
          <w:rFonts w:cstheme="minorHAnsi"/>
        </w:rPr>
      </w:pPr>
    </w:p>
    <w:p w14:paraId="0B0314DF" w14:textId="0FAA8252" w:rsidR="004E75AD" w:rsidRDefault="004E75AD" w:rsidP="004E75AD">
      <w:pPr>
        <w:rPr>
          <w:rFonts w:cstheme="minorHAnsi"/>
        </w:rPr>
      </w:pPr>
      <w:r w:rsidRPr="00634BED">
        <w:rPr>
          <w:rFonts w:cstheme="minorHAnsi"/>
        </w:rPr>
        <w:t xml:space="preserve">Roberts, J., “Introduction”, in Lieb, M., Mason, E., Roberts, J., Rowland, C. (eds.), </w:t>
      </w:r>
      <w:r w:rsidRPr="00634BED">
        <w:rPr>
          <w:rFonts w:cstheme="minorHAnsi"/>
          <w:i/>
          <w:iCs/>
        </w:rPr>
        <w:t xml:space="preserve">The Oxford Handbook of the Reception History of the Bible </w:t>
      </w:r>
      <w:r w:rsidRPr="00634BED">
        <w:rPr>
          <w:rFonts w:cstheme="minorHAnsi"/>
        </w:rPr>
        <w:t>(Oxford: Oxford University Press</w:t>
      </w:r>
      <w:r w:rsidR="00597476">
        <w:rPr>
          <w:rFonts w:cstheme="minorHAnsi"/>
        </w:rPr>
        <w:t>, 2011</w:t>
      </w:r>
      <w:r w:rsidRPr="00634BED">
        <w:rPr>
          <w:rFonts w:cstheme="minorHAnsi"/>
        </w:rPr>
        <w:t>), pp.1-8.</w:t>
      </w:r>
    </w:p>
    <w:p w14:paraId="51394BC1" w14:textId="1E1C07F4" w:rsidR="004E75AD" w:rsidRDefault="004E75AD" w:rsidP="004E75AD">
      <w:pPr>
        <w:rPr>
          <w:rFonts w:cstheme="minorHAnsi"/>
        </w:rPr>
      </w:pPr>
    </w:p>
    <w:p w14:paraId="5A892014" w14:textId="1E97CA67" w:rsidR="004E75AD" w:rsidRDefault="004E75AD" w:rsidP="004E75AD">
      <w:pPr>
        <w:rPr>
          <w:rFonts w:cstheme="minorHAnsi"/>
        </w:rPr>
      </w:pPr>
      <w:r w:rsidRPr="00634BED">
        <w:rPr>
          <w:rFonts w:cstheme="minorHAnsi"/>
        </w:rPr>
        <w:t xml:space="preserve">Rowland, C., “Reception History”, in Gooder, P., (ed.) </w:t>
      </w:r>
      <w:r w:rsidRPr="00634BED">
        <w:rPr>
          <w:rFonts w:cstheme="minorHAnsi"/>
          <w:i/>
          <w:iCs/>
        </w:rPr>
        <w:t xml:space="preserve">Searching for Meaning </w:t>
      </w:r>
      <w:r w:rsidRPr="00634BED">
        <w:rPr>
          <w:rFonts w:cstheme="minorHAnsi"/>
        </w:rPr>
        <w:t>(London: SPCK, 2008), pp.111-119.</w:t>
      </w:r>
    </w:p>
    <w:p w14:paraId="403CA62A" w14:textId="71BF5D71" w:rsidR="004E75AD" w:rsidRDefault="004E75AD" w:rsidP="004E75AD">
      <w:pPr>
        <w:rPr>
          <w:rFonts w:cstheme="minorHAnsi"/>
        </w:rPr>
      </w:pPr>
    </w:p>
    <w:p w14:paraId="5C48D62D" w14:textId="77777777" w:rsidR="004E75AD" w:rsidRPr="00634BED" w:rsidRDefault="004E75AD" w:rsidP="004E75AD">
      <w:pPr>
        <w:rPr>
          <w:rFonts w:cstheme="minorHAnsi"/>
        </w:rPr>
      </w:pPr>
      <w:r w:rsidRPr="00634BED">
        <w:rPr>
          <w:rFonts w:cstheme="minorHAnsi"/>
        </w:rPr>
        <w:t>Sawyer, J.F.A., The Role of Reception Theory, Reader-Response Criticism and/or</w:t>
      </w:r>
    </w:p>
    <w:p w14:paraId="714D585B" w14:textId="77777777" w:rsidR="004E75AD" w:rsidRPr="00634BED" w:rsidRDefault="004E75AD" w:rsidP="004E75AD">
      <w:pPr>
        <w:rPr>
          <w:rFonts w:cstheme="minorHAnsi"/>
        </w:rPr>
      </w:pPr>
      <w:r w:rsidRPr="00634BED">
        <w:rPr>
          <w:rFonts w:cstheme="minorHAnsi"/>
        </w:rPr>
        <w:t>Impact History in the Study of the Bible: Definition and Evaluation</w:t>
      </w:r>
    </w:p>
    <w:p w14:paraId="3F439D5C" w14:textId="213D604A" w:rsidR="004E75AD" w:rsidRDefault="004E75AD" w:rsidP="004E75AD">
      <w:pPr>
        <w:rPr>
          <w:rFonts w:cstheme="minorHAnsi"/>
        </w:rPr>
      </w:pPr>
      <w:hyperlink r:id="rId9" w:history="1">
        <w:r w:rsidRPr="00634BED">
          <w:rPr>
            <w:rStyle w:val="Hyperlink"/>
            <w:rFonts w:cstheme="minorHAnsi"/>
          </w:rPr>
          <w:t>https://drive.google.com/file/d/0BwA21tmQBoRQZHB4eEFNSURSNjA/view?resourcekey=0-sUeG2mh6ZvBDxzo5aYhL3g</w:t>
        </w:r>
      </w:hyperlink>
    </w:p>
    <w:p w14:paraId="4AA3CB7A" w14:textId="08C1E3EF" w:rsidR="004E75AD" w:rsidRDefault="004E75AD" w:rsidP="004E75AD">
      <w:pPr>
        <w:rPr>
          <w:rFonts w:cstheme="minorHAnsi"/>
        </w:rPr>
      </w:pPr>
    </w:p>
    <w:p w14:paraId="140DE906" w14:textId="77777777" w:rsidR="004E75AD" w:rsidRPr="00634BED" w:rsidRDefault="004E75AD" w:rsidP="004E75AD">
      <w:pPr>
        <w:rPr>
          <w:rFonts w:cstheme="minorHAnsi"/>
        </w:rPr>
      </w:pPr>
      <w:r w:rsidRPr="00634BED">
        <w:rPr>
          <w:rFonts w:cstheme="minorHAnsi"/>
        </w:rPr>
        <w:t xml:space="preserve">Thiselton, A.  “Reception Theory, H. R. Jauss and the Formative Power of Scripture”,  </w:t>
      </w:r>
      <w:r w:rsidRPr="00634BED">
        <w:rPr>
          <w:rFonts w:cstheme="minorHAnsi"/>
          <w:i/>
          <w:iCs/>
        </w:rPr>
        <w:t>SJT</w:t>
      </w:r>
      <w:r w:rsidRPr="00634BED">
        <w:rPr>
          <w:rFonts w:cstheme="minorHAnsi"/>
        </w:rPr>
        <w:t xml:space="preserve"> 2012, 65(3): 289–308.</w:t>
      </w:r>
    </w:p>
    <w:p w14:paraId="11520EC9" w14:textId="77777777" w:rsidR="004E75AD" w:rsidRPr="00634BED" w:rsidRDefault="004E75AD" w:rsidP="004E75AD">
      <w:pPr>
        <w:rPr>
          <w:rFonts w:cstheme="minorHAnsi"/>
        </w:rPr>
      </w:pPr>
    </w:p>
    <w:p w14:paraId="55709D21" w14:textId="77777777" w:rsidR="004E75AD" w:rsidRPr="00634BED" w:rsidRDefault="004E75AD" w:rsidP="004E75AD">
      <w:pPr>
        <w:rPr>
          <w:rFonts w:cstheme="minorHAnsi"/>
        </w:rPr>
      </w:pPr>
    </w:p>
    <w:p w14:paraId="3469D124" w14:textId="77777777" w:rsidR="004E75AD" w:rsidRPr="00634BED" w:rsidRDefault="004E75AD" w:rsidP="004E75AD">
      <w:pPr>
        <w:rPr>
          <w:rFonts w:cstheme="minorHAnsi"/>
        </w:rPr>
      </w:pPr>
    </w:p>
    <w:p w14:paraId="3201D2DC" w14:textId="77777777" w:rsidR="004E75AD" w:rsidRPr="00634BED" w:rsidRDefault="004E75AD" w:rsidP="004E75AD">
      <w:pPr>
        <w:rPr>
          <w:rFonts w:cstheme="minorHAnsi"/>
        </w:rPr>
      </w:pPr>
    </w:p>
    <w:p w14:paraId="64A75F0F" w14:textId="77777777" w:rsidR="004E75AD" w:rsidRPr="00634BED" w:rsidRDefault="004E75AD" w:rsidP="004E75AD">
      <w:pPr>
        <w:rPr>
          <w:rFonts w:cstheme="minorHAnsi"/>
        </w:rPr>
      </w:pPr>
    </w:p>
    <w:p w14:paraId="29F8AC8E" w14:textId="77777777" w:rsidR="004E75AD" w:rsidRPr="00634BED" w:rsidRDefault="004E75AD" w:rsidP="004E75AD">
      <w:pPr>
        <w:rPr>
          <w:rFonts w:cstheme="minorHAnsi"/>
        </w:rPr>
      </w:pPr>
    </w:p>
    <w:p w14:paraId="63AEFCDF" w14:textId="77777777" w:rsidR="004E75AD" w:rsidRPr="00634BED" w:rsidRDefault="004E75AD" w:rsidP="004E75AD">
      <w:pPr>
        <w:rPr>
          <w:rFonts w:cstheme="minorHAnsi"/>
        </w:rPr>
      </w:pPr>
    </w:p>
    <w:p w14:paraId="0D282C9F" w14:textId="77777777" w:rsidR="004E75AD" w:rsidRPr="00634BED" w:rsidRDefault="004E75AD" w:rsidP="004E75AD">
      <w:pPr>
        <w:rPr>
          <w:rFonts w:cstheme="minorHAnsi"/>
        </w:rPr>
      </w:pPr>
    </w:p>
    <w:p w14:paraId="035D5EA7" w14:textId="77777777" w:rsidR="004E75AD" w:rsidRPr="004E75AD" w:rsidRDefault="004E75AD">
      <w:pPr>
        <w:rPr>
          <w:rFonts w:cstheme="minorHAnsi"/>
        </w:rPr>
      </w:pPr>
    </w:p>
    <w:p w14:paraId="0742024F" w14:textId="0A5F5749" w:rsidR="00AC2A16" w:rsidRPr="00634BED" w:rsidRDefault="00AC2A16">
      <w:pPr>
        <w:rPr>
          <w:rFonts w:cstheme="minorHAnsi"/>
        </w:rPr>
      </w:pPr>
    </w:p>
    <w:p w14:paraId="6685BC3B" w14:textId="3393122E" w:rsidR="00486042" w:rsidRPr="00634BED" w:rsidRDefault="00486042">
      <w:pPr>
        <w:rPr>
          <w:rFonts w:cstheme="minorHAnsi"/>
        </w:rPr>
      </w:pPr>
    </w:p>
    <w:p w14:paraId="06B33935" w14:textId="24A65F34" w:rsidR="00AB04F0" w:rsidRPr="00634BED" w:rsidRDefault="00AB04F0">
      <w:pPr>
        <w:rPr>
          <w:rFonts w:cstheme="minorHAnsi"/>
        </w:rPr>
      </w:pPr>
    </w:p>
    <w:p w14:paraId="237C0589" w14:textId="67ED1802" w:rsidR="00AB04F0" w:rsidRPr="00634BED" w:rsidRDefault="00AB04F0">
      <w:pPr>
        <w:rPr>
          <w:rFonts w:cstheme="minorHAnsi"/>
        </w:rPr>
      </w:pPr>
    </w:p>
    <w:p w14:paraId="777C7E62" w14:textId="7E097234" w:rsidR="00865393" w:rsidRPr="00634BED" w:rsidRDefault="00865393">
      <w:pPr>
        <w:rPr>
          <w:rFonts w:cstheme="minorHAnsi"/>
        </w:rPr>
      </w:pPr>
    </w:p>
    <w:p w14:paraId="4B299B17" w14:textId="162F9427" w:rsidR="00B52B06" w:rsidRPr="00634BED" w:rsidRDefault="00B52B06">
      <w:pPr>
        <w:rPr>
          <w:rFonts w:cstheme="minorHAnsi"/>
        </w:rPr>
      </w:pPr>
    </w:p>
    <w:p w14:paraId="5040D129" w14:textId="61A500F0" w:rsidR="008F17AF" w:rsidRPr="00634BED" w:rsidRDefault="008F17AF">
      <w:pPr>
        <w:rPr>
          <w:rFonts w:cstheme="minorHAnsi"/>
        </w:rPr>
      </w:pPr>
    </w:p>
    <w:p w14:paraId="29E625D5" w14:textId="50A70CEB" w:rsidR="00983602" w:rsidRPr="00634BED" w:rsidRDefault="00983602" w:rsidP="008F17AF">
      <w:pPr>
        <w:rPr>
          <w:rFonts w:cstheme="minorHAnsi"/>
        </w:rPr>
      </w:pPr>
    </w:p>
    <w:sectPr w:rsidR="00983602" w:rsidRPr="00634BED">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4A4CF6" w14:textId="77777777" w:rsidR="004543B4" w:rsidRDefault="004543B4" w:rsidP="005A5516">
      <w:r>
        <w:separator/>
      </w:r>
    </w:p>
  </w:endnote>
  <w:endnote w:type="continuationSeparator" w:id="0">
    <w:p w14:paraId="2CBA55B2" w14:textId="77777777" w:rsidR="004543B4" w:rsidRDefault="004543B4" w:rsidP="005A5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42095634"/>
      <w:docPartObj>
        <w:docPartGallery w:val="Page Numbers (Bottom of Page)"/>
        <w:docPartUnique/>
      </w:docPartObj>
    </w:sdtPr>
    <w:sdtContent>
      <w:p w14:paraId="0FC52C35" w14:textId="47AE0A3A" w:rsidR="00B93338" w:rsidRDefault="00B93338" w:rsidP="00611D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822B56" w14:textId="77777777" w:rsidR="00B93338" w:rsidRDefault="00B93338" w:rsidP="00B9333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00842857"/>
      <w:docPartObj>
        <w:docPartGallery w:val="Page Numbers (Bottom of Page)"/>
        <w:docPartUnique/>
      </w:docPartObj>
    </w:sdtPr>
    <w:sdtContent>
      <w:p w14:paraId="3E6CCD3D" w14:textId="0FFA906B" w:rsidR="00B93338" w:rsidRDefault="00B93338" w:rsidP="00611D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F3A6621" w14:textId="77777777" w:rsidR="00B93338" w:rsidRDefault="00B93338" w:rsidP="00B9333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8179BC" w14:textId="77777777" w:rsidR="004543B4" w:rsidRDefault="004543B4" w:rsidP="005A5516">
      <w:r>
        <w:separator/>
      </w:r>
    </w:p>
  </w:footnote>
  <w:footnote w:type="continuationSeparator" w:id="0">
    <w:p w14:paraId="5BDB6FF5" w14:textId="77777777" w:rsidR="004543B4" w:rsidRDefault="004543B4" w:rsidP="005A5516">
      <w:r>
        <w:continuationSeparator/>
      </w:r>
    </w:p>
  </w:footnote>
  <w:footnote w:id="1">
    <w:p w14:paraId="7CC9DAD7" w14:textId="3200CF90" w:rsidR="00865393" w:rsidRPr="008F17AF" w:rsidRDefault="00865393" w:rsidP="00634BED">
      <w:pPr>
        <w:pStyle w:val="FootnoteText"/>
      </w:pPr>
      <w:r w:rsidRPr="008F17AF">
        <w:rPr>
          <w:rStyle w:val="FootnoteReference"/>
        </w:rPr>
        <w:footnoteRef/>
      </w:r>
      <w:r w:rsidRPr="008F17AF">
        <w:t xml:space="preserve"> </w:t>
      </w:r>
      <w:r>
        <w:t xml:space="preserve">C. </w:t>
      </w:r>
      <w:r w:rsidRPr="008F17AF">
        <w:t>Rowland</w:t>
      </w:r>
      <w:r w:rsidR="00CD330A">
        <w:t>,</w:t>
      </w:r>
      <w:r>
        <w:t xml:space="preserve"> “Reception History”, in P. Gooder (ed.) </w:t>
      </w:r>
      <w:r>
        <w:rPr>
          <w:i/>
          <w:iCs/>
        </w:rPr>
        <w:t>S</w:t>
      </w:r>
      <w:r w:rsidRPr="00983602">
        <w:rPr>
          <w:i/>
          <w:iCs/>
        </w:rPr>
        <w:t xml:space="preserve">earching for </w:t>
      </w:r>
      <w:r>
        <w:rPr>
          <w:i/>
          <w:iCs/>
        </w:rPr>
        <w:t>M</w:t>
      </w:r>
      <w:r w:rsidRPr="00983602">
        <w:rPr>
          <w:i/>
          <w:iCs/>
        </w:rPr>
        <w:t>eaning</w:t>
      </w:r>
      <w:r>
        <w:rPr>
          <w:i/>
          <w:iCs/>
        </w:rPr>
        <w:t xml:space="preserve"> </w:t>
      </w:r>
      <w:r>
        <w:t xml:space="preserve">(London: SPCK, 2008), </w:t>
      </w:r>
      <w:r w:rsidRPr="008F17AF">
        <w:t>p.111.</w:t>
      </w:r>
    </w:p>
  </w:footnote>
  <w:footnote w:id="2">
    <w:p w14:paraId="1CFCA09E" w14:textId="0308A0AE" w:rsidR="00865393" w:rsidRPr="008F17AF" w:rsidRDefault="00865393" w:rsidP="00634BED">
      <w:pPr>
        <w:pStyle w:val="FootnoteText"/>
      </w:pPr>
      <w:r w:rsidRPr="008F17AF">
        <w:rPr>
          <w:rStyle w:val="FootnoteReference"/>
        </w:rPr>
        <w:footnoteRef/>
      </w:r>
      <w:r w:rsidRPr="008F17AF">
        <w:t xml:space="preserve"> </w:t>
      </w:r>
      <w:r>
        <w:t xml:space="preserve">J. </w:t>
      </w:r>
      <w:r w:rsidRPr="008F17AF">
        <w:t xml:space="preserve">Roberts, </w:t>
      </w:r>
      <w:r>
        <w:t xml:space="preserve">“Introduction”, in M. Lieb, E. Mason, J. Roberts, C. Rowland (eds.), </w:t>
      </w:r>
      <w:r w:rsidRPr="00983602">
        <w:rPr>
          <w:i/>
          <w:iCs/>
        </w:rPr>
        <w:t>The Oxford Handbook of the Reception History of the Bible</w:t>
      </w:r>
      <w:r>
        <w:rPr>
          <w:i/>
          <w:iCs/>
        </w:rPr>
        <w:t xml:space="preserve"> </w:t>
      </w:r>
      <w:r>
        <w:t>(Oxford: Oxford University Press</w:t>
      </w:r>
      <w:r w:rsidR="00597476">
        <w:t>, 2011</w:t>
      </w:r>
      <w:r>
        <w:t xml:space="preserve">), </w:t>
      </w:r>
      <w:r w:rsidRPr="008F17AF">
        <w:t>p.1.</w:t>
      </w:r>
    </w:p>
  </w:footnote>
  <w:footnote w:id="3">
    <w:p w14:paraId="3EB880B1" w14:textId="6E36C7A2" w:rsidR="00865393" w:rsidRPr="00533890" w:rsidRDefault="00865393" w:rsidP="00634BED">
      <w:pPr>
        <w:pStyle w:val="NormalWeb"/>
        <w:spacing w:before="0" w:beforeAutospacing="0" w:after="0" w:afterAutospacing="0"/>
        <w:rPr>
          <w:rFonts w:asciiTheme="minorHAnsi" w:hAnsiTheme="minorHAnsi" w:cstheme="minorHAnsi"/>
          <w:sz w:val="20"/>
          <w:szCs w:val="20"/>
        </w:rPr>
      </w:pPr>
      <w:r w:rsidRPr="00533890">
        <w:rPr>
          <w:rStyle w:val="FootnoteReference"/>
          <w:rFonts w:asciiTheme="minorHAnsi" w:hAnsiTheme="minorHAnsi" w:cstheme="minorHAnsi"/>
          <w:sz w:val="20"/>
          <w:szCs w:val="20"/>
        </w:rPr>
        <w:footnoteRef/>
      </w:r>
      <w:r w:rsidRPr="00533890">
        <w:rPr>
          <w:rFonts w:asciiTheme="minorHAnsi" w:hAnsiTheme="minorHAnsi" w:cstheme="minorHAnsi"/>
          <w:sz w:val="20"/>
          <w:szCs w:val="20"/>
        </w:rPr>
        <w:t xml:space="preserve"> C.</w:t>
      </w:r>
      <w:r w:rsidR="00CD330A">
        <w:rPr>
          <w:rFonts w:asciiTheme="minorHAnsi" w:hAnsiTheme="minorHAnsi" w:cstheme="minorHAnsi"/>
          <w:sz w:val="20"/>
          <w:szCs w:val="20"/>
        </w:rPr>
        <w:t xml:space="preserve"> </w:t>
      </w:r>
      <w:r w:rsidRPr="00533890">
        <w:rPr>
          <w:rFonts w:asciiTheme="minorHAnsi" w:hAnsiTheme="minorHAnsi" w:cstheme="minorHAnsi"/>
          <w:sz w:val="20"/>
          <w:szCs w:val="20"/>
        </w:rPr>
        <w:t>E. Joynes, “Changing Horizons: Reflections on a Decade at Oxford University’s Centre for Reception History of the Bible</w:t>
      </w:r>
      <w:r w:rsidRPr="00533890">
        <w:rPr>
          <w:rFonts w:asciiTheme="minorHAnsi" w:hAnsiTheme="minorHAnsi" w:cstheme="minorHAnsi"/>
          <w:b/>
          <w:bCs/>
          <w:sz w:val="20"/>
          <w:szCs w:val="20"/>
        </w:rPr>
        <w:t xml:space="preserve">”, </w:t>
      </w:r>
      <w:r w:rsidRPr="00AB04F0">
        <w:rPr>
          <w:rFonts w:asciiTheme="minorHAnsi" w:hAnsiTheme="minorHAnsi" w:cstheme="minorHAnsi"/>
          <w:i/>
          <w:iCs/>
          <w:sz w:val="20"/>
          <w:szCs w:val="20"/>
        </w:rPr>
        <w:t>J Bible Recept</w:t>
      </w:r>
      <w:r w:rsidRPr="00533890">
        <w:rPr>
          <w:rFonts w:asciiTheme="minorHAnsi" w:hAnsiTheme="minorHAnsi" w:cstheme="minorHAnsi"/>
          <w:sz w:val="20"/>
          <w:szCs w:val="20"/>
        </w:rPr>
        <w:t xml:space="preserve"> 2014; 1(1), p.164</w:t>
      </w:r>
    </w:p>
  </w:footnote>
  <w:footnote w:id="4">
    <w:p w14:paraId="551F2312" w14:textId="0D5B4A35" w:rsidR="00865393" w:rsidRPr="00634BED" w:rsidRDefault="00865393" w:rsidP="00634BED">
      <w:pPr>
        <w:pStyle w:val="NormalWeb"/>
        <w:spacing w:before="0" w:beforeAutospacing="0" w:after="0" w:afterAutospacing="0"/>
        <w:rPr>
          <w:rFonts w:asciiTheme="minorHAnsi" w:hAnsiTheme="minorHAnsi" w:cstheme="minorHAnsi"/>
          <w:sz w:val="20"/>
          <w:szCs w:val="20"/>
        </w:rPr>
      </w:pPr>
      <w:r w:rsidRPr="00AB04F0">
        <w:rPr>
          <w:rStyle w:val="FootnoteReference"/>
          <w:rFonts w:asciiTheme="minorHAnsi" w:hAnsiTheme="minorHAnsi" w:cstheme="minorHAnsi"/>
          <w:sz w:val="20"/>
          <w:szCs w:val="20"/>
        </w:rPr>
        <w:footnoteRef/>
      </w:r>
      <w:r w:rsidRPr="00AB04F0">
        <w:rPr>
          <w:rFonts w:asciiTheme="minorHAnsi" w:hAnsiTheme="minorHAnsi" w:cstheme="minorHAnsi"/>
          <w:sz w:val="20"/>
          <w:szCs w:val="20"/>
        </w:rPr>
        <w:t xml:space="preserve"> M. Knight, </w:t>
      </w:r>
      <w:r>
        <w:rPr>
          <w:rFonts w:asciiTheme="minorHAnsi" w:hAnsiTheme="minorHAnsi" w:cstheme="minorHAnsi"/>
          <w:sz w:val="20"/>
          <w:szCs w:val="20"/>
        </w:rPr>
        <w:t>“</w:t>
      </w:r>
      <w:r w:rsidRPr="00AB04F0">
        <w:rPr>
          <w:rFonts w:asciiTheme="minorHAnsi" w:hAnsiTheme="minorHAnsi" w:cstheme="minorHAnsi"/>
          <w:i/>
          <w:iCs/>
          <w:sz w:val="20"/>
          <w:szCs w:val="20"/>
        </w:rPr>
        <w:t>Wirkungsgeschichte</w:t>
      </w:r>
      <w:r w:rsidRPr="00AB04F0">
        <w:rPr>
          <w:rFonts w:asciiTheme="minorHAnsi" w:hAnsiTheme="minorHAnsi" w:cstheme="minorHAnsi"/>
          <w:sz w:val="20"/>
          <w:szCs w:val="20"/>
        </w:rPr>
        <w:t>, Reception History, Reception Theory</w:t>
      </w:r>
      <w:r>
        <w:rPr>
          <w:rFonts w:asciiTheme="minorHAnsi" w:hAnsiTheme="minorHAnsi" w:cstheme="minorHAnsi"/>
          <w:sz w:val="20"/>
          <w:szCs w:val="20"/>
        </w:rPr>
        <w:t xml:space="preserve">”, </w:t>
      </w:r>
      <w:r w:rsidRPr="00AB04F0">
        <w:rPr>
          <w:rFonts w:asciiTheme="minorHAnsi" w:hAnsiTheme="minorHAnsi" w:cstheme="minorHAnsi"/>
          <w:i/>
          <w:iCs/>
          <w:sz w:val="20"/>
          <w:szCs w:val="20"/>
        </w:rPr>
        <w:t>JSNT</w:t>
      </w:r>
      <w:r>
        <w:rPr>
          <w:rFonts w:asciiTheme="minorHAnsi" w:hAnsiTheme="minorHAnsi" w:cstheme="minorHAnsi"/>
          <w:b/>
          <w:bCs/>
          <w:i/>
          <w:iCs/>
          <w:sz w:val="20"/>
          <w:szCs w:val="20"/>
        </w:rPr>
        <w:t xml:space="preserve"> </w:t>
      </w:r>
      <w:r>
        <w:rPr>
          <w:rFonts w:asciiTheme="minorHAnsi" w:hAnsiTheme="minorHAnsi" w:cstheme="minorHAnsi"/>
          <w:sz w:val="20"/>
          <w:szCs w:val="20"/>
        </w:rPr>
        <w:t>2010; 33(2), pp.137-138.</w:t>
      </w:r>
    </w:p>
  </w:footnote>
  <w:footnote w:id="5">
    <w:p w14:paraId="269156C9" w14:textId="722E3D29" w:rsidR="00865393" w:rsidRPr="008F17AF" w:rsidRDefault="00865393" w:rsidP="00634BED">
      <w:pPr>
        <w:pStyle w:val="FootnoteText"/>
      </w:pPr>
      <w:r w:rsidRPr="008F17AF">
        <w:rPr>
          <w:rStyle w:val="FootnoteReference"/>
        </w:rPr>
        <w:footnoteRef/>
      </w:r>
      <w:r w:rsidRPr="008F17AF">
        <w:t xml:space="preserve"> Joynes, </w:t>
      </w:r>
      <w:r>
        <w:t>“Changing Horizons”, p.</w:t>
      </w:r>
      <w:r w:rsidRPr="008F17AF">
        <w:t>162.</w:t>
      </w:r>
    </w:p>
  </w:footnote>
  <w:footnote w:id="6">
    <w:p w14:paraId="5D0FDC99" w14:textId="6710DF81" w:rsidR="00634BED" w:rsidRPr="00AB04F0" w:rsidRDefault="00865393" w:rsidP="00634BED">
      <w:pPr>
        <w:pStyle w:val="NormalWeb"/>
        <w:spacing w:before="0" w:beforeAutospacing="0" w:after="0" w:afterAutospacing="0"/>
        <w:rPr>
          <w:rFonts w:asciiTheme="minorHAnsi" w:hAnsiTheme="minorHAnsi" w:cstheme="minorHAnsi"/>
          <w:sz w:val="20"/>
          <w:szCs w:val="20"/>
        </w:rPr>
      </w:pPr>
      <w:r w:rsidRPr="00AB04F0">
        <w:rPr>
          <w:rStyle w:val="FootnoteReference"/>
          <w:rFonts w:asciiTheme="minorHAnsi" w:hAnsiTheme="minorHAnsi" w:cstheme="minorHAnsi"/>
          <w:sz w:val="20"/>
          <w:szCs w:val="20"/>
        </w:rPr>
        <w:footnoteRef/>
      </w:r>
      <w:r w:rsidRPr="00AB04F0">
        <w:rPr>
          <w:rFonts w:asciiTheme="minorHAnsi" w:hAnsiTheme="minorHAnsi" w:cstheme="minorHAnsi"/>
          <w:sz w:val="20"/>
          <w:szCs w:val="20"/>
        </w:rPr>
        <w:t xml:space="preserve"> H</w:t>
      </w:r>
      <w:r>
        <w:rPr>
          <w:rFonts w:asciiTheme="minorHAnsi" w:hAnsiTheme="minorHAnsi" w:cstheme="minorHAnsi"/>
          <w:sz w:val="20"/>
          <w:szCs w:val="20"/>
        </w:rPr>
        <w:t>.</w:t>
      </w:r>
      <w:r w:rsidR="00CD330A">
        <w:rPr>
          <w:rFonts w:asciiTheme="minorHAnsi" w:hAnsiTheme="minorHAnsi" w:cstheme="minorHAnsi"/>
          <w:sz w:val="20"/>
          <w:szCs w:val="20"/>
        </w:rPr>
        <w:t xml:space="preserve"> </w:t>
      </w:r>
      <w:r w:rsidRPr="00AB04F0">
        <w:rPr>
          <w:rFonts w:asciiTheme="minorHAnsi" w:hAnsiTheme="minorHAnsi" w:cstheme="minorHAnsi"/>
          <w:sz w:val="20"/>
          <w:szCs w:val="20"/>
        </w:rPr>
        <w:t>G</w:t>
      </w:r>
      <w:r>
        <w:rPr>
          <w:rFonts w:asciiTheme="minorHAnsi" w:hAnsiTheme="minorHAnsi" w:cstheme="minorHAnsi"/>
          <w:sz w:val="20"/>
          <w:szCs w:val="20"/>
        </w:rPr>
        <w:t>.</w:t>
      </w:r>
      <w:r w:rsidRPr="00AB04F0">
        <w:rPr>
          <w:rFonts w:asciiTheme="minorHAnsi" w:hAnsiTheme="minorHAnsi" w:cstheme="minorHAnsi"/>
          <w:sz w:val="20"/>
          <w:szCs w:val="20"/>
        </w:rPr>
        <w:t xml:space="preserve"> Gadamer, </w:t>
      </w:r>
      <w:r w:rsidRPr="00AB04F0">
        <w:rPr>
          <w:rFonts w:asciiTheme="minorHAnsi" w:hAnsiTheme="minorHAnsi" w:cstheme="minorHAnsi"/>
          <w:i/>
          <w:iCs/>
          <w:sz w:val="20"/>
          <w:szCs w:val="20"/>
        </w:rPr>
        <w:t>Truth and Method</w:t>
      </w:r>
      <w:r w:rsidRPr="00AB04F0">
        <w:rPr>
          <w:rFonts w:asciiTheme="minorHAnsi" w:hAnsiTheme="minorHAnsi" w:cstheme="minorHAnsi"/>
          <w:sz w:val="20"/>
          <w:szCs w:val="20"/>
        </w:rPr>
        <w:t>, trans. J</w:t>
      </w:r>
      <w:r>
        <w:rPr>
          <w:rFonts w:asciiTheme="minorHAnsi" w:hAnsiTheme="minorHAnsi" w:cstheme="minorHAnsi"/>
          <w:sz w:val="20"/>
          <w:szCs w:val="20"/>
        </w:rPr>
        <w:t>.</w:t>
      </w:r>
      <w:r w:rsidRPr="00AB04F0">
        <w:rPr>
          <w:rFonts w:asciiTheme="minorHAnsi" w:hAnsiTheme="minorHAnsi" w:cstheme="minorHAnsi"/>
          <w:sz w:val="20"/>
          <w:szCs w:val="20"/>
        </w:rPr>
        <w:t xml:space="preserve"> Weinsheimer and D</w:t>
      </w:r>
      <w:r>
        <w:rPr>
          <w:rFonts w:asciiTheme="minorHAnsi" w:hAnsiTheme="minorHAnsi" w:cstheme="minorHAnsi"/>
          <w:sz w:val="20"/>
          <w:szCs w:val="20"/>
        </w:rPr>
        <w:t>.,</w:t>
      </w:r>
      <w:r w:rsidRPr="00AB04F0">
        <w:rPr>
          <w:rFonts w:asciiTheme="minorHAnsi" w:hAnsiTheme="minorHAnsi" w:cstheme="minorHAnsi"/>
          <w:sz w:val="20"/>
          <w:szCs w:val="20"/>
        </w:rPr>
        <w:t xml:space="preserve"> G</w:t>
      </w:r>
      <w:r>
        <w:rPr>
          <w:rFonts w:asciiTheme="minorHAnsi" w:hAnsiTheme="minorHAnsi" w:cstheme="minorHAnsi"/>
          <w:sz w:val="20"/>
          <w:szCs w:val="20"/>
        </w:rPr>
        <w:t>.</w:t>
      </w:r>
      <w:r w:rsidRPr="00AB04F0">
        <w:rPr>
          <w:rFonts w:asciiTheme="minorHAnsi" w:hAnsiTheme="minorHAnsi" w:cstheme="minorHAnsi"/>
          <w:sz w:val="20"/>
          <w:szCs w:val="20"/>
        </w:rPr>
        <w:t xml:space="preserve"> Mar</w:t>
      </w:r>
      <w:r w:rsidRPr="00AB04F0">
        <w:rPr>
          <w:rFonts w:asciiTheme="minorHAnsi" w:hAnsiTheme="minorHAnsi" w:cstheme="minorHAnsi"/>
          <w:sz w:val="20"/>
          <w:szCs w:val="20"/>
        </w:rPr>
        <w:softHyphen/>
        <w:t>shall, 2nd edn. (London: Continuum, 2004)</w:t>
      </w:r>
      <w:r>
        <w:rPr>
          <w:rFonts w:asciiTheme="minorHAnsi" w:hAnsiTheme="minorHAnsi" w:cstheme="minorHAnsi"/>
          <w:sz w:val="20"/>
          <w:szCs w:val="20"/>
        </w:rPr>
        <w:t>, p. 276. Quoted in Roberts, “Introduction”, p.2.</w:t>
      </w:r>
    </w:p>
  </w:footnote>
  <w:footnote w:id="7">
    <w:p w14:paraId="183D32B8" w14:textId="1B562E47" w:rsidR="00865393" w:rsidRDefault="00865393" w:rsidP="00634BED">
      <w:pPr>
        <w:pStyle w:val="FootnoteText"/>
        <w:rPr>
          <w:rFonts w:cstheme="minorHAnsi"/>
        </w:rPr>
      </w:pPr>
      <w:r w:rsidRPr="008F17AF">
        <w:rPr>
          <w:rStyle w:val="FootnoteReference"/>
        </w:rPr>
        <w:footnoteRef/>
      </w:r>
      <w:r w:rsidRPr="008F17AF">
        <w:t xml:space="preserve"> </w:t>
      </w:r>
      <w:r w:rsidR="00634BED" w:rsidRPr="008F17AF">
        <w:t xml:space="preserve">Joynes </w:t>
      </w:r>
      <w:r w:rsidR="00634BED">
        <w:t>“Changing Horizons”, p.</w:t>
      </w:r>
      <w:r w:rsidR="00634BED" w:rsidRPr="008F17AF">
        <w:t>162</w:t>
      </w:r>
      <w:r w:rsidR="00634BED">
        <w:t xml:space="preserve">; </w:t>
      </w:r>
      <w:r w:rsidRPr="008F17AF">
        <w:t>Rowlan</w:t>
      </w:r>
      <w:r>
        <w:t>d, “Reception History”,</w:t>
      </w:r>
      <w:r w:rsidR="00634BED">
        <w:t xml:space="preserve"> </w:t>
      </w:r>
      <w:r>
        <w:t>p.</w:t>
      </w:r>
      <w:r w:rsidRPr="008F17AF">
        <w:t>111</w:t>
      </w:r>
      <w:r w:rsidR="00634BED">
        <w:t xml:space="preserve">. </w:t>
      </w:r>
      <w:r w:rsidRPr="008F17AF">
        <w:t xml:space="preserve">I am aware there is lack of consensus over the precise meanings of </w:t>
      </w:r>
      <w:r>
        <w:t>“</w:t>
      </w:r>
      <w:r w:rsidRPr="00AB04F0">
        <w:rPr>
          <w:rFonts w:cstheme="minorHAnsi"/>
          <w:i/>
          <w:iCs/>
        </w:rPr>
        <w:t>Wirkungsgeschite</w:t>
      </w:r>
      <w:r>
        <w:rPr>
          <w:rFonts w:cstheme="minorHAnsi"/>
          <w:i/>
          <w:iCs/>
        </w:rPr>
        <w:t>”</w:t>
      </w:r>
      <w:r w:rsidRPr="008F17AF">
        <w:rPr>
          <w:rFonts w:cstheme="minorHAnsi"/>
        </w:rPr>
        <w:t xml:space="preserve">, </w:t>
      </w:r>
      <w:r>
        <w:rPr>
          <w:rFonts w:cstheme="minorHAnsi"/>
        </w:rPr>
        <w:t>“</w:t>
      </w:r>
      <w:r w:rsidRPr="008F17AF">
        <w:rPr>
          <w:rFonts w:cstheme="minorHAnsi"/>
        </w:rPr>
        <w:t>history of effect</w:t>
      </w:r>
      <w:r>
        <w:rPr>
          <w:rFonts w:cstheme="minorHAnsi"/>
        </w:rPr>
        <w:t>”</w:t>
      </w:r>
      <w:r w:rsidRPr="008F17AF">
        <w:rPr>
          <w:rFonts w:cstheme="minorHAnsi"/>
        </w:rPr>
        <w:t xml:space="preserve">, </w:t>
      </w:r>
      <w:r>
        <w:rPr>
          <w:rFonts w:cstheme="minorHAnsi"/>
        </w:rPr>
        <w:t>“</w:t>
      </w:r>
      <w:r w:rsidRPr="008F17AF">
        <w:rPr>
          <w:rFonts w:cstheme="minorHAnsi"/>
        </w:rPr>
        <w:t>reception history</w:t>
      </w:r>
      <w:r>
        <w:rPr>
          <w:rFonts w:cstheme="minorHAnsi"/>
        </w:rPr>
        <w:t>”</w:t>
      </w:r>
      <w:r w:rsidRPr="008F17AF">
        <w:rPr>
          <w:rFonts w:cstheme="minorHAnsi"/>
        </w:rPr>
        <w:t xml:space="preserve"> and </w:t>
      </w:r>
      <w:r>
        <w:rPr>
          <w:rFonts w:cstheme="minorHAnsi"/>
        </w:rPr>
        <w:t>“</w:t>
      </w:r>
      <w:r w:rsidRPr="008F17AF">
        <w:rPr>
          <w:rFonts w:cstheme="minorHAnsi"/>
        </w:rPr>
        <w:t>history of interpretation</w:t>
      </w:r>
      <w:r>
        <w:rPr>
          <w:rFonts w:cstheme="minorHAnsi"/>
        </w:rPr>
        <w:t>” and v</w:t>
      </w:r>
      <w:r w:rsidRPr="008F17AF">
        <w:rPr>
          <w:rFonts w:cstheme="minorHAnsi"/>
        </w:rPr>
        <w:t>arious scholars at times us</w:t>
      </w:r>
      <w:r w:rsidR="00597476">
        <w:rPr>
          <w:rFonts w:cstheme="minorHAnsi"/>
        </w:rPr>
        <w:t>e</w:t>
      </w:r>
      <w:r w:rsidRPr="008F17AF">
        <w:rPr>
          <w:rFonts w:cstheme="minorHAnsi"/>
        </w:rPr>
        <w:t xml:space="preserve"> the terms interchangeably. For a helpful consideration of the terms see M</w:t>
      </w:r>
      <w:r>
        <w:rPr>
          <w:rFonts w:cstheme="minorHAnsi"/>
        </w:rPr>
        <w:t>.</w:t>
      </w:r>
      <w:r w:rsidRPr="008F17AF">
        <w:rPr>
          <w:rFonts w:cstheme="minorHAnsi"/>
        </w:rPr>
        <w:t>C</w:t>
      </w:r>
      <w:r>
        <w:rPr>
          <w:rFonts w:cstheme="minorHAnsi"/>
        </w:rPr>
        <w:t>.</w:t>
      </w:r>
      <w:r w:rsidRPr="008F17AF">
        <w:rPr>
          <w:rFonts w:cstheme="minorHAnsi"/>
        </w:rPr>
        <w:t xml:space="preserve"> Callaway, </w:t>
      </w:r>
      <w:r>
        <w:rPr>
          <w:rFonts w:cstheme="minorHAnsi"/>
        </w:rPr>
        <w:t>“</w:t>
      </w:r>
      <w:r w:rsidRPr="008F17AF">
        <w:rPr>
          <w:rFonts w:cstheme="minorHAnsi"/>
        </w:rPr>
        <w:t>What</w:t>
      </w:r>
      <w:r>
        <w:rPr>
          <w:rFonts w:cstheme="minorHAnsi"/>
        </w:rPr>
        <w:t xml:space="preserve">’s </w:t>
      </w:r>
      <w:r w:rsidRPr="008F17AF">
        <w:rPr>
          <w:rFonts w:cstheme="minorHAnsi"/>
        </w:rPr>
        <w:t xml:space="preserve">the </w:t>
      </w:r>
      <w:r>
        <w:rPr>
          <w:rFonts w:cstheme="minorHAnsi"/>
        </w:rPr>
        <w:t>U</w:t>
      </w:r>
      <w:r w:rsidRPr="008F17AF">
        <w:rPr>
          <w:rFonts w:cstheme="minorHAnsi"/>
        </w:rPr>
        <w:t xml:space="preserve">se of </w:t>
      </w:r>
      <w:r>
        <w:rPr>
          <w:rFonts w:cstheme="minorHAnsi"/>
        </w:rPr>
        <w:t>R</w:t>
      </w:r>
      <w:r w:rsidRPr="008F17AF">
        <w:rPr>
          <w:rFonts w:cstheme="minorHAnsi"/>
        </w:rPr>
        <w:t xml:space="preserve">eception </w:t>
      </w:r>
      <w:r>
        <w:rPr>
          <w:rFonts w:cstheme="minorHAnsi"/>
        </w:rPr>
        <w:t>H</w:t>
      </w:r>
      <w:r w:rsidRPr="008F17AF">
        <w:rPr>
          <w:rFonts w:cstheme="minorHAnsi"/>
        </w:rPr>
        <w:t>is</w:t>
      </w:r>
      <w:r>
        <w:rPr>
          <w:rFonts w:cstheme="minorHAnsi"/>
        </w:rPr>
        <w:t xml:space="preserve">tory?” Presentation given at the Society of Biblical Literature meeting, San Antonio, Texas, 2004. Accessed at </w:t>
      </w:r>
      <w:hyperlink r:id="rId1" w:history="1">
        <w:r w:rsidRPr="00611D3D">
          <w:rPr>
            <w:rStyle w:val="Hyperlink"/>
            <w:rFonts w:cstheme="minorHAnsi"/>
          </w:rPr>
          <w:t>https://drive.google.com/file/d/0BwA21tmQBoRQMHMzdGEtdGNPVk0/view?resourcekey=0-RfOR4fm4QDfLKTX5DKTxcg</w:t>
        </w:r>
      </w:hyperlink>
      <w:r>
        <w:rPr>
          <w:rFonts w:cstheme="minorHAnsi"/>
        </w:rPr>
        <w:t xml:space="preserve"> on 26/6/21.</w:t>
      </w:r>
    </w:p>
    <w:p w14:paraId="4A44005F" w14:textId="77777777" w:rsidR="00865393" w:rsidRDefault="00865393" w:rsidP="005A5516">
      <w:pPr>
        <w:pStyle w:val="FootnoteText"/>
      </w:pPr>
    </w:p>
  </w:footnote>
  <w:footnote w:id="8">
    <w:p w14:paraId="28BBDF1B" w14:textId="5387F8AF" w:rsidR="00865393" w:rsidRPr="00865393" w:rsidRDefault="00865393" w:rsidP="00634BED">
      <w:pPr>
        <w:pStyle w:val="NormalWeb"/>
        <w:spacing w:before="0" w:beforeAutospacing="0" w:after="0" w:afterAutospacing="0"/>
        <w:rPr>
          <w:rFonts w:asciiTheme="minorHAnsi" w:hAnsiTheme="minorHAnsi" w:cstheme="minorHAnsi"/>
          <w:sz w:val="20"/>
          <w:szCs w:val="20"/>
        </w:rPr>
      </w:pPr>
      <w:r>
        <w:rPr>
          <w:rStyle w:val="FootnoteReference"/>
        </w:rPr>
        <w:footnoteRef/>
      </w:r>
      <w:r>
        <w:t xml:space="preserve"> </w:t>
      </w:r>
      <w:r w:rsidRPr="00865393">
        <w:rPr>
          <w:rFonts w:asciiTheme="minorHAnsi" w:hAnsiTheme="minorHAnsi" w:cstheme="minorHAnsi"/>
          <w:sz w:val="20"/>
          <w:szCs w:val="20"/>
        </w:rPr>
        <w:t xml:space="preserve">Knight, </w:t>
      </w:r>
      <w:r w:rsidRPr="00865393">
        <w:rPr>
          <w:rFonts w:asciiTheme="minorHAnsi" w:hAnsiTheme="minorHAnsi" w:cstheme="minorHAnsi"/>
          <w:i/>
          <w:iCs/>
          <w:sz w:val="20"/>
          <w:szCs w:val="20"/>
        </w:rPr>
        <w:t>Wirkungsgeschichte,</w:t>
      </w:r>
      <w:r>
        <w:rPr>
          <w:rFonts w:asciiTheme="minorHAnsi" w:hAnsiTheme="minorHAnsi" w:cstheme="minorHAnsi"/>
          <w:b/>
          <w:bCs/>
          <w:i/>
          <w:iCs/>
          <w:sz w:val="20"/>
          <w:szCs w:val="20"/>
        </w:rPr>
        <w:t xml:space="preserve"> </w:t>
      </w:r>
      <w:r w:rsidRPr="00865393">
        <w:rPr>
          <w:rFonts w:asciiTheme="minorHAnsi" w:hAnsiTheme="minorHAnsi" w:cstheme="minorHAnsi"/>
          <w:sz w:val="20"/>
          <w:szCs w:val="20"/>
        </w:rPr>
        <w:t>pp.138-139.</w:t>
      </w:r>
      <w:r>
        <w:t xml:space="preserve"> </w:t>
      </w:r>
    </w:p>
  </w:footnote>
  <w:footnote w:id="9">
    <w:p w14:paraId="7ECF7902" w14:textId="7CF28261" w:rsidR="00865393" w:rsidRPr="00634BED" w:rsidRDefault="00865393" w:rsidP="00634BED">
      <w:pPr>
        <w:pStyle w:val="NormalWeb"/>
        <w:spacing w:before="0" w:beforeAutospacing="0" w:after="0" w:afterAutospacing="0"/>
        <w:rPr>
          <w:rFonts w:asciiTheme="minorHAnsi" w:hAnsiTheme="minorHAnsi" w:cstheme="minorHAnsi"/>
          <w:sz w:val="20"/>
          <w:szCs w:val="20"/>
        </w:rPr>
      </w:pPr>
      <w:r w:rsidRPr="00865393">
        <w:rPr>
          <w:rStyle w:val="FootnoteReference"/>
          <w:rFonts w:asciiTheme="minorHAnsi" w:hAnsiTheme="minorHAnsi" w:cstheme="minorHAnsi"/>
          <w:sz w:val="20"/>
          <w:szCs w:val="20"/>
        </w:rPr>
        <w:footnoteRef/>
      </w:r>
      <w:r w:rsidRPr="00865393">
        <w:rPr>
          <w:rFonts w:asciiTheme="minorHAnsi" w:hAnsiTheme="minorHAnsi" w:cstheme="minorHAnsi"/>
          <w:sz w:val="20"/>
          <w:szCs w:val="20"/>
        </w:rPr>
        <w:t xml:space="preserve"> </w:t>
      </w:r>
      <w:r w:rsidR="00CD330A" w:rsidRPr="00CD330A">
        <w:rPr>
          <w:rFonts w:asciiTheme="minorHAnsi" w:hAnsiTheme="minorHAnsi" w:cstheme="minorHAnsi"/>
          <w:sz w:val="20"/>
          <w:szCs w:val="20"/>
        </w:rPr>
        <w:t>J.</w:t>
      </w:r>
      <w:r w:rsidR="00CD330A">
        <w:rPr>
          <w:rFonts w:asciiTheme="minorHAnsi" w:hAnsiTheme="minorHAnsi" w:cstheme="minorHAnsi"/>
          <w:sz w:val="20"/>
          <w:szCs w:val="20"/>
        </w:rPr>
        <w:t xml:space="preserve"> </w:t>
      </w:r>
      <w:r w:rsidR="00CD330A" w:rsidRPr="00CD330A">
        <w:rPr>
          <w:rFonts w:asciiTheme="minorHAnsi" w:hAnsiTheme="minorHAnsi" w:cstheme="minorHAnsi"/>
          <w:sz w:val="20"/>
          <w:szCs w:val="20"/>
        </w:rPr>
        <w:t>F.</w:t>
      </w:r>
      <w:r w:rsidR="00CD330A">
        <w:rPr>
          <w:rFonts w:asciiTheme="minorHAnsi" w:hAnsiTheme="minorHAnsi" w:cstheme="minorHAnsi"/>
          <w:sz w:val="20"/>
          <w:szCs w:val="20"/>
        </w:rPr>
        <w:t xml:space="preserve"> </w:t>
      </w:r>
      <w:r w:rsidR="00CD330A" w:rsidRPr="00CD330A">
        <w:rPr>
          <w:rFonts w:asciiTheme="minorHAnsi" w:hAnsiTheme="minorHAnsi" w:cstheme="minorHAnsi"/>
          <w:sz w:val="20"/>
          <w:szCs w:val="20"/>
        </w:rPr>
        <w:t>A. Sawyer</w:t>
      </w:r>
      <w:r w:rsidR="00CD330A">
        <w:rPr>
          <w:rFonts w:asciiTheme="minorHAnsi" w:hAnsiTheme="minorHAnsi" w:cstheme="minorHAnsi"/>
          <w:sz w:val="20"/>
          <w:szCs w:val="20"/>
        </w:rPr>
        <w:t>,</w:t>
      </w:r>
      <w:r w:rsidR="00CD330A" w:rsidRPr="00CD330A">
        <w:rPr>
          <w:rFonts w:asciiTheme="minorHAnsi" w:hAnsiTheme="minorHAnsi" w:cstheme="minorHAnsi"/>
          <w:sz w:val="20"/>
          <w:szCs w:val="20"/>
        </w:rPr>
        <w:t xml:space="preserve"> “The Role of Reception Theory, Reader-Response Criticism and/or Impact History in the Study of the Bible: Definition and Evaluation”, Presentation given at the Society of Biblical Literature meeting, San Antonio, Texas, 2004. Accessed at </w:t>
      </w:r>
      <w:hyperlink r:id="rId2" w:history="1">
        <w:r w:rsidR="00CD330A" w:rsidRPr="00CD330A">
          <w:rPr>
            <w:rStyle w:val="Hyperlink"/>
            <w:rFonts w:asciiTheme="minorHAnsi" w:hAnsiTheme="minorHAnsi" w:cstheme="minorHAnsi"/>
            <w:sz w:val="20"/>
            <w:szCs w:val="20"/>
          </w:rPr>
          <w:t>https://drive.google.com/file/d/0BwA21tmQBoRQZHB4eEFNSURSNjA/view?resourcekey=0-sUeG2mh6ZvBDxzo5aYhL3g</w:t>
        </w:r>
      </w:hyperlink>
      <w:r w:rsidR="00CD330A" w:rsidRPr="00CD330A">
        <w:rPr>
          <w:rFonts w:asciiTheme="minorHAnsi" w:hAnsiTheme="minorHAnsi" w:cstheme="minorHAnsi"/>
          <w:sz w:val="20"/>
          <w:szCs w:val="20"/>
        </w:rPr>
        <w:t xml:space="preserve"> on 26/6/21</w:t>
      </w:r>
      <w:r w:rsidR="00CD330A">
        <w:rPr>
          <w:rFonts w:asciiTheme="minorHAnsi" w:hAnsiTheme="minorHAnsi" w:cstheme="minorHAnsi"/>
          <w:sz w:val="20"/>
          <w:szCs w:val="20"/>
        </w:rPr>
        <w:t xml:space="preserve">; </w:t>
      </w:r>
      <w:r w:rsidRPr="00865393">
        <w:rPr>
          <w:rFonts w:asciiTheme="minorHAnsi" w:hAnsiTheme="minorHAnsi" w:cstheme="minorHAnsi"/>
          <w:sz w:val="20"/>
          <w:szCs w:val="20"/>
        </w:rPr>
        <w:t xml:space="preserve">A. Thiselton,  “Reception Theory, H. R. Jauss and the Formative Power of Scripture”,  </w:t>
      </w:r>
      <w:r w:rsidRPr="00865393">
        <w:rPr>
          <w:rFonts w:asciiTheme="minorHAnsi" w:hAnsiTheme="minorHAnsi" w:cstheme="minorHAnsi"/>
          <w:i/>
          <w:iCs/>
          <w:sz w:val="20"/>
          <w:szCs w:val="20"/>
        </w:rPr>
        <w:t>SJT</w:t>
      </w:r>
      <w:r w:rsidRPr="00865393">
        <w:rPr>
          <w:rFonts w:asciiTheme="minorHAnsi" w:hAnsiTheme="minorHAnsi" w:cstheme="minorHAnsi"/>
          <w:sz w:val="20"/>
          <w:szCs w:val="20"/>
        </w:rPr>
        <w:t xml:space="preserve"> 2012, 65(3): </w:t>
      </w:r>
      <w:r w:rsidR="00CD330A">
        <w:rPr>
          <w:rFonts w:asciiTheme="minorHAnsi" w:hAnsiTheme="minorHAnsi" w:cstheme="minorHAnsi"/>
          <w:sz w:val="20"/>
          <w:szCs w:val="20"/>
        </w:rPr>
        <w:t>pp.</w:t>
      </w:r>
      <w:r w:rsidRPr="00865393">
        <w:rPr>
          <w:rFonts w:asciiTheme="minorHAnsi" w:hAnsiTheme="minorHAnsi" w:cstheme="minorHAnsi"/>
          <w:sz w:val="20"/>
          <w:szCs w:val="20"/>
        </w:rPr>
        <w:t>289–308</w:t>
      </w:r>
      <w:r w:rsidR="00CD330A">
        <w:rPr>
          <w:rFonts w:asciiTheme="minorHAnsi" w:hAnsiTheme="minorHAnsi" w:cstheme="minorHAnsi"/>
          <w:sz w:val="20"/>
          <w:szCs w:val="20"/>
        </w:rPr>
        <w:t>.</w:t>
      </w:r>
    </w:p>
  </w:footnote>
  <w:footnote w:id="10">
    <w:p w14:paraId="6BB642B9" w14:textId="0A821731" w:rsidR="00865393" w:rsidRDefault="00865393" w:rsidP="00634BED">
      <w:pPr>
        <w:pStyle w:val="FootnoteText"/>
      </w:pPr>
      <w:r>
        <w:rPr>
          <w:rStyle w:val="FootnoteReference"/>
        </w:rPr>
        <w:footnoteRef/>
      </w:r>
      <w:r>
        <w:t xml:space="preserve"> Call</w:t>
      </w:r>
      <w:r w:rsidR="00CD330A">
        <w:t>away, “What’s the Use of Reception History?”</w:t>
      </w:r>
      <w:r w:rsidR="00634BED">
        <w:t>.</w:t>
      </w:r>
    </w:p>
  </w:footnote>
  <w:footnote w:id="11">
    <w:p w14:paraId="7CDD5CBC" w14:textId="1497CE4F" w:rsidR="00865393" w:rsidRDefault="00865393" w:rsidP="00634BED">
      <w:pPr>
        <w:pStyle w:val="FootnoteText"/>
      </w:pPr>
      <w:r>
        <w:rPr>
          <w:rStyle w:val="FootnoteReference"/>
        </w:rPr>
        <w:footnoteRef/>
      </w:r>
      <w:r>
        <w:t xml:space="preserve"> </w:t>
      </w:r>
      <w:r w:rsidR="00CD330A">
        <w:t>Rowland, “Reception History”, p.113.</w:t>
      </w:r>
      <w:r>
        <w:t xml:space="preserve"> </w:t>
      </w:r>
    </w:p>
  </w:footnote>
  <w:footnote w:id="12">
    <w:p w14:paraId="58EA58DA" w14:textId="0BC242F4" w:rsidR="00865393" w:rsidRDefault="00865393" w:rsidP="00634BED">
      <w:pPr>
        <w:pStyle w:val="FootnoteText"/>
      </w:pPr>
      <w:r>
        <w:rPr>
          <w:rStyle w:val="FootnoteReference"/>
        </w:rPr>
        <w:footnoteRef/>
      </w:r>
      <w:r>
        <w:t xml:space="preserve"> Joynes</w:t>
      </w:r>
      <w:r w:rsidR="00E722DF">
        <w:t>, “Changing Horizons”, p.169.</w:t>
      </w:r>
    </w:p>
  </w:footnote>
  <w:footnote w:id="13">
    <w:p w14:paraId="0C21FC4B" w14:textId="75F93787" w:rsidR="00865393" w:rsidRDefault="00865393">
      <w:pPr>
        <w:pStyle w:val="FootnoteText"/>
      </w:pPr>
      <w:r>
        <w:rPr>
          <w:rStyle w:val="FootnoteReference"/>
        </w:rPr>
        <w:footnoteRef/>
      </w:r>
      <w:r>
        <w:t xml:space="preserve"> </w:t>
      </w:r>
      <w:proofErr w:type="spellStart"/>
      <w:r>
        <w:t>Joynes</w:t>
      </w:r>
      <w:proofErr w:type="spellEnd"/>
      <w:r w:rsidR="00E722DF">
        <w:t>, “Changing Horizons”, pp. 166-168.</w:t>
      </w:r>
    </w:p>
  </w:footnote>
  <w:footnote w:id="14">
    <w:p w14:paraId="136ACA8A" w14:textId="3C7536ED" w:rsidR="00865393" w:rsidRDefault="00865393">
      <w:pPr>
        <w:pStyle w:val="FootnoteText"/>
      </w:pPr>
      <w:r>
        <w:rPr>
          <w:rStyle w:val="FootnoteReference"/>
        </w:rPr>
        <w:footnoteRef/>
      </w:r>
      <w:r>
        <w:t xml:space="preserve"> Roberts,</w:t>
      </w:r>
      <w:r w:rsidR="007F27EA">
        <w:t xml:space="preserve"> “Introduction”, p.1.</w:t>
      </w:r>
    </w:p>
  </w:footnote>
  <w:footnote w:id="15">
    <w:p w14:paraId="0CDBF5CF" w14:textId="5E4B0784" w:rsidR="00865393" w:rsidRDefault="00865393">
      <w:pPr>
        <w:pStyle w:val="FootnoteText"/>
      </w:pPr>
      <w:r>
        <w:rPr>
          <w:rStyle w:val="FootnoteReference"/>
        </w:rPr>
        <w:footnoteRef/>
      </w:r>
      <w:r>
        <w:t xml:space="preserve"> </w:t>
      </w:r>
      <w:r w:rsidR="007F27EA">
        <w:t xml:space="preserve">D.P. </w:t>
      </w:r>
      <w:r>
        <w:t xml:space="preserve">Parris, </w:t>
      </w:r>
      <w:r w:rsidR="007F27EA" w:rsidRPr="007F27EA">
        <w:rPr>
          <w:i/>
          <w:iCs/>
        </w:rPr>
        <w:t>Reading the Bible with Giants: How 2000 Years of Biblical Interpretation Can Shed Light on Old Texts</w:t>
      </w:r>
      <w:r w:rsidR="007F27EA">
        <w:rPr>
          <w:i/>
          <w:iCs/>
        </w:rPr>
        <w:t xml:space="preserve"> </w:t>
      </w:r>
      <w:r w:rsidR="007F27EA">
        <w:t>(Milton Keynes: Paternoster, 2006), pp.</w:t>
      </w:r>
      <w:r w:rsidRPr="007F27EA">
        <w:t>92-93.</w:t>
      </w:r>
    </w:p>
  </w:footnote>
  <w:footnote w:id="16">
    <w:p w14:paraId="04D05338" w14:textId="563A24DC" w:rsidR="00865393" w:rsidRPr="00A24B65" w:rsidRDefault="00865393">
      <w:pPr>
        <w:pStyle w:val="FootnoteText"/>
      </w:pPr>
      <w:r>
        <w:rPr>
          <w:rStyle w:val="FootnoteReference"/>
        </w:rPr>
        <w:footnoteRef/>
      </w:r>
      <w:r>
        <w:t xml:space="preserve"> Rowland </w:t>
      </w:r>
      <w:r w:rsidR="007F27EA">
        <w:t>“Reception History”, p</w:t>
      </w:r>
      <w:r>
        <w:t>118</w:t>
      </w:r>
      <w:r w:rsidR="00A24B65">
        <w:t xml:space="preserve">. Mitchell however contests that this divide has been increasingly undermined by recent research: M.M. Mitchell, “Rhetorical and New Literary Criticism”, in J.W. Rogerson and J.M Lieu (eds.), </w:t>
      </w:r>
      <w:r w:rsidR="00A24B65" w:rsidRPr="00A24B65">
        <w:rPr>
          <w:i/>
          <w:iCs/>
        </w:rPr>
        <w:t>The Oxford Handbook of Biblical Studies</w:t>
      </w:r>
      <w:r w:rsidR="00A24B65">
        <w:rPr>
          <w:i/>
          <w:iCs/>
        </w:rPr>
        <w:t xml:space="preserve"> </w:t>
      </w:r>
      <w:r w:rsidR="00A24B65">
        <w:t>(Oxford: Oxford university Press, 2006), p.629.</w:t>
      </w:r>
    </w:p>
  </w:footnote>
  <w:footnote w:id="17">
    <w:p w14:paraId="7C714AEA" w14:textId="2FD9839A" w:rsidR="00865393" w:rsidRDefault="00865393">
      <w:pPr>
        <w:pStyle w:val="FootnoteText"/>
      </w:pPr>
      <w:r>
        <w:rPr>
          <w:rStyle w:val="FootnoteReference"/>
        </w:rPr>
        <w:footnoteRef/>
      </w:r>
      <w:r>
        <w:t xml:space="preserve"> </w:t>
      </w:r>
      <w:r w:rsidR="00A24B65">
        <w:t>Joynes, “Changing Horizons, p.170; Rowlan</w:t>
      </w:r>
      <w:r w:rsidR="004E75AD">
        <w:t>d</w:t>
      </w:r>
      <w:r w:rsidR="00A24B65">
        <w:t>, “Reception History”, p.119.</w:t>
      </w:r>
    </w:p>
  </w:footnote>
  <w:footnote w:id="18">
    <w:p w14:paraId="40C9540F" w14:textId="4D2500DF" w:rsidR="00865393" w:rsidRPr="00A24B65" w:rsidRDefault="00865393">
      <w:pPr>
        <w:pStyle w:val="FootnoteText"/>
      </w:pPr>
      <w:r>
        <w:rPr>
          <w:rStyle w:val="FootnoteReference"/>
        </w:rPr>
        <w:footnoteRef/>
      </w:r>
      <w:r>
        <w:t xml:space="preserve"> Parri</w:t>
      </w:r>
      <w:r w:rsidR="00A24B65">
        <w:t xml:space="preserve">s, </w:t>
      </w:r>
      <w:r w:rsidR="00A24B65">
        <w:rPr>
          <w:i/>
          <w:iCs/>
        </w:rPr>
        <w:t xml:space="preserve">Reading with Giants, </w:t>
      </w:r>
      <w:r w:rsidR="00A24B65">
        <w:t>p.80; 94-97.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8210E3"/>
    <w:multiLevelType w:val="hybridMultilevel"/>
    <w:tmpl w:val="0C2C608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310384"/>
    <w:multiLevelType w:val="multilevel"/>
    <w:tmpl w:val="1360A3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05F0237"/>
    <w:multiLevelType w:val="multilevel"/>
    <w:tmpl w:val="1752F4E8"/>
    <w:lvl w:ilvl="0">
      <w:start w:val="2"/>
      <w:numFmt w:val="decimal"/>
      <w:lvlText w:val="%1."/>
      <w:lvlJc w:val="left"/>
      <w:pPr>
        <w:ind w:left="360" w:hanging="360"/>
      </w:pPr>
      <w:rPr>
        <w:rFonts w:hint="default"/>
        <w:i w:val="0"/>
      </w:rPr>
    </w:lvl>
    <w:lvl w:ilvl="1">
      <w:start w:val="2"/>
      <w:numFmt w:val="decimal"/>
      <w:lvlText w:val="%1.%2."/>
      <w:lvlJc w:val="left"/>
      <w:pPr>
        <w:ind w:left="502" w:hanging="360"/>
      </w:pPr>
      <w:rPr>
        <w:rFonts w:hint="default"/>
        <w:i/>
        <w:iCs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 w15:restartNumberingAfterBreak="0">
    <w:nsid w:val="4E3455EF"/>
    <w:multiLevelType w:val="hybridMultilevel"/>
    <w:tmpl w:val="4CE08AD4"/>
    <w:lvl w:ilvl="0" w:tplc="9796FE2A">
      <w:start w:val="1"/>
      <w:numFmt w:val="decimal"/>
      <w:lvlText w:val="%1."/>
      <w:lvlJc w:val="left"/>
      <w:pPr>
        <w:ind w:left="720" w:hanging="360"/>
      </w:pPr>
      <w:rPr>
        <w:rFonts w:hint="default"/>
        <w:color w:val="373A3C"/>
        <w:sz w:val="2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8F7E8A"/>
    <w:multiLevelType w:val="multilevel"/>
    <w:tmpl w:val="83305FD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6BAA28C9"/>
    <w:multiLevelType w:val="multilevel"/>
    <w:tmpl w:val="D2C08A9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3"/>
  </w:num>
  <w:num w:numId="2">
    <w:abstractNumId w:val="1"/>
  </w:num>
  <w:num w:numId="3">
    <w:abstractNumId w:val="4"/>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516"/>
    <w:rsid w:val="00035924"/>
    <w:rsid w:val="001442EE"/>
    <w:rsid w:val="00196093"/>
    <w:rsid w:val="0023148D"/>
    <w:rsid w:val="002810AA"/>
    <w:rsid w:val="002952E2"/>
    <w:rsid w:val="002D7008"/>
    <w:rsid w:val="002F780E"/>
    <w:rsid w:val="00387977"/>
    <w:rsid w:val="003E0337"/>
    <w:rsid w:val="004543B4"/>
    <w:rsid w:val="00486042"/>
    <w:rsid w:val="004E75AD"/>
    <w:rsid w:val="004F6320"/>
    <w:rsid w:val="00500FF2"/>
    <w:rsid w:val="00512009"/>
    <w:rsid w:val="00533890"/>
    <w:rsid w:val="00597476"/>
    <w:rsid w:val="005A0E26"/>
    <w:rsid w:val="005A5516"/>
    <w:rsid w:val="00634BED"/>
    <w:rsid w:val="007F27EA"/>
    <w:rsid w:val="00865393"/>
    <w:rsid w:val="008B52C6"/>
    <w:rsid w:val="008F17AF"/>
    <w:rsid w:val="00912C6C"/>
    <w:rsid w:val="00983602"/>
    <w:rsid w:val="00A03FFB"/>
    <w:rsid w:val="00A24B65"/>
    <w:rsid w:val="00AA67B2"/>
    <w:rsid w:val="00AB04F0"/>
    <w:rsid w:val="00AB3785"/>
    <w:rsid w:val="00AC2A16"/>
    <w:rsid w:val="00B52B06"/>
    <w:rsid w:val="00B93338"/>
    <w:rsid w:val="00C42D11"/>
    <w:rsid w:val="00C71E23"/>
    <w:rsid w:val="00C92FAD"/>
    <w:rsid w:val="00CD330A"/>
    <w:rsid w:val="00CE78DA"/>
    <w:rsid w:val="00E56548"/>
    <w:rsid w:val="00E722DF"/>
    <w:rsid w:val="00EC738D"/>
    <w:rsid w:val="00ED1BF9"/>
    <w:rsid w:val="00EE7B80"/>
    <w:rsid w:val="00F96537"/>
    <w:rsid w:val="00FE3A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07B992"/>
  <w15:chartTrackingRefBased/>
  <w15:docId w15:val="{D9391E8D-5C4F-E542-98E4-82119999C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5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5516"/>
    <w:pPr>
      <w:ind w:left="720"/>
      <w:contextualSpacing/>
    </w:pPr>
  </w:style>
  <w:style w:type="paragraph" w:styleId="FootnoteText">
    <w:name w:val="footnote text"/>
    <w:basedOn w:val="Normal"/>
    <w:link w:val="FootnoteTextChar"/>
    <w:uiPriority w:val="99"/>
    <w:unhideWhenUsed/>
    <w:rsid w:val="005A5516"/>
    <w:rPr>
      <w:sz w:val="20"/>
      <w:szCs w:val="20"/>
    </w:rPr>
  </w:style>
  <w:style w:type="character" w:customStyle="1" w:styleId="FootnoteTextChar">
    <w:name w:val="Footnote Text Char"/>
    <w:basedOn w:val="DefaultParagraphFont"/>
    <w:link w:val="FootnoteText"/>
    <w:uiPriority w:val="99"/>
    <w:rsid w:val="005A5516"/>
    <w:rPr>
      <w:sz w:val="20"/>
      <w:szCs w:val="20"/>
    </w:rPr>
  </w:style>
  <w:style w:type="character" w:styleId="FootnoteReference">
    <w:name w:val="footnote reference"/>
    <w:basedOn w:val="DefaultParagraphFont"/>
    <w:uiPriority w:val="99"/>
    <w:semiHidden/>
    <w:unhideWhenUsed/>
    <w:rsid w:val="005A5516"/>
    <w:rPr>
      <w:vertAlign w:val="superscript"/>
    </w:rPr>
  </w:style>
  <w:style w:type="character" w:styleId="Hyperlink">
    <w:name w:val="Hyperlink"/>
    <w:basedOn w:val="DefaultParagraphFont"/>
    <w:uiPriority w:val="99"/>
    <w:unhideWhenUsed/>
    <w:rsid w:val="005A5516"/>
    <w:rPr>
      <w:color w:val="0563C1" w:themeColor="hyperlink"/>
      <w:u w:val="single"/>
    </w:rPr>
  </w:style>
  <w:style w:type="character" w:styleId="UnresolvedMention">
    <w:name w:val="Unresolved Mention"/>
    <w:basedOn w:val="DefaultParagraphFont"/>
    <w:uiPriority w:val="99"/>
    <w:semiHidden/>
    <w:unhideWhenUsed/>
    <w:rsid w:val="008F17AF"/>
    <w:rPr>
      <w:color w:val="605E5C"/>
      <w:shd w:val="clear" w:color="auto" w:fill="E1DFDD"/>
    </w:rPr>
  </w:style>
  <w:style w:type="paragraph" w:styleId="NormalWeb">
    <w:name w:val="Normal (Web)"/>
    <w:basedOn w:val="Normal"/>
    <w:uiPriority w:val="99"/>
    <w:unhideWhenUsed/>
    <w:rsid w:val="00533890"/>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865393"/>
    <w:rPr>
      <w:color w:val="954F72" w:themeColor="followedHyperlink"/>
      <w:u w:val="single"/>
    </w:rPr>
  </w:style>
  <w:style w:type="paragraph" w:styleId="Footer">
    <w:name w:val="footer"/>
    <w:basedOn w:val="Normal"/>
    <w:link w:val="FooterChar"/>
    <w:uiPriority w:val="99"/>
    <w:unhideWhenUsed/>
    <w:rsid w:val="00B93338"/>
    <w:pPr>
      <w:tabs>
        <w:tab w:val="center" w:pos="4513"/>
        <w:tab w:val="right" w:pos="9026"/>
      </w:tabs>
    </w:pPr>
  </w:style>
  <w:style w:type="character" w:customStyle="1" w:styleId="FooterChar">
    <w:name w:val="Footer Char"/>
    <w:basedOn w:val="DefaultParagraphFont"/>
    <w:link w:val="Footer"/>
    <w:uiPriority w:val="99"/>
    <w:rsid w:val="00B93338"/>
  </w:style>
  <w:style w:type="character" w:styleId="PageNumber">
    <w:name w:val="page number"/>
    <w:basedOn w:val="DefaultParagraphFont"/>
    <w:uiPriority w:val="99"/>
    <w:semiHidden/>
    <w:unhideWhenUsed/>
    <w:rsid w:val="00B933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843719">
      <w:bodyDiv w:val="1"/>
      <w:marLeft w:val="0"/>
      <w:marRight w:val="0"/>
      <w:marTop w:val="0"/>
      <w:marBottom w:val="0"/>
      <w:divBdr>
        <w:top w:val="none" w:sz="0" w:space="0" w:color="auto"/>
        <w:left w:val="none" w:sz="0" w:space="0" w:color="auto"/>
        <w:bottom w:val="none" w:sz="0" w:space="0" w:color="auto"/>
        <w:right w:val="none" w:sz="0" w:space="0" w:color="auto"/>
      </w:divBdr>
      <w:divsChild>
        <w:div w:id="1051537882">
          <w:marLeft w:val="0"/>
          <w:marRight w:val="0"/>
          <w:marTop w:val="0"/>
          <w:marBottom w:val="0"/>
          <w:divBdr>
            <w:top w:val="none" w:sz="0" w:space="0" w:color="auto"/>
            <w:left w:val="none" w:sz="0" w:space="0" w:color="auto"/>
            <w:bottom w:val="none" w:sz="0" w:space="0" w:color="auto"/>
            <w:right w:val="none" w:sz="0" w:space="0" w:color="auto"/>
          </w:divBdr>
          <w:divsChild>
            <w:div w:id="396392962">
              <w:marLeft w:val="0"/>
              <w:marRight w:val="0"/>
              <w:marTop w:val="0"/>
              <w:marBottom w:val="0"/>
              <w:divBdr>
                <w:top w:val="none" w:sz="0" w:space="0" w:color="auto"/>
                <w:left w:val="none" w:sz="0" w:space="0" w:color="auto"/>
                <w:bottom w:val="none" w:sz="0" w:space="0" w:color="auto"/>
                <w:right w:val="none" w:sz="0" w:space="0" w:color="auto"/>
              </w:divBdr>
              <w:divsChild>
                <w:div w:id="993147065">
                  <w:marLeft w:val="0"/>
                  <w:marRight w:val="0"/>
                  <w:marTop w:val="0"/>
                  <w:marBottom w:val="0"/>
                  <w:divBdr>
                    <w:top w:val="none" w:sz="0" w:space="0" w:color="auto"/>
                    <w:left w:val="none" w:sz="0" w:space="0" w:color="auto"/>
                    <w:bottom w:val="none" w:sz="0" w:space="0" w:color="auto"/>
                    <w:right w:val="none" w:sz="0" w:space="0" w:color="auto"/>
                  </w:divBdr>
                  <w:divsChild>
                    <w:div w:id="206787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68082">
      <w:bodyDiv w:val="1"/>
      <w:marLeft w:val="0"/>
      <w:marRight w:val="0"/>
      <w:marTop w:val="0"/>
      <w:marBottom w:val="0"/>
      <w:divBdr>
        <w:top w:val="none" w:sz="0" w:space="0" w:color="auto"/>
        <w:left w:val="none" w:sz="0" w:space="0" w:color="auto"/>
        <w:bottom w:val="none" w:sz="0" w:space="0" w:color="auto"/>
        <w:right w:val="none" w:sz="0" w:space="0" w:color="auto"/>
      </w:divBdr>
      <w:divsChild>
        <w:div w:id="325473443">
          <w:marLeft w:val="0"/>
          <w:marRight w:val="0"/>
          <w:marTop w:val="0"/>
          <w:marBottom w:val="0"/>
          <w:divBdr>
            <w:top w:val="none" w:sz="0" w:space="0" w:color="auto"/>
            <w:left w:val="none" w:sz="0" w:space="0" w:color="auto"/>
            <w:bottom w:val="none" w:sz="0" w:space="0" w:color="auto"/>
            <w:right w:val="none" w:sz="0" w:space="0" w:color="auto"/>
          </w:divBdr>
          <w:divsChild>
            <w:div w:id="580916009">
              <w:marLeft w:val="0"/>
              <w:marRight w:val="0"/>
              <w:marTop w:val="0"/>
              <w:marBottom w:val="0"/>
              <w:divBdr>
                <w:top w:val="none" w:sz="0" w:space="0" w:color="auto"/>
                <w:left w:val="none" w:sz="0" w:space="0" w:color="auto"/>
                <w:bottom w:val="none" w:sz="0" w:space="0" w:color="auto"/>
                <w:right w:val="none" w:sz="0" w:space="0" w:color="auto"/>
              </w:divBdr>
              <w:divsChild>
                <w:div w:id="28057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15323">
      <w:bodyDiv w:val="1"/>
      <w:marLeft w:val="0"/>
      <w:marRight w:val="0"/>
      <w:marTop w:val="0"/>
      <w:marBottom w:val="0"/>
      <w:divBdr>
        <w:top w:val="none" w:sz="0" w:space="0" w:color="auto"/>
        <w:left w:val="none" w:sz="0" w:space="0" w:color="auto"/>
        <w:bottom w:val="none" w:sz="0" w:space="0" w:color="auto"/>
        <w:right w:val="none" w:sz="0" w:space="0" w:color="auto"/>
      </w:divBdr>
      <w:divsChild>
        <w:div w:id="1900823040">
          <w:marLeft w:val="0"/>
          <w:marRight w:val="0"/>
          <w:marTop w:val="0"/>
          <w:marBottom w:val="0"/>
          <w:divBdr>
            <w:top w:val="none" w:sz="0" w:space="0" w:color="auto"/>
            <w:left w:val="none" w:sz="0" w:space="0" w:color="auto"/>
            <w:bottom w:val="none" w:sz="0" w:space="0" w:color="auto"/>
            <w:right w:val="none" w:sz="0" w:space="0" w:color="auto"/>
          </w:divBdr>
          <w:divsChild>
            <w:div w:id="1292174362">
              <w:marLeft w:val="0"/>
              <w:marRight w:val="0"/>
              <w:marTop w:val="0"/>
              <w:marBottom w:val="0"/>
              <w:divBdr>
                <w:top w:val="none" w:sz="0" w:space="0" w:color="auto"/>
                <w:left w:val="none" w:sz="0" w:space="0" w:color="auto"/>
                <w:bottom w:val="none" w:sz="0" w:space="0" w:color="auto"/>
                <w:right w:val="none" w:sz="0" w:space="0" w:color="auto"/>
              </w:divBdr>
              <w:divsChild>
                <w:div w:id="11812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69873">
      <w:bodyDiv w:val="1"/>
      <w:marLeft w:val="0"/>
      <w:marRight w:val="0"/>
      <w:marTop w:val="0"/>
      <w:marBottom w:val="0"/>
      <w:divBdr>
        <w:top w:val="none" w:sz="0" w:space="0" w:color="auto"/>
        <w:left w:val="none" w:sz="0" w:space="0" w:color="auto"/>
        <w:bottom w:val="none" w:sz="0" w:space="0" w:color="auto"/>
        <w:right w:val="none" w:sz="0" w:space="0" w:color="auto"/>
      </w:divBdr>
      <w:divsChild>
        <w:div w:id="1354721621">
          <w:marLeft w:val="0"/>
          <w:marRight w:val="0"/>
          <w:marTop w:val="0"/>
          <w:marBottom w:val="0"/>
          <w:divBdr>
            <w:top w:val="none" w:sz="0" w:space="0" w:color="auto"/>
            <w:left w:val="none" w:sz="0" w:space="0" w:color="auto"/>
            <w:bottom w:val="none" w:sz="0" w:space="0" w:color="auto"/>
            <w:right w:val="none" w:sz="0" w:space="0" w:color="auto"/>
          </w:divBdr>
          <w:divsChild>
            <w:div w:id="54015522">
              <w:marLeft w:val="0"/>
              <w:marRight w:val="0"/>
              <w:marTop w:val="0"/>
              <w:marBottom w:val="0"/>
              <w:divBdr>
                <w:top w:val="none" w:sz="0" w:space="0" w:color="auto"/>
                <w:left w:val="none" w:sz="0" w:space="0" w:color="auto"/>
                <w:bottom w:val="none" w:sz="0" w:space="0" w:color="auto"/>
                <w:right w:val="none" w:sz="0" w:space="0" w:color="auto"/>
              </w:divBdr>
              <w:divsChild>
                <w:div w:id="82339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32122">
      <w:bodyDiv w:val="1"/>
      <w:marLeft w:val="0"/>
      <w:marRight w:val="0"/>
      <w:marTop w:val="0"/>
      <w:marBottom w:val="0"/>
      <w:divBdr>
        <w:top w:val="none" w:sz="0" w:space="0" w:color="auto"/>
        <w:left w:val="none" w:sz="0" w:space="0" w:color="auto"/>
        <w:bottom w:val="none" w:sz="0" w:space="0" w:color="auto"/>
        <w:right w:val="none" w:sz="0" w:space="0" w:color="auto"/>
      </w:divBdr>
      <w:divsChild>
        <w:div w:id="1605452878">
          <w:marLeft w:val="0"/>
          <w:marRight w:val="0"/>
          <w:marTop w:val="0"/>
          <w:marBottom w:val="0"/>
          <w:divBdr>
            <w:top w:val="none" w:sz="0" w:space="0" w:color="auto"/>
            <w:left w:val="none" w:sz="0" w:space="0" w:color="auto"/>
            <w:bottom w:val="none" w:sz="0" w:space="0" w:color="auto"/>
            <w:right w:val="none" w:sz="0" w:space="0" w:color="auto"/>
          </w:divBdr>
          <w:divsChild>
            <w:div w:id="636104279">
              <w:marLeft w:val="0"/>
              <w:marRight w:val="0"/>
              <w:marTop w:val="0"/>
              <w:marBottom w:val="0"/>
              <w:divBdr>
                <w:top w:val="none" w:sz="0" w:space="0" w:color="auto"/>
                <w:left w:val="none" w:sz="0" w:space="0" w:color="auto"/>
                <w:bottom w:val="none" w:sz="0" w:space="0" w:color="auto"/>
                <w:right w:val="none" w:sz="0" w:space="0" w:color="auto"/>
              </w:divBdr>
              <w:divsChild>
                <w:div w:id="4522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148325">
      <w:bodyDiv w:val="1"/>
      <w:marLeft w:val="0"/>
      <w:marRight w:val="0"/>
      <w:marTop w:val="0"/>
      <w:marBottom w:val="0"/>
      <w:divBdr>
        <w:top w:val="none" w:sz="0" w:space="0" w:color="auto"/>
        <w:left w:val="none" w:sz="0" w:space="0" w:color="auto"/>
        <w:bottom w:val="none" w:sz="0" w:space="0" w:color="auto"/>
        <w:right w:val="none" w:sz="0" w:space="0" w:color="auto"/>
      </w:divBdr>
      <w:divsChild>
        <w:div w:id="1886023118">
          <w:marLeft w:val="0"/>
          <w:marRight w:val="0"/>
          <w:marTop w:val="0"/>
          <w:marBottom w:val="0"/>
          <w:divBdr>
            <w:top w:val="none" w:sz="0" w:space="0" w:color="auto"/>
            <w:left w:val="none" w:sz="0" w:space="0" w:color="auto"/>
            <w:bottom w:val="none" w:sz="0" w:space="0" w:color="auto"/>
            <w:right w:val="none" w:sz="0" w:space="0" w:color="auto"/>
          </w:divBdr>
          <w:divsChild>
            <w:div w:id="1996297410">
              <w:marLeft w:val="0"/>
              <w:marRight w:val="0"/>
              <w:marTop w:val="0"/>
              <w:marBottom w:val="0"/>
              <w:divBdr>
                <w:top w:val="none" w:sz="0" w:space="0" w:color="auto"/>
                <w:left w:val="none" w:sz="0" w:space="0" w:color="auto"/>
                <w:bottom w:val="none" w:sz="0" w:space="0" w:color="auto"/>
                <w:right w:val="none" w:sz="0" w:space="0" w:color="auto"/>
              </w:divBdr>
              <w:divsChild>
                <w:div w:id="1540583311">
                  <w:marLeft w:val="0"/>
                  <w:marRight w:val="0"/>
                  <w:marTop w:val="0"/>
                  <w:marBottom w:val="0"/>
                  <w:divBdr>
                    <w:top w:val="none" w:sz="0" w:space="0" w:color="auto"/>
                    <w:left w:val="none" w:sz="0" w:space="0" w:color="auto"/>
                    <w:bottom w:val="none" w:sz="0" w:space="0" w:color="auto"/>
                    <w:right w:val="none" w:sz="0" w:space="0" w:color="auto"/>
                  </w:divBdr>
                  <w:divsChild>
                    <w:div w:id="10528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050346">
      <w:bodyDiv w:val="1"/>
      <w:marLeft w:val="0"/>
      <w:marRight w:val="0"/>
      <w:marTop w:val="0"/>
      <w:marBottom w:val="0"/>
      <w:divBdr>
        <w:top w:val="none" w:sz="0" w:space="0" w:color="auto"/>
        <w:left w:val="none" w:sz="0" w:space="0" w:color="auto"/>
        <w:bottom w:val="none" w:sz="0" w:space="0" w:color="auto"/>
        <w:right w:val="none" w:sz="0" w:space="0" w:color="auto"/>
      </w:divBdr>
      <w:divsChild>
        <w:div w:id="1611626195">
          <w:marLeft w:val="0"/>
          <w:marRight w:val="0"/>
          <w:marTop w:val="0"/>
          <w:marBottom w:val="0"/>
          <w:divBdr>
            <w:top w:val="none" w:sz="0" w:space="0" w:color="auto"/>
            <w:left w:val="none" w:sz="0" w:space="0" w:color="auto"/>
            <w:bottom w:val="none" w:sz="0" w:space="0" w:color="auto"/>
            <w:right w:val="none" w:sz="0" w:space="0" w:color="auto"/>
          </w:divBdr>
          <w:divsChild>
            <w:div w:id="1509053008">
              <w:marLeft w:val="0"/>
              <w:marRight w:val="0"/>
              <w:marTop w:val="0"/>
              <w:marBottom w:val="0"/>
              <w:divBdr>
                <w:top w:val="none" w:sz="0" w:space="0" w:color="auto"/>
                <w:left w:val="none" w:sz="0" w:space="0" w:color="auto"/>
                <w:bottom w:val="none" w:sz="0" w:space="0" w:color="auto"/>
                <w:right w:val="none" w:sz="0" w:space="0" w:color="auto"/>
              </w:divBdr>
              <w:divsChild>
                <w:div w:id="59456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036586">
      <w:bodyDiv w:val="1"/>
      <w:marLeft w:val="0"/>
      <w:marRight w:val="0"/>
      <w:marTop w:val="0"/>
      <w:marBottom w:val="0"/>
      <w:divBdr>
        <w:top w:val="none" w:sz="0" w:space="0" w:color="auto"/>
        <w:left w:val="none" w:sz="0" w:space="0" w:color="auto"/>
        <w:bottom w:val="none" w:sz="0" w:space="0" w:color="auto"/>
        <w:right w:val="none" w:sz="0" w:space="0" w:color="auto"/>
      </w:divBdr>
      <w:divsChild>
        <w:div w:id="1400516942">
          <w:marLeft w:val="0"/>
          <w:marRight w:val="0"/>
          <w:marTop w:val="0"/>
          <w:marBottom w:val="0"/>
          <w:divBdr>
            <w:top w:val="none" w:sz="0" w:space="0" w:color="auto"/>
            <w:left w:val="none" w:sz="0" w:space="0" w:color="auto"/>
            <w:bottom w:val="none" w:sz="0" w:space="0" w:color="auto"/>
            <w:right w:val="none" w:sz="0" w:space="0" w:color="auto"/>
          </w:divBdr>
          <w:divsChild>
            <w:div w:id="1342319511">
              <w:marLeft w:val="0"/>
              <w:marRight w:val="0"/>
              <w:marTop w:val="0"/>
              <w:marBottom w:val="0"/>
              <w:divBdr>
                <w:top w:val="none" w:sz="0" w:space="0" w:color="auto"/>
                <w:left w:val="none" w:sz="0" w:space="0" w:color="auto"/>
                <w:bottom w:val="none" w:sz="0" w:space="0" w:color="auto"/>
                <w:right w:val="none" w:sz="0" w:space="0" w:color="auto"/>
              </w:divBdr>
              <w:divsChild>
                <w:div w:id="199491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file/d/0BwA21tmQBoRQMHMzdGEtdGNPVk0/view?resourcekey=0-RfOR4fm4QDfLKTX5DKTxc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rive.google.com/file/d/0BwA21tmQBoRQZHB4eEFNSURSNjA/view?resourcekey=0-sUeG2mh6ZvBDxzo5aYhL3g"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drive.google.com/file/d/0BwA21tmQBoRQZHB4eEFNSURSNjA/view?resourcekey=0-sUeG2mh6ZvBDxzo5aYhL3g" TargetMode="External"/><Relationship Id="rId1" Type="http://schemas.openxmlformats.org/officeDocument/2006/relationships/hyperlink" Target="https://drive.google.com/file/d/0BwA21tmQBoRQMHMzdGEtdGNPVk0/view?resourcekey=0-RfOR4fm4QDfLKTX5DKTxc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9899A-572E-8146-8CB5-8B17D6CDE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TotalTime>
  <Pages>6</Pages>
  <Words>1568</Words>
  <Characters>8942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graeme guthrie</dc:creator>
  <cp:keywords/>
  <dc:description/>
  <cp:lastModifiedBy>graeme guthrie</cp:lastModifiedBy>
  <cp:revision>7</cp:revision>
  <dcterms:created xsi:type="dcterms:W3CDTF">2021-06-25T14:41:00Z</dcterms:created>
  <dcterms:modified xsi:type="dcterms:W3CDTF">2021-06-27T18:06:00Z</dcterms:modified>
</cp:coreProperties>
</file>