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pacing w:line="360" w:lineRule="auto"/>
        <w:jc w:val="center"/>
        <w:rPr>
          <w:b/>
          <w:sz w:val="36"/>
          <w:szCs w:val="36"/>
        </w:rPr>
      </w:pPr>
    </w:p>
    <w:p>
      <w:pPr>
        <w:pStyle w:val="3"/>
        <w:spacing w:line="360" w:lineRule="auto"/>
        <w:jc w:val="center"/>
        <w:rPr>
          <w:b/>
          <w:sz w:val="36"/>
          <w:szCs w:val="36"/>
        </w:rPr>
      </w:pPr>
    </w:p>
    <w:p>
      <w:pPr>
        <w:pStyle w:val="3"/>
        <w:spacing w:line="360" w:lineRule="auto"/>
        <w:jc w:val="center"/>
        <w:rPr>
          <w:b/>
          <w:sz w:val="36"/>
          <w:szCs w:val="36"/>
        </w:rPr>
      </w:pPr>
    </w:p>
    <w:p>
      <w:pPr>
        <w:pStyle w:val="3"/>
        <w:spacing w:line="360" w:lineRule="auto"/>
        <w:jc w:val="center"/>
        <w:rPr>
          <w:b/>
          <w:sz w:val="36"/>
          <w:szCs w:val="36"/>
        </w:rPr>
      </w:pPr>
    </w:p>
    <w:p>
      <w:pPr>
        <w:pStyle w:val="3"/>
        <w:spacing w:line="360" w:lineRule="auto"/>
        <w:jc w:val="center"/>
        <w:rPr>
          <w:b/>
          <w:sz w:val="36"/>
          <w:szCs w:val="36"/>
        </w:rPr>
      </w:pPr>
    </w:p>
    <w:p>
      <w:pPr>
        <w:pStyle w:val="3"/>
        <w:spacing w:line="360" w:lineRule="auto"/>
        <w:jc w:val="center"/>
        <w:rPr>
          <w:b/>
          <w:sz w:val="36"/>
          <w:szCs w:val="36"/>
        </w:rPr>
      </w:pPr>
    </w:p>
    <w:p>
      <w:pPr>
        <w:pStyle w:val="3"/>
        <w:spacing w:line="360" w:lineRule="auto"/>
        <w:jc w:val="center"/>
        <w:rPr>
          <w:b/>
          <w:sz w:val="36"/>
          <w:szCs w:val="36"/>
        </w:rPr>
      </w:pPr>
      <w:bookmarkStart w:id="17" w:name="_GoBack"/>
    </w:p>
    <w:p>
      <w:pPr>
        <w:pStyle w:val="3"/>
        <w:spacing w:line="360" w:lineRule="auto"/>
        <w:jc w:val="center"/>
        <w:rPr>
          <w:b/>
          <w:sz w:val="36"/>
          <w:szCs w:val="36"/>
        </w:rPr>
      </w:pPr>
      <w:r>
        <w:rPr>
          <w:b/>
          <w:sz w:val="36"/>
          <w:szCs w:val="36"/>
        </w:rPr>
        <w:t>Food &amp; Beverage Operations</w:t>
      </w:r>
    </w:p>
    <w:p>
      <w:pPr>
        <w:pStyle w:val="3"/>
        <w:spacing w:line="360" w:lineRule="auto"/>
        <w:jc w:val="center"/>
        <w:rPr>
          <w:b/>
          <w:sz w:val="36"/>
          <w:szCs w:val="36"/>
        </w:rPr>
      </w:pPr>
      <w:r>
        <w:rPr>
          <w:b/>
          <w:sz w:val="36"/>
          <w:szCs w:val="36"/>
        </w:rPr>
        <w:t>Module code: BMIH4002</w:t>
      </w:r>
    </w:p>
    <w:p>
      <w:pPr>
        <w:pStyle w:val="3"/>
        <w:spacing w:line="360" w:lineRule="auto"/>
        <w:jc w:val="center"/>
        <w:rPr>
          <w:rFonts w:hint="default" w:ascii="Arial" w:hAnsi="Arial" w:eastAsia="SimSun" w:cs="Arial"/>
          <w:b/>
          <w:bCs/>
          <w:color w:val="000000"/>
          <w:kern w:val="0"/>
          <w:sz w:val="36"/>
          <w:szCs w:val="36"/>
          <w:lang w:val="en-US" w:eastAsia="zh-CN" w:bidi="ar"/>
        </w:rPr>
      </w:pPr>
      <w:r>
        <w:rPr>
          <w:rFonts w:hint="default" w:ascii="Arial" w:hAnsi="Arial" w:eastAsia="SimSun" w:cs="Arial"/>
          <w:b/>
          <w:bCs/>
          <w:color w:val="000000"/>
          <w:kern w:val="0"/>
          <w:sz w:val="36"/>
          <w:szCs w:val="36"/>
          <w:lang w:val="en-US" w:eastAsia="zh-CN" w:bidi="ar"/>
        </w:rPr>
        <w:t>Module Lead: Antoinette Milne</w:t>
      </w:r>
    </w:p>
    <w:p>
      <w:pPr>
        <w:jc w:val="center"/>
        <w:rPr>
          <w:rFonts w:hint="default"/>
          <w:b/>
          <w:bCs/>
          <w:sz w:val="32"/>
          <w:szCs w:val="32"/>
        </w:rPr>
      </w:pPr>
      <w:r>
        <w:rPr>
          <w:rFonts w:hint="default"/>
          <w:b/>
          <w:bCs/>
          <w:sz w:val="32"/>
          <w:szCs w:val="32"/>
        </w:rPr>
        <w:t>Student name : Lidia Leva</w:t>
      </w:r>
    </w:p>
    <w:p>
      <w:pPr>
        <w:jc w:val="center"/>
        <w:rPr>
          <w:rFonts w:hint="default"/>
          <w:b/>
          <w:bCs/>
          <w:sz w:val="32"/>
          <w:szCs w:val="32"/>
        </w:rPr>
      </w:pPr>
      <w:r>
        <w:rPr>
          <w:rFonts w:hint="default"/>
          <w:b/>
          <w:bCs/>
          <w:sz w:val="32"/>
          <w:szCs w:val="32"/>
          <w:lang w:val="en-GB"/>
        </w:rPr>
        <w:t xml:space="preserve">Student id : </w:t>
      </w:r>
      <w:r>
        <w:rPr>
          <w:rFonts w:hint="default"/>
          <w:b/>
          <w:bCs/>
          <w:sz w:val="32"/>
          <w:szCs w:val="32"/>
        </w:rPr>
        <w:t>2242891</w:t>
      </w:r>
    </w:p>
    <w:bookmarkEnd w:id="17"/>
    <w:p>
      <w:pPr>
        <w:pStyle w:val="3"/>
        <w:spacing w:line="360" w:lineRule="auto"/>
        <w:jc w:val="center"/>
        <w:rPr>
          <w:rFonts w:hint="default" w:ascii="Arial" w:hAnsi="Arial" w:eastAsia="SimSun" w:cs="Arial"/>
          <w:b/>
          <w:bCs/>
          <w:color w:val="000000"/>
          <w:kern w:val="0"/>
          <w:sz w:val="36"/>
          <w:szCs w:val="36"/>
          <w:lang w:val="en-US" w:eastAsia="zh-CN" w:bidi="ar"/>
        </w:rPr>
      </w:pPr>
    </w:p>
    <w:p>
      <w:pPr>
        <w:pStyle w:val="3"/>
        <w:spacing w:line="360" w:lineRule="auto"/>
        <w:jc w:val="center"/>
        <w:rPr>
          <w:b/>
          <w:sz w:val="36"/>
          <w:szCs w:val="36"/>
        </w:rPr>
      </w:pPr>
    </w:p>
    <w:p>
      <w:pPr>
        <w:rPr>
          <w:b/>
          <w:sz w:val="24"/>
          <w:szCs w:val="24"/>
        </w:rPr>
      </w:pPr>
      <w:r>
        <w:rPr>
          <w:b/>
          <w:sz w:val="24"/>
          <w:szCs w:val="24"/>
        </w:rPr>
        <w:br w:type="page"/>
      </w:r>
    </w:p>
    <w:sdt>
      <w:sdtPr>
        <w:rPr>
          <w:rFonts w:ascii="Arial" w:hAnsi="Arial" w:eastAsia="Arial" w:cs="Arial"/>
          <w:color w:val="auto"/>
          <w:sz w:val="22"/>
          <w:szCs w:val="22"/>
          <w:lang w:val="en"/>
        </w:rPr>
        <w:id w:val="432800157"/>
        <w:docPartObj>
          <w:docPartGallery w:val="Table of Contents"/>
          <w:docPartUnique/>
        </w:docPartObj>
      </w:sdtPr>
      <w:sdtEndPr>
        <w:rPr>
          <w:rFonts w:ascii="Arial" w:hAnsi="Arial" w:eastAsia="Arial" w:cs="Arial"/>
          <w:b/>
          <w:bCs/>
          <w:color w:val="auto"/>
          <w:sz w:val="22"/>
          <w:szCs w:val="22"/>
          <w:lang w:val="en"/>
        </w:rPr>
      </w:sdtEndPr>
      <w:sdtContent>
        <w:p>
          <w:pPr>
            <w:pStyle w:val="17"/>
          </w:pPr>
          <w:r>
            <w:t>Table of Contents</w:t>
          </w:r>
        </w:p>
        <w:p>
          <w:pPr>
            <w:pStyle w:val="14"/>
            <w:tabs>
              <w:tab w:val="right" w:leader="dot" w:pos="9350"/>
            </w:tabs>
            <w:rPr>
              <w:rFonts w:asciiTheme="minorHAnsi" w:hAnsiTheme="minorHAnsi" w:eastAsiaTheme="minorEastAsia" w:cstheme="minorBidi"/>
              <w:kern w:val="2"/>
              <w:lang w:val="en-GB" w:eastAsia="en-GB"/>
              <w14:ligatures w14:val="standardContextual"/>
            </w:rPr>
          </w:pPr>
          <w:r>
            <w:fldChar w:fldCharType="begin"/>
          </w:r>
          <w:r>
            <w:instrText xml:space="preserve"> TOC \o "1-3" \h \z \u </w:instrText>
          </w:r>
          <w:r>
            <w:fldChar w:fldCharType="separate"/>
          </w:r>
          <w:r>
            <w:fldChar w:fldCharType="begin"/>
          </w:r>
          <w:r>
            <w:instrText xml:space="preserve"> HYPERLINK \l "_Toc147226572" </w:instrText>
          </w:r>
          <w:r>
            <w:fldChar w:fldCharType="separate"/>
          </w:r>
          <w:r>
            <w:rPr>
              <w:rStyle w:val="11"/>
            </w:rPr>
            <w:t>Assignment 1: Student Journal</w:t>
          </w:r>
          <w:r>
            <w:tab/>
          </w:r>
          <w:r>
            <w:fldChar w:fldCharType="begin"/>
          </w:r>
          <w:r>
            <w:instrText xml:space="preserve"> PAGEREF _Toc147226572 \h </w:instrText>
          </w:r>
          <w:r>
            <w:fldChar w:fldCharType="separate"/>
          </w:r>
          <w:r>
            <w:t>3</w:t>
          </w:r>
          <w:r>
            <w:fldChar w:fldCharType="end"/>
          </w:r>
          <w:r>
            <w:fldChar w:fldCharType="end"/>
          </w:r>
        </w:p>
        <w:p>
          <w:pPr>
            <w:pStyle w:val="15"/>
            <w:tabs>
              <w:tab w:val="right" w:leader="dot" w:pos="9350"/>
            </w:tabs>
            <w:rPr>
              <w:rFonts w:asciiTheme="minorHAnsi" w:hAnsiTheme="minorHAnsi" w:eastAsiaTheme="minorEastAsia" w:cstheme="minorBidi"/>
              <w:kern w:val="2"/>
              <w:lang w:val="en-GB" w:eastAsia="en-GB"/>
              <w14:ligatures w14:val="standardContextual"/>
            </w:rPr>
          </w:pPr>
          <w:r>
            <w:fldChar w:fldCharType="begin"/>
          </w:r>
          <w:r>
            <w:instrText xml:space="preserve"> HYPERLINK \l "_Toc147226573" </w:instrText>
          </w:r>
          <w:r>
            <w:fldChar w:fldCharType="separate"/>
          </w:r>
          <w:r>
            <w:rPr>
              <w:rStyle w:val="11"/>
            </w:rPr>
            <w:t>1. Introduction</w:t>
          </w:r>
          <w:r>
            <w:tab/>
          </w:r>
          <w:r>
            <w:fldChar w:fldCharType="begin"/>
          </w:r>
          <w:r>
            <w:instrText xml:space="preserve"> PAGEREF _Toc147226573 \h </w:instrText>
          </w:r>
          <w:r>
            <w:fldChar w:fldCharType="separate"/>
          </w:r>
          <w:r>
            <w:t>3</w:t>
          </w:r>
          <w:r>
            <w:fldChar w:fldCharType="end"/>
          </w:r>
          <w:r>
            <w:fldChar w:fldCharType="end"/>
          </w:r>
        </w:p>
        <w:p>
          <w:pPr>
            <w:pStyle w:val="15"/>
            <w:tabs>
              <w:tab w:val="right" w:leader="dot" w:pos="9350"/>
            </w:tabs>
            <w:rPr>
              <w:rFonts w:asciiTheme="minorHAnsi" w:hAnsiTheme="minorHAnsi" w:eastAsiaTheme="minorEastAsia" w:cstheme="minorBidi"/>
              <w:kern w:val="2"/>
              <w:lang w:val="en-GB" w:eastAsia="en-GB"/>
              <w14:ligatures w14:val="standardContextual"/>
            </w:rPr>
          </w:pPr>
          <w:r>
            <w:fldChar w:fldCharType="begin"/>
          </w:r>
          <w:r>
            <w:instrText xml:space="preserve"> HYPERLINK \l "_Toc147226574" </w:instrText>
          </w:r>
          <w:r>
            <w:fldChar w:fldCharType="separate"/>
          </w:r>
          <w:r>
            <w:rPr>
              <w:rStyle w:val="11"/>
            </w:rPr>
            <w:t>2. Identification of Key Skills</w:t>
          </w:r>
          <w:r>
            <w:tab/>
          </w:r>
          <w:r>
            <w:fldChar w:fldCharType="begin"/>
          </w:r>
          <w:r>
            <w:instrText xml:space="preserve"> PAGEREF _Toc147226574 \h </w:instrText>
          </w:r>
          <w:r>
            <w:fldChar w:fldCharType="separate"/>
          </w:r>
          <w:r>
            <w:t>3</w:t>
          </w:r>
          <w:r>
            <w:fldChar w:fldCharType="end"/>
          </w:r>
          <w:r>
            <w:fldChar w:fldCharType="end"/>
          </w:r>
        </w:p>
        <w:p>
          <w:pPr>
            <w:pStyle w:val="15"/>
            <w:tabs>
              <w:tab w:val="right" w:leader="dot" w:pos="9350"/>
            </w:tabs>
            <w:rPr>
              <w:rFonts w:asciiTheme="minorHAnsi" w:hAnsiTheme="minorHAnsi" w:eastAsiaTheme="minorEastAsia" w:cstheme="minorBidi"/>
              <w:kern w:val="2"/>
              <w:lang w:val="en-GB" w:eastAsia="en-GB"/>
              <w14:ligatures w14:val="standardContextual"/>
            </w:rPr>
          </w:pPr>
          <w:r>
            <w:fldChar w:fldCharType="begin"/>
          </w:r>
          <w:r>
            <w:instrText xml:space="preserve"> HYPERLINK \l "_Toc147226575" </w:instrText>
          </w:r>
          <w:r>
            <w:fldChar w:fldCharType="separate"/>
          </w:r>
          <w:r>
            <w:rPr>
              <w:rStyle w:val="11"/>
            </w:rPr>
            <w:t>3. Skill Development Strategies</w:t>
          </w:r>
          <w:r>
            <w:tab/>
          </w:r>
          <w:r>
            <w:fldChar w:fldCharType="begin"/>
          </w:r>
          <w:r>
            <w:instrText xml:space="preserve"> PAGEREF _Toc147226575 \h </w:instrText>
          </w:r>
          <w:r>
            <w:fldChar w:fldCharType="separate"/>
          </w:r>
          <w:r>
            <w:t>4</w:t>
          </w:r>
          <w:r>
            <w:fldChar w:fldCharType="end"/>
          </w:r>
          <w:r>
            <w:fldChar w:fldCharType="end"/>
          </w:r>
        </w:p>
        <w:p>
          <w:pPr>
            <w:pStyle w:val="15"/>
            <w:tabs>
              <w:tab w:val="right" w:leader="dot" w:pos="9350"/>
            </w:tabs>
            <w:rPr>
              <w:rFonts w:asciiTheme="minorHAnsi" w:hAnsiTheme="minorHAnsi" w:eastAsiaTheme="minorEastAsia" w:cstheme="minorBidi"/>
              <w:kern w:val="2"/>
              <w:lang w:val="en-GB" w:eastAsia="en-GB"/>
              <w14:ligatures w14:val="standardContextual"/>
            </w:rPr>
          </w:pPr>
          <w:r>
            <w:fldChar w:fldCharType="begin"/>
          </w:r>
          <w:r>
            <w:instrText xml:space="preserve"> HYPERLINK \l "_Toc147226576" </w:instrText>
          </w:r>
          <w:r>
            <w:fldChar w:fldCharType="separate"/>
          </w:r>
          <w:r>
            <w:rPr>
              <w:rStyle w:val="11"/>
            </w:rPr>
            <w:t>4. Real-Life Examples</w:t>
          </w:r>
          <w:r>
            <w:tab/>
          </w:r>
          <w:r>
            <w:fldChar w:fldCharType="begin"/>
          </w:r>
          <w:r>
            <w:instrText xml:space="preserve"> PAGEREF _Toc147226576 \h </w:instrText>
          </w:r>
          <w:r>
            <w:fldChar w:fldCharType="separate"/>
          </w:r>
          <w:r>
            <w:t>4</w:t>
          </w:r>
          <w:r>
            <w:fldChar w:fldCharType="end"/>
          </w:r>
          <w:r>
            <w:fldChar w:fldCharType="end"/>
          </w:r>
        </w:p>
        <w:p>
          <w:pPr>
            <w:pStyle w:val="15"/>
            <w:tabs>
              <w:tab w:val="right" w:leader="dot" w:pos="9350"/>
            </w:tabs>
            <w:rPr>
              <w:rFonts w:asciiTheme="minorHAnsi" w:hAnsiTheme="minorHAnsi" w:eastAsiaTheme="minorEastAsia" w:cstheme="minorBidi"/>
              <w:kern w:val="2"/>
              <w:lang w:val="en-GB" w:eastAsia="en-GB"/>
              <w14:ligatures w14:val="standardContextual"/>
            </w:rPr>
          </w:pPr>
          <w:r>
            <w:fldChar w:fldCharType="begin"/>
          </w:r>
          <w:r>
            <w:instrText xml:space="preserve"> HYPERLINK \l "_Toc147226577" </w:instrText>
          </w:r>
          <w:r>
            <w:fldChar w:fldCharType="separate"/>
          </w:r>
          <w:r>
            <w:rPr>
              <w:rStyle w:val="11"/>
            </w:rPr>
            <w:t>5. Challenges and Solutions</w:t>
          </w:r>
          <w:r>
            <w:tab/>
          </w:r>
          <w:r>
            <w:fldChar w:fldCharType="begin"/>
          </w:r>
          <w:r>
            <w:instrText xml:space="preserve"> PAGEREF _Toc147226577 \h </w:instrText>
          </w:r>
          <w:r>
            <w:fldChar w:fldCharType="separate"/>
          </w:r>
          <w:r>
            <w:t>5</w:t>
          </w:r>
          <w:r>
            <w:fldChar w:fldCharType="end"/>
          </w:r>
          <w:r>
            <w:fldChar w:fldCharType="end"/>
          </w:r>
        </w:p>
        <w:p>
          <w:pPr>
            <w:pStyle w:val="15"/>
            <w:tabs>
              <w:tab w:val="right" w:leader="dot" w:pos="9350"/>
            </w:tabs>
            <w:rPr>
              <w:rFonts w:asciiTheme="minorHAnsi" w:hAnsiTheme="minorHAnsi" w:eastAsiaTheme="minorEastAsia" w:cstheme="minorBidi"/>
              <w:kern w:val="2"/>
              <w:lang w:val="en-GB" w:eastAsia="en-GB"/>
              <w14:ligatures w14:val="standardContextual"/>
            </w:rPr>
          </w:pPr>
          <w:r>
            <w:fldChar w:fldCharType="begin"/>
          </w:r>
          <w:r>
            <w:instrText xml:space="preserve"> HYPERLINK \l "_Toc147226578" </w:instrText>
          </w:r>
          <w:r>
            <w:fldChar w:fldCharType="separate"/>
          </w:r>
          <w:r>
            <w:rPr>
              <w:rStyle w:val="11"/>
            </w:rPr>
            <w:t>6. Conclusion</w:t>
          </w:r>
          <w:r>
            <w:tab/>
          </w:r>
          <w:r>
            <w:fldChar w:fldCharType="begin"/>
          </w:r>
          <w:r>
            <w:instrText xml:space="preserve"> PAGEREF _Toc147226578 \h </w:instrText>
          </w:r>
          <w:r>
            <w:fldChar w:fldCharType="separate"/>
          </w:r>
          <w:r>
            <w:t>5</w:t>
          </w:r>
          <w:r>
            <w:fldChar w:fldCharType="end"/>
          </w:r>
          <w:r>
            <w:fldChar w:fldCharType="end"/>
          </w:r>
        </w:p>
        <w:p>
          <w:pPr>
            <w:pStyle w:val="14"/>
            <w:tabs>
              <w:tab w:val="right" w:leader="dot" w:pos="9350"/>
            </w:tabs>
            <w:rPr>
              <w:rFonts w:asciiTheme="minorHAnsi" w:hAnsiTheme="minorHAnsi" w:eastAsiaTheme="minorEastAsia" w:cstheme="minorBidi"/>
              <w:kern w:val="2"/>
              <w:lang w:val="en-GB" w:eastAsia="en-GB"/>
              <w14:ligatures w14:val="standardContextual"/>
            </w:rPr>
          </w:pPr>
          <w:r>
            <w:fldChar w:fldCharType="begin"/>
          </w:r>
          <w:r>
            <w:instrText xml:space="preserve"> HYPERLINK \l "_Toc147226579" </w:instrText>
          </w:r>
          <w:r>
            <w:fldChar w:fldCharType="separate"/>
          </w:r>
          <w:r>
            <w:rPr>
              <w:rStyle w:val="11"/>
            </w:rPr>
            <w:t>References</w:t>
          </w:r>
          <w:r>
            <w:tab/>
          </w:r>
          <w:r>
            <w:fldChar w:fldCharType="begin"/>
          </w:r>
          <w:r>
            <w:instrText xml:space="preserve"> PAGEREF _Toc147226579 \h </w:instrText>
          </w:r>
          <w:r>
            <w:fldChar w:fldCharType="separate"/>
          </w:r>
          <w:r>
            <w:t>6</w:t>
          </w:r>
          <w:r>
            <w:fldChar w:fldCharType="end"/>
          </w:r>
          <w:r>
            <w:fldChar w:fldCharType="end"/>
          </w:r>
        </w:p>
        <w:p>
          <w:r>
            <w:rPr>
              <w:b/>
              <w:bCs/>
            </w:rPr>
            <w:fldChar w:fldCharType="end"/>
          </w:r>
        </w:p>
      </w:sdtContent>
    </w:sdt>
    <w:p>
      <w:pPr>
        <w:rPr>
          <w:b/>
          <w:sz w:val="24"/>
          <w:szCs w:val="24"/>
        </w:rPr>
      </w:pPr>
      <w:r>
        <w:rPr>
          <w:b/>
          <w:sz w:val="24"/>
          <w:szCs w:val="24"/>
        </w:rPr>
        <w:br w:type="page"/>
      </w:r>
    </w:p>
    <w:p>
      <w:pPr>
        <w:pStyle w:val="2"/>
      </w:pPr>
      <w:bookmarkStart w:id="0" w:name="_bxqu6q3gupg2" w:colFirst="0" w:colLast="0"/>
      <w:bookmarkEnd w:id="0"/>
      <w:bookmarkStart w:id="1" w:name="_Toc147226572"/>
      <w:r>
        <w:t>Assignment 1: Student Journal</w:t>
      </w:r>
      <w:bookmarkEnd w:id="1"/>
    </w:p>
    <w:p>
      <w:pPr>
        <w:pStyle w:val="3"/>
        <w:spacing w:line="360" w:lineRule="auto"/>
        <w:jc w:val="both"/>
        <w:rPr>
          <w:b/>
          <w:sz w:val="24"/>
          <w:szCs w:val="24"/>
        </w:rPr>
      </w:pPr>
      <w:r>
        <w:rPr>
          <w:b/>
          <w:sz w:val="24"/>
          <w:szCs w:val="24"/>
        </w:rPr>
        <w:t>Assignment Title: Skill Requirements for Service Improvement in Restaurants</w:t>
      </w:r>
    </w:p>
    <w:p>
      <w:pPr>
        <w:pStyle w:val="4"/>
      </w:pPr>
      <w:bookmarkStart w:id="2" w:name="_7ihci9h5uk6p" w:colFirst="0" w:colLast="0"/>
      <w:bookmarkEnd w:id="2"/>
      <w:bookmarkStart w:id="3" w:name="_Toc147226573"/>
      <w:r>
        <w:t>1. Introduction</w:t>
      </w:r>
      <w:bookmarkEnd w:id="3"/>
    </w:p>
    <w:p>
      <w:pPr>
        <w:pStyle w:val="3"/>
        <w:spacing w:line="360" w:lineRule="auto"/>
        <w:jc w:val="both"/>
        <w:rPr>
          <w:sz w:val="24"/>
          <w:szCs w:val="24"/>
        </w:rPr>
      </w:pPr>
      <w:r>
        <w:rPr>
          <w:sz w:val="24"/>
          <w:szCs w:val="24"/>
        </w:rPr>
        <w:t>Service quality is one of the paramount factors in the restaurant industry as it significantly impacts the success of the business along with the satisfaction of the customers. Exceptional services help in creating memorable dining experiences that contribute to fostering loyalty and positive word-of-mouth recommendations (</w:t>
      </w:r>
      <w:r>
        <w:rPr>
          <w:rFonts w:ascii="Times New Roman" w:hAnsi="Times New Roman" w:eastAsia="Times New Roman" w:cs="Times New Roman"/>
          <w:color w:val="222222"/>
          <w:sz w:val="24"/>
          <w:szCs w:val="24"/>
          <w:highlight w:val="white"/>
        </w:rPr>
        <w:t>Dhar, 2015)</w:t>
      </w:r>
      <w:r>
        <w:rPr>
          <w:sz w:val="24"/>
          <w:szCs w:val="24"/>
        </w:rPr>
        <w:t>. The market condition of the sector is dynamic and highly competitive which demands high-quality food along with outstanding services. Service excellence leads to improving business scenarios and attracts new and loyal customers by enhancing the reputation of the restaurant and profitability as well.</w:t>
      </w:r>
    </w:p>
    <w:p>
      <w:pPr>
        <w:pStyle w:val="4"/>
      </w:pPr>
      <w:bookmarkStart w:id="4" w:name="_y4drrrmt2bg0" w:colFirst="0" w:colLast="0"/>
      <w:bookmarkEnd w:id="4"/>
      <w:bookmarkStart w:id="5" w:name="_Toc147226574"/>
      <w:r>
        <w:t>2. Identification of Key Skills</w:t>
      </w:r>
      <w:bookmarkEnd w:id="5"/>
    </w:p>
    <w:p>
      <w:pPr>
        <w:pStyle w:val="3"/>
        <w:spacing w:line="360" w:lineRule="auto"/>
        <w:jc w:val="both"/>
        <w:rPr>
          <w:sz w:val="24"/>
          <w:szCs w:val="24"/>
        </w:rPr>
      </w:pPr>
      <w:r>
        <w:rPr>
          <w:sz w:val="24"/>
          <w:szCs w:val="24"/>
        </w:rPr>
        <w:t>In this fast-paced environment, time management is crucial and regarding restaurants, staff must prioritize tasks such as taking and delivering orders on time. Efficiency management ensures that customers don’t get harassed for unnecessary delays and this skill improves customer satisfaction and reordering tendencies (</w:t>
      </w:r>
      <w:r>
        <w:rPr>
          <w:rFonts w:ascii="Times New Roman" w:hAnsi="Times New Roman" w:eastAsia="Times New Roman" w:cs="Times New Roman"/>
          <w:color w:val="222222"/>
          <w:sz w:val="24"/>
          <w:szCs w:val="24"/>
          <w:highlight w:val="white"/>
        </w:rPr>
        <w:t xml:space="preserve">Boudreau </w:t>
      </w:r>
      <w:r>
        <w:rPr>
          <w:rFonts w:ascii="Times New Roman" w:hAnsi="Times New Roman" w:eastAsia="Times New Roman" w:cs="Times New Roman"/>
          <w:i/>
          <w:color w:val="222222"/>
          <w:sz w:val="24"/>
          <w:szCs w:val="24"/>
          <w:highlight w:val="white"/>
        </w:rPr>
        <w:t xml:space="preserve">et al., </w:t>
      </w:r>
      <w:r>
        <w:rPr>
          <w:rFonts w:ascii="Times New Roman" w:hAnsi="Times New Roman" w:eastAsia="Times New Roman" w:cs="Times New Roman"/>
          <w:color w:val="222222"/>
          <w:sz w:val="24"/>
          <w:szCs w:val="24"/>
          <w:highlight w:val="white"/>
        </w:rPr>
        <w:t>2022)</w:t>
      </w:r>
      <w:r>
        <w:rPr>
          <w:sz w:val="24"/>
          <w:szCs w:val="24"/>
        </w:rPr>
        <w:t>. Effective communication is another exceptionally vital skill in restaurant service. The staff must communicate and convey the menu clearly along with actively listening to customers and clearing their doubts. Focusing on customer preferences and special requests ensures accurate order delivery instead of misunderstanding and leads to smoother dining experiences. A deep understanding of the menu, ingredients and preparation method is essential as it enables the staff to make informed recommendations, answer questions and provide rich dining experiences (</w:t>
      </w:r>
      <w:r>
        <w:rPr>
          <w:rFonts w:ascii="Times New Roman" w:hAnsi="Times New Roman" w:eastAsia="Times New Roman" w:cs="Times New Roman"/>
          <w:color w:val="222222"/>
          <w:sz w:val="24"/>
          <w:szCs w:val="24"/>
          <w:highlight w:val="white"/>
        </w:rPr>
        <w:t>Motarjemi and Lelieveld, 2014)</w:t>
      </w:r>
      <w:r>
        <w:rPr>
          <w:sz w:val="24"/>
          <w:szCs w:val="24"/>
        </w:rPr>
        <w:t>. It also demonstrates competence and professionalism along with confident serving. Empathy is a significant skill for anticipating and understanding the needs and preferences, food habits and difficulties of the customers including the proper information tailored to service. Empathetic interactions can turn dining experiences into memorable ones and help foster customer loyalty. The staff must be capable of handling conflict handles and defusing any tense situation such as handling complaints gracefully (</w:t>
      </w:r>
      <w:r>
        <w:rPr>
          <w:rFonts w:ascii="Times New Roman" w:hAnsi="Times New Roman" w:eastAsia="Times New Roman" w:cs="Times New Roman"/>
          <w:color w:val="222222"/>
          <w:sz w:val="24"/>
          <w:szCs w:val="24"/>
          <w:highlight w:val="white"/>
        </w:rPr>
        <w:t>White, 2020)</w:t>
      </w:r>
      <w:r>
        <w:rPr>
          <w:sz w:val="24"/>
          <w:szCs w:val="24"/>
        </w:rPr>
        <w:t>. This skill helps to maintain a positive atmosphere and prevent minor issues from escalating. Even a well-handled complaint can turn a dissatisfied customer into a loyal one.</w:t>
      </w:r>
    </w:p>
    <w:p>
      <w:pPr>
        <w:pStyle w:val="4"/>
      </w:pPr>
      <w:bookmarkStart w:id="6" w:name="_ggspxmdldg53" w:colFirst="0" w:colLast="0"/>
      <w:bookmarkEnd w:id="6"/>
      <w:bookmarkStart w:id="7" w:name="_Toc147226575"/>
      <w:r>
        <w:t>3. Skill Development Strategies</w:t>
      </w:r>
      <w:bookmarkEnd w:id="7"/>
      <w:r>
        <w:t xml:space="preserve"> </w:t>
      </w:r>
    </w:p>
    <w:p>
      <w:pPr>
        <w:pStyle w:val="3"/>
        <w:spacing w:line="360" w:lineRule="auto"/>
        <w:jc w:val="both"/>
        <w:rPr>
          <w:sz w:val="24"/>
          <w:szCs w:val="24"/>
        </w:rPr>
      </w:pPr>
      <w:r>
        <w:rPr>
          <w:sz w:val="24"/>
          <w:szCs w:val="24"/>
        </w:rPr>
        <w:t>Aspiring restaurant professionals can nurture and enhance different required skills for success in the industry through a combination of formal training programs and practical on-the-job experiences. Through formal training programs, restaurants can develop communication skills such as customer service training programs, hospitality management programs and so on. Role-playing exercises and workshops are included in these techniques. Training in customer services simultaneously includes empathy building and active listening. Conflict resolution training and related courses teach professionals to deal with difficult situations and customer complaints professionally. Product knowledge workshops help in continuous learning and menu training sessions provide updated knowledge about service opportunities and increase the understanding of offering foods and beverages (</w:t>
      </w:r>
      <w:r>
        <w:rPr>
          <w:rFonts w:ascii="Times New Roman" w:hAnsi="Times New Roman" w:eastAsia="Times New Roman" w:cs="Times New Roman"/>
          <w:color w:val="222222"/>
          <w:sz w:val="24"/>
          <w:szCs w:val="24"/>
          <w:highlight w:val="white"/>
        </w:rPr>
        <w:t xml:space="preserve">Lam </w:t>
      </w:r>
      <w:r>
        <w:rPr>
          <w:rFonts w:ascii="Times New Roman" w:hAnsi="Times New Roman" w:eastAsia="Times New Roman" w:cs="Times New Roman"/>
          <w:i/>
          <w:color w:val="222222"/>
          <w:sz w:val="24"/>
          <w:szCs w:val="24"/>
          <w:highlight w:val="white"/>
        </w:rPr>
        <w:t xml:space="preserve">et al., </w:t>
      </w:r>
      <w:r>
        <w:rPr>
          <w:rFonts w:ascii="Times New Roman" w:hAnsi="Times New Roman" w:eastAsia="Times New Roman" w:cs="Times New Roman"/>
          <w:color w:val="222222"/>
          <w:sz w:val="24"/>
          <w:szCs w:val="24"/>
          <w:highlight w:val="white"/>
        </w:rPr>
        <w:t>2022)</w:t>
      </w:r>
      <w:r>
        <w:rPr>
          <w:sz w:val="24"/>
          <w:szCs w:val="24"/>
        </w:rPr>
        <w:t xml:space="preserve">. </w:t>
      </w:r>
    </w:p>
    <w:p>
      <w:pPr>
        <w:pStyle w:val="3"/>
        <w:spacing w:line="360" w:lineRule="auto"/>
        <w:jc w:val="both"/>
        <w:rPr>
          <w:sz w:val="24"/>
          <w:szCs w:val="24"/>
        </w:rPr>
      </w:pPr>
      <w:r>
        <w:rPr>
          <w:sz w:val="24"/>
          <w:szCs w:val="24"/>
        </w:rPr>
        <w:t>Practical on-the-job experiences develop time management skills by physically observing and learning from others regarding task prioritization, routine tasks and practicing and organizing during busy shifts. Regular and active interaction with customers boosts confidence and builds empathy and good communication. Practical experience gained from seniors and their way of connecting and presenting with the diners helps to develop the skills. Practical experiences of conflict resolution under pressure, reflecting calm behaviour and promise to improve according to the requirement and identification of casualties are lessons learned from practical experiences (</w:t>
      </w:r>
      <w:r>
        <w:rPr>
          <w:rFonts w:ascii="Times New Roman" w:hAnsi="Times New Roman" w:eastAsia="Times New Roman" w:cs="Times New Roman"/>
          <w:color w:val="222222"/>
          <w:sz w:val="24"/>
          <w:szCs w:val="24"/>
          <w:highlight w:val="white"/>
        </w:rPr>
        <w:t>Cousins, 2020)</w:t>
      </w:r>
      <w:r>
        <w:rPr>
          <w:sz w:val="24"/>
          <w:szCs w:val="24"/>
        </w:rPr>
        <w:t>. Gathering intense knowledge through workshops, seminars, menu updating programs and tasting and exploring new items for better recommendation and description are aligned strategies.</w:t>
      </w:r>
    </w:p>
    <w:p>
      <w:pPr>
        <w:pStyle w:val="4"/>
      </w:pPr>
      <w:bookmarkStart w:id="8" w:name="_l3k2dr1s8iln" w:colFirst="0" w:colLast="0"/>
      <w:bookmarkEnd w:id="8"/>
      <w:bookmarkStart w:id="9" w:name="_Toc147226576"/>
      <w:r>
        <w:t>4. Real-Life Examples</w:t>
      </w:r>
      <w:bookmarkEnd w:id="9"/>
      <w:r>
        <w:t xml:space="preserve"> </w:t>
      </w:r>
    </w:p>
    <w:p>
      <w:pPr>
        <w:pStyle w:val="3"/>
        <w:spacing w:line="360" w:lineRule="auto"/>
        <w:jc w:val="both"/>
        <w:rPr>
          <w:sz w:val="24"/>
          <w:szCs w:val="24"/>
        </w:rPr>
      </w:pPr>
      <w:r>
        <w:rPr>
          <w:sz w:val="24"/>
          <w:szCs w:val="24"/>
        </w:rPr>
        <w:t>The Ritz-Carlton hotel chain, renowned for excellent service, emphasized product knowledge and time management. They have invested heavily in training programs such as The Ritz-Carlton Gold Standards and Mystique of the Craft which enhanced employee skills to resolve issues. Employees who participated in these training programs felt the importance of understanding and connecting with customers on a personal level. Danny Meyers’s Union Square Cafe in New York prioritised empathy and communication. The implemented initiative of “Hospitality Included” eliminated tripping and increased guest interaction with the servers rather than chasing tips (</w:t>
      </w:r>
      <w:r>
        <w:rPr>
          <w:rFonts w:ascii="Times New Roman" w:hAnsi="Times New Roman" w:eastAsia="Times New Roman" w:cs="Times New Roman"/>
          <w:sz w:val="24"/>
          <w:szCs w:val="24"/>
        </w:rPr>
        <w:t>Merwin and Merwin, 2014)</w:t>
      </w:r>
      <w:r>
        <w:rPr>
          <w:sz w:val="24"/>
          <w:szCs w:val="24"/>
        </w:rPr>
        <w:t>. The customer-centric approach and transparent pricing improved communication and satisfaction.</w:t>
      </w:r>
    </w:p>
    <w:p>
      <w:pPr>
        <w:pStyle w:val="4"/>
      </w:pPr>
      <w:bookmarkStart w:id="10" w:name="_89m03f9dl2z1" w:colFirst="0" w:colLast="0"/>
      <w:bookmarkEnd w:id="10"/>
      <w:bookmarkStart w:id="11" w:name="_Toc147226577"/>
      <w:r>
        <w:t>5. Challenges and Solutions</w:t>
      </w:r>
      <w:bookmarkEnd w:id="11"/>
      <w:r>
        <w:t xml:space="preserve"> </w:t>
      </w:r>
    </w:p>
    <w:p>
      <w:pPr>
        <w:pStyle w:val="3"/>
        <w:spacing w:line="360" w:lineRule="auto"/>
        <w:jc w:val="both"/>
        <w:rPr>
          <w:sz w:val="24"/>
          <w:szCs w:val="24"/>
        </w:rPr>
      </w:pPr>
      <w:r>
        <w:rPr>
          <w:sz w:val="24"/>
          <w:szCs w:val="24"/>
        </w:rPr>
        <w:t>Restaurant staff often encounter challenges with skill requirements implementation as the high workload makes them overwhelmed and the restaurant must provide routine breaks, consistent service and enough staffing for this. Change resistance related to new training methods and service models is challenging for some employees and restaurants should communicate the benefits clearly and offer incentives, organise sustainability workshops and support. Diverse customer handling seems challenging and regular cross-training of skill and adaptability enhancements and proper dietary guidelines can resolve this issue (</w:t>
      </w:r>
      <w:r>
        <w:rPr>
          <w:rFonts w:ascii="Times New Roman" w:hAnsi="Times New Roman" w:eastAsia="Times New Roman" w:cs="Times New Roman"/>
          <w:color w:val="222222"/>
          <w:sz w:val="24"/>
          <w:szCs w:val="24"/>
          <w:highlight w:val="white"/>
        </w:rPr>
        <w:t>Osterwalder</w:t>
      </w:r>
      <w:r>
        <w:rPr>
          <w:rFonts w:ascii="Times New Roman" w:hAnsi="Times New Roman" w:eastAsia="Times New Roman" w:cs="Times New Roman"/>
          <w:i/>
          <w:color w:val="222222"/>
          <w:sz w:val="24"/>
          <w:szCs w:val="24"/>
          <w:highlight w:val="white"/>
        </w:rPr>
        <w:t xml:space="preserve"> et al., </w:t>
      </w:r>
      <w:r>
        <w:rPr>
          <w:rFonts w:ascii="Times New Roman" w:hAnsi="Times New Roman" w:eastAsia="Times New Roman" w:cs="Times New Roman"/>
          <w:color w:val="222222"/>
          <w:sz w:val="24"/>
          <w:szCs w:val="24"/>
          <w:highlight w:val="white"/>
        </w:rPr>
        <w:t>2015)</w:t>
      </w:r>
      <w:r>
        <w:rPr>
          <w:sz w:val="24"/>
          <w:szCs w:val="24"/>
        </w:rPr>
        <w:t>. Facing negative feedback and limited resources are also challenges and restaurants must offer psychological support, promote emotional intelligence, stress training, menu training, language training programs and de-escalation technical training along with focusing on cost-effective in-house training and mentorship programs.</w:t>
      </w:r>
    </w:p>
    <w:p>
      <w:pPr>
        <w:pStyle w:val="4"/>
      </w:pPr>
      <w:bookmarkStart w:id="12" w:name="_8bj2ron0v6l7" w:colFirst="0" w:colLast="0"/>
      <w:bookmarkEnd w:id="12"/>
      <w:bookmarkStart w:id="13" w:name="_Toc147226578"/>
      <w:r>
        <w:t>6. Conclusion</w:t>
      </w:r>
      <w:bookmarkEnd w:id="13"/>
      <w:r>
        <w:t xml:space="preserve"> </w:t>
      </w:r>
    </w:p>
    <w:p>
      <w:pPr>
        <w:pStyle w:val="3"/>
        <w:spacing w:line="360" w:lineRule="auto"/>
        <w:jc w:val="both"/>
        <w:rPr>
          <w:sz w:val="24"/>
          <w:szCs w:val="24"/>
        </w:rPr>
      </w:pPr>
      <w:r>
        <w:rPr>
          <w:sz w:val="24"/>
          <w:szCs w:val="24"/>
        </w:rPr>
        <w:t>Thus, it can be concluded that courteous interaction, minimum errors, highly maintained decorum and cleanliness are required to meet diverse customer needs. Different skills are essential to collectively contribute to exceptional dining experiences, enhance customer satisfaction and gain positive reviews for business growth and excellent reputation where the customers feel valued and well-cared.</w:t>
      </w:r>
    </w:p>
    <w:p>
      <w:pPr>
        <w:rPr>
          <w:sz w:val="24"/>
          <w:szCs w:val="24"/>
        </w:rPr>
      </w:pPr>
      <w:bookmarkStart w:id="14" w:name="_d0yz6ux4zq2t" w:colFirst="0" w:colLast="0"/>
      <w:bookmarkEnd w:id="14"/>
      <w:r>
        <w:rPr>
          <w:sz w:val="24"/>
          <w:szCs w:val="24"/>
        </w:rPr>
        <w:br w:type="page"/>
      </w:r>
    </w:p>
    <w:p>
      <w:pPr>
        <w:pStyle w:val="2"/>
      </w:pPr>
      <w:bookmarkStart w:id="15" w:name="_oy8kun5ehldg" w:colFirst="0" w:colLast="0"/>
      <w:bookmarkEnd w:id="15"/>
      <w:bookmarkStart w:id="16" w:name="_Toc147226579"/>
      <w:r>
        <w:t>References</w:t>
      </w:r>
      <w:bookmarkEnd w:id="16"/>
    </w:p>
    <w:p>
      <w:pPr>
        <w:pStyle w:val="3"/>
        <w:spacing w:before="240" w:after="240" w:line="360" w:lineRule="auto"/>
        <w:jc w:val="both"/>
        <w:rPr>
          <w:rFonts w:eastAsia="Times New Roman"/>
          <w:color w:val="222222"/>
          <w:sz w:val="24"/>
          <w:szCs w:val="24"/>
          <w:highlight w:val="white"/>
        </w:rPr>
      </w:pPr>
      <w:r>
        <w:rPr>
          <w:rFonts w:eastAsia="Times New Roman"/>
          <w:color w:val="222222"/>
          <w:sz w:val="24"/>
          <w:szCs w:val="24"/>
          <w:highlight w:val="white"/>
        </w:rPr>
        <w:t>Boudreau, A., Rose, H. and Landine, J., 2022. Soft Skills in Ontario’s Post-Pandemic Hospitality and Food Services Sector.</w:t>
      </w:r>
    </w:p>
    <w:p>
      <w:pPr>
        <w:pStyle w:val="3"/>
        <w:spacing w:before="240" w:after="240" w:line="360" w:lineRule="auto"/>
        <w:jc w:val="both"/>
        <w:rPr>
          <w:rFonts w:eastAsia="Times New Roman"/>
          <w:color w:val="222222"/>
          <w:sz w:val="24"/>
          <w:szCs w:val="24"/>
          <w:highlight w:val="white"/>
        </w:rPr>
      </w:pPr>
      <w:r>
        <w:rPr>
          <w:rFonts w:eastAsia="Times New Roman"/>
          <w:color w:val="222222"/>
          <w:sz w:val="24"/>
          <w:szCs w:val="24"/>
          <w:highlight w:val="white"/>
        </w:rPr>
        <w:t xml:space="preserve"> Cousins, J. (2020) Food and beverage service. 9th ed. London: Hodder Education Group.**</w:t>
      </w:r>
    </w:p>
    <w:p>
      <w:pPr>
        <w:pStyle w:val="3"/>
        <w:spacing w:before="240" w:after="240" w:line="360" w:lineRule="auto"/>
        <w:jc w:val="both"/>
        <w:rPr>
          <w:sz w:val="24"/>
          <w:szCs w:val="24"/>
        </w:rPr>
      </w:pPr>
      <w:r>
        <w:rPr>
          <w:rFonts w:eastAsia="Times New Roman"/>
          <w:color w:val="222222"/>
          <w:sz w:val="24"/>
          <w:szCs w:val="24"/>
          <w:highlight w:val="white"/>
        </w:rPr>
        <w:t xml:space="preserve">Dhar, R.L., 2015. Service quality and the training of employees: The mediating role of organizational commitment. </w:t>
      </w:r>
      <w:r>
        <w:rPr>
          <w:i/>
          <w:sz w:val="24"/>
          <w:szCs w:val="24"/>
        </w:rPr>
        <w:t>Tourism management</w:t>
      </w:r>
      <w:r>
        <w:rPr>
          <w:sz w:val="24"/>
          <w:szCs w:val="24"/>
        </w:rPr>
        <w:t xml:space="preserve">, </w:t>
      </w:r>
      <w:r>
        <w:rPr>
          <w:i/>
          <w:sz w:val="24"/>
          <w:szCs w:val="24"/>
        </w:rPr>
        <w:t>46</w:t>
      </w:r>
      <w:r>
        <w:rPr>
          <w:sz w:val="24"/>
          <w:szCs w:val="24"/>
        </w:rPr>
        <w:t>, pp.419-430.</w:t>
      </w:r>
    </w:p>
    <w:p>
      <w:pPr>
        <w:pStyle w:val="3"/>
        <w:spacing w:before="240" w:after="240" w:line="360" w:lineRule="auto"/>
        <w:jc w:val="both"/>
        <w:rPr>
          <w:sz w:val="24"/>
          <w:szCs w:val="24"/>
        </w:rPr>
      </w:pPr>
      <w:r>
        <w:rPr>
          <w:rFonts w:eastAsia="Times New Roman"/>
          <w:color w:val="222222"/>
          <w:sz w:val="24"/>
          <w:szCs w:val="24"/>
          <w:highlight w:val="white"/>
        </w:rPr>
        <w:t xml:space="preserve">Lam, R., Cheung, C. and Lugosi, P., 2022. The impacts of cultural intelligence and emotional labor on the job satisfaction of luxury hotel employees. </w:t>
      </w:r>
      <w:r>
        <w:rPr>
          <w:i/>
          <w:sz w:val="24"/>
          <w:szCs w:val="24"/>
        </w:rPr>
        <w:t>International Journal of Hospitality Management</w:t>
      </w:r>
      <w:r>
        <w:rPr>
          <w:sz w:val="24"/>
          <w:szCs w:val="24"/>
        </w:rPr>
        <w:t xml:space="preserve">, </w:t>
      </w:r>
      <w:r>
        <w:rPr>
          <w:i/>
          <w:sz w:val="24"/>
          <w:szCs w:val="24"/>
        </w:rPr>
        <w:t>100</w:t>
      </w:r>
      <w:r>
        <w:rPr>
          <w:sz w:val="24"/>
          <w:szCs w:val="24"/>
        </w:rPr>
        <w:t>, p.103084.</w:t>
      </w:r>
    </w:p>
    <w:p>
      <w:pPr>
        <w:pStyle w:val="3"/>
        <w:spacing w:before="240" w:line="392" w:lineRule="auto"/>
        <w:jc w:val="both"/>
        <w:rPr>
          <w:rFonts w:eastAsia="Times New Roman"/>
          <w:sz w:val="24"/>
          <w:szCs w:val="24"/>
        </w:rPr>
      </w:pPr>
      <w:r>
        <w:rPr>
          <w:rFonts w:eastAsia="Times New Roman"/>
          <w:sz w:val="24"/>
          <w:szCs w:val="24"/>
        </w:rPr>
        <w:t xml:space="preserve">Merwin, H. and Merwin, H. (2014) </w:t>
      </w:r>
      <w:r>
        <w:rPr>
          <w:rFonts w:eastAsia="Times New Roman"/>
          <w:i/>
          <w:sz w:val="24"/>
          <w:szCs w:val="24"/>
        </w:rPr>
        <w:t>5 Ways Union Square Cafe Changed Dining Out in New York City</w:t>
      </w:r>
      <w:r>
        <w:rPr>
          <w:rFonts w:eastAsia="Times New Roman"/>
          <w:sz w:val="24"/>
          <w:szCs w:val="24"/>
        </w:rPr>
        <w:t xml:space="preserve">, </w:t>
      </w:r>
      <w:r>
        <w:rPr>
          <w:rFonts w:eastAsia="Times New Roman"/>
          <w:i/>
          <w:sz w:val="24"/>
          <w:szCs w:val="24"/>
        </w:rPr>
        <w:t>Grub Street</w:t>
      </w:r>
      <w:r>
        <w:rPr>
          <w:rFonts w:eastAsia="Times New Roman"/>
          <w:sz w:val="24"/>
          <w:szCs w:val="24"/>
        </w:rPr>
        <w:t>. Available at: https://www.grubstreet.com/2014/06/union-square-cafe-changed-new-york-city.html#_ga=2.205304921.891782548.1695988004-1540717691.1695988003 (Accessed: 29 September 2023).</w:t>
      </w:r>
    </w:p>
    <w:p>
      <w:pPr>
        <w:pStyle w:val="3"/>
        <w:spacing w:before="240" w:after="240" w:line="360" w:lineRule="auto"/>
        <w:jc w:val="both"/>
        <w:rPr>
          <w:rFonts w:eastAsia="Times New Roman"/>
          <w:color w:val="222222"/>
          <w:sz w:val="24"/>
          <w:szCs w:val="24"/>
          <w:highlight w:val="white"/>
        </w:rPr>
      </w:pPr>
      <w:r>
        <w:rPr>
          <w:rFonts w:eastAsia="Times New Roman"/>
          <w:color w:val="222222"/>
          <w:sz w:val="24"/>
          <w:szCs w:val="24"/>
          <w:highlight w:val="white"/>
        </w:rPr>
        <w:t>Motarjemi, Y and Lelieveld, H (2014) Food safety management : a practical guide for the food industry. Illustrated edition. Amsterdam: Academic Press.*</w:t>
      </w:r>
    </w:p>
    <w:p>
      <w:pPr>
        <w:pStyle w:val="3"/>
        <w:spacing w:before="240" w:after="240" w:line="360" w:lineRule="auto"/>
        <w:jc w:val="both"/>
        <w:rPr>
          <w:sz w:val="24"/>
          <w:szCs w:val="24"/>
        </w:rPr>
      </w:pPr>
      <w:r>
        <w:rPr>
          <w:rFonts w:eastAsia="Times New Roman"/>
          <w:color w:val="222222"/>
          <w:sz w:val="24"/>
          <w:szCs w:val="24"/>
          <w:highlight w:val="white"/>
        </w:rPr>
        <w:t xml:space="preserve"> Osterwalder, A., Pigneur, Y., Bernarda, G. and Smith, A., 2015. </w:t>
      </w:r>
      <w:r>
        <w:rPr>
          <w:i/>
          <w:sz w:val="24"/>
          <w:szCs w:val="24"/>
        </w:rPr>
        <w:t>Value proposition design: How to create products and services customers want</w:t>
      </w:r>
      <w:r>
        <w:rPr>
          <w:sz w:val="24"/>
          <w:szCs w:val="24"/>
        </w:rPr>
        <w:t xml:space="preserve"> (Vol. 2). John Wiley &amp; Sons.</w:t>
      </w:r>
    </w:p>
    <w:p>
      <w:pPr>
        <w:pStyle w:val="3"/>
        <w:spacing w:before="240" w:after="240" w:line="360" w:lineRule="auto"/>
        <w:jc w:val="both"/>
        <w:rPr>
          <w:rFonts w:eastAsia="Times New Roman"/>
          <w:color w:val="222222"/>
          <w:sz w:val="24"/>
          <w:szCs w:val="24"/>
          <w:highlight w:val="white"/>
        </w:rPr>
      </w:pPr>
      <w:r>
        <w:rPr>
          <w:rFonts w:eastAsia="Times New Roman"/>
          <w:color w:val="222222"/>
          <w:sz w:val="24"/>
          <w:szCs w:val="24"/>
          <w:highlight w:val="white"/>
        </w:rPr>
        <w:t>White, K., 2020. Soft Skills for the Hospitality Industry: Perspectives of Industry Recruiters.</w:t>
      </w:r>
    </w:p>
    <w:p>
      <w:pPr>
        <w:pStyle w:val="3"/>
        <w:spacing w:before="240" w:after="240" w:line="360" w:lineRule="auto"/>
        <w:jc w:val="both"/>
        <w:rPr>
          <w:rFonts w:eastAsia="Times New Roman"/>
          <w:color w:val="222222"/>
          <w:sz w:val="24"/>
          <w:szCs w:val="24"/>
          <w:highlight w:val="white"/>
        </w:rPr>
      </w:pPr>
    </w:p>
    <w:sectPr>
      <w:pgSz w:w="12240" w:h="15840"/>
      <w:pgMar w:top="1440" w:right="1440" w:bottom="1440" w:left="1440" w:header="720" w:footer="720" w:gutter="0"/>
      <w:pgNumType w:start="1"/>
      <w:cols w:space="708"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86"/>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Arial">
    <w:panose1 w:val="020B0604020202020204"/>
    <w:charset w:val="00"/>
    <w:family w:val="auto"/>
    <w:pitch w:val="default"/>
    <w:sig w:usb0="E0002EFF" w:usb1="C000785B" w:usb2="00000009" w:usb3="00000000" w:csb0="400001FF" w:csb1="FFFF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AF"/>
    <w:rsid w:val="000E4DAF"/>
    <w:rsid w:val="001F3175"/>
    <w:rsid w:val="003E4A00"/>
    <w:rsid w:val="00472B97"/>
    <w:rsid w:val="006E0377"/>
    <w:rsid w:val="007A3E82"/>
    <w:rsid w:val="00863855"/>
    <w:rsid w:val="14AE1D05"/>
    <w:rsid w:val="6B3E6F19"/>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unhideWhenUsed="0" w:uiPriority="0" w:semiHidden="0" w:name="heading 2"/>
    <w:lsdException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Arial" w:cs="Arial"/>
      <w:sz w:val="22"/>
      <w:szCs w:val="22"/>
      <w:lang w:val="en" w:eastAsia="en-US" w:bidi="ar-SA"/>
    </w:rPr>
  </w:style>
  <w:style w:type="paragraph" w:styleId="2">
    <w:name w:val="heading 1"/>
    <w:basedOn w:val="3"/>
    <w:next w:val="3"/>
    <w:qFormat/>
    <w:uiPriority w:val="0"/>
    <w:pPr>
      <w:keepNext/>
      <w:keepLines/>
      <w:spacing w:line="360" w:lineRule="auto"/>
      <w:jc w:val="both"/>
      <w:outlineLvl w:val="0"/>
    </w:pPr>
    <w:rPr>
      <w:b/>
      <w:sz w:val="28"/>
      <w:szCs w:val="28"/>
    </w:rPr>
  </w:style>
  <w:style w:type="paragraph" w:styleId="4">
    <w:name w:val="heading 2"/>
    <w:basedOn w:val="3"/>
    <w:next w:val="3"/>
    <w:uiPriority w:val="0"/>
    <w:pPr>
      <w:keepNext/>
      <w:keepLines/>
      <w:spacing w:line="360" w:lineRule="auto"/>
      <w:jc w:val="both"/>
      <w:outlineLvl w:val="1"/>
    </w:pPr>
    <w:rPr>
      <w:b/>
      <w:sz w:val="24"/>
      <w:szCs w:val="24"/>
    </w:rPr>
  </w:style>
  <w:style w:type="paragraph" w:styleId="5">
    <w:name w:val="heading 3"/>
    <w:basedOn w:val="3"/>
    <w:next w:val="3"/>
    <w:uiPriority w:val="0"/>
    <w:pPr>
      <w:keepNext/>
      <w:keepLines/>
      <w:spacing w:before="320" w:after="80"/>
      <w:outlineLvl w:val="2"/>
    </w:pPr>
    <w:rPr>
      <w:color w:val="434343"/>
      <w:sz w:val="28"/>
      <w:szCs w:val="28"/>
    </w:rPr>
  </w:style>
  <w:style w:type="paragraph" w:styleId="6">
    <w:name w:val="heading 4"/>
    <w:basedOn w:val="3"/>
    <w:next w:val="3"/>
    <w:qFormat/>
    <w:uiPriority w:val="0"/>
    <w:pPr>
      <w:keepNext/>
      <w:keepLines/>
      <w:spacing w:before="280" w:after="80"/>
      <w:outlineLvl w:val="3"/>
    </w:pPr>
    <w:rPr>
      <w:color w:val="666666"/>
      <w:sz w:val="24"/>
      <w:szCs w:val="24"/>
    </w:rPr>
  </w:style>
  <w:style w:type="paragraph" w:styleId="7">
    <w:name w:val="heading 5"/>
    <w:basedOn w:val="3"/>
    <w:next w:val="3"/>
    <w:qFormat/>
    <w:uiPriority w:val="0"/>
    <w:pPr>
      <w:keepNext/>
      <w:keepLines/>
      <w:spacing w:before="240" w:after="80"/>
      <w:outlineLvl w:val="4"/>
    </w:pPr>
    <w:rPr>
      <w:color w:val="666666"/>
    </w:rPr>
  </w:style>
  <w:style w:type="paragraph" w:styleId="8">
    <w:name w:val="heading 6"/>
    <w:basedOn w:val="3"/>
    <w:next w:val="3"/>
    <w:qFormat/>
    <w:uiPriority w:val="0"/>
    <w:pPr>
      <w:keepNext/>
      <w:keepLines/>
      <w:spacing w:before="240" w:after="80"/>
      <w:outlineLvl w:val="5"/>
    </w:pPr>
    <w:rPr>
      <w:i/>
      <w:color w:val="666666"/>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customStyle="1" w:styleId="3">
    <w:name w:val="Normal1"/>
    <w:qFormat/>
    <w:uiPriority w:val="0"/>
    <w:pPr>
      <w:spacing w:line="276" w:lineRule="auto"/>
    </w:pPr>
    <w:rPr>
      <w:rFonts w:ascii="Arial" w:hAnsi="Arial" w:eastAsia="Arial" w:cs="Arial"/>
      <w:sz w:val="22"/>
      <w:szCs w:val="22"/>
      <w:lang w:val="en" w:eastAsia="en-US" w:bidi="ar-SA"/>
    </w:rPr>
  </w:style>
  <w:style w:type="character" w:styleId="11">
    <w:name w:val="Hyperlink"/>
    <w:basedOn w:val="9"/>
    <w:unhideWhenUsed/>
    <w:uiPriority w:val="99"/>
    <w:rPr>
      <w:color w:val="0000FF" w:themeColor="hyperlink"/>
      <w:u w:val="single"/>
      <w14:textFill>
        <w14:solidFill>
          <w14:schemeClr w14:val="hlink"/>
        </w14:solidFill>
      </w14:textFill>
    </w:rPr>
  </w:style>
  <w:style w:type="paragraph" w:styleId="12">
    <w:name w:val="Subtitle"/>
    <w:basedOn w:val="3"/>
    <w:next w:val="3"/>
    <w:uiPriority w:val="0"/>
    <w:pPr>
      <w:keepNext/>
      <w:keepLines/>
      <w:spacing w:after="320"/>
    </w:pPr>
    <w:rPr>
      <w:color w:val="666666"/>
      <w:sz w:val="30"/>
      <w:szCs w:val="30"/>
    </w:rPr>
  </w:style>
  <w:style w:type="paragraph" w:styleId="13">
    <w:name w:val="Title"/>
    <w:basedOn w:val="3"/>
    <w:next w:val="3"/>
    <w:qFormat/>
    <w:uiPriority w:val="0"/>
    <w:pPr>
      <w:keepNext/>
      <w:keepLines/>
      <w:spacing w:after="60"/>
    </w:pPr>
    <w:rPr>
      <w:sz w:val="52"/>
      <w:szCs w:val="52"/>
    </w:rPr>
  </w:style>
  <w:style w:type="paragraph" w:styleId="14">
    <w:name w:val="toc 1"/>
    <w:basedOn w:val="1"/>
    <w:next w:val="1"/>
    <w:unhideWhenUsed/>
    <w:qFormat/>
    <w:uiPriority w:val="39"/>
    <w:pPr>
      <w:spacing w:after="100"/>
    </w:pPr>
  </w:style>
  <w:style w:type="paragraph" w:styleId="15">
    <w:name w:val="toc 2"/>
    <w:basedOn w:val="1"/>
    <w:next w:val="1"/>
    <w:unhideWhenUsed/>
    <w:qFormat/>
    <w:uiPriority w:val="39"/>
    <w:pPr>
      <w:spacing w:after="100"/>
      <w:ind w:left="220"/>
    </w:pPr>
  </w:style>
  <w:style w:type="table" w:customStyle="1" w:styleId="16">
    <w:name w:val="Table Normal1"/>
    <w:uiPriority w:val="0"/>
    <w:tblPr>
      <w:tblCellMar>
        <w:top w:w="0" w:type="dxa"/>
        <w:left w:w="0" w:type="dxa"/>
        <w:bottom w:w="0" w:type="dxa"/>
        <w:right w:w="0" w:type="dxa"/>
      </w:tblCellMar>
    </w:tblPr>
  </w:style>
  <w:style w:type="paragraph" w:customStyle="1" w:styleId="17">
    <w:name w:val="TOC Heading1"/>
    <w:basedOn w:val="2"/>
    <w:next w:val="1"/>
    <w:unhideWhenUsed/>
    <w:qFormat/>
    <w:uiPriority w:val="39"/>
    <w:pPr>
      <w:spacing w:before="240" w:line="259" w:lineRule="auto"/>
      <w:jc w:val="left"/>
      <w:outlineLvl w:val="9"/>
    </w:pPr>
    <w:rPr>
      <w:rFonts w:asciiTheme="majorHAnsi" w:hAnsiTheme="majorHAnsi" w:eastAsiaTheme="majorEastAsia" w:cstheme="majorBidi"/>
      <w:b w:val="0"/>
      <w:color w:val="376092" w:themeColor="accent1" w:themeShade="BF"/>
      <w:sz w:val="32"/>
      <w:szCs w:val="32"/>
      <w:lang w:val="en-U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59EA71-0DCF-42B3-9D45-F0793C51D6D0}">
  <ds:schemaRefs/>
</ds:datastoreItem>
</file>

<file path=docProps/app.xml><?xml version="1.0" encoding="utf-8"?>
<Properties xmlns="http://schemas.openxmlformats.org/officeDocument/2006/extended-properties" xmlns:vt="http://schemas.openxmlformats.org/officeDocument/2006/docPropsVTypes">
  <Template>Normal</Template>
  <Pages>1</Pages>
  <Words>1274</Words>
  <Characters>7267</Characters>
  <Lines>60</Lines>
  <Paragraphs>17</Paragraphs>
  <TotalTime>0</TotalTime>
  <ScaleCrop>false</ScaleCrop>
  <LinksUpToDate>false</LinksUpToDate>
  <CharactersWithSpaces>8524</CharactersWithSpaces>
  <Application>WPS Office_12.2.0.13215_F1E327BC-269C-435d-A152-05C5408002CA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2023-09-29T12:26:00Z</dcterms:created>
  <dc:creator>Alina</dc:creator>
  <cp:lastModifiedBy>Alina</cp:lastModifiedBy>
  <dcterms:modified xsi:type="dcterms:W3CDTF">2023-10-09T18:53:00Z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2057-12.2.0.13215</vt:lpwstr>
  </property>
  <property fmtid="{D5CDD505-2E9C-101B-9397-08002B2CF9AE}" pid="3" name="ICV">
    <vt:lpwstr>935CD829EAFC43E28CCF7D3F5E204FF5_12</vt:lpwstr>
  </property>
</Properties>
</file>