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74580B"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5FB110B0"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6F731C">
        <w:rPr>
          <w:rFonts w:ascii="Arial" w:hAnsi="Arial" w:cs="Arial"/>
          <w:sz w:val="28"/>
          <w:szCs w:val="28"/>
          <w:lang w:val="nl-NL"/>
        </w:rPr>
        <w:t>Introduction to Health and</w:t>
      </w:r>
      <w:r w:rsidR="00BB0A82">
        <w:rPr>
          <w:rFonts w:ascii="Arial" w:hAnsi="Arial" w:cs="Arial"/>
          <w:sz w:val="28"/>
          <w:szCs w:val="28"/>
          <w:lang w:val="nl-NL"/>
        </w:rPr>
        <w:t xml:space="preserve"> Social Care </w:t>
      </w:r>
    </w:p>
    <w:p w14:paraId="537571AF" w14:textId="789A9A1A"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6F731C">
        <w:rPr>
          <w:rFonts w:ascii="Arial" w:hAnsi="Arial" w:cs="Arial"/>
          <w:sz w:val="28"/>
          <w:szCs w:val="28"/>
        </w:rPr>
        <w:t>LCHS4003</w:t>
      </w:r>
    </w:p>
    <w:p w14:paraId="529D7354" w14:textId="77777777" w:rsidR="00CD33A8" w:rsidRPr="00CD33A8" w:rsidRDefault="00CD33A8" w:rsidP="00CD33A8">
      <w:pPr>
        <w:tabs>
          <w:tab w:val="left" w:pos="6540"/>
        </w:tabs>
        <w:spacing w:line="360" w:lineRule="auto"/>
        <w:rPr>
          <w:rFonts w:ascii="Arial" w:hAnsi="Arial" w:cs="Arial"/>
          <w:b/>
          <w:bCs/>
          <w:sz w:val="28"/>
          <w:szCs w:val="28"/>
          <w:lang w:val="nl-NL"/>
        </w:rPr>
      </w:pPr>
    </w:p>
    <w:p w14:paraId="0A48766D" w14:textId="4C9AC12D"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9D3814">
        <w:rPr>
          <w:rFonts w:ascii="Arial" w:hAnsi="Arial" w:cs="Arial"/>
          <w:sz w:val="28"/>
          <w:szCs w:val="28"/>
          <w:lang w:val="nl-NL"/>
        </w:rPr>
        <w:t>Brend</w:t>
      </w:r>
      <w:r w:rsidR="00331B99">
        <w:rPr>
          <w:rFonts w:ascii="Arial" w:hAnsi="Arial" w:cs="Arial"/>
          <w:sz w:val="28"/>
          <w:szCs w:val="28"/>
          <w:lang w:val="nl-NL"/>
        </w:rPr>
        <w:t xml:space="preserve">a da Silva Rodrigues Marciano </w:t>
      </w:r>
    </w:p>
    <w:p w14:paraId="39AA4413" w14:textId="6D27609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331B99">
        <w:rPr>
          <w:rFonts w:ascii="Arial" w:hAnsi="Arial" w:cs="Arial"/>
          <w:sz w:val="28"/>
          <w:szCs w:val="28"/>
          <w:lang w:val="nl-NL"/>
        </w:rPr>
        <w:t>2509114</w:t>
      </w:r>
    </w:p>
    <w:p w14:paraId="5E81F6AD" w14:textId="77777777" w:rsidR="00074402" w:rsidRPr="00CD33A8" w:rsidRDefault="00074402" w:rsidP="00CD33A8">
      <w:pPr>
        <w:tabs>
          <w:tab w:val="left" w:pos="6540"/>
        </w:tabs>
        <w:spacing w:line="360" w:lineRule="auto"/>
        <w:rPr>
          <w:rFonts w:ascii="Arial" w:hAnsi="Arial" w:cs="Arial"/>
          <w:sz w:val="28"/>
          <w:szCs w:val="28"/>
          <w:lang w:val="nl-NL"/>
        </w:rPr>
      </w:pPr>
    </w:p>
    <w:p w14:paraId="1A0B2D2B" w14:textId="1D931D67"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 xml:space="preserve">Lecturer’s </w:t>
      </w:r>
      <w:proofErr w:type="spellStart"/>
      <w:r>
        <w:rPr>
          <w:rFonts w:ascii="Arial" w:hAnsi="Arial" w:cs="Arial"/>
          <w:b/>
          <w:bCs/>
          <w:sz w:val="28"/>
          <w:szCs w:val="28"/>
        </w:rPr>
        <w:t>name</w:t>
      </w:r>
      <w:r w:rsidR="00074402" w:rsidRPr="00CD33A8">
        <w:rPr>
          <w:rFonts w:ascii="Arial" w:hAnsi="Arial" w:cs="Arial"/>
          <w:sz w:val="28"/>
          <w:szCs w:val="28"/>
        </w:rPr>
        <w:t>:</w:t>
      </w:r>
      <w:r w:rsidR="00331B99">
        <w:rPr>
          <w:rFonts w:ascii="Arial" w:hAnsi="Arial" w:cs="Arial"/>
          <w:sz w:val="28"/>
          <w:szCs w:val="28"/>
        </w:rPr>
        <w:t>Eleni</w:t>
      </w:r>
      <w:proofErr w:type="spellEnd"/>
      <w:r w:rsidR="00331B99">
        <w:rPr>
          <w:rFonts w:ascii="Arial" w:hAnsi="Arial" w:cs="Arial"/>
          <w:sz w:val="28"/>
          <w:szCs w:val="28"/>
        </w:rPr>
        <w:t xml:space="preserve"> </w:t>
      </w:r>
      <w:proofErr w:type="spellStart"/>
      <w:r w:rsidR="00BB0A82">
        <w:rPr>
          <w:rFonts w:ascii="Arial" w:hAnsi="Arial" w:cs="Arial"/>
          <w:sz w:val="28"/>
          <w:szCs w:val="28"/>
        </w:rPr>
        <w:t>Koutsogeorgou-Andreou</w:t>
      </w:r>
      <w:proofErr w:type="spellEnd"/>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6FAD1B4E" w14:textId="77777777" w:rsidR="003A261A" w:rsidRDefault="005035C7">
      <w:r>
        <w:lastRenderedPageBreak/>
        <w:t xml:space="preserve"> </w:t>
      </w:r>
    </w:p>
    <w:sdt>
      <w:sdtPr>
        <w:rPr>
          <w:color w:val="000000" w:themeColor="text1"/>
        </w:rPr>
        <w:id w:val="793258293"/>
        <w:docPartObj>
          <w:docPartGallery w:val="Table of Contents"/>
          <w:docPartUnique/>
        </w:docPartObj>
      </w:sdtPr>
      <w:sdtEndPr>
        <w:rPr>
          <w:rFonts w:ascii="Times New Roman" w:eastAsiaTheme="minorHAnsi" w:hAnsi="Times New Roman" w:cstheme="minorBidi"/>
          <w:noProof/>
          <w:color w:val="auto"/>
          <w:sz w:val="24"/>
          <w:szCs w:val="22"/>
          <w:lang w:val="en-GB"/>
        </w:rPr>
      </w:sdtEndPr>
      <w:sdtContent>
        <w:p w14:paraId="50614635" w14:textId="3EA9EADF" w:rsidR="00A352DF" w:rsidRPr="00A352DF" w:rsidRDefault="00A352DF">
          <w:pPr>
            <w:pStyle w:val="TOCHeading"/>
            <w:rPr>
              <w:color w:val="000000" w:themeColor="text1"/>
            </w:rPr>
          </w:pPr>
          <w:r w:rsidRPr="00A352DF">
            <w:rPr>
              <w:color w:val="000000" w:themeColor="text1"/>
            </w:rPr>
            <w:t>Table of Contents</w:t>
          </w:r>
        </w:p>
        <w:p w14:paraId="7E05B86A" w14:textId="290A021D" w:rsidR="00A352DF" w:rsidRDefault="00A352DF">
          <w:pPr>
            <w:pStyle w:val="TOC1"/>
            <w:tabs>
              <w:tab w:val="right" w:leader="dot" w:pos="9016"/>
            </w:tabs>
            <w:rPr>
              <w:rFonts w:asciiTheme="minorHAnsi" w:eastAsiaTheme="minorEastAsia" w:hAnsiTheme="minorHAnsi"/>
              <w:noProof/>
              <w:kern w:val="2"/>
              <w:szCs w:val="24"/>
              <w:lang w:eastAsia="en-GB"/>
              <w14:ligatures w14:val="standardContextual"/>
            </w:rPr>
          </w:pPr>
          <w:r>
            <w:fldChar w:fldCharType="begin"/>
          </w:r>
          <w:r>
            <w:instrText xml:space="preserve"> TOC \o "1-3" \h \z \u </w:instrText>
          </w:r>
          <w:r>
            <w:fldChar w:fldCharType="separate"/>
          </w:r>
          <w:hyperlink w:anchor="_Toc227914268" w:history="1">
            <w:r w:rsidRPr="00467E7C">
              <w:rPr>
                <w:rStyle w:val="Hyperlink"/>
                <w:rFonts w:ascii="Arial" w:eastAsia="Times New Roman" w:hAnsi="Arial" w:cs="Arial"/>
                <w:b/>
                <w:bCs/>
                <w:noProof/>
                <w:kern w:val="36"/>
                <w:lang w:eastAsia="en-GB"/>
              </w:rPr>
              <w:t>1. Introduction</w:t>
            </w:r>
            <w:r>
              <w:rPr>
                <w:noProof/>
                <w:webHidden/>
              </w:rPr>
              <w:tab/>
            </w:r>
            <w:r>
              <w:rPr>
                <w:noProof/>
                <w:webHidden/>
              </w:rPr>
              <w:fldChar w:fldCharType="begin"/>
            </w:r>
            <w:r>
              <w:rPr>
                <w:noProof/>
                <w:webHidden/>
              </w:rPr>
              <w:instrText xml:space="preserve"> PAGEREF _Toc227914268 \h </w:instrText>
            </w:r>
            <w:r>
              <w:rPr>
                <w:noProof/>
                <w:webHidden/>
              </w:rPr>
            </w:r>
            <w:r>
              <w:rPr>
                <w:noProof/>
                <w:webHidden/>
              </w:rPr>
              <w:fldChar w:fldCharType="separate"/>
            </w:r>
            <w:r>
              <w:rPr>
                <w:noProof/>
                <w:webHidden/>
              </w:rPr>
              <w:t>3</w:t>
            </w:r>
            <w:r>
              <w:rPr>
                <w:noProof/>
                <w:webHidden/>
              </w:rPr>
              <w:fldChar w:fldCharType="end"/>
            </w:r>
          </w:hyperlink>
        </w:p>
        <w:p w14:paraId="3C80C4E7" w14:textId="1866AD30" w:rsidR="00A352DF" w:rsidRDefault="00A352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914269" w:history="1">
            <w:r w:rsidRPr="00467E7C">
              <w:rPr>
                <w:rStyle w:val="Hyperlink"/>
                <w:rFonts w:ascii="Arial" w:eastAsia="Times New Roman" w:hAnsi="Arial" w:cs="Arial"/>
                <w:b/>
                <w:bCs/>
                <w:noProof/>
                <w:kern w:val="36"/>
                <w:lang w:eastAsia="en-GB"/>
              </w:rPr>
              <w:t>2. The Importance of Effective Communication</w:t>
            </w:r>
            <w:r>
              <w:rPr>
                <w:noProof/>
                <w:webHidden/>
              </w:rPr>
              <w:tab/>
            </w:r>
            <w:r>
              <w:rPr>
                <w:noProof/>
                <w:webHidden/>
              </w:rPr>
              <w:fldChar w:fldCharType="begin"/>
            </w:r>
            <w:r>
              <w:rPr>
                <w:noProof/>
                <w:webHidden/>
              </w:rPr>
              <w:instrText xml:space="preserve"> PAGEREF _Toc227914269 \h </w:instrText>
            </w:r>
            <w:r>
              <w:rPr>
                <w:noProof/>
                <w:webHidden/>
              </w:rPr>
            </w:r>
            <w:r>
              <w:rPr>
                <w:noProof/>
                <w:webHidden/>
              </w:rPr>
              <w:fldChar w:fldCharType="separate"/>
            </w:r>
            <w:r>
              <w:rPr>
                <w:noProof/>
                <w:webHidden/>
              </w:rPr>
              <w:t>3</w:t>
            </w:r>
            <w:r>
              <w:rPr>
                <w:noProof/>
                <w:webHidden/>
              </w:rPr>
              <w:fldChar w:fldCharType="end"/>
            </w:r>
          </w:hyperlink>
        </w:p>
        <w:p w14:paraId="330E9847" w14:textId="6FB7FEBF" w:rsidR="00A352DF" w:rsidRDefault="00A352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914270" w:history="1">
            <w:r w:rsidRPr="00467E7C">
              <w:rPr>
                <w:rStyle w:val="Hyperlink"/>
                <w:rFonts w:ascii="Arial" w:eastAsia="Times New Roman" w:hAnsi="Arial" w:cs="Arial"/>
                <w:b/>
                <w:bCs/>
                <w:noProof/>
                <w:kern w:val="36"/>
                <w:lang w:eastAsia="en-GB"/>
              </w:rPr>
              <w:t>3. Importance of Good Administrative Skills</w:t>
            </w:r>
            <w:r>
              <w:rPr>
                <w:noProof/>
                <w:webHidden/>
              </w:rPr>
              <w:tab/>
            </w:r>
            <w:r>
              <w:rPr>
                <w:noProof/>
                <w:webHidden/>
              </w:rPr>
              <w:fldChar w:fldCharType="begin"/>
            </w:r>
            <w:r>
              <w:rPr>
                <w:noProof/>
                <w:webHidden/>
              </w:rPr>
              <w:instrText xml:space="preserve"> PAGEREF _Toc227914270 \h </w:instrText>
            </w:r>
            <w:r>
              <w:rPr>
                <w:noProof/>
                <w:webHidden/>
              </w:rPr>
            </w:r>
            <w:r>
              <w:rPr>
                <w:noProof/>
                <w:webHidden/>
              </w:rPr>
              <w:fldChar w:fldCharType="separate"/>
            </w:r>
            <w:r>
              <w:rPr>
                <w:noProof/>
                <w:webHidden/>
              </w:rPr>
              <w:t>4</w:t>
            </w:r>
            <w:r>
              <w:rPr>
                <w:noProof/>
                <w:webHidden/>
              </w:rPr>
              <w:fldChar w:fldCharType="end"/>
            </w:r>
          </w:hyperlink>
        </w:p>
        <w:p w14:paraId="51F4A4C6" w14:textId="32831586" w:rsidR="00A352DF" w:rsidRDefault="00A352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914271" w:history="1">
            <w:r w:rsidRPr="00467E7C">
              <w:rPr>
                <w:rStyle w:val="Hyperlink"/>
                <w:rFonts w:ascii="Arial" w:eastAsia="Times New Roman" w:hAnsi="Arial" w:cs="Arial"/>
                <w:b/>
                <w:bCs/>
                <w:noProof/>
                <w:kern w:val="36"/>
                <w:lang w:eastAsia="en-GB"/>
              </w:rPr>
              <w:t>4. Importance of Working Collaboratively</w:t>
            </w:r>
            <w:r>
              <w:rPr>
                <w:noProof/>
                <w:webHidden/>
              </w:rPr>
              <w:tab/>
            </w:r>
            <w:r>
              <w:rPr>
                <w:noProof/>
                <w:webHidden/>
              </w:rPr>
              <w:fldChar w:fldCharType="begin"/>
            </w:r>
            <w:r>
              <w:rPr>
                <w:noProof/>
                <w:webHidden/>
              </w:rPr>
              <w:instrText xml:space="preserve"> PAGEREF _Toc227914271 \h </w:instrText>
            </w:r>
            <w:r>
              <w:rPr>
                <w:noProof/>
                <w:webHidden/>
              </w:rPr>
            </w:r>
            <w:r>
              <w:rPr>
                <w:noProof/>
                <w:webHidden/>
              </w:rPr>
              <w:fldChar w:fldCharType="separate"/>
            </w:r>
            <w:r>
              <w:rPr>
                <w:noProof/>
                <w:webHidden/>
              </w:rPr>
              <w:t>5</w:t>
            </w:r>
            <w:r>
              <w:rPr>
                <w:noProof/>
                <w:webHidden/>
              </w:rPr>
              <w:fldChar w:fldCharType="end"/>
            </w:r>
          </w:hyperlink>
        </w:p>
        <w:p w14:paraId="3162169F" w14:textId="71BE36AC" w:rsidR="00A352DF" w:rsidRDefault="00A352DF">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7914272" w:history="1">
            <w:r w:rsidRPr="00467E7C">
              <w:rPr>
                <w:rStyle w:val="Hyperlink"/>
                <w:rFonts w:ascii="Arial" w:eastAsia="Times New Roman" w:hAnsi="Arial" w:cs="Arial"/>
                <w:b/>
                <w:bCs/>
                <w:noProof/>
                <w:kern w:val="36"/>
                <w:lang w:eastAsia="en-GB"/>
              </w:rPr>
              <w:t>5. Conclusion</w:t>
            </w:r>
            <w:r>
              <w:rPr>
                <w:noProof/>
                <w:webHidden/>
              </w:rPr>
              <w:tab/>
            </w:r>
            <w:r>
              <w:rPr>
                <w:noProof/>
                <w:webHidden/>
              </w:rPr>
              <w:fldChar w:fldCharType="begin"/>
            </w:r>
            <w:r>
              <w:rPr>
                <w:noProof/>
                <w:webHidden/>
              </w:rPr>
              <w:instrText xml:space="preserve"> PAGEREF _Toc227914272 \h </w:instrText>
            </w:r>
            <w:r>
              <w:rPr>
                <w:noProof/>
                <w:webHidden/>
              </w:rPr>
            </w:r>
            <w:r>
              <w:rPr>
                <w:noProof/>
                <w:webHidden/>
              </w:rPr>
              <w:fldChar w:fldCharType="separate"/>
            </w:r>
            <w:r>
              <w:rPr>
                <w:noProof/>
                <w:webHidden/>
              </w:rPr>
              <w:t>6</w:t>
            </w:r>
            <w:r>
              <w:rPr>
                <w:noProof/>
                <w:webHidden/>
              </w:rPr>
              <w:fldChar w:fldCharType="end"/>
            </w:r>
          </w:hyperlink>
        </w:p>
        <w:p w14:paraId="1B0AB1AC" w14:textId="3CBB496F" w:rsidR="00A352DF" w:rsidRDefault="00A352DF">
          <w:pPr>
            <w:pStyle w:val="TOC3"/>
            <w:tabs>
              <w:tab w:val="right" w:leader="dot" w:pos="9016"/>
            </w:tabs>
            <w:rPr>
              <w:rFonts w:asciiTheme="minorHAnsi" w:eastAsiaTheme="minorEastAsia" w:hAnsiTheme="minorHAnsi"/>
              <w:noProof/>
              <w:kern w:val="2"/>
              <w:szCs w:val="24"/>
              <w:lang w:eastAsia="en-GB"/>
              <w14:ligatures w14:val="standardContextual"/>
            </w:rPr>
          </w:pPr>
          <w:hyperlink w:anchor="_Toc227914273" w:history="1">
            <w:r w:rsidRPr="00467E7C">
              <w:rPr>
                <w:rStyle w:val="Hyperlink"/>
                <w:rFonts w:ascii="Arial" w:eastAsia="Times New Roman" w:hAnsi="Arial" w:cs="Arial"/>
                <w:b/>
                <w:bCs/>
                <w:noProof/>
                <w:lang w:eastAsia="en-GB"/>
              </w:rPr>
              <w:t>References</w:t>
            </w:r>
            <w:r w:rsidRPr="00467E7C">
              <w:rPr>
                <w:rStyle w:val="Hyperlink"/>
                <w:rFonts w:ascii="Arial" w:eastAsia="Times New Roman" w:hAnsi="Arial" w:cs="Arial"/>
                <w:noProof/>
                <w:lang w:eastAsia="en-GB"/>
              </w:rPr>
              <w:t xml:space="preserve"> (Accessed: 13th April 2026)</w:t>
            </w:r>
            <w:r>
              <w:rPr>
                <w:noProof/>
                <w:webHidden/>
              </w:rPr>
              <w:tab/>
            </w:r>
            <w:r>
              <w:rPr>
                <w:noProof/>
                <w:webHidden/>
              </w:rPr>
              <w:fldChar w:fldCharType="begin"/>
            </w:r>
            <w:r>
              <w:rPr>
                <w:noProof/>
                <w:webHidden/>
              </w:rPr>
              <w:instrText xml:space="preserve"> PAGEREF _Toc227914273 \h </w:instrText>
            </w:r>
            <w:r>
              <w:rPr>
                <w:noProof/>
                <w:webHidden/>
              </w:rPr>
            </w:r>
            <w:r>
              <w:rPr>
                <w:noProof/>
                <w:webHidden/>
              </w:rPr>
              <w:fldChar w:fldCharType="separate"/>
            </w:r>
            <w:r>
              <w:rPr>
                <w:noProof/>
                <w:webHidden/>
              </w:rPr>
              <w:t>6</w:t>
            </w:r>
            <w:r>
              <w:rPr>
                <w:noProof/>
                <w:webHidden/>
              </w:rPr>
              <w:fldChar w:fldCharType="end"/>
            </w:r>
          </w:hyperlink>
        </w:p>
        <w:p w14:paraId="3ECF4B9A" w14:textId="77FCF758" w:rsidR="00A352DF" w:rsidRDefault="00A352DF">
          <w:r>
            <w:rPr>
              <w:b/>
              <w:bCs/>
              <w:noProof/>
            </w:rPr>
            <w:fldChar w:fldCharType="end"/>
          </w:r>
        </w:p>
      </w:sdtContent>
    </w:sdt>
    <w:p w14:paraId="61DB32C4" w14:textId="3E697B54" w:rsidR="005035C7" w:rsidRDefault="005035C7"/>
    <w:p w14:paraId="13E00080" w14:textId="137FF22A" w:rsidR="00B87E75" w:rsidRPr="00CD33A8" w:rsidRDefault="00B87E75" w:rsidP="00CD33A8">
      <w:pPr>
        <w:spacing w:line="360" w:lineRule="auto"/>
        <w:rPr>
          <w:rFonts w:asciiTheme="minorBidi" w:hAnsiTheme="minorBidi"/>
          <w:sz w:val="22"/>
        </w:rPr>
      </w:pP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4F7320CB" w14:textId="000D21B8" w:rsidR="00B87E75" w:rsidRPr="00CD33A8" w:rsidRDefault="00B87E75" w:rsidP="0025283B">
      <w:pPr>
        <w:spacing w:line="360" w:lineRule="auto"/>
        <w:rPr>
          <w:rFonts w:asciiTheme="minorBidi" w:hAnsiTheme="minorBidi"/>
          <w:sz w:val="22"/>
        </w:rPr>
      </w:pPr>
      <w:r w:rsidRPr="00CD33A8">
        <w:rPr>
          <w:rFonts w:asciiTheme="minorBidi" w:hAnsiTheme="minorBidi"/>
          <w:sz w:val="22"/>
        </w:rPr>
        <w:br w:type="page"/>
      </w:r>
    </w:p>
    <w:p w14:paraId="7ED7FE52" w14:textId="4524739F" w:rsidR="00B932DE" w:rsidRPr="00B932DE" w:rsidRDefault="00B932DE" w:rsidP="00B62EA2">
      <w:pPr>
        <w:spacing w:before="100" w:beforeAutospacing="1" w:after="100" w:afterAutospacing="1" w:line="360" w:lineRule="auto"/>
        <w:outlineLvl w:val="0"/>
        <w:rPr>
          <w:rFonts w:ascii="Arial" w:eastAsia="Times New Roman" w:hAnsi="Arial" w:cs="Arial"/>
          <w:color w:val="000000"/>
          <w:kern w:val="36"/>
          <w:sz w:val="22"/>
          <w:lang w:eastAsia="en-GB"/>
        </w:rPr>
      </w:pPr>
      <w:bookmarkStart w:id="0" w:name="_Toc227914268"/>
      <w:r w:rsidRPr="00B62EA2">
        <w:rPr>
          <w:rFonts w:ascii="Arial" w:eastAsia="Times New Roman" w:hAnsi="Arial" w:cs="Arial"/>
          <w:b/>
          <w:bCs/>
          <w:color w:val="000000"/>
          <w:kern w:val="36"/>
          <w:sz w:val="22"/>
          <w:lang w:eastAsia="en-GB"/>
        </w:rPr>
        <w:lastRenderedPageBreak/>
        <w:t>1. Introduction</w:t>
      </w:r>
      <w:bookmarkEnd w:id="0"/>
      <w:r w:rsidRPr="00B932DE">
        <w:rPr>
          <w:rFonts w:ascii="Arial" w:eastAsia="Times New Roman" w:hAnsi="Arial" w:cs="Arial"/>
          <w:color w:val="000000"/>
          <w:kern w:val="36"/>
          <w:sz w:val="22"/>
          <w:lang w:eastAsia="en-GB"/>
        </w:rPr>
        <w:t xml:space="preserve"> </w:t>
      </w:r>
    </w:p>
    <w:p w14:paraId="3F447E4D" w14:textId="604E4814"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The provision of health and social care for individuals with complex needs</w:t>
      </w:r>
      <w:r w:rsidR="00B62EA2">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specifically those recovering from a cerebrovascular accident (CVA)requires a multidimensional approach that transcends simple medical intervention. This report provides a comprehensive analysis of the care provision for Mr. Ahmed, a 68-year-old stroke survivor living in a domiciliary setting. Mr. Ahmed’s situation is multifaceted, involving physical disability, neurological impairment in the form of aphasia, and significant cultural and linguistic barriers. These factors create a complex clinical picture that requires more than just routine care</w:t>
      </w:r>
      <w:r w:rsidR="00816DF1">
        <w:rPr>
          <w:rFonts w:ascii="Arial" w:eastAsiaTheme="minorEastAsia" w:hAnsi="Arial" w:cs="Arial"/>
          <w:color w:val="000000"/>
          <w:sz w:val="22"/>
          <w:lang w:eastAsia="en-GB"/>
        </w:rPr>
        <w:t>,</w:t>
      </w:r>
      <w:r w:rsidRPr="00B932DE">
        <w:rPr>
          <w:rFonts w:ascii="Arial" w:eastAsiaTheme="minorEastAsia" w:hAnsi="Arial" w:cs="Arial"/>
          <w:color w:val="000000"/>
          <w:sz w:val="22"/>
          <w:lang w:eastAsia="en-GB"/>
        </w:rPr>
        <w:t xml:space="preserve"> it necessitates a person-centred strategy that integrates social, psychological, and medical support.</w:t>
      </w:r>
    </w:p>
    <w:p w14:paraId="41AE1788" w14:textId="77777777"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The primary objective of this analysis is to examine three critical pillars of professional practice that directly impact Mr. Ahmed’s safety and quality of life: effective communication, administrative proficiency, and collaborative multi-agency working. The report evaluates the critical role of communication in overcoming language barriers and fulfilling the legal mandates of the Equality Act 2010 and the Accessible Information Standard (NHS England, 2016). Furthermore, it scrutinises the significance of rigorous record-keeping and data management in alignment with the Data Protection Act 2018 (DPA), UK GDPR, and the Care Act 2014, particularly in light of a serious medication error that occurred in his care. Finally, it discusses how integrated working between GPs, district nurses, therapists, and third-sector organisations is essential to safeguard the dignity, autonomy, and recovery of service users. By synthesising academic models with legislative frameworks, this case demonstrates that patient safety is an emergent property of a well-coordinated, integrated system rather than the responsibility of a single practitioner.</w:t>
      </w:r>
    </w:p>
    <w:p w14:paraId="4EC981CA" w14:textId="3F73435F" w:rsidR="00B932DE" w:rsidRPr="00447E24" w:rsidRDefault="00B932DE" w:rsidP="00B62EA2">
      <w:pPr>
        <w:spacing w:before="100" w:beforeAutospacing="1" w:after="100" w:afterAutospacing="1" w:line="360" w:lineRule="auto"/>
        <w:outlineLvl w:val="0"/>
        <w:rPr>
          <w:rFonts w:ascii="Arial" w:eastAsia="Times New Roman" w:hAnsi="Arial" w:cs="Arial"/>
          <w:b/>
          <w:bCs/>
          <w:color w:val="000000"/>
          <w:kern w:val="36"/>
          <w:sz w:val="22"/>
          <w:lang w:eastAsia="en-GB"/>
        </w:rPr>
      </w:pPr>
      <w:bookmarkStart w:id="1" w:name="_Toc227914269"/>
      <w:r w:rsidRPr="00447E24">
        <w:rPr>
          <w:rFonts w:ascii="Arial" w:eastAsia="Times New Roman" w:hAnsi="Arial" w:cs="Arial"/>
          <w:b/>
          <w:bCs/>
          <w:color w:val="000000"/>
          <w:kern w:val="36"/>
          <w:sz w:val="22"/>
          <w:lang w:eastAsia="en-GB"/>
        </w:rPr>
        <w:t>2. The Importance of Effective Communication</w:t>
      </w:r>
      <w:bookmarkEnd w:id="1"/>
      <w:r w:rsidRPr="00447E24">
        <w:rPr>
          <w:rFonts w:ascii="Arial" w:eastAsia="Times New Roman" w:hAnsi="Arial" w:cs="Arial"/>
          <w:b/>
          <w:bCs/>
          <w:color w:val="000000"/>
          <w:kern w:val="36"/>
          <w:sz w:val="22"/>
          <w:lang w:eastAsia="en-GB"/>
        </w:rPr>
        <w:t xml:space="preserve"> </w:t>
      </w:r>
    </w:p>
    <w:p w14:paraId="238503DE" w14:textId="4C6840DD"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Communication is the foundation of the human connection in care and a fundamental human right. For Mr. Ahmed, the intersection of post-stroke aphasia and a primary language barrier (Bengali) creates what can be described as a double silence.This silence leads to profound frustration, social isolation, and a significantly increased risk of clinical errors. Humanising his care means seeing past the clinical diagnosis to the man who needs to be heard and respected.</w:t>
      </w:r>
    </w:p>
    <w:p w14:paraId="40F21B30" w14:textId="3A91F840"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Under the Equality Act 2010, Mr. Ahmed is protected against discrimination based on both his disability and his race/ethnicity. The law requires care providers to make reasonable adjustments to ensure he is not at a disadvantage. Furthermore, the Accessible Information Standard (2016)a legal requirement for all NHS and adult social care providers</w:t>
      </w:r>
      <w:r w:rsidR="00DB646F">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mandates that organisations must identify, record, and meet the communication needs of patients with a disability or sensory loss. In Mr. Ahmed’s case, relying on his wife to translate medical information might seem convenient, but it is ethically and legally problematic. It strips Mr. Ahmed of his privacy and autonomy, potentially leading to gatekeeping where his true feelings or symptoms are filtered by a family member. To truly respect his dignity, providers must use professional interpreter services (such as LanguageLine) or translated materials in Bengali, ensuring Mr. Ahmed remains the protagonist of his own recovery journey.</w:t>
      </w:r>
    </w:p>
    <w:p w14:paraId="2309DB7A" w14:textId="0D530912"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To understand why communication often fails, we can apply </w:t>
      </w:r>
      <w:proofErr w:type="spellStart"/>
      <w:r w:rsidRPr="00B932DE">
        <w:rPr>
          <w:rFonts w:ascii="Arial" w:eastAsiaTheme="minorEastAsia" w:hAnsi="Arial" w:cs="Arial"/>
          <w:color w:val="000000"/>
          <w:sz w:val="22"/>
          <w:lang w:eastAsia="en-GB"/>
        </w:rPr>
        <w:t>Schramm’s</w:t>
      </w:r>
      <w:proofErr w:type="spellEnd"/>
      <w:r w:rsidRPr="00B932DE">
        <w:rPr>
          <w:rFonts w:ascii="Arial" w:eastAsiaTheme="minorEastAsia" w:hAnsi="Arial" w:cs="Arial"/>
          <w:color w:val="000000"/>
          <w:sz w:val="22"/>
          <w:lang w:eastAsia="en-GB"/>
        </w:rPr>
        <w:t xml:space="preserve"> Model of Communication. This model emphasises the field of experience</w:t>
      </w:r>
      <w:r w:rsidR="003C7525">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the sum of a person’s culture, health status, and personal history. Mr. Ahmed’s stroke creates significant internal noise (neurological impairment) that makes decoding even simple English instructions exhausting. A human-centred approach requires an active feedback loop. Instead of simply speaking at him, the carer must adopt Total Communication strategies. This includes using non-verbal cues, maintaining eye contact, and employing teach-back methods to confirm understanding.</w:t>
      </w:r>
    </w:p>
    <w:p w14:paraId="4C35A565" w14:textId="047A58D2"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Practical tools can bridge the gap. Visual aids, such as flashcards or pictorial scales for pain and hunger, give a voice back to a man who has lost his ability to speak fluently. Moreover, cultural competence is vital. Acknowledging his Bengali heritage through dietary preferences or prayer times shows Mr. Ahmed that he is seen as a whole person</w:t>
      </w:r>
      <w:r w:rsidR="00073D5A">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(Thompson, 2021). This aligns with the Nursing and Midwifery Council (NMC) Code, which demands that professionals treat people as individuals and uphold their dignity. When communication is tailored to the individual, the power imbalance between the provider and the patient is reduced, fostering a therapeutic relationship built on trust.</w:t>
      </w:r>
    </w:p>
    <w:p w14:paraId="4116F7DF" w14:textId="0853FFBB" w:rsidR="00B932DE" w:rsidRPr="00073D5A" w:rsidRDefault="00B932DE" w:rsidP="00B62EA2">
      <w:pPr>
        <w:spacing w:before="100" w:beforeAutospacing="1" w:after="100" w:afterAutospacing="1" w:line="360" w:lineRule="auto"/>
        <w:outlineLvl w:val="0"/>
        <w:rPr>
          <w:rFonts w:ascii="Arial" w:eastAsia="Times New Roman" w:hAnsi="Arial" w:cs="Arial"/>
          <w:b/>
          <w:bCs/>
          <w:color w:val="000000"/>
          <w:kern w:val="36"/>
          <w:sz w:val="22"/>
          <w:lang w:eastAsia="en-GB"/>
        </w:rPr>
      </w:pPr>
      <w:bookmarkStart w:id="2" w:name="_Toc227914270"/>
      <w:r w:rsidRPr="00073D5A">
        <w:rPr>
          <w:rFonts w:ascii="Arial" w:eastAsia="Times New Roman" w:hAnsi="Arial" w:cs="Arial"/>
          <w:b/>
          <w:bCs/>
          <w:color w:val="000000"/>
          <w:kern w:val="36"/>
          <w:sz w:val="22"/>
          <w:lang w:eastAsia="en-GB"/>
        </w:rPr>
        <w:t>3. Importance of Good Administrative Skills</w:t>
      </w:r>
      <w:bookmarkEnd w:id="2"/>
      <w:r w:rsidRPr="00073D5A">
        <w:rPr>
          <w:rFonts w:ascii="Arial" w:eastAsia="Times New Roman" w:hAnsi="Arial" w:cs="Arial"/>
          <w:b/>
          <w:bCs/>
          <w:color w:val="000000"/>
          <w:kern w:val="36"/>
          <w:sz w:val="22"/>
          <w:lang w:eastAsia="en-GB"/>
        </w:rPr>
        <w:t xml:space="preserve"> </w:t>
      </w:r>
    </w:p>
    <w:p w14:paraId="292FFA3C" w14:textId="31DAE31A"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Administration in health and social care is often dismissed as paperwork, yet in Mr. Ahmed’s case, a scheduling error led to a missed medication dose</w:t>
      </w:r>
      <w:r w:rsidR="00CF0DEF">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a failure that could have had fatal consequences. Administrative proficiency is, therefore, a core component of clinical safety and a direct act of protection. The Data Protection Act 2018 (DPA) and UK GDPR mandate that personal data be handled with accuracy, integrity, and confidentiality. In a domiciliary setting, an inaccurate or outdated record is a dangerous record.</w:t>
      </w:r>
    </w:p>
    <w:p w14:paraId="309F8991" w14:textId="71C97F4A"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The Care Act 2014 places a duty on local authorities and care providers to ensure the well-being of service users. Part of this duty involves robust governance and record-keeping to prevent safeguarding incidents. The missed medication suggests a breakdown in the digital or paper systems designed to protect Mr. Ahmed. Professionalism requires that his records be stored securely but remain accessible to the entire multidisciplinary team (MDT). This ensures that no vital detail</w:t>
      </w:r>
      <w:r w:rsidR="00CF0DEF">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such as a change in dosage or a specific cultural preference</w:t>
      </w:r>
      <w:r w:rsidR="00CF0DEF">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falls through the cracks.</w:t>
      </w:r>
    </w:p>
    <w:p w14:paraId="736D5B3C" w14:textId="387AD570"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Good record-keeping is a clinical necessity, as highlighted by the Care Quality Commission (CQC, 2024) under Regulation 17: Good Governance. Humanising administration means understanding that behind every data point is a human life. Contemporaneous notes, written at the time of care, are essential. They ensure that the next professional entering Mr. Ahmed’s home knows exactly what has occurred during previous visits. This prevent fragmentation of care, where different workers provide conflicting support. Without a clear audit trail, it is impossible to conduct a Root Cause Analysis (RCA) to learn from mistakes like the missed medication. Therefore, robust administration acts as a silent but vital guardian, ensuring accountability and continuity. It is the framework that allows the clinical work to be performed safely and effectively.</w:t>
      </w:r>
    </w:p>
    <w:p w14:paraId="45520BA7" w14:textId="731BDE4A" w:rsidR="00B932DE" w:rsidRPr="00F66FBD" w:rsidRDefault="00B932DE" w:rsidP="00B62EA2">
      <w:pPr>
        <w:spacing w:before="100" w:beforeAutospacing="1" w:after="100" w:afterAutospacing="1" w:line="360" w:lineRule="auto"/>
        <w:outlineLvl w:val="0"/>
        <w:rPr>
          <w:rFonts w:ascii="Arial" w:eastAsia="Times New Roman" w:hAnsi="Arial" w:cs="Arial"/>
          <w:b/>
          <w:bCs/>
          <w:color w:val="000000"/>
          <w:kern w:val="36"/>
          <w:sz w:val="22"/>
          <w:lang w:eastAsia="en-GB"/>
        </w:rPr>
      </w:pPr>
      <w:bookmarkStart w:id="3" w:name="_Toc227914271"/>
      <w:r w:rsidRPr="00F66FBD">
        <w:rPr>
          <w:rFonts w:ascii="Arial" w:eastAsia="Times New Roman" w:hAnsi="Arial" w:cs="Arial"/>
          <w:b/>
          <w:bCs/>
          <w:color w:val="000000"/>
          <w:kern w:val="36"/>
          <w:sz w:val="22"/>
          <w:lang w:eastAsia="en-GB"/>
        </w:rPr>
        <w:t>4. Importance of Working Collaboratively</w:t>
      </w:r>
      <w:bookmarkEnd w:id="3"/>
      <w:r w:rsidRPr="00F66FBD">
        <w:rPr>
          <w:rFonts w:ascii="Arial" w:eastAsia="Times New Roman" w:hAnsi="Arial" w:cs="Arial"/>
          <w:b/>
          <w:bCs/>
          <w:color w:val="000000"/>
          <w:kern w:val="36"/>
          <w:sz w:val="22"/>
          <w:lang w:eastAsia="en-GB"/>
        </w:rPr>
        <w:t xml:space="preserve"> </w:t>
      </w:r>
    </w:p>
    <w:p w14:paraId="7795CD12" w14:textId="2ADA7715"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The complexity of Mr. Ahmed’s recovery necessitates a collaborative, multi-agency approach involving his GP, district nurses, Speech and Language Therapists (SLT), and domiciliary care workers. No single professional possesses the full range of skills required to address the multifaceted needs of a stroke survivor. Collaborative working, as defined by Larkin (2018), is the process of different agencies working together toward a common goal</w:t>
      </w:r>
      <w:r w:rsidR="003B4AF9">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Mr. Ahmed’s rehabilitation and safety.</w:t>
      </w:r>
    </w:p>
    <w:p w14:paraId="48E92FB6" w14:textId="2FA7A666"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This integrated approach is now a central focus of UK policy, specifically the Health and Care Act 2022, which promotes the integration of health and social services to improve outcomes. A primary strategy for fostering this is the use of Multidisciplinary Team (MDT) meetings and shared electronic care records. These platforms allow the SLT to share specific techniques with front-line care workers, ensuring a consistent approach to Mr. Ahmed’s rehabilitation. However, multi-agency working is not without challenges. Barriers include siloed</w:t>
      </w:r>
      <w:r w:rsidR="003B4AF9">
        <w:rPr>
          <w:rFonts w:ascii="Arial" w:eastAsiaTheme="minorEastAsia" w:hAnsi="Arial" w:cs="Arial"/>
          <w:color w:val="000000"/>
          <w:sz w:val="22"/>
          <w:lang w:eastAsia="en-GB"/>
        </w:rPr>
        <w:t xml:space="preserve"> </w:t>
      </w:r>
      <w:r w:rsidRPr="00B932DE">
        <w:rPr>
          <w:rFonts w:ascii="Arial" w:eastAsiaTheme="minorEastAsia" w:hAnsi="Arial" w:cs="Arial"/>
          <w:color w:val="000000"/>
          <w:sz w:val="22"/>
          <w:lang w:eastAsia="en-GB"/>
        </w:rPr>
        <w:t>communication, where different organisations fail to share information, and conflicting professional priorities. For instance, a care worker may prioritise immediate hygiene tasks, while the SLT focuses on long-term swallowing exercises.</w:t>
      </w:r>
    </w:p>
    <w:p w14:paraId="34D842D8" w14:textId="16FE2706"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To overcome these barriers, professionals should adopt standardised communication tools such as the SBAR framework (Situation, Background, Assessment, Recommendation) (Stewart and Hand, 2017). SBAR provides a structured method for communicating essential information, which is particularly vital during a crisis like a missed medication dose. For example, when the error was discovered, an SBAR report would ensure the GP received a concise summary of the situation and a clear recommendation for urgent review. Collaborative working also plays a crucial role in safeguarding. The safety net created by multiple agencies means that errors made by one individual are more likely to be caught by another. By placing Mr. Ahmed at the centre of the MDT, professionals ensure that their collective efforts are aligned with his personal goals, promoting a safer environment for recovery.</w:t>
      </w:r>
    </w:p>
    <w:p w14:paraId="67891742" w14:textId="5760BAF4" w:rsidR="00B932DE" w:rsidRPr="00196718" w:rsidRDefault="00B932DE" w:rsidP="00B62EA2">
      <w:pPr>
        <w:spacing w:before="100" w:beforeAutospacing="1" w:after="100" w:afterAutospacing="1" w:line="360" w:lineRule="auto"/>
        <w:outlineLvl w:val="0"/>
        <w:rPr>
          <w:rFonts w:ascii="Arial" w:eastAsia="Times New Roman" w:hAnsi="Arial" w:cs="Arial"/>
          <w:b/>
          <w:bCs/>
          <w:color w:val="000000"/>
          <w:kern w:val="36"/>
          <w:sz w:val="22"/>
          <w:lang w:eastAsia="en-GB"/>
        </w:rPr>
      </w:pPr>
      <w:bookmarkStart w:id="4" w:name="_Toc227914272"/>
      <w:r w:rsidRPr="00196718">
        <w:rPr>
          <w:rFonts w:ascii="Arial" w:eastAsia="Times New Roman" w:hAnsi="Arial" w:cs="Arial"/>
          <w:b/>
          <w:bCs/>
          <w:color w:val="000000"/>
          <w:kern w:val="36"/>
          <w:sz w:val="22"/>
          <w:lang w:eastAsia="en-GB"/>
        </w:rPr>
        <w:t>5. Conclusion</w:t>
      </w:r>
      <w:bookmarkEnd w:id="4"/>
    </w:p>
    <w:p w14:paraId="114E2110" w14:textId="77777777"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The case of Mr. Ahmed serves as a profound reminder that health and social care is a delicate and complex web of interpersonal, administrative, and inter-professional threads. This analysis has demonstrated that the quality of care is fundamentally dependent on the strength of these connections. Effective communication, guided by the Equality Act 2010 and the Accessible Information Standard, ensures that Mr. Ahmed’s dignity and rights are upheld, even when neurological barriers threaten to silence him. Robust administrative practices, underpinned by the DPA 2018 and CQC regulations, provide the essential framework for safety and accountability.</w:t>
      </w:r>
    </w:p>
    <w:p w14:paraId="7D570D5E" w14:textId="77777777" w:rsidR="00B932DE" w:rsidRPr="00B932DE" w:rsidRDefault="00B932DE" w:rsidP="00B62EA2">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Furthermore, collaborative, multi-agency working ensures that Mr. Ahmed’s care remains holistic and person-centred. The recent incident of missed medication acts as a critical lesson: a failure in one area can compromise the entire care structure. When the three pillars of communication, administration, and collaboration function optimally, the risks to the service user are minimised. Ultimately, professional practice must be an ongoing commitment to learning and adaptation, ensuring that the safety, autonomy, and recovery of the service user always remain the paramount focus of every intervention.</w:t>
      </w:r>
    </w:p>
    <w:p w14:paraId="0FA8D5F3" w14:textId="77777777" w:rsidR="00B932DE" w:rsidRPr="00B932DE" w:rsidRDefault="00B932DE" w:rsidP="00B62EA2">
      <w:pPr>
        <w:spacing w:after="0" w:line="360" w:lineRule="auto"/>
        <w:rPr>
          <w:rFonts w:ascii="Arial" w:eastAsia="Times New Roman" w:hAnsi="Arial" w:cs="Arial"/>
          <w:sz w:val="22"/>
          <w:lang w:eastAsia="en-GB"/>
        </w:rPr>
      </w:pPr>
      <w:r w:rsidRPr="00B932DE">
        <w:rPr>
          <w:rFonts w:ascii="Arial" w:eastAsia="Times New Roman" w:hAnsi="Arial" w:cs="Arial"/>
          <w:noProof/>
          <w:sz w:val="22"/>
          <w:lang w:eastAsia="en-GB"/>
        </w:rPr>
        <mc:AlternateContent>
          <mc:Choice Requires="wps">
            <w:drawing>
              <wp:inline distT="0" distB="0" distL="0" distR="0" wp14:anchorId="42D0C27C" wp14:editId="5DC1E01E">
                <wp:extent cx="5731510" cy="1270"/>
                <wp:effectExtent l="0" t="31750" r="0" b="36830"/>
                <wp:docPr id="80886635"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D8D94A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5B24760F" w14:textId="77777777" w:rsidR="00B932DE" w:rsidRPr="00B932DE" w:rsidRDefault="00B932DE" w:rsidP="00B62EA2">
      <w:pPr>
        <w:spacing w:before="100" w:beforeAutospacing="1" w:after="100" w:afterAutospacing="1" w:line="360" w:lineRule="auto"/>
        <w:outlineLvl w:val="2"/>
        <w:rPr>
          <w:rFonts w:ascii="Arial" w:eastAsia="Times New Roman" w:hAnsi="Arial" w:cs="Arial"/>
          <w:color w:val="000000"/>
          <w:sz w:val="22"/>
          <w:lang w:eastAsia="en-GB"/>
        </w:rPr>
      </w:pPr>
      <w:bookmarkStart w:id="5" w:name="_Toc227914273"/>
      <w:r w:rsidRPr="00E10458">
        <w:rPr>
          <w:rFonts w:ascii="Arial" w:eastAsia="Times New Roman" w:hAnsi="Arial" w:cs="Arial"/>
          <w:b/>
          <w:bCs/>
          <w:color w:val="000000"/>
          <w:sz w:val="22"/>
          <w:lang w:eastAsia="en-GB"/>
        </w:rPr>
        <w:t>References</w:t>
      </w:r>
      <w:r w:rsidRPr="00B932DE">
        <w:rPr>
          <w:rFonts w:ascii="Arial" w:eastAsia="Times New Roman" w:hAnsi="Arial" w:cs="Arial"/>
          <w:color w:val="000000"/>
          <w:sz w:val="22"/>
          <w:lang w:eastAsia="en-GB"/>
        </w:rPr>
        <w:t xml:space="preserve"> (Accessed: 13th April 2026)</w:t>
      </w:r>
      <w:bookmarkEnd w:id="5"/>
    </w:p>
    <w:p w14:paraId="20D212CA"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Care Act 2014, c. 23. London: The Stationery Office.</w:t>
      </w:r>
    </w:p>
    <w:p w14:paraId="36279418"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Care Quality Commission (CQC) (2024) Regulation 17: Good governance. Available at: </w:t>
      </w:r>
      <w:hyperlink r:id="rId9" w:tgtFrame="_blank" w:history="1">
        <w:r w:rsidRPr="00B932DE">
          <w:rPr>
            <w:rFonts w:ascii="Arial" w:eastAsiaTheme="minorEastAsia" w:hAnsi="Arial" w:cs="Arial"/>
            <w:color w:val="0000FF"/>
            <w:sz w:val="22"/>
            <w:u w:val="single"/>
            <w:lang w:eastAsia="en-GB"/>
          </w:rPr>
          <w:t>https://www.cqc.org.uk/guidance-providers/regulations-enforcement/regulation-17-good-governance</w:t>
        </w:r>
      </w:hyperlink>
    </w:p>
    <w:p w14:paraId="276925DA"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Data Protection Act 2018, c. 12. London: The Stationery Office.</w:t>
      </w:r>
    </w:p>
    <w:p w14:paraId="07DDDA77"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Department of Health and Social Care (2021) Health and social care integration: joining up care for people, places and populations. London: DHSC.</w:t>
      </w:r>
    </w:p>
    <w:p w14:paraId="6512B888"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Equality Act 2010, c. 15. London: The Stationery Office.</w:t>
      </w:r>
    </w:p>
    <w:p w14:paraId="1A3E272E"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Health and Care Act 2022, c. 31. London: The Stationery Office.</w:t>
      </w:r>
    </w:p>
    <w:p w14:paraId="5D71C728"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proofErr w:type="spellStart"/>
      <w:r w:rsidRPr="00B932DE">
        <w:rPr>
          <w:rFonts w:ascii="Arial" w:eastAsiaTheme="minorEastAsia" w:hAnsi="Arial" w:cs="Arial"/>
          <w:color w:val="000000"/>
          <w:sz w:val="22"/>
          <w:lang w:eastAsia="en-GB"/>
        </w:rPr>
        <w:t>Kourkouta</w:t>
      </w:r>
      <w:proofErr w:type="spellEnd"/>
      <w:r w:rsidRPr="00B932DE">
        <w:rPr>
          <w:rFonts w:ascii="Arial" w:eastAsiaTheme="minorEastAsia" w:hAnsi="Arial" w:cs="Arial"/>
          <w:color w:val="000000"/>
          <w:sz w:val="22"/>
          <w:lang w:eastAsia="en-GB"/>
        </w:rPr>
        <w:t xml:space="preserve">, L. and </w:t>
      </w:r>
      <w:proofErr w:type="spellStart"/>
      <w:r w:rsidRPr="00B932DE">
        <w:rPr>
          <w:rFonts w:ascii="Arial" w:eastAsiaTheme="minorEastAsia" w:hAnsi="Arial" w:cs="Arial"/>
          <w:color w:val="000000"/>
          <w:sz w:val="22"/>
          <w:lang w:eastAsia="en-GB"/>
        </w:rPr>
        <w:t>Papathanasiou</w:t>
      </w:r>
      <w:proofErr w:type="spellEnd"/>
      <w:r w:rsidRPr="00B932DE">
        <w:rPr>
          <w:rFonts w:ascii="Arial" w:eastAsiaTheme="minorEastAsia" w:hAnsi="Arial" w:cs="Arial"/>
          <w:color w:val="000000"/>
          <w:sz w:val="22"/>
          <w:lang w:eastAsia="en-GB"/>
        </w:rPr>
        <w:t>, I. V. (2014) 'Communication in nursing practice', </w:t>
      </w:r>
      <w:proofErr w:type="spellStart"/>
      <w:r w:rsidRPr="00B932DE">
        <w:rPr>
          <w:rFonts w:ascii="Arial" w:eastAsiaTheme="minorEastAsia" w:hAnsi="Arial" w:cs="Arial"/>
          <w:color w:val="000000"/>
          <w:sz w:val="22"/>
          <w:lang w:eastAsia="en-GB"/>
        </w:rPr>
        <w:t>Materia</w:t>
      </w:r>
      <w:proofErr w:type="spellEnd"/>
      <w:r w:rsidRPr="00B932DE">
        <w:rPr>
          <w:rFonts w:ascii="Arial" w:eastAsiaTheme="minorEastAsia" w:hAnsi="Arial" w:cs="Arial"/>
          <w:color w:val="000000"/>
          <w:sz w:val="22"/>
          <w:lang w:eastAsia="en-GB"/>
        </w:rPr>
        <w:t xml:space="preserve"> </w:t>
      </w:r>
      <w:proofErr w:type="spellStart"/>
      <w:r w:rsidRPr="00B932DE">
        <w:rPr>
          <w:rFonts w:ascii="Arial" w:eastAsiaTheme="minorEastAsia" w:hAnsi="Arial" w:cs="Arial"/>
          <w:color w:val="000000"/>
          <w:sz w:val="22"/>
          <w:lang w:eastAsia="en-GB"/>
        </w:rPr>
        <w:t>Socio-Medica</w:t>
      </w:r>
      <w:proofErr w:type="spellEnd"/>
      <w:r w:rsidRPr="00B932DE">
        <w:rPr>
          <w:rFonts w:ascii="Arial" w:eastAsiaTheme="minorEastAsia" w:hAnsi="Arial" w:cs="Arial"/>
          <w:color w:val="000000"/>
          <w:sz w:val="22"/>
          <w:lang w:eastAsia="en-GB"/>
        </w:rPr>
        <w:t>, 26(1), pp. 65-67.</w:t>
      </w:r>
    </w:p>
    <w:p w14:paraId="70F23341"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 xml:space="preserve">Larkin, M. (2018) Collaborative Working in Health and Social Care. 2nd </w:t>
      </w:r>
      <w:proofErr w:type="spellStart"/>
      <w:r w:rsidRPr="00B932DE">
        <w:rPr>
          <w:rFonts w:ascii="Arial" w:eastAsiaTheme="minorEastAsia" w:hAnsi="Arial" w:cs="Arial"/>
          <w:color w:val="000000"/>
          <w:sz w:val="22"/>
          <w:lang w:eastAsia="en-GB"/>
        </w:rPr>
        <w:t>edn</w:t>
      </w:r>
      <w:proofErr w:type="spellEnd"/>
      <w:r w:rsidRPr="00B932DE">
        <w:rPr>
          <w:rFonts w:ascii="Arial" w:eastAsiaTheme="minorEastAsia" w:hAnsi="Arial" w:cs="Arial"/>
          <w:color w:val="000000"/>
          <w:sz w:val="22"/>
          <w:lang w:eastAsia="en-GB"/>
        </w:rPr>
        <w:t>. London: Sage.</w:t>
      </w:r>
    </w:p>
    <w:p w14:paraId="16A529C5"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NHS England (2016) Accessible Information Standard. Available at: </w:t>
      </w:r>
      <w:hyperlink r:id="rId10" w:tgtFrame="_blank" w:history="1">
        <w:r w:rsidRPr="00B932DE">
          <w:rPr>
            <w:rFonts w:ascii="Arial" w:eastAsiaTheme="minorEastAsia" w:hAnsi="Arial" w:cs="Arial"/>
            <w:color w:val="0000FF"/>
            <w:sz w:val="22"/>
            <w:u w:val="single"/>
            <w:lang w:eastAsia="en-GB"/>
          </w:rPr>
          <w:t>https://www.england.nhs.uk/about/equality/equality-hub/patient-equalities-programme/health-care-quality-improvement/accessible-info-std/</w:t>
        </w:r>
      </w:hyperlink>
    </w:p>
    <w:p w14:paraId="59402648"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Stewart, K. R. and Hand, K. A. (2017) 'SBAR, communication, and patient safety: an integrated literature review', </w:t>
      </w:r>
      <w:proofErr w:type="spellStart"/>
      <w:r w:rsidRPr="00B932DE">
        <w:rPr>
          <w:rFonts w:ascii="Arial" w:eastAsiaTheme="minorEastAsia" w:hAnsi="Arial" w:cs="Arial"/>
          <w:color w:val="000000"/>
          <w:sz w:val="22"/>
          <w:lang w:eastAsia="en-GB"/>
        </w:rPr>
        <w:t>MEDSURG</w:t>
      </w:r>
      <w:proofErr w:type="spellEnd"/>
      <w:r w:rsidRPr="00B932DE">
        <w:rPr>
          <w:rFonts w:ascii="Arial" w:eastAsiaTheme="minorEastAsia" w:hAnsi="Arial" w:cs="Arial"/>
          <w:color w:val="000000"/>
          <w:sz w:val="22"/>
          <w:lang w:eastAsia="en-GB"/>
        </w:rPr>
        <w:t xml:space="preserve"> Nursing, 26(5), pp. 297-305.</w:t>
      </w:r>
    </w:p>
    <w:p w14:paraId="0D098F72" w14:textId="77777777" w:rsidR="00B932DE" w:rsidRPr="00B932DE" w:rsidRDefault="00B932DE" w:rsidP="00432D2B">
      <w:pPr>
        <w:spacing w:before="100" w:beforeAutospacing="1" w:after="100" w:afterAutospacing="1" w:line="360" w:lineRule="auto"/>
        <w:rPr>
          <w:rFonts w:ascii="Arial" w:eastAsiaTheme="minorEastAsia" w:hAnsi="Arial" w:cs="Arial"/>
          <w:color w:val="000000"/>
          <w:sz w:val="22"/>
          <w:lang w:eastAsia="en-GB"/>
        </w:rPr>
      </w:pPr>
      <w:r w:rsidRPr="00B932DE">
        <w:rPr>
          <w:rFonts w:ascii="Arial" w:eastAsiaTheme="minorEastAsia" w:hAnsi="Arial" w:cs="Arial"/>
          <w:color w:val="000000"/>
          <w:sz w:val="22"/>
          <w:lang w:eastAsia="en-GB"/>
        </w:rPr>
        <w:t xml:space="preserve">Thompson, N. (2021) Anti-Discriminatory Practice: Equality, Diversity and Social Justice. 7th </w:t>
      </w:r>
      <w:proofErr w:type="spellStart"/>
      <w:r w:rsidRPr="00B932DE">
        <w:rPr>
          <w:rFonts w:ascii="Arial" w:eastAsiaTheme="minorEastAsia" w:hAnsi="Arial" w:cs="Arial"/>
          <w:color w:val="000000"/>
          <w:sz w:val="22"/>
          <w:lang w:eastAsia="en-GB"/>
        </w:rPr>
        <w:t>edn</w:t>
      </w:r>
      <w:proofErr w:type="spellEnd"/>
      <w:r w:rsidRPr="00B932DE">
        <w:rPr>
          <w:rFonts w:ascii="Arial" w:eastAsiaTheme="minorEastAsia" w:hAnsi="Arial" w:cs="Arial"/>
          <w:color w:val="000000"/>
          <w:sz w:val="22"/>
          <w:lang w:eastAsia="en-GB"/>
        </w:rPr>
        <w:t xml:space="preserve">. London: </w:t>
      </w:r>
      <w:proofErr w:type="spellStart"/>
      <w:r w:rsidRPr="00B932DE">
        <w:rPr>
          <w:rFonts w:ascii="Arial" w:eastAsiaTheme="minorEastAsia" w:hAnsi="Arial" w:cs="Arial"/>
          <w:color w:val="000000"/>
          <w:sz w:val="22"/>
          <w:lang w:eastAsia="en-GB"/>
        </w:rPr>
        <w:t>Palgrave</w:t>
      </w:r>
      <w:proofErr w:type="spellEnd"/>
      <w:r w:rsidRPr="00B932DE">
        <w:rPr>
          <w:rFonts w:ascii="Arial" w:eastAsiaTheme="minorEastAsia" w:hAnsi="Arial" w:cs="Arial"/>
          <w:color w:val="000000"/>
          <w:sz w:val="22"/>
          <w:lang w:eastAsia="en-GB"/>
        </w:rPr>
        <w:t xml:space="preserve"> Macmillan.</w:t>
      </w:r>
    </w:p>
    <w:p w14:paraId="1425F4AC" w14:textId="6695D929" w:rsidR="001D7C03" w:rsidRPr="002771F0" w:rsidRDefault="001D7C03" w:rsidP="00857A49">
      <w:pPr>
        <w:tabs>
          <w:tab w:val="left" w:pos="6540"/>
        </w:tabs>
        <w:spacing w:line="360" w:lineRule="auto"/>
        <w:rPr>
          <w:rFonts w:ascii="Arial" w:hAnsi="Arial" w:cs="Arial"/>
          <w:sz w:val="22"/>
        </w:rPr>
      </w:pPr>
    </w:p>
    <w:sectPr w:rsidR="001D7C03" w:rsidRPr="002771F0"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B8AA7" w14:textId="77777777" w:rsidR="007A30D4" w:rsidRDefault="007A30D4" w:rsidP="003E4ECF">
      <w:pPr>
        <w:spacing w:after="0" w:line="240" w:lineRule="auto"/>
      </w:pPr>
      <w:r>
        <w:separator/>
      </w:r>
    </w:p>
  </w:endnote>
  <w:endnote w:type="continuationSeparator" w:id="0">
    <w:p w14:paraId="52F840F3" w14:textId="77777777" w:rsidR="007A30D4" w:rsidRDefault="007A30D4"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E2E6F" w14:textId="77777777" w:rsidR="007A30D4" w:rsidRDefault="007A30D4" w:rsidP="003E4ECF">
      <w:pPr>
        <w:spacing w:after="0" w:line="240" w:lineRule="auto"/>
      </w:pPr>
      <w:r>
        <w:separator/>
      </w:r>
    </w:p>
  </w:footnote>
  <w:footnote w:type="continuationSeparator" w:id="0">
    <w:p w14:paraId="3CB178E4" w14:textId="77777777" w:rsidR="007A30D4" w:rsidRDefault="007A30D4"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341AC"/>
    <w:multiLevelType w:val="hybridMultilevel"/>
    <w:tmpl w:val="6322A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4D64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392A07"/>
    <w:multiLevelType w:val="hybridMultilevel"/>
    <w:tmpl w:val="F7A40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023963"/>
    <w:multiLevelType w:val="hybridMultilevel"/>
    <w:tmpl w:val="759A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E87608"/>
    <w:multiLevelType w:val="hybridMultilevel"/>
    <w:tmpl w:val="CABC1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3F6590"/>
    <w:multiLevelType w:val="hybridMultilevel"/>
    <w:tmpl w:val="47DAD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4540F6A"/>
    <w:multiLevelType w:val="hybridMultilevel"/>
    <w:tmpl w:val="0BFC36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102E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5A7B2D"/>
    <w:multiLevelType w:val="hybridMultilevel"/>
    <w:tmpl w:val="9FB44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013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F3517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083ABE"/>
    <w:multiLevelType w:val="hybridMultilevel"/>
    <w:tmpl w:val="72664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0120685">
    <w:abstractNumId w:val="1"/>
  </w:num>
  <w:num w:numId="2" w16cid:durableId="1812284633">
    <w:abstractNumId w:val="10"/>
  </w:num>
  <w:num w:numId="3" w16cid:durableId="299961805">
    <w:abstractNumId w:val="2"/>
  </w:num>
  <w:num w:numId="4" w16cid:durableId="1835955812">
    <w:abstractNumId w:val="5"/>
  </w:num>
  <w:num w:numId="5" w16cid:durableId="271860885">
    <w:abstractNumId w:val="6"/>
  </w:num>
  <w:num w:numId="6" w16cid:durableId="1306474165">
    <w:abstractNumId w:val="8"/>
  </w:num>
  <w:num w:numId="7" w16cid:durableId="1402944135">
    <w:abstractNumId w:val="11"/>
  </w:num>
  <w:num w:numId="8" w16cid:durableId="552887964">
    <w:abstractNumId w:val="4"/>
  </w:num>
  <w:num w:numId="9" w16cid:durableId="1812139211">
    <w:abstractNumId w:val="0"/>
  </w:num>
  <w:num w:numId="10" w16cid:durableId="699623708">
    <w:abstractNumId w:val="3"/>
  </w:num>
  <w:num w:numId="11" w16cid:durableId="1888830453">
    <w:abstractNumId w:val="9"/>
  </w:num>
  <w:num w:numId="12" w16cid:durableId="34957326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1"/>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76CD"/>
    <w:rsid w:val="00011F7F"/>
    <w:rsid w:val="00025810"/>
    <w:rsid w:val="00026F3A"/>
    <w:rsid w:val="00046E8B"/>
    <w:rsid w:val="000572BF"/>
    <w:rsid w:val="00073D5A"/>
    <w:rsid w:val="00074402"/>
    <w:rsid w:val="00096BCF"/>
    <w:rsid w:val="000C457D"/>
    <w:rsid w:val="000D7FC4"/>
    <w:rsid w:val="000F00AB"/>
    <w:rsid w:val="00123720"/>
    <w:rsid w:val="00135F03"/>
    <w:rsid w:val="00154737"/>
    <w:rsid w:val="00192C9F"/>
    <w:rsid w:val="001937E0"/>
    <w:rsid w:val="00196718"/>
    <w:rsid w:val="001B66A7"/>
    <w:rsid w:val="001D28F7"/>
    <w:rsid w:val="001D7C03"/>
    <w:rsid w:val="00216C85"/>
    <w:rsid w:val="00227F96"/>
    <w:rsid w:val="0025283B"/>
    <w:rsid w:val="0026393A"/>
    <w:rsid w:val="00273EDD"/>
    <w:rsid w:val="00275812"/>
    <w:rsid w:val="002771F0"/>
    <w:rsid w:val="00284046"/>
    <w:rsid w:val="002A1666"/>
    <w:rsid w:val="002A50CE"/>
    <w:rsid w:val="002B0112"/>
    <w:rsid w:val="002B1AEF"/>
    <w:rsid w:val="002C3965"/>
    <w:rsid w:val="002D5943"/>
    <w:rsid w:val="002F1DBA"/>
    <w:rsid w:val="00307A43"/>
    <w:rsid w:val="00321C4C"/>
    <w:rsid w:val="00323ECF"/>
    <w:rsid w:val="00331B99"/>
    <w:rsid w:val="0033786C"/>
    <w:rsid w:val="003674EC"/>
    <w:rsid w:val="00392BBC"/>
    <w:rsid w:val="003A261A"/>
    <w:rsid w:val="003A784F"/>
    <w:rsid w:val="003B4AF9"/>
    <w:rsid w:val="003C7525"/>
    <w:rsid w:val="003D5286"/>
    <w:rsid w:val="003E4ECF"/>
    <w:rsid w:val="003E58E9"/>
    <w:rsid w:val="003F35C7"/>
    <w:rsid w:val="00403164"/>
    <w:rsid w:val="00432D2B"/>
    <w:rsid w:val="00447E24"/>
    <w:rsid w:val="004A736E"/>
    <w:rsid w:val="004D0FF8"/>
    <w:rsid w:val="004F034E"/>
    <w:rsid w:val="005035C7"/>
    <w:rsid w:val="0051299C"/>
    <w:rsid w:val="00517416"/>
    <w:rsid w:val="00525008"/>
    <w:rsid w:val="005362DA"/>
    <w:rsid w:val="005545F9"/>
    <w:rsid w:val="0057306E"/>
    <w:rsid w:val="00585EA6"/>
    <w:rsid w:val="005917F7"/>
    <w:rsid w:val="00597D08"/>
    <w:rsid w:val="005D38D0"/>
    <w:rsid w:val="005D4DE3"/>
    <w:rsid w:val="005E10DE"/>
    <w:rsid w:val="00602018"/>
    <w:rsid w:val="00605E82"/>
    <w:rsid w:val="00614093"/>
    <w:rsid w:val="00644D3D"/>
    <w:rsid w:val="00667955"/>
    <w:rsid w:val="006925AA"/>
    <w:rsid w:val="006927A7"/>
    <w:rsid w:val="0069431D"/>
    <w:rsid w:val="006E2CB3"/>
    <w:rsid w:val="006F0BAD"/>
    <w:rsid w:val="006F731C"/>
    <w:rsid w:val="0070245F"/>
    <w:rsid w:val="00725177"/>
    <w:rsid w:val="0074580B"/>
    <w:rsid w:val="00786D33"/>
    <w:rsid w:val="007A1B8D"/>
    <w:rsid w:val="007A30D4"/>
    <w:rsid w:val="00814A9E"/>
    <w:rsid w:val="00816DF1"/>
    <w:rsid w:val="0081705E"/>
    <w:rsid w:val="00825990"/>
    <w:rsid w:val="00840CF4"/>
    <w:rsid w:val="00857A49"/>
    <w:rsid w:val="00871067"/>
    <w:rsid w:val="00873C99"/>
    <w:rsid w:val="008917A7"/>
    <w:rsid w:val="00895D86"/>
    <w:rsid w:val="008A213B"/>
    <w:rsid w:val="008A263F"/>
    <w:rsid w:val="008B2C26"/>
    <w:rsid w:val="008C2058"/>
    <w:rsid w:val="008E3943"/>
    <w:rsid w:val="0090040D"/>
    <w:rsid w:val="0092654F"/>
    <w:rsid w:val="0094287B"/>
    <w:rsid w:val="0094504E"/>
    <w:rsid w:val="00971834"/>
    <w:rsid w:val="009734AA"/>
    <w:rsid w:val="00976740"/>
    <w:rsid w:val="009C43FB"/>
    <w:rsid w:val="009C4D8B"/>
    <w:rsid w:val="009D052C"/>
    <w:rsid w:val="009D1D1E"/>
    <w:rsid w:val="009D3814"/>
    <w:rsid w:val="009E68EC"/>
    <w:rsid w:val="009F04E0"/>
    <w:rsid w:val="009F26D5"/>
    <w:rsid w:val="00A035FD"/>
    <w:rsid w:val="00A070D4"/>
    <w:rsid w:val="00A1075B"/>
    <w:rsid w:val="00A13350"/>
    <w:rsid w:val="00A27BF0"/>
    <w:rsid w:val="00A352DF"/>
    <w:rsid w:val="00A43DED"/>
    <w:rsid w:val="00A47137"/>
    <w:rsid w:val="00AD23A0"/>
    <w:rsid w:val="00AE36EF"/>
    <w:rsid w:val="00B031A1"/>
    <w:rsid w:val="00B126C9"/>
    <w:rsid w:val="00B41D4F"/>
    <w:rsid w:val="00B56EA9"/>
    <w:rsid w:val="00B61943"/>
    <w:rsid w:val="00B62EA2"/>
    <w:rsid w:val="00B660C4"/>
    <w:rsid w:val="00B87E75"/>
    <w:rsid w:val="00B932DE"/>
    <w:rsid w:val="00B95B52"/>
    <w:rsid w:val="00BB0A82"/>
    <w:rsid w:val="00BB560C"/>
    <w:rsid w:val="00BD4842"/>
    <w:rsid w:val="00C1352D"/>
    <w:rsid w:val="00C2342A"/>
    <w:rsid w:val="00C66065"/>
    <w:rsid w:val="00C82B12"/>
    <w:rsid w:val="00CC16DE"/>
    <w:rsid w:val="00CC6CE6"/>
    <w:rsid w:val="00CD33A8"/>
    <w:rsid w:val="00CE2A9F"/>
    <w:rsid w:val="00CF0DEF"/>
    <w:rsid w:val="00D029CF"/>
    <w:rsid w:val="00D46E6A"/>
    <w:rsid w:val="00D5656E"/>
    <w:rsid w:val="00D64F46"/>
    <w:rsid w:val="00D91F31"/>
    <w:rsid w:val="00DB646F"/>
    <w:rsid w:val="00DE7E3A"/>
    <w:rsid w:val="00DF50B3"/>
    <w:rsid w:val="00E10458"/>
    <w:rsid w:val="00E36F89"/>
    <w:rsid w:val="00E418F3"/>
    <w:rsid w:val="00E42109"/>
    <w:rsid w:val="00E44DF4"/>
    <w:rsid w:val="00E56394"/>
    <w:rsid w:val="00E569FD"/>
    <w:rsid w:val="00E620E7"/>
    <w:rsid w:val="00E65F2F"/>
    <w:rsid w:val="00E75FFA"/>
    <w:rsid w:val="00E82838"/>
    <w:rsid w:val="00EB180D"/>
    <w:rsid w:val="00ED09A2"/>
    <w:rsid w:val="00F0733A"/>
    <w:rsid w:val="00F10559"/>
    <w:rsid w:val="00F31174"/>
    <w:rsid w:val="00F66E1B"/>
    <w:rsid w:val="00F66FBD"/>
    <w:rsid w:val="00F962F5"/>
    <w:rsid w:val="00FA20A2"/>
    <w:rsid w:val="00FA55FE"/>
    <w:rsid w:val="00FE1B48"/>
    <w:rsid w:val="00FF09A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customStyle="1" w:styleId="apple-converted-space">
    <w:name w:val="apple-converted-space"/>
    <w:basedOn w:val="DefaultParagraphFont"/>
    <w:rsid w:val="00895D86"/>
  </w:style>
  <w:style w:type="paragraph" w:styleId="NormalWeb">
    <w:name w:val="Normal (Web)"/>
    <w:basedOn w:val="Normal"/>
    <w:uiPriority w:val="99"/>
    <w:semiHidden/>
    <w:unhideWhenUsed/>
    <w:rsid w:val="00602018"/>
    <w:pPr>
      <w:spacing w:before="100" w:beforeAutospacing="1" w:after="100" w:afterAutospacing="1" w:line="240" w:lineRule="auto"/>
    </w:pPr>
    <w:rPr>
      <w:rFonts w:eastAsiaTheme="minorEastAsia" w:cs="Times New Roman"/>
      <w:szCs w:val="24"/>
      <w:lang w:eastAsia="en-GB"/>
    </w:rPr>
  </w:style>
  <w:style w:type="character" w:customStyle="1" w:styleId="citation-6">
    <w:name w:val="citation-6"/>
    <w:basedOn w:val="DefaultParagraphFont"/>
    <w:rsid w:val="00602018"/>
  </w:style>
  <w:style w:type="character" w:customStyle="1" w:styleId="citation-5">
    <w:name w:val="citation-5"/>
    <w:basedOn w:val="DefaultParagraphFont"/>
    <w:rsid w:val="00602018"/>
  </w:style>
  <w:style w:type="character" w:styleId="Hyperlink">
    <w:name w:val="Hyperlink"/>
    <w:basedOn w:val="DefaultParagraphFont"/>
    <w:uiPriority w:val="99"/>
    <w:unhideWhenUsed/>
    <w:rsid w:val="00517416"/>
    <w:rPr>
      <w:color w:val="0000FF"/>
      <w:u w:val="single"/>
    </w:rPr>
  </w:style>
  <w:style w:type="paragraph" w:styleId="TOCHeading">
    <w:name w:val="TOC Heading"/>
    <w:basedOn w:val="Heading1"/>
    <w:next w:val="Normal"/>
    <w:uiPriority w:val="39"/>
    <w:unhideWhenUsed/>
    <w:qFormat/>
    <w:rsid w:val="00971834"/>
    <w:pPr>
      <w:spacing w:before="480" w:line="276" w:lineRule="auto"/>
      <w:outlineLvl w:val="9"/>
    </w:pPr>
    <w:rPr>
      <w:rFonts w:asciiTheme="majorHAnsi"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971834"/>
    <w:pPr>
      <w:spacing w:after="100"/>
    </w:pPr>
  </w:style>
  <w:style w:type="paragraph" w:styleId="TOC2">
    <w:name w:val="toc 2"/>
    <w:basedOn w:val="Normal"/>
    <w:next w:val="Normal"/>
    <w:autoRedefine/>
    <w:uiPriority w:val="39"/>
    <w:unhideWhenUsed/>
    <w:rsid w:val="00971834"/>
    <w:pPr>
      <w:spacing w:after="100"/>
      <w:ind w:left="240"/>
    </w:pPr>
  </w:style>
  <w:style w:type="paragraph" w:styleId="TOC3">
    <w:name w:val="toc 3"/>
    <w:basedOn w:val="Normal"/>
    <w:next w:val="Normal"/>
    <w:autoRedefine/>
    <w:uiPriority w:val="39"/>
    <w:unhideWhenUsed/>
    <w:rsid w:val="00857A4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ogle.com/search?q=https://www.england.nhs.uk/about/equality/equality-hub/patient-equalities-programme/health-care-quality-improvement/accessible-info-std/" TargetMode="External"/><Relationship Id="rId4" Type="http://schemas.openxmlformats.org/officeDocument/2006/relationships/webSettings" Target="webSettings.xml"/><Relationship Id="rId9" Type="http://schemas.openxmlformats.org/officeDocument/2006/relationships/hyperlink" Target="https://www.cqc.org.uk/guidance-providers/regulations-enforcement/regulation-17-good-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7044</TotalTime>
  <Pages>7</Pages>
  <Words>1882</Words>
  <Characters>10734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Brenda Da Silva Rodrigues Marciano (2509114)</cp:lastModifiedBy>
  <cp:revision>147</cp:revision>
  <dcterms:created xsi:type="dcterms:W3CDTF">2026-03-23T12:50:00Z</dcterms:created>
  <dcterms:modified xsi:type="dcterms:W3CDTF">2026-04-24T08:11:00Z</dcterms:modified>
</cp:coreProperties>
</file>