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6A15" w14:textId="1846AB03" w:rsidR="009D19C5" w:rsidRPr="00235FB2" w:rsidRDefault="009D19C5" w:rsidP="000362C0">
      <w:pPr>
        <w:spacing w:after="0" w:line="360" w:lineRule="auto"/>
        <w:jc w:val="center"/>
        <w:rPr>
          <w:rFonts w:ascii="Calibri" w:hAnsi="Calibri" w:cs="Calibri"/>
          <w:color w:val="000000" w:themeColor="text1"/>
          <w:sz w:val="20"/>
          <w:szCs w:val="20"/>
        </w:rPr>
      </w:pPr>
      <w:r w:rsidRPr="00235FB2">
        <w:rPr>
          <w:rFonts w:ascii="Calibri" w:hAnsi="Calibri" w:cs="Calibri"/>
          <w:color w:val="000000" w:themeColor="text1"/>
          <w:sz w:val="20"/>
          <w:szCs w:val="20"/>
        </w:rPr>
        <w:t>The Effectiveness of the Process Writing Approach</w:t>
      </w:r>
      <w:r w:rsidR="00735A15" w:rsidRPr="00235FB2">
        <w:rPr>
          <w:rFonts w:ascii="Calibri" w:hAnsi="Calibri" w:cs="Calibri"/>
          <w:color w:val="000000" w:themeColor="text1"/>
          <w:sz w:val="20"/>
          <w:szCs w:val="20"/>
        </w:rPr>
        <w:t xml:space="preserve"> (PWA)</w:t>
      </w:r>
      <w:r w:rsidRPr="00235FB2">
        <w:rPr>
          <w:rFonts w:ascii="Calibri" w:hAnsi="Calibri" w:cs="Calibri"/>
          <w:color w:val="000000" w:themeColor="text1"/>
          <w:sz w:val="20"/>
          <w:szCs w:val="20"/>
        </w:rPr>
        <w:t xml:space="preserve"> in Developing Writing Skills among Higher Secondary Students in Bangladesh: an exploratory investigation</w:t>
      </w:r>
    </w:p>
    <w:p w14:paraId="2B6BBF8A" w14:textId="77777777" w:rsidR="00C0106D" w:rsidRPr="00235FB2" w:rsidRDefault="00C0106D" w:rsidP="000362C0">
      <w:pPr>
        <w:spacing w:after="0" w:line="360" w:lineRule="auto"/>
        <w:jc w:val="both"/>
        <w:rPr>
          <w:rFonts w:ascii="Calibri" w:hAnsi="Calibri" w:cs="Calibri"/>
          <w:b/>
          <w:bCs/>
          <w:color w:val="000000" w:themeColor="text1"/>
          <w:sz w:val="20"/>
          <w:szCs w:val="20"/>
        </w:rPr>
      </w:pPr>
    </w:p>
    <w:p w14:paraId="2192F2F3" w14:textId="0DA5C463" w:rsidR="00107970" w:rsidRPr="00235FB2" w:rsidRDefault="009D19C5" w:rsidP="000362C0">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Abstract: </w:t>
      </w:r>
    </w:p>
    <w:p w14:paraId="3EBF7776" w14:textId="58FA9E2C" w:rsidR="00BB3B3D" w:rsidRPr="00235FB2" w:rsidRDefault="00BB3B3D" w:rsidP="000362C0">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In the contemporary global context, proficiency in English writing is essential for academic success, professional development, and effective participation in international communication. Despite studying English for nearly ten years, Higher Secondary Certificate (HSC) students in Bangladesh continue to experience persistent difficulties in developing adequate writing skills. These challenges negatively affect their academic performance, access to higher education, employability, and long-term career progression, thereby limiting the nation’s human capital potential. This exploratory qualitative study investigates the effectiveness of the Process Writing Approach (PWA) in developing English writing skills among higher secondary students in Bangladesh.</w:t>
      </w:r>
    </w:p>
    <w:p w14:paraId="33AF74EC" w14:textId="77777777" w:rsidR="00235FB2" w:rsidRDefault="00235FB2" w:rsidP="000362C0">
      <w:pPr>
        <w:spacing w:after="0" w:line="360" w:lineRule="auto"/>
        <w:jc w:val="both"/>
        <w:rPr>
          <w:rFonts w:ascii="Calibri" w:hAnsi="Calibri" w:cs="Calibri"/>
          <w:color w:val="000000" w:themeColor="text1"/>
          <w:sz w:val="20"/>
          <w:szCs w:val="20"/>
        </w:rPr>
      </w:pPr>
    </w:p>
    <w:p w14:paraId="164E85C9" w14:textId="22084E45" w:rsidR="00BE769D" w:rsidRPr="00235FB2" w:rsidRDefault="00BE769D" w:rsidP="000362C0">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Guided by constructivist learning principles, the process writing approach conceptualises writing as a recursive and developmental activity involving planning, drafting, revising, editing, and reflection, with teachers acting as facilitators rather than evaluators. Data were collected through semi-structured interviews with ten higher secondary students and five English language teachers to capture their experiences, perceptions, and challenges related to writing instruction and learning. The interview data were analysed thematically following Braun and Clarke’s (2006) framework to identify recurring patterns and key pedagogical insights.</w:t>
      </w:r>
    </w:p>
    <w:p w14:paraId="4E537B45" w14:textId="77777777" w:rsidR="00235FB2" w:rsidRDefault="00235FB2" w:rsidP="000362C0">
      <w:pPr>
        <w:spacing w:after="0" w:line="360" w:lineRule="auto"/>
        <w:jc w:val="both"/>
        <w:rPr>
          <w:rFonts w:ascii="Calibri" w:hAnsi="Calibri" w:cs="Calibri"/>
          <w:color w:val="000000" w:themeColor="text1"/>
          <w:sz w:val="20"/>
          <w:szCs w:val="20"/>
        </w:rPr>
      </w:pPr>
    </w:p>
    <w:p w14:paraId="49E35EB1" w14:textId="6D2562FD" w:rsidR="00BE769D" w:rsidRPr="00235FB2" w:rsidRDefault="00BE769D" w:rsidP="000362C0">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 findings reveal that traditional product-oriented teaching practices dominate classroom instruction, leading to limited opportunities for peer collaboration, feedback, and iterative revision. Students reported increased engagement, confidence, and awareness of writing strategies when exposed to process-oriented practices. Teachers highlighted improvements in students’ idea generation, organisation, coherence, and grammatical accuracy, alongside enhanced learner autonomy and motivation. However, challenges such as time constraints, large class sizes, examination-driven curricula, and limited teacher training were identified as barriers to effective implementation of the PWA.</w:t>
      </w:r>
    </w:p>
    <w:p w14:paraId="4C21C16A" w14:textId="77777777" w:rsidR="00235FB2" w:rsidRDefault="00235FB2" w:rsidP="000362C0">
      <w:pPr>
        <w:spacing w:after="0" w:line="360" w:lineRule="auto"/>
        <w:jc w:val="both"/>
        <w:rPr>
          <w:rFonts w:ascii="Calibri" w:hAnsi="Calibri" w:cs="Calibri"/>
          <w:color w:val="000000" w:themeColor="text1"/>
          <w:sz w:val="20"/>
          <w:szCs w:val="20"/>
        </w:rPr>
      </w:pPr>
    </w:p>
    <w:p w14:paraId="74876E22" w14:textId="73ACED8A" w:rsidR="00BE769D" w:rsidRPr="00235FB2" w:rsidRDefault="00BE769D" w:rsidP="000362C0">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This study contributes to the growing body of literature advocating learner-centred writing pedagogy in </w:t>
      </w:r>
      <w:r w:rsidR="00742165" w:rsidRPr="00235FB2">
        <w:rPr>
          <w:rFonts w:ascii="Calibri" w:hAnsi="Calibri" w:cs="Calibri"/>
          <w:color w:val="000000" w:themeColor="text1"/>
          <w:sz w:val="20"/>
          <w:szCs w:val="20"/>
        </w:rPr>
        <w:t>English as a Second Language (ESL)</w:t>
      </w:r>
      <w:r w:rsidRPr="00235FB2">
        <w:rPr>
          <w:rFonts w:ascii="Calibri" w:hAnsi="Calibri" w:cs="Calibri"/>
          <w:color w:val="000000" w:themeColor="text1"/>
          <w:sz w:val="20"/>
          <w:szCs w:val="20"/>
        </w:rPr>
        <w:t xml:space="preserve"> contexts. The findings offer important implications for curriculum designers, teacher educators, and policymakers, emphasising the need for pedagogical reform, professional development, and assessment realignment to support process-based writing instruction at the higher secondary level. By fostering reflective and strategic writing practices, the process writing approach holds significant potential to improve students’ academic preparedness and future professional success in Bangladesh.</w:t>
      </w:r>
    </w:p>
    <w:p w14:paraId="7A395ACE" w14:textId="77777777" w:rsidR="00107970" w:rsidRPr="00235FB2" w:rsidRDefault="00107970" w:rsidP="000362C0">
      <w:pPr>
        <w:spacing w:after="0" w:line="360" w:lineRule="auto"/>
        <w:jc w:val="both"/>
        <w:rPr>
          <w:rFonts w:ascii="Calibri" w:hAnsi="Calibri" w:cs="Calibri"/>
          <w:color w:val="000000" w:themeColor="text1"/>
          <w:sz w:val="20"/>
          <w:szCs w:val="20"/>
        </w:rPr>
      </w:pPr>
    </w:p>
    <w:p w14:paraId="309FCCE2" w14:textId="6F67993F" w:rsidR="00BE769D" w:rsidRPr="00235FB2" w:rsidRDefault="00BE769D" w:rsidP="000362C0">
      <w:p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Keywords: </w:t>
      </w:r>
      <w:r w:rsidR="00D47C55" w:rsidRPr="00235FB2">
        <w:rPr>
          <w:rFonts w:ascii="Calibri" w:hAnsi="Calibri" w:cs="Calibri"/>
          <w:color w:val="000000" w:themeColor="text1"/>
          <w:sz w:val="20"/>
          <w:szCs w:val="20"/>
        </w:rPr>
        <w:t xml:space="preserve">Process Writing Approach, English as a Second Language (ESL), Higher Secondary Education, Writing Skill Development, Thematic Analysis. </w:t>
      </w:r>
    </w:p>
    <w:p w14:paraId="284FF7A4" w14:textId="77777777" w:rsidR="009D19C5" w:rsidRPr="00235FB2" w:rsidRDefault="009D19C5" w:rsidP="000362C0">
      <w:pPr>
        <w:spacing w:after="0" w:line="360" w:lineRule="auto"/>
        <w:rPr>
          <w:rFonts w:ascii="Calibri" w:hAnsi="Calibri" w:cs="Calibri"/>
          <w:b/>
          <w:bCs/>
          <w:color w:val="000000" w:themeColor="text1"/>
          <w:sz w:val="20"/>
          <w:szCs w:val="20"/>
        </w:rPr>
      </w:pPr>
    </w:p>
    <w:p w14:paraId="3C29EB6D" w14:textId="77777777" w:rsidR="000362C0" w:rsidRPr="00235FB2" w:rsidRDefault="000362C0" w:rsidP="000362C0">
      <w:pPr>
        <w:spacing w:after="0" w:line="360" w:lineRule="auto"/>
        <w:rPr>
          <w:rFonts w:ascii="Calibri" w:hAnsi="Calibri" w:cs="Calibri"/>
          <w:color w:val="000000" w:themeColor="text1"/>
          <w:sz w:val="20"/>
          <w:szCs w:val="20"/>
        </w:rPr>
      </w:pPr>
    </w:p>
    <w:p w14:paraId="3480BAE7" w14:textId="2FBE8CBD" w:rsidR="009D19C5" w:rsidRPr="00235FB2" w:rsidRDefault="000362C0" w:rsidP="00800602">
      <w:pPr>
        <w:spacing w:after="0"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lastRenderedPageBreak/>
        <w:t xml:space="preserve">Introduction: </w:t>
      </w:r>
    </w:p>
    <w:p w14:paraId="28738585" w14:textId="7CB1F933" w:rsidR="00451FE9" w:rsidRPr="00235FB2" w:rsidRDefault="00451FE9"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In Bangladesh, English is taught as a compulsory subject from the primary level through the Higher Secondary Certificate (HSC) examination, amounting to at least 12 years of formal study by the time students reach the higher secondary stage. Yet research consistently shows that many students continue to struggle with English writing proficiency, particularly in areas such as grammar, coherence, vocabulary use, organisation of ideas</w:t>
      </w:r>
      <w:r w:rsidR="00D42F90" w:rsidRPr="00235FB2">
        <w:rPr>
          <w:rFonts w:ascii="Calibri" w:hAnsi="Calibri" w:cs="Calibri"/>
          <w:color w:val="000000" w:themeColor="text1"/>
          <w:sz w:val="20"/>
          <w:szCs w:val="20"/>
        </w:rPr>
        <w:t xml:space="preserve"> and </w:t>
      </w:r>
      <w:r w:rsidRPr="00235FB2">
        <w:rPr>
          <w:rFonts w:ascii="Calibri" w:hAnsi="Calibri" w:cs="Calibri"/>
          <w:color w:val="000000" w:themeColor="text1"/>
          <w:sz w:val="20"/>
          <w:szCs w:val="20"/>
        </w:rPr>
        <w:t>skills that are essential for successful academic and professional communication in a globalised world (English Writing Proficiency of Bangladeshi Students, 2025)</w:t>
      </w:r>
      <w:r w:rsidR="00CC5E09" w:rsidRPr="00235FB2">
        <w:rPr>
          <w:rFonts w:ascii="Calibri" w:hAnsi="Calibri" w:cs="Calibri"/>
          <w:color w:val="000000" w:themeColor="text1"/>
          <w:sz w:val="20"/>
          <w:szCs w:val="20"/>
        </w:rPr>
        <w:t xml:space="preserve"> </w:t>
      </w:r>
      <w:r w:rsidR="00CC5E09" w:rsidRPr="00235FB2">
        <w:rPr>
          <w:rFonts w:ascii="Calibri" w:hAnsi="Calibri" w:cs="Calibri"/>
          <w:b/>
          <w:bCs/>
          <w:color w:val="000000" w:themeColor="text1"/>
          <w:sz w:val="20"/>
          <w:szCs w:val="20"/>
        </w:rPr>
        <w:t xml:space="preserve">(Rana et al., </w:t>
      </w:r>
      <w:r w:rsidR="00AB39C4" w:rsidRPr="00235FB2">
        <w:rPr>
          <w:rFonts w:ascii="Calibri" w:hAnsi="Calibri" w:cs="Calibri"/>
          <w:b/>
          <w:bCs/>
          <w:color w:val="000000" w:themeColor="text1"/>
          <w:sz w:val="20"/>
          <w:szCs w:val="20"/>
        </w:rPr>
        <w:t>2025).</w:t>
      </w:r>
      <w:r w:rsidR="00AB39C4" w:rsidRPr="00235FB2">
        <w:rPr>
          <w:rFonts w:ascii="Calibri" w:hAnsi="Calibri" w:cs="Calibri"/>
          <w:color w:val="000000" w:themeColor="text1"/>
          <w:sz w:val="20"/>
          <w:szCs w:val="20"/>
        </w:rPr>
        <w:t xml:space="preserve"> </w:t>
      </w:r>
    </w:p>
    <w:p w14:paraId="357FE035" w14:textId="1D2166CC" w:rsidR="004E018A" w:rsidRPr="00235FB2" w:rsidRDefault="00052828"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Writing has been identified as one of the most challenging language skills for learners of English as a Foreign Language (EFL), given its cognitive and linguistic complexity </w:t>
      </w:r>
      <w:r w:rsidRPr="00235FB2">
        <w:rPr>
          <w:rFonts w:ascii="Calibri" w:hAnsi="Calibri" w:cs="Calibri"/>
          <w:b/>
          <w:bCs/>
          <w:color w:val="000000" w:themeColor="text1"/>
          <w:sz w:val="20"/>
          <w:szCs w:val="20"/>
        </w:rPr>
        <w:t>(Akter, 202</w:t>
      </w:r>
      <w:r w:rsidR="00AB39C4" w:rsidRPr="00235FB2">
        <w:rPr>
          <w:rFonts w:ascii="Calibri" w:hAnsi="Calibri" w:cs="Calibri"/>
          <w:b/>
          <w:bCs/>
          <w:color w:val="000000" w:themeColor="text1"/>
          <w:sz w:val="20"/>
          <w:szCs w:val="20"/>
        </w:rPr>
        <w:t>4</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Studies in the Bangladeshi context report that students habitually rely on memorisation and product-oriented instruction, which emphasises accuracy in the final written product rather than the cognitive processes involved in composing text. Such pedagogical practices hinder students’ ability to develop fluency, critical thinking, and expressive competence in writing</w:t>
      </w:r>
      <w:r w:rsidR="00954BF0"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skills integral to meaningful communication and academic success.</w:t>
      </w:r>
      <w:r w:rsidR="00AC1BE8" w:rsidRPr="00235FB2">
        <w:rPr>
          <w:rFonts w:ascii="Calibri" w:hAnsi="Calibri" w:cs="Calibri"/>
          <w:color w:val="000000" w:themeColor="text1"/>
          <w:sz w:val="20"/>
          <w:szCs w:val="20"/>
        </w:rPr>
        <w:t xml:space="preserve"> </w:t>
      </w:r>
      <w:r w:rsidR="00EC4A74" w:rsidRPr="00EC4A74">
        <w:rPr>
          <w:rFonts w:ascii="Calibri" w:hAnsi="Calibri" w:cs="Calibri"/>
          <w:color w:val="000000" w:themeColor="text1"/>
          <w:sz w:val="20"/>
          <w:szCs w:val="20"/>
          <w:highlight w:val="yellow"/>
        </w:rPr>
        <w:t>Washback research in Bangladesh indicates that high-stakes exams mainly influence teaching towards test preparation and memorization, rather than communication skills (Rahman et al., 2021).</w:t>
      </w:r>
    </w:p>
    <w:p w14:paraId="10D7EE92" w14:textId="1FFD5515" w:rsidR="00EC7A48" w:rsidRPr="00235FB2" w:rsidRDefault="00052828"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 traditional product approach to writing instruction, which remains dominant in many Bangladeshi classrooms, focuses on error correction and end-stage evaluation rather than on the recursive stages of writing development</w:t>
      </w:r>
      <w:r w:rsidR="00211D7C" w:rsidRPr="00235FB2">
        <w:rPr>
          <w:rFonts w:ascii="Calibri" w:hAnsi="Calibri" w:cs="Calibri"/>
          <w:color w:val="000000" w:themeColor="text1"/>
          <w:sz w:val="20"/>
          <w:szCs w:val="20"/>
        </w:rPr>
        <w:t xml:space="preserve"> </w:t>
      </w:r>
      <w:r w:rsidR="00211D7C" w:rsidRPr="00235FB2">
        <w:rPr>
          <w:rFonts w:ascii="Calibri" w:hAnsi="Calibri" w:cs="Calibri"/>
          <w:b/>
          <w:bCs/>
          <w:color w:val="000000" w:themeColor="text1"/>
          <w:sz w:val="20"/>
          <w:szCs w:val="20"/>
        </w:rPr>
        <w:t xml:space="preserve">(Rana et al., </w:t>
      </w:r>
      <w:r w:rsidR="0040707E" w:rsidRPr="00235FB2">
        <w:rPr>
          <w:rFonts w:ascii="Calibri" w:hAnsi="Calibri" w:cs="Calibri"/>
          <w:b/>
          <w:bCs/>
          <w:color w:val="000000" w:themeColor="text1"/>
          <w:sz w:val="20"/>
          <w:szCs w:val="20"/>
        </w:rPr>
        <w:t>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This approach often limits opportunities for planning, drafting, revising, and peer feedback, thereby constraining learners’ engagement with writing as a meaning-making process. The consequence is a persistent gap between students’ language learning experiences and their ability to perform effectively in high-stakes examinations, which assess writing as a core communicative skill.</w:t>
      </w:r>
    </w:p>
    <w:p w14:paraId="576394AC" w14:textId="57BBE304" w:rsidR="004E018A" w:rsidRPr="00235FB2" w:rsidRDefault="00052828"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In contrast, the Process Writing Approach (PWA) views writing as a dynamic and iterative activity involving pre-writing, drafting, revising, editing, and, where possible, publishing. The approach foregrounds learner autonomy, peer and teacher feedback, and recursive revision, aligning with foundational conceptions of writing as discovery and problem-solving </w:t>
      </w:r>
      <w:r w:rsidRPr="00235FB2">
        <w:rPr>
          <w:rFonts w:ascii="Calibri" w:hAnsi="Calibri" w:cs="Calibri"/>
          <w:b/>
          <w:bCs/>
          <w:color w:val="000000" w:themeColor="text1"/>
          <w:sz w:val="20"/>
          <w:szCs w:val="20"/>
        </w:rPr>
        <w:t>(Murray, 19</w:t>
      </w:r>
      <w:r w:rsidR="00F76656" w:rsidRPr="00235FB2">
        <w:rPr>
          <w:rFonts w:ascii="Calibri" w:hAnsi="Calibri" w:cs="Calibri"/>
          <w:b/>
          <w:bCs/>
          <w:color w:val="000000" w:themeColor="text1"/>
          <w:sz w:val="20"/>
          <w:szCs w:val="20"/>
        </w:rPr>
        <w:t>72</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w:t>
      </w:r>
      <w:r w:rsidR="00166C61" w:rsidRPr="00235FB2">
        <w:rPr>
          <w:rFonts w:ascii="Calibri" w:hAnsi="Calibri" w:cs="Calibri"/>
          <w:color w:val="000000" w:themeColor="text1"/>
          <w:sz w:val="20"/>
          <w:szCs w:val="20"/>
        </w:rPr>
        <w:t>The same author argued that writing is not simply a finished artefact but a recursive process of discovery through language, involving pre-writing, drafting, and rewriting</w:t>
      </w:r>
      <w:r w:rsidR="00110282" w:rsidRPr="00235FB2">
        <w:rPr>
          <w:rFonts w:ascii="Calibri" w:hAnsi="Calibri" w:cs="Calibri"/>
          <w:color w:val="000000" w:themeColor="text1"/>
          <w:sz w:val="20"/>
          <w:szCs w:val="20"/>
        </w:rPr>
        <w:t xml:space="preserve">. This perspective laid foundational groundwork for process writing pedagogy, underscoring the importance of composing stages rather than final product accuracy </w:t>
      </w:r>
      <w:r w:rsidR="00110282" w:rsidRPr="00235FB2">
        <w:rPr>
          <w:rFonts w:ascii="Calibri" w:hAnsi="Calibri" w:cs="Calibri"/>
          <w:b/>
          <w:bCs/>
          <w:color w:val="000000" w:themeColor="text1"/>
          <w:sz w:val="20"/>
          <w:szCs w:val="20"/>
        </w:rPr>
        <w:t>(Murray</w:t>
      </w:r>
      <w:r w:rsidR="00007E8C" w:rsidRPr="00235FB2">
        <w:rPr>
          <w:rFonts w:ascii="Calibri" w:hAnsi="Calibri" w:cs="Calibri"/>
          <w:b/>
          <w:bCs/>
          <w:color w:val="000000" w:themeColor="text1"/>
          <w:sz w:val="20"/>
          <w:szCs w:val="20"/>
        </w:rPr>
        <w:t xml:space="preserve">, 1972). </w:t>
      </w:r>
      <w:r w:rsidRPr="00235FB2">
        <w:rPr>
          <w:rFonts w:ascii="Calibri" w:hAnsi="Calibri" w:cs="Calibri"/>
          <w:color w:val="000000" w:themeColor="text1"/>
          <w:sz w:val="20"/>
          <w:szCs w:val="20"/>
        </w:rPr>
        <w:t xml:space="preserve">Research in global EFL contexts indicates that process-based instruction can improve students’ writing quality, self-regulation, and confidence by enabling them to engage with writing as a developmental process rather than as a one-off product </w:t>
      </w:r>
      <w:r w:rsidRPr="00235FB2">
        <w:rPr>
          <w:rFonts w:ascii="Calibri" w:hAnsi="Calibri" w:cs="Calibri"/>
          <w:b/>
          <w:bCs/>
          <w:color w:val="000000" w:themeColor="text1"/>
          <w:sz w:val="20"/>
          <w:szCs w:val="20"/>
        </w:rPr>
        <w:t>(Datta, 2025).</w:t>
      </w:r>
      <w:r w:rsidR="00AC1BE8" w:rsidRPr="00235FB2">
        <w:rPr>
          <w:rFonts w:ascii="Calibri" w:hAnsi="Calibri" w:cs="Calibri"/>
          <w:color w:val="000000" w:themeColor="text1"/>
          <w:sz w:val="20"/>
          <w:szCs w:val="20"/>
        </w:rPr>
        <w:t xml:space="preserve"> </w:t>
      </w:r>
    </w:p>
    <w:p w14:paraId="5937B08C" w14:textId="05E69044" w:rsidR="00EC7A48" w:rsidRPr="00235FB2" w:rsidRDefault="00EC7A48"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Despite its promise and documented benefits in other contexts, empirical investigation into the systematic application of the process writing approach in Bangladesh</w:t>
      </w:r>
      <w:r w:rsidR="00D9561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especially at the higher secondary level</w:t>
      </w:r>
      <w:r w:rsidR="00D9561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remains limited</w:t>
      </w:r>
      <w:r w:rsidR="0040707E" w:rsidRPr="00235FB2">
        <w:rPr>
          <w:rFonts w:ascii="Calibri" w:hAnsi="Calibri" w:cs="Calibri"/>
          <w:color w:val="000000" w:themeColor="text1"/>
          <w:sz w:val="20"/>
          <w:szCs w:val="20"/>
        </w:rPr>
        <w:t xml:space="preserve"> (</w:t>
      </w:r>
      <w:r w:rsidR="007F1B14" w:rsidRPr="00235FB2">
        <w:rPr>
          <w:rFonts w:ascii="Calibri" w:hAnsi="Calibri" w:cs="Calibri"/>
          <w:color w:val="000000" w:themeColor="text1"/>
          <w:sz w:val="20"/>
          <w:szCs w:val="20"/>
        </w:rPr>
        <w:t>Datta, 2025)</w:t>
      </w:r>
      <w:r w:rsidRPr="00235FB2">
        <w:rPr>
          <w:rFonts w:ascii="Calibri" w:hAnsi="Calibri" w:cs="Calibri"/>
          <w:color w:val="000000" w:themeColor="text1"/>
          <w:sz w:val="20"/>
          <w:szCs w:val="20"/>
        </w:rPr>
        <w:t>. Prior studies suggest a dearth of research focused specifically on writing pedagogy and skill development among Bangladeshi learners, particularly in relation to process-oriented instruction. This gap is significant given the crucial role that writing plays in examinations, higher education, and employment outcomes for HSC learners</w:t>
      </w:r>
      <w:r w:rsidR="007F1B14" w:rsidRPr="00235FB2">
        <w:rPr>
          <w:rFonts w:ascii="Calibri" w:hAnsi="Calibri" w:cs="Calibri"/>
          <w:color w:val="000000" w:themeColor="text1"/>
          <w:sz w:val="20"/>
          <w:szCs w:val="20"/>
        </w:rPr>
        <w:t xml:space="preserve"> </w:t>
      </w:r>
      <w:r w:rsidR="007F1B14" w:rsidRPr="00235FB2">
        <w:rPr>
          <w:rFonts w:ascii="Calibri" w:hAnsi="Calibri" w:cs="Calibri"/>
          <w:b/>
          <w:bCs/>
          <w:color w:val="000000" w:themeColor="text1"/>
          <w:sz w:val="20"/>
          <w:szCs w:val="20"/>
        </w:rPr>
        <w:t>(</w:t>
      </w:r>
      <w:proofErr w:type="spellStart"/>
      <w:r w:rsidR="007F1B14" w:rsidRPr="00235FB2">
        <w:rPr>
          <w:rFonts w:ascii="Calibri" w:hAnsi="Calibri" w:cs="Calibri"/>
          <w:b/>
          <w:bCs/>
          <w:color w:val="000000" w:themeColor="text1"/>
          <w:sz w:val="20"/>
          <w:szCs w:val="20"/>
        </w:rPr>
        <w:t>Macrothink</w:t>
      </w:r>
      <w:proofErr w:type="spellEnd"/>
      <w:r w:rsidR="007F1B14" w:rsidRPr="00235FB2">
        <w:rPr>
          <w:rFonts w:ascii="Calibri" w:hAnsi="Calibri" w:cs="Calibri"/>
          <w:b/>
          <w:bCs/>
          <w:color w:val="000000" w:themeColor="text1"/>
          <w:sz w:val="20"/>
          <w:szCs w:val="20"/>
        </w:rPr>
        <w:t xml:space="preserve"> Institute, 2025). </w:t>
      </w:r>
    </w:p>
    <w:p w14:paraId="410293AC" w14:textId="4FDAFF09" w:rsidR="00B3363D" w:rsidRPr="00235FB2" w:rsidRDefault="00EC7A48"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Therefore, this study explores the effectiveness of the process writing approach in enhancing writing skills among higher secondary students in Bangladesh through an exploratory qualitative investigation. Using semi-structured </w:t>
      </w:r>
      <w:r w:rsidRPr="00235FB2">
        <w:rPr>
          <w:rFonts w:ascii="Calibri" w:hAnsi="Calibri" w:cs="Calibri"/>
          <w:color w:val="000000" w:themeColor="text1"/>
          <w:sz w:val="20"/>
          <w:szCs w:val="20"/>
        </w:rPr>
        <w:lastRenderedPageBreak/>
        <w:t>interviews with students and teachers and thematic analysis of collected data, the research foregrounds learner and teacher perspectives on writing challenges and pedagogical experience. Findings from this study are expected to inform curriculum development, instructional practice, and assessment reforms that better align writing pedagogy with the needs of EFL learners in Bangladesh.</w:t>
      </w:r>
      <w:r w:rsidR="00A83A4E" w:rsidRPr="00235FB2">
        <w:rPr>
          <w:rFonts w:ascii="Calibri" w:hAnsi="Calibri" w:cs="Calibri"/>
          <w:color w:val="000000" w:themeColor="text1"/>
          <w:sz w:val="20"/>
          <w:szCs w:val="20"/>
        </w:rPr>
        <w:t xml:space="preserve"> This study is guided by the following research questions: </w:t>
      </w:r>
    </w:p>
    <w:p w14:paraId="2EEF2B9A" w14:textId="26DA8D7C" w:rsidR="00A83A4E" w:rsidRPr="00235FB2" w:rsidRDefault="004C26A7" w:rsidP="004C26A7">
      <w:pPr>
        <w:pStyle w:val="ListParagraph"/>
        <w:numPr>
          <w:ilvl w:val="0"/>
          <w:numId w:val="30"/>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How do HSC students and teachers perceive English writing challenges in the current educational context? </w:t>
      </w:r>
    </w:p>
    <w:p w14:paraId="2B01F648" w14:textId="34C2483C" w:rsidR="004C26A7" w:rsidRPr="00235FB2" w:rsidRDefault="004C26A7" w:rsidP="004C26A7">
      <w:pPr>
        <w:pStyle w:val="ListParagraph"/>
        <w:numPr>
          <w:ilvl w:val="0"/>
          <w:numId w:val="30"/>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What are their views on the implementation and potential effectiveness of the Process Writing Approach (PWA)?</w:t>
      </w:r>
    </w:p>
    <w:p w14:paraId="3F61138C" w14:textId="1AFB8CDB" w:rsidR="004C26A7" w:rsidRPr="00235FB2" w:rsidRDefault="004C26A7" w:rsidP="004C26A7">
      <w:pPr>
        <w:pStyle w:val="ListParagraph"/>
        <w:numPr>
          <w:ilvl w:val="0"/>
          <w:numId w:val="30"/>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What themes emerg</w:t>
      </w:r>
      <w:r w:rsidR="00E96013" w:rsidRPr="00235FB2">
        <w:rPr>
          <w:rFonts w:ascii="Calibri" w:hAnsi="Calibri" w:cs="Calibri"/>
          <w:color w:val="000000" w:themeColor="text1"/>
          <w:sz w:val="20"/>
          <w:szCs w:val="20"/>
        </w:rPr>
        <w:t xml:space="preserve">e from students’ and teachers’ experiences regarding PWA in contrast with traditional product-based writing instruction? </w:t>
      </w:r>
    </w:p>
    <w:p w14:paraId="44FA47E6" w14:textId="77777777" w:rsidR="00936614" w:rsidRPr="00235FB2" w:rsidRDefault="00936614" w:rsidP="00800602">
      <w:pPr>
        <w:spacing w:after="0" w:line="360" w:lineRule="auto"/>
        <w:jc w:val="both"/>
        <w:rPr>
          <w:rFonts w:ascii="Calibri" w:hAnsi="Calibri" w:cs="Calibri"/>
          <w:color w:val="000000" w:themeColor="text1"/>
          <w:sz w:val="20"/>
          <w:szCs w:val="20"/>
        </w:rPr>
      </w:pPr>
    </w:p>
    <w:p w14:paraId="4F5FF000" w14:textId="0C9824D4" w:rsidR="00B3363D" w:rsidRPr="00235FB2" w:rsidRDefault="00B3363D" w:rsidP="00800602">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Literature Review</w:t>
      </w:r>
      <w:r w:rsidR="00F312B9" w:rsidRPr="00235FB2">
        <w:rPr>
          <w:rFonts w:ascii="Calibri" w:hAnsi="Calibri" w:cs="Calibri"/>
          <w:b/>
          <w:bCs/>
          <w:color w:val="000000" w:themeColor="text1"/>
          <w:sz w:val="20"/>
          <w:szCs w:val="20"/>
        </w:rPr>
        <w:t xml:space="preserve"> with Theoretical Perspectives</w:t>
      </w:r>
      <w:r w:rsidRPr="00235FB2">
        <w:rPr>
          <w:rFonts w:ascii="Calibri" w:hAnsi="Calibri" w:cs="Calibri"/>
          <w:b/>
          <w:bCs/>
          <w:color w:val="000000" w:themeColor="text1"/>
          <w:sz w:val="20"/>
          <w:szCs w:val="20"/>
        </w:rPr>
        <w:t>:</w:t>
      </w:r>
    </w:p>
    <w:p w14:paraId="1B4DF55E" w14:textId="17A27D56" w:rsidR="00ED6DB7" w:rsidRPr="00235FB2" w:rsidRDefault="00EC6A66" w:rsidP="0080060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Higher Secondary Certificate (HSC) education in Bangladesh operates at considerable scale, with HSC cohorts typically exceeding one million candidates</w:t>
      </w:r>
      <w:r w:rsidR="005B2FE4" w:rsidRPr="00235FB2">
        <w:rPr>
          <w:rFonts w:ascii="Calibri" w:hAnsi="Calibri" w:cs="Calibri"/>
          <w:color w:val="000000" w:themeColor="text1"/>
          <w:sz w:val="20"/>
          <w:szCs w:val="20"/>
        </w:rPr>
        <w:t xml:space="preserve"> </w:t>
      </w:r>
      <w:r w:rsidR="005B2FE4" w:rsidRPr="00235FB2">
        <w:rPr>
          <w:rFonts w:ascii="Calibri" w:hAnsi="Calibri" w:cs="Calibri"/>
          <w:b/>
          <w:bCs/>
          <w:color w:val="000000" w:themeColor="text1"/>
          <w:sz w:val="20"/>
          <w:szCs w:val="20"/>
        </w:rPr>
        <w:t>(Ahmed,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For example, one reporting cycle indicates 1,047,242 candidates sat under the general education boards, illustrating the system-wide reach of any pedagogical intervention targeted at HSC writing</w:t>
      </w:r>
      <w:r w:rsidR="008960D6" w:rsidRPr="00235FB2">
        <w:rPr>
          <w:rFonts w:ascii="Calibri" w:hAnsi="Calibri" w:cs="Calibri"/>
          <w:color w:val="000000" w:themeColor="text1"/>
          <w:sz w:val="20"/>
          <w:szCs w:val="20"/>
        </w:rPr>
        <w:t xml:space="preserve"> </w:t>
      </w:r>
      <w:r w:rsidR="008960D6" w:rsidRPr="00235FB2">
        <w:rPr>
          <w:rFonts w:ascii="Calibri" w:hAnsi="Calibri" w:cs="Calibri"/>
          <w:b/>
          <w:bCs/>
          <w:color w:val="000000" w:themeColor="text1"/>
          <w:sz w:val="20"/>
          <w:szCs w:val="20"/>
        </w:rPr>
        <w:t>(Rana et al.,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The high-stakes nature of the HSC</w:t>
      </w:r>
      <w:r w:rsidR="00EB4AA0"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where written production is central to English assessment</w:t>
      </w:r>
      <w:r w:rsidR="007A7CAB"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means that persistent weakness in writing can systematically constrain progression to higher education and employment pathways</w:t>
      </w:r>
      <w:r w:rsidR="0099117A" w:rsidRPr="00235FB2">
        <w:rPr>
          <w:rFonts w:ascii="Calibri" w:hAnsi="Calibri" w:cs="Calibri"/>
          <w:color w:val="000000" w:themeColor="text1"/>
          <w:sz w:val="20"/>
          <w:szCs w:val="20"/>
        </w:rPr>
        <w:t xml:space="preserve"> </w:t>
      </w:r>
      <w:r w:rsidR="0099117A" w:rsidRPr="00235FB2">
        <w:rPr>
          <w:rFonts w:ascii="Calibri" w:hAnsi="Calibri" w:cs="Calibri"/>
          <w:b/>
          <w:bCs/>
          <w:color w:val="000000" w:themeColor="text1"/>
          <w:sz w:val="20"/>
          <w:szCs w:val="20"/>
        </w:rPr>
        <w:t>(Rana et al.,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This stakes-driven environment also creates powerful “washback” pressures, often privileging exam rehearsal and product accuracy over sustained writing development. Evidence from broader Bangladesh assessment research highlights how testing regimes can strongly shape classroom practice and student experience, frequently intensifying narrow instructional priorities</w:t>
      </w:r>
      <w:r w:rsidR="0077384C" w:rsidRPr="00235FB2">
        <w:rPr>
          <w:rFonts w:ascii="Calibri" w:hAnsi="Calibri" w:cs="Calibri"/>
          <w:color w:val="000000" w:themeColor="text1"/>
          <w:sz w:val="20"/>
          <w:szCs w:val="20"/>
        </w:rPr>
        <w:t xml:space="preserve"> </w:t>
      </w:r>
      <w:r w:rsidR="0077384C" w:rsidRPr="00235FB2">
        <w:rPr>
          <w:rFonts w:ascii="Calibri" w:hAnsi="Calibri" w:cs="Calibri"/>
          <w:b/>
          <w:bCs/>
          <w:color w:val="000000" w:themeColor="text1"/>
          <w:sz w:val="20"/>
          <w:szCs w:val="20"/>
        </w:rPr>
        <w:t>(Rana et al., 2025)</w:t>
      </w:r>
      <w:r w:rsidRPr="00235FB2">
        <w:rPr>
          <w:rFonts w:ascii="Calibri" w:hAnsi="Calibri" w:cs="Calibri"/>
          <w:b/>
          <w:bCs/>
          <w:color w:val="000000" w:themeColor="text1"/>
          <w:sz w:val="20"/>
          <w:szCs w:val="20"/>
        </w:rPr>
        <w:t>.</w:t>
      </w:r>
    </w:p>
    <w:p w14:paraId="71F27DE4" w14:textId="2E517E0B" w:rsidR="007722A7" w:rsidRPr="00235FB2" w:rsidRDefault="00EC6A66" w:rsidP="0028638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A growing body of Bangladesh-focused work reports that many learners reach upper secondary or transition to tertiary study with limited control over core writing competencies (idea development, organisation, grammatical accuracy, and genre-appropriate expression)</w:t>
      </w:r>
      <w:r w:rsidR="00AE148C" w:rsidRPr="00235FB2">
        <w:rPr>
          <w:rFonts w:ascii="Calibri" w:hAnsi="Calibri" w:cs="Calibri"/>
          <w:color w:val="000000" w:themeColor="text1"/>
          <w:sz w:val="20"/>
          <w:szCs w:val="20"/>
        </w:rPr>
        <w:t xml:space="preserve"> </w:t>
      </w:r>
      <w:r w:rsidR="00AE148C" w:rsidRPr="00235FB2">
        <w:rPr>
          <w:rFonts w:ascii="Calibri" w:hAnsi="Calibri" w:cs="Calibri"/>
          <w:b/>
          <w:bCs/>
          <w:color w:val="000000" w:themeColor="text1"/>
          <w:sz w:val="20"/>
          <w:szCs w:val="20"/>
        </w:rPr>
        <w:t>(Ahmed,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A recent study focused on higher secondary learners explicitly flags a continued gap between curriculum aspirations and actual writing performance, calling for closer attention to classroom pedagogy and writing-focused learning opportunities</w:t>
      </w:r>
      <w:r w:rsidR="0077384C" w:rsidRPr="00235FB2">
        <w:rPr>
          <w:rFonts w:ascii="Calibri" w:hAnsi="Calibri" w:cs="Calibri"/>
          <w:color w:val="000000" w:themeColor="text1"/>
          <w:sz w:val="20"/>
          <w:szCs w:val="20"/>
        </w:rPr>
        <w:t xml:space="preserve"> </w:t>
      </w:r>
      <w:r w:rsidR="0077384C" w:rsidRPr="00235FB2">
        <w:rPr>
          <w:rFonts w:ascii="Calibri" w:hAnsi="Calibri" w:cs="Calibri"/>
          <w:b/>
          <w:bCs/>
          <w:color w:val="000000" w:themeColor="text1"/>
          <w:sz w:val="20"/>
          <w:szCs w:val="20"/>
        </w:rPr>
        <w:t>(Rana et al.,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Complementary evidence from Bangladesh English-learning experiences at earlier stages suggests that learners often arrive at later schooling with limited preparation for extended writing tasks and academic writing expectations. System-level constraints plausibly amplify these outcomes</w:t>
      </w:r>
      <w:r w:rsidR="009E144E" w:rsidRPr="00235FB2">
        <w:rPr>
          <w:rFonts w:ascii="Calibri" w:hAnsi="Calibri" w:cs="Calibri"/>
          <w:color w:val="000000" w:themeColor="text1"/>
          <w:sz w:val="20"/>
          <w:szCs w:val="20"/>
        </w:rPr>
        <w:t xml:space="preserve"> </w:t>
      </w:r>
      <w:r w:rsidR="009E144E" w:rsidRPr="00235FB2">
        <w:rPr>
          <w:rFonts w:ascii="Calibri" w:hAnsi="Calibri" w:cs="Calibri"/>
          <w:b/>
          <w:bCs/>
          <w:color w:val="000000" w:themeColor="text1"/>
          <w:sz w:val="20"/>
          <w:szCs w:val="20"/>
        </w:rPr>
        <w:t>(Ahmed,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Bangladesh policy and assessment reviews note issues such as teacher development capacity, materials alignment challenges, and persistent implementation gaps, which can undermine communicative skill development (including writing) even when curricula signal communicative goals</w:t>
      </w:r>
      <w:r w:rsidR="000F7D53" w:rsidRPr="00235FB2">
        <w:rPr>
          <w:rFonts w:ascii="Calibri" w:hAnsi="Calibri" w:cs="Calibri"/>
          <w:color w:val="000000" w:themeColor="text1"/>
          <w:sz w:val="20"/>
          <w:szCs w:val="20"/>
        </w:rPr>
        <w:t xml:space="preserve"> </w:t>
      </w:r>
      <w:r w:rsidR="000F7D53" w:rsidRPr="00235FB2">
        <w:rPr>
          <w:rFonts w:ascii="Calibri" w:hAnsi="Calibri" w:cs="Calibri"/>
          <w:b/>
          <w:bCs/>
          <w:color w:val="000000" w:themeColor="text1"/>
          <w:sz w:val="20"/>
          <w:szCs w:val="20"/>
        </w:rPr>
        <w:t>(Rana et al., 2025).</w:t>
      </w:r>
      <w:r w:rsidRPr="00235FB2">
        <w:rPr>
          <w:rFonts w:ascii="Calibri" w:hAnsi="Calibri" w:cs="Calibri"/>
          <w:b/>
          <w:bCs/>
          <w:color w:val="000000" w:themeColor="text1"/>
          <w:sz w:val="20"/>
          <w:szCs w:val="20"/>
        </w:rPr>
        <w:t xml:space="preserve"> </w:t>
      </w:r>
      <w:r w:rsidRPr="00235FB2">
        <w:rPr>
          <w:rFonts w:ascii="Calibri" w:hAnsi="Calibri" w:cs="Calibri"/>
          <w:color w:val="000000" w:themeColor="text1"/>
          <w:sz w:val="20"/>
          <w:szCs w:val="20"/>
        </w:rPr>
        <w:t>In such contexts, writing instruction can become dominated by model answers, memorisation, and surface-level correctness</w:t>
      </w:r>
      <w:r w:rsidR="007722A7"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features commonly associated with a product approach to writing.</w:t>
      </w:r>
    </w:p>
    <w:p w14:paraId="02EEB309" w14:textId="1A9DFBEB" w:rsidR="000D3557" w:rsidRPr="00235FB2" w:rsidRDefault="00286384" w:rsidP="0028638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Writing pedagogy is often discussed through the lens of product versus process orientations. Product approaches commonly emphasise final-text correctness, imitation of models, and teacher-led correction, whereas process </w:t>
      </w:r>
      <w:r w:rsidRPr="00235FB2">
        <w:rPr>
          <w:rFonts w:ascii="Calibri" w:hAnsi="Calibri" w:cs="Calibri"/>
          <w:color w:val="000000" w:themeColor="text1"/>
          <w:sz w:val="20"/>
          <w:szCs w:val="20"/>
        </w:rPr>
        <w:lastRenderedPageBreak/>
        <w:t>approaches treat writing as iterative problem-solving that benefits from planning, drafting, feedback, revision, and editing</w:t>
      </w:r>
      <w:r w:rsidR="000F7D53" w:rsidRPr="00235FB2">
        <w:rPr>
          <w:rFonts w:ascii="Calibri" w:hAnsi="Calibri" w:cs="Calibri"/>
          <w:color w:val="000000" w:themeColor="text1"/>
          <w:sz w:val="20"/>
          <w:szCs w:val="20"/>
        </w:rPr>
        <w:t xml:space="preserve"> </w:t>
      </w:r>
      <w:r w:rsidR="00474F3D" w:rsidRPr="00235FB2">
        <w:rPr>
          <w:rFonts w:ascii="Calibri" w:hAnsi="Calibri" w:cs="Calibri"/>
          <w:b/>
          <w:bCs/>
          <w:color w:val="000000" w:themeColor="text1"/>
          <w:sz w:val="20"/>
          <w:szCs w:val="20"/>
        </w:rPr>
        <w:t>(Weng,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Contemporary discussions in ELT continue to contrast these paradigms and argue that process-oriented pedagogy is more aligned with developing transferable writing competence, particularly where learners need structured support to generate and refine meaning</w:t>
      </w:r>
      <w:r w:rsidR="00474F3D" w:rsidRPr="00235FB2">
        <w:rPr>
          <w:rFonts w:ascii="Calibri" w:hAnsi="Calibri" w:cs="Calibri"/>
          <w:color w:val="000000" w:themeColor="text1"/>
          <w:sz w:val="20"/>
          <w:szCs w:val="20"/>
        </w:rPr>
        <w:t xml:space="preserve"> </w:t>
      </w:r>
      <w:r w:rsidR="00474F3D" w:rsidRPr="00235FB2">
        <w:rPr>
          <w:rFonts w:ascii="Calibri" w:hAnsi="Calibri" w:cs="Calibri"/>
          <w:b/>
          <w:bCs/>
          <w:color w:val="000000" w:themeColor="text1"/>
          <w:sz w:val="20"/>
          <w:szCs w:val="20"/>
        </w:rPr>
        <w:t>(Ahmed, 2025</w:t>
      </w:r>
      <w:r w:rsidR="000F39F5" w:rsidRPr="00235FB2">
        <w:rPr>
          <w:rFonts w:ascii="Calibri" w:hAnsi="Calibri" w:cs="Calibri"/>
          <w:b/>
          <w:bCs/>
          <w:color w:val="000000" w:themeColor="text1"/>
          <w:sz w:val="20"/>
          <w:szCs w:val="20"/>
        </w:rPr>
        <w:t xml:space="preserve">; </w:t>
      </w:r>
      <w:r w:rsidR="00325136" w:rsidRPr="00235FB2">
        <w:rPr>
          <w:rFonts w:ascii="Calibri" w:hAnsi="Calibri" w:cs="Calibri"/>
          <w:b/>
          <w:bCs/>
          <w:color w:val="000000" w:themeColor="text1"/>
          <w:sz w:val="20"/>
          <w:szCs w:val="20"/>
        </w:rPr>
        <w:t>Hunter &amp; Zaman</w:t>
      </w:r>
      <w:r w:rsidR="00071C35" w:rsidRPr="00235FB2">
        <w:rPr>
          <w:rFonts w:ascii="Calibri" w:hAnsi="Calibri" w:cs="Calibri"/>
          <w:b/>
          <w:bCs/>
          <w:color w:val="000000" w:themeColor="text1"/>
          <w:sz w:val="20"/>
          <w:szCs w:val="20"/>
        </w:rPr>
        <w:t>, 2022</w:t>
      </w:r>
      <w:r w:rsidR="00474F3D" w:rsidRPr="00235FB2">
        <w:rPr>
          <w:rFonts w:ascii="Calibri" w:hAnsi="Calibri" w:cs="Calibri"/>
          <w:b/>
          <w:bCs/>
          <w:color w:val="000000" w:themeColor="text1"/>
          <w:sz w:val="20"/>
          <w:szCs w:val="20"/>
        </w:rPr>
        <w:t>)</w:t>
      </w:r>
      <w:r w:rsidR="000D3557" w:rsidRPr="00235FB2">
        <w:rPr>
          <w:rFonts w:ascii="Calibri" w:hAnsi="Calibri" w:cs="Calibri"/>
          <w:b/>
          <w:bCs/>
          <w:color w:val="000000" w:themeColor="text1"/>
          <w:sz w:val="20"/>
          <w:szCs w:val="20"/>
        </w:rPr>
        <w:t xml:space="preserve">. </w:t>
      </w:r>
    </w:p>
    <w:p w14:paraId="7148A37B" w14:textId="7C5A7A50" w:rsidR="00343D19" w:rsidRPr="00235FB2" w:rsidRDefault="00EC4A74" w:rsidP="00EC6A66">
      <w:pPr>
        <w:spacing w:after="0" w:line="360" w:lineRule="auto"/>
        <w:jc w:val="both"/>
        <w:rPr>
          <w:rFonts w:ascii="Calibri" w:hAnsi="Calibri" w:cs="Calibri"/>
          <w:color w:val="000000" w:themeColor="text1"/>
          <w:sz w:val="20"/>
          <w:szCs w:val="20"/>
        </w:rPr>
      </w:pPr>
      <w:r w:rsidRPr="00EC4A74">
        <w:rPr>
          <w:rFonts w:ascii="Calibri" w:hAnsi="Calibri" w:cs="Calibri"/>
          <w:color w:val="000000" w:themeColor="text1"/>
          <w:sz w:val="20"/>
          <w:szCs w:val="20"/>
          <w:highlight w:val="yellow"/>
        </w:rPr>
        <w:t xml:space="preserve">Recent meta-analyses </w:t>
      </w:r>
      <w:r>
        <w:rPr>
          <w:rFonts w:ascii="Calibri" w:hAnsi="Calibri" w:cs="Calibri"/>
          <w:color w:val="000000" w:themeColor="text1"/>
          <w:sz w:val="20"/>
          <w:szCs w:val="20"/>
          <w:highlight w:val="yellow"/>
        </w:rPr>
        <w:t>indicate</w:t>
      </w:r>
      <w:r w:rsidRPr="00EC4A74">
        <w:rPr>
          <w:rFonts w:ascii="Calibri" w:hAnsi="Calibri" w:cs="Calibri"/>
          <w:color w:val="000000" w:themeColor="text1"/>
          <w:sz w:val="20"/>
          <w:szCs w:val="20"/>
          <w:highlight w:val="yellow"/>
        </w:rPr>
        <w:t xml:space="preserve"> that structured writing instruction, </w:t>
      </w:r>
      <w:r>
        <w:rPr>
          <w:rFonts w:ascii="Calibri" w:hAnsi="Calibri" w:cs="Calibri"/>
          <w:color w:val="000000" w:themeColor="text1"/>
          <w:sz w:val="20"/>
          <w:szCs w:val="20"/>
          <w:highlight w:val="yellow"/>
        </w:rPr>
        <w:t>particular</w:t>
      </w:r>
      <w:r w:rsidRPr="00EC4A74">
        <w:rPr>
          <w:rFonts w:ascii="Calibri" w:hAnsi="Calibri" w:cs="Calibri"/>
          <w:color w:val="000000" w:themeColor="text1"/>
          <w:sz w:val="20"/>
          <w:szCs w:val="20"/>
          <w:highlight w:val="yellow"/>
        </w:rPr>
        <w:t xml:space="preserve">ly process-oriented approaches such as those by Graham et al. (2023) and Graham and </w:t>
      </w:r>
      <w:proofErr w:type="spellStart"/>
      <w:r w:rsidRPr="00EC4A74">
        <w:rPr>
          <w:rFonts w:ascii="Calibri" w:hAnsi="Calibri" w:cs="Calibri"/>
          <w:color w:val="000000" w:themeColor="text1"/>
          <w:sz w:val="20"/>
          <w:szCs w:val="20"/>
          <w:highlight w:val="yellow"/>
        </w:rPr>
        <w:t>Sandmel</w:t>
      </w:r>
      <w:proofErr w:type="spellEnd"/>
      <w:r w:rsidRPr="00EC4A74">
        <w:rPr>
          <w:rFonts w:ascii="Calibri" w:hAnsi="Calibri" w:cs="Calibri"/>
          <w:color w:val="000000" w:themeColor="text1"/>
          <w:sz w:val="20"/>
          <w:szCs w:val="20"/>
          <w:highlight w:val="yellow"/>
        </w:rPr>
        <w:t xml:space="preserve"> (2011), significantly improve</w:t>
      </w:r>
      <w:r>
        <w:rPr>
          <w:rFonts w:ascii="Calibri" w:hAnsi="Calibri" w:cs="Calibri"/>
          <w:color w:val="000000" w:themeColor="text1"/>
          <w:sz w:val="20"/>
          <w:szCs w:val="20"/>
          <w:highlight w:val="yellow"/>
        </w:rPr>
        <w:t>s</w:t>
      </w:r>
      <w:r w:rsidRPr="00EC4A74">
        <w:rPr>
          <w:rFonts w:ascii="Calibri" w:hAnsi="Calibri" w:cs="Calibri"/>
          <w:color w:val="000000" w:themeColor="text1"/>
          <w:sz w:val="20"/>
          <w:szCs w:val="20"/>
          <w:highlight w:val="yellow"/>
        </w:rPr>
        <w:t xml:space="preserve"> adolescent writing.</w:t>
      </w:r>
      <w:r>
        <w:rPr>
          <w:rFonts w:ascii="Calibri" w:hAnsi="Calibri" w:cs="Calibri"/>
          <w:color w:val="000000" w:themeColor="text1"/>
          <w:sz w:val="20"/>
          <w:szCs w:val="20"/>
        </w:rPr>
        <w:t xml:space="preserve"> </w:t>
      </w:r>
      <w:r w:rsidR="00286384" w:rsidRPr="00235FB2">
        <w:rPr>
          <w:rFonts w:ascii="Calibri" w:hAnsi="Calibri" w:cs="Calibri"/>
          <w:color w:val="000000" w:themeColor="text1"/>
          <w:sz w:val="20"/>
          <w:szCs w:val="20"/>
        </w:rPr>
        <w:t>which examined experimental and quasi-experimental studies and found that process writing instruction improves writing quality and can support motivation to write</w:t>
      </w:r>
      <w:r w:rsidR="00990AB5" w:rsidRPr="00235FB2">
        <w:rPr>
          <w:rFonts w:ascii="Calibri" w:hAnsi="Calibri" w:cs="Calibri"/>
          <w:color w:val="000000" w:themeColor="text1"/>
          <w:sz w:val="20"/>
          <w:szCs w:val="20"/>
        </w:rPr>
        <w:t xml:space="preserve"> </w:t>
      </w:r>
      <w:r w:rsidR="00990AB5" w:rsidRPr="00235FB2">
        <w:rPr>
          <w:rFonts w:ascii="Calibri" w:hAnsi="Calibri" w:cs="Calibri"/>
          <w:b/>
          <w:bCs/>
          <w:color w:val="000000" w:themeColor="text1"/>
          <w:sz w:val="20"/>
          <w:szCs w:val="20"/>
        </w:rPr>
        <w:t>(Rana et al., 2025)</w:t>
      </w:r>
      <w:r w:rsidR="00286384" w:rsidRPr="00235FB2">
        <w:rPr>
          <w:rFonts w:ascii="Calibri" w:hAnsi="Calibri" w:cs="Calibri"/>
          <w:b/>
          <w:bCs/>
          <w:color w:val="000000" w:themeColor="text1"/>
          <w:sz w:val="20"/>
          <w:szCs w:val="20"/>
        </w:rPr>
        <w:t>.</w:t>
      </w:r>
      <w:r w:rsidR="00286384" w:rsidRPr="00235FB2">
        <w:rPr>
          <w:rFonts w:ascii="Calibri" w:hAnsi="Calibri" w:cs="Calibri"/>
          <w:color w:val="000000" w:themeColor="text1"/>
          <w:sz w:val="20"/>
          <w:szCs w:val="20"/>
        </w:rPr>
        <w:t xml:space="preserve"> While the contexts and grade levels vary, this evidence base is important for Bangladesh because it suggests that process-based instruction is not simply a “method preference,” but a </w:t>
      </w:r>
      <w:r w:rsidR="00F75F58" w:rsidRPr="00235FB2">
        <w:rPr>
          <w:rFonts w:ascii="Calibri" w:hAnsi="Calibri" w:cs="Calibri"/>
          <w:color w:val="000000" w:themeColor="text1"/>
          <w:sz w:val="20"/>
          <w:szCs w:val="20"/>
        </w:rPr>
        <w:t>“</w:t>
      </w:r>
      <w:r w:rsidR="00286384" w:rsidRPr="00235FB2">
        <w:rPr>
          <w:rFonts w:ascii="Calibri" w:hAnsi="Calibri" w:cs="Calibri"/>
          <w:color w:val="000000" w:themeColor="text1"/>
          <w:sz w:val="20"/>
          <w:szCs w:val="20"/>
        </w:rPr>
        <w:t>pedagogical pathway</w:t>
      </w:r>
      <w:r w:rsidR="00F75F58" w:rsidRPr="00235FB2">
        <w:rPr>
          <w:rFonts w:ascii="Calibri" w:hAnsi="Calibri" w:cs="Calibri"/>
          <w:color w:val="000000" w:themeColor="text1"/>
          <w:sz w:val="20"/>
          <w:szCs w:val="20"/>
        </w:rPr>
        <w:t>”</w:t>
      </w:r>
      <w:r w:rsidR="00286384" w:rsidRPr="00235FB2">
        <w:rPr>
          <w:rFonts w:ascii="Calibri" w:hAnsi="Calibri" w:cs="Calibri"/>
          <w:color w:val="000000" w:themeColor="text1"/>
          <w:sz w:val="20"/>
          <w:szCs w:val="20"/>
        </w:rPr>
        <w:t xml:space="preserve"> with measurable learning benefits</w:t>
      </w:r>
      <w:r w:rsidR="00343D19" w:rsidRPr="00235FB2">
        <w:rPr>
          <w:rFonts w:ascii="Calibri" w:hAnsi="Calibri" w:cs="Calibri"/>
          <w:color w:val="000000" w:themeColor="text1"/>
          <w:sz w:val="20"/>
          <w:szCs w:val="20"/>
        </w:rPr>
        <w:t xml:space="preserve"> </w:t>
      </w:r>
      <w:r w:rsidR="00286384" w:rsidRPr="00235FB2">
        <w:rPr>
          <w:rFonts w:ascii="Calibri" w:hAnsi="Calibri" w:cs="Calibri"/>
          <w:color w:val="000000" w:themeColor="text1"/>
          <w:sz w:val="20"/>
          <w:szCs w:val="20"/>
        </w:rPr>
        <w:t>provided implementation is feasible</w:t>
      </w:r>
      <w:r w:rsidR="0063039A" w:rsidRPr="00235FB2">
        <w:rPr>
          <w:rFonts w:ascii="Calibri" w:hAnsi="Calibri" w:cs="Calibri"/>
          <w:color w:val="000000" w:themeColor="text1"/>
          <w:sz w:val="20"/>
          <w:szCs w:val="20"/>
        </w:rPr>
        <w:t xml:space="preserve"> </w:t>
      </w:r>
      <w:r w:rsidR="0063039A" w:rsidRPr="00235FB2">
        <w:rPr>
          <w:rFonts w:ascii="Calibri" w:hAnsi="Calibri" w:cs="Calibri"/>
          <w:b/>
          <w:bCs/>
          <w:color w:val="000000" w:themeColor="text1"/>
          <w:sz w:val="20"/>
          <w:szCs w:val="20"/>
        </w:rPr>
        <w:t>(Ahmed, 2025)</w:t>
      </w:r>
      <w:r w:rsidR="00286384" w:rsidRPr="00235FB2">
        <w:rPr>
          <w:rFonts w:ascii="Calibri" w:hAnsi="Calibri" w:cs="Calibri"/>
          <w:color w:val="000000" w:themeColor="text1"/>
          <w:sz w:val="20"/>
          <w:szCs w:val="20"/>
        </w:rPr>
        <w:t>.</w:t>
      </w:r>
    </w:p>
    <w:p w14:paraId="79B108AA" w14:textId="2C50D33C" w:rsidR="00862F54" w:rsidRPr="00235FB2" w:rsidRDefault="00862F54" w:rsidP="00862F5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PWA is not a single technique; its effectiveness is typically realised through a bundle of practices</w:t>
      </w:r>
      <w:r w:rsidR="0022738B" w:rsidRPr="00235FB2">
        <w:rPr>
          <w:rFonts w:ascii="Calibri" w:hAnsi="Calibri" w:cs="Calibri"/>
          <w:color w:val="000000" w:themeColor="text1"/>
          <w:sz w:val="20"/>
          <w:szCs w:val="20"/>
        </w:rPr>
        <w:t xml:space="preserve"> </w:t>
      </w:r>
      <w:r w:rsidR="0022738B" w:rsidRPr="00235FB2">
        <w:rPr>
          <w:rFonts w:ascii="Calibri" w:hAnsi="Calibri" w:cs="Calibri"/>
          <w:b/>
          <w:bCs/>
          <w:color w:val="000000" w:themeColor="text1"/>
          <w:sz w:val="20"/>
          <w:szCs w:val="20"/>
        </w:rPr>
        <w:t>(Bilkis et al., 2021)</w:t>
      </w:r>
      <w:r w:rsidRPr="00235FB2">
        <w:rPr>
          <w:rFonts w:ascii="Calibri" w:hAnsi="Calibri" w:cs="Calibri"/>
          <w:color w:val="000000" w:themeColor="text1"/>
          <w:sz w:val="20"/>
          <w:szCs w:val="20"/>
        </w:rPr>
        <w:t>. Recent syntheses emphasise three components that repeatedly emerge as influential:</w:t>
      </w:r>
    </w:p>
    <w:p w14:paraId="30793A75" w14:textId="25C79361" w:rsidR="00862F54" w:rsidRPr="00235FB2" w:rsidRDefault="00862F54" w:rsidP="00862F54">
      <w:pPr>
        <w:spacing w:after="0" w:line="360" w:lineRule="auto"/>
        <w:ind w:left="720"/>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(a) Feedback and peer response: </w:t>
      </w:r>
      <w:r w:rsidRPr="00235FB2">
        <w:rPr>
          <w:rFonts w:ascii="Calibri" w:hAnsi="Calibri" w:cs="Calibri"/>
          <w:color w:val="000000" w:themeColor="text1"/>
          <w:sz w:val="20"/>
          <w:szCs w:val="20"/>
        </w:rPr>
        <w:t>Peer feedback</w:t>
      </w:r>
      <w:r w:rsidR="00343D19"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especially when structured and scaffolded</w:t>
      </w:r>
      <w:r w:rsidR="00343D19"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has been repeatedly associated with improvements in writing outcomes and learners’ engagement with revision</w:t>
      </w:r>
      <w:r w:rsidR="000E4A84" w:rsidRPr="00235FB2">
        <w:rPr>
          <w:rFonts w:ascii="Calibri" w:hAnsi="Calibri" w:cs="Calibri"/>
          <w:color w:val="000000" w:themeColor="text1"/>
          <w:sz w:val="20"/>
          <w:szCs w:val="20"/>
        </w:rPr>
        <w:t xml:space="preserve"> </w:t>
      </w:r>
      <w:r w:rsidR="007470B8" w:rsidRPr="00235FB2">
        <w:rPr>
          <w:rFonts w:ascii="Calibri" w:hAnsi="Calibri" w:cs="Calibri"/>
          <w:b/>
          <w:bCs/>
          <w:color w:val="000000" w:themeColor="text1"/>
          <w:sz w:val="20"/>
          <w:szCs w:val="20"/>
        </w:rPr>
        <w:t>(</w:t>
      </w:r>
      <w:r w:rsidR="000E4A84" w:rsidRPr="00235FB2">
        <w:rPr>
          <w:rFonts w:ascii="Calibri" w:hAnsi="Calibri" w:cs="Calibri"/>
          <w:b/>
          <w:bCs/>
          <w:color w:val="000000" w:themeColor="text1"/>
          <w:sz w:val="20"/>
          <w:szCs w:val="20"/>
        </w:rPr>
        <w:t>Wei and Liu, 2024)</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A systematic review of peer feedback research (2014–2024) reports expanding evidence and identifies design needs (e.g., guidance and training) that influence effectiveness. Recent work also shows that peer feedback can influence affective variables such as writing anxiety, which is highly relevant in exam-driven EFL contexts</w:t>
      </w:r>
      <w:r w:rsidR="00990AB5" w:rsidRPr="00235FB2">
        <w:rPr>
          <w:rFonts w:ascii="Calibri" w:hAnsi="Calibri" w:cs="Calibri"/>
          <w:color w:val="000000" w:themeColor="text1"/>
          <w:sz w:val="20"/>
          <w:szCs w:val="20"/>
        </w:rPr>
        <w:t xml:space="preserve"> </w:t>
      </w:r>
      <w:r w:rsidR="00990AB5" w:rsidRPr="00235FB2">
        <w:rPr>
          <w:rFonts w:ascii="Calibri" w:hAnsi="Calibri" w:cs="Calibri"/>
          <w:b/>
          <w:bCs/>
          <w:color w:val="000000" w:themeColor="text1"/>
          <w:sz w:val="20"/>
          <w:szCs w:val="20"/>
        </w:rPr>
        <w:t>(Ahmed, 2025)</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w:t>
      </w:r>
      <w:r w:rsidR="00EC4A74" w:rsidRPr="00EC4A74">
        <w:rPr>
          <w:rFonts w:ascii="Calibri" w:hAnsi="Calibri" w:cs="Calibri"/>
          <w:color w:val="000000" w:themeColor="text1"/>
          <w:sz w:val="20"/>
          <w:szCs w:val="20"/>
          <w:highlight w:val="yellow"/>
        </w:rPr>
        <w:t>A systematic review confirms peer feedback supports all aspects of writing development when well scaffolded (Wei and Liu, 2024).</w:t>
      </w:r>
      <w:r w:rsidR="00EC4A74">
        <w:rPr>
          <w:rFonts w:ascii="Calibri" w:hAnsi="Calibri" w:cs="Calibri"/>
          <w:color w:val="000000" w:themeColor="text1"/>
          <w:sz w:val="20"/>
          <w:szCs w:val="20"/>
        </w:rPr>
        <w:t xml:space="preserve"> </w:t>
      </w:r>
      <w:r w:rsidR="00EC4A74" w:rsidRPr="00EC4A74">
        <w:rPr>
          <w:rFonts w:ascii="Calibri" w:hAnsi="Calibri" w:cs="Calibri"/>
          <w:color w:val="000000" w:themeColor="text1"/>
          <w:sz w:val="20"/>
          <w:szCs w:val="20"/>
          <w:highlight w:val="yellow"/>
        </w:rPr>
        <w:t>Evidence also indicates that structured peer review can sustain feedback in large classes by reducing dependence on teachers (Gao et al., 2024).</w:t>
      </w:r>
    </w:p>
    <w:p w14:paraId="0EFBCDC0" w14:textId="7C0AF481" w:rsidR="00927671" w:rsidRPr="00235FB2" w:rsidRDefault="00862F54" w:rsidP="00927671">
      <w:pPr>
        <w:spacing w:after="0" w:line="360" w:lineRule="auto"/>
        <w:ind w:left="720"/>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(b) Revision as meaning-making (not just error correction)</w:t>
      </w:r>
      <w:r w:rsidR="00927671"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Process instruction is strongest when revision targets organisation, clarity, and argument/idea development</w:t>
      </w:r>
      <w:r w:rsidR="00DA1EBC"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beyond surface-level grammar fixes. Research on revision practices in EFL writing highlights emotional and cognitive shifts when learners move from “form-only” editing toward substantive revision, reinforcing the importance of instruction that normalises multiple drafts and targeted revision goals</w:t>
      </w:r>
      <w:r w:rsidR="00292D59" w:rsidRPr="00235FB2">
        <w:rPr>
          <w:rFonts w:ascii="Calibri" w:hAnsi="Calibri" w:cs="Calibri"/>
          <w:color w:val="000000" w:themeColor="text1"/>
          <w:sz w:val="20"/>
          <w:szCs w:val="20"/>
        </w:rPr>
        <w:t xml:space="preserve"> </w:t>
      </w:r>
      <w:r w:rsidR="00292D59" w:rsidRPr="00235FB2">
        <w:rPr>
          <w:rFonts w:ascii="Calibri" w:hAnsi="Calibri" w:cs="Calibri"/>
          <w:b/>
          <w:bCs/>
          <w:color w:val="000000" w:themeColor="text1"/>
          <w:sz w:val="20"/>
          <w:szCs w:val="20"/>
        </w:rPr>
        <w:t>(Wei</w:t>
      </w:r>
      <w:r w:rsidR="00481000" w:rsidRPr="00235FB2">
        <w:rPr>
          <w:rFonts w:ascii="Calibri" w:hAnsi="Calibri" w:cs="Calibri"/>
          <w:b/>
          <w:bCs/>
          <w:color w:val="000000" w:themeColor="text1"/>
          <w:sz w:val="20"/>
          <w:szCs w:val="20"/>
        </w:rPr>
        <w:t xml:space="preserve">, </w:t>
      </w:r>
      <w:r w:rsidR="00292D59" w:rsidRPr="00235FB2">
        <w:rPr>
          <w:rFonts w:ascii="Calibri" w:hAnsi="Calibri" w:cs="Calibri"/>
          <w:b/>
          <w:bCs/>
          <w:color w:val="000000" w:themeColor="text1"/>
          <w:sz w:val="20"/>
          <w:szCs w:val="20"/>
        </w:rPr>
        <w:t>2024)</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w:t>
      </w:r>
    </w:p>
    <w:p w14:paraId="2C4F45C9" w14:textId="4B7A2613" w:rsidR="00B36A94" w:rsidRPr="00235FB2" w:rsidRDefault="00862F54" w:rsidP="00B36A94">
      <w:pPr>
        <w:spacing w:after="0" w:line="360" w:lineRule="auto"/>
        <w:ind w:left="720"/>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(c) Teacher facilitation and classroom feasibility</w:t>
      </w:r>
      <w:r w:rsidR="00927671"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A core promise of PWA is repositioning the teacher from sole evaluator to facilitator of planning, drafting, feedback, and revision cycles. However, feasibility depends on time, class size, and assessment structures</w:t>
      </w:r>
      <w:r w:rsidR="005E3438"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constraints frequently raised in Bangladesh education policy and practice discussions</w:t>
      </w:r>
      <w:r w:rsidR="00292D59" w:rsidRPr="00235FB2">
        <w:rPr>
          <w:rFonts w:ascii="Calibri" w:hAnsi="Calibri" w:cs="Calibri"/>
          <w:color w:val="000000" w:themeColor="text1"/>
          <w:sz w:val="20"/>
          <w:szCs w:val="20"/>
        </w:rPr>
        <w:t xml:space="preserve"> </w:t>
      </w:r>
      <w:r w:rsidR="00292D59" w:rsidRPr="00235FB2">
        <w:rPr>
          <w:rFonts w:ascii="Calibri" w:hAnsi="Calibri" w:cs="Calibri"/>
          <w:b/>
          <w:bCs/>
          <w:color w:val="000000" w:themeColor="text1"/>
          <w:sz w:val="20"/>
          <w:szCs w:val="20"/>
        </w:rPr>
        <w:t>(</w:t>
      </w:r>
      <w:proofErr w:type="spellStart"/>
      <w:r w:rsidR="00292D59" w:rsidRPr="00235FB2">
        <w:rPr>
          <w:rFonts w:ascii="Calibri" w:hAnsi="Calibri" w:cs="Calibri"/>
          <w:b/>
          <w:bCs/>
          <w:color w:val="000000" w:themeColor="text1"/>
          <w:sz w:val="20"/>
          <w:szCs w:val="20"/>
        </w:rPr>
        <w:t>Sciedu</w:t>
      </w:r>
      <w:proofErr w:type="spellEnd"/>
      <w:r w:rsidR="00292D59" w:rsidRPr="00235FB2">
        <w:rPr>
          <w:rFonts w:ascii="Calibri" w:hAnsi="Calibri" w:cs="Calibri"/>
          <w:b/>
          <w:bCs/>
          <w:color w:val="000000" w:themeColor="text1"/>
          <w:sz w:val="20"/>
          <w:szCs w:val="20"/>
        </w:rPr>
        <w:t xml:space="preserve"> Press, 2025)</w:t>
      </w:r>
      <w:r w:rsidR="00B36A94" w:rsidRPr="00235FB2">
        <w:rPr>
          <w:rFonts w:ascii="Calibri" w:hAnsi="Calibri" w:cs="Calibri"/>
          <w:b/>
          <w:bCs/>
          <w:color w:val="000000" w:themeColor="text1"/>
          <w:sz w:val="20"/>
          <w:szCs w:val="20"/>
        </w:rPr>
        <w:t>.</w:t>
      </w:r>
    </w:p>
    <w:p w14:paraId="733159B2" w14:textId="09356F9D" w:rsidR="00B36A94" w:rsidRPr="00235FB2" w:rsidRDefault="00B36A94" w:rsidP="00B36A94">
      <w:pPr>
        <w:spacing w:after="0" w:line="360" w:lineRule="auto"/>
        <w:jc w:val="both"/>
        <w:rPr>
          <w:rFonts w:ascii="Calibri" w:hAnsi="Calibri" w:cs="Calibri"/>
          <w:b/>
          <w:bCs/>
          <w:color w:val="000000" w:themeColor="text1"/>
          <w:sz w:val="20"/>
          <w:szCs w:val="20"/>
        </w:rPr>
      </w:pPr>
    </w:p>
    <w:p w14:paraId="0E0FB057" w14:textId="6C1340D2" w:rsidR="00CE4F48" w:rsidRPr="00235FB2" w:rsidRDefault="00C80049" w:rsidP="00B36A94">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Theoretical perspectives: Flower and Hayes</w:t>
      </w:r>
      <w:r w:rsidR="00200ED3" w:rsidRPr="00235FB2">
        <w:rPr>
          <w:rFonts w:ascii="Calibri" w:hAnsi="Calibri" w:cs="Calibri"/>
          <w:b/>
          <w:bCs/>
          <w:color w:val="000000" w:themeColor="text1"/>
          <w:sz w:val="20"/>
          <w:szCs w:val="20"/>
        </w:rPr>
        <w:t>’</w:t>
      </w:r>
      <w:r w:rsidRPr="00235FB2">
        <w:rPr>
          <w:rFonts w:ascii="Calibri" w:hAnsi="Calibri" w:cs="Calibri"/>
          <w:b/>
          <w:bCs/>
          <w:color w:val="000000" w:themeColor="text1"/>
          <w:sz w:val="20"/>
          <w:szCs w:val="20"/>
        </w:rPr>
        <w:t xml:space="preserve"> Process Writing Approach</w:t>
      </w:r>
    </w:p>
    <w:p w14:paraId="6E0E1B88" w14:textId="55DA39C4" w:rsidR="0026237D" w:rsidRPr="00235FB2" w:rsidRDefault="007F1AB4" w:rsidP="007F1AB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 image</w:t>
      </w:r>
      <w:r w:rsidR="00786D3C" w:rsidRPr="00235FB2">
        <w:rPr>
          <w:rFonts w:ascii="Calibri" w:hAnsi="Calibri" w:cs="Calibri"/>
          <w:color w:val="000000" w:themeColor="text1"/>
          <w:sz w:val="20"/>
          <w:szCs w:val="20"/>
        </w:rPr>
        <w:t xml:space="preserve"> 1</w:t>
      </w:r>
      <w:r w:rsidRPr="00235FB2">
        <w:rPr>
          <w:rFonts w:ascii="Calibri" w:hAnsi="Calibri" w:cs="Calibri"/>
          <w:color w:val="000000" w:themeColor="text1"/>
          <w:sz w:val="20"/>
          <w:szCs w:val="20"/>
        </w:rPr>
        <w:t xml:space="preserve"> below illustrates Flower and Hayes’ Process Writing Approach (PWA), which conceptualises writing as a recursive, cognitive, and goal-directed process rather than a linear activity that ends with a single final draft </w:t>
      </w:r>
      <w:r w:rsidRPr="00235FB2">
        <w:rPr>
          <w:rFonts w:ascii="Calibri" w:hAnsi="Calibri" w:cs="Calibri"/>
          <w:b/>
          <w:bCs/>
          <w:color w:val="000000" w:themeColor="text1"/>
          <w:sz w:val="20"/>
          <w:szCs w:val="20"/>
        </w:rPr>
        <w:t>(Flower &amp; Hayes, 1981).</w:t>
      </w:r>
      <w:r w:rsidRPr="00235FB2">
        <w:rPr>
          <w:rFonts w:ascii="Calibri" w:hAnsi="Calibri" w:cs="Calibri"/>
          <w:color w:val="000000" w:themeColor="text1"/>
          <w:sz w:val="20"/>
          <w:szCs w:val="20"/>
        </w:rPr>
        <w:t xml:space="preserve"> At the centre of the model is the Process Writing Approach, highlighting that writing develops through iterative cycles of planning, drafting, feedback, reflection, and revision.</w:t>
      </w:r>
      <w:r w:rsidR="00786D3C"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The process begins with prewriting and idea generation, where writers brainstorm, explore the topic, and organise ideas. This stage </w:t>
      </w:r>
      <w:r w:rsidRPr="00235FB2">
        <w:rPr>
          <w:rFonts w:ascii="Calibri" w:hAnsi="Calibri" w:cs="Calibri"/>
          <w:color w:val="000000" w:themeColor="text1"/>
          <w:sz w:val="20"/>
          <w:szCs w:val="20"/>
        </w:rPr>
        <w:lastRenderedPageBreak/>
        <w:t>corresponds to Flower and Hayes’ planning component, which involves goal setting and content generation. Writers then move into planning, where ideas are structured and rhetorical goals are refined.</w:t>
      </w:r>
      <w:r w:rsidR="00D3586D"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Next, drafting represents the translating stage in the original cognitive model, where mental plans are transformed into written text</w:t>
      </w:r>
      <w:r w:rsidR="00B44F98" w:rsidRPr="00235FB2">
        <w:rPr>
          <w:rFonts w:ascii="Calibri" w:hAnsi="Calibri" w:cs="Calibri"/>
          <w:color w:val="000000" w:themeColor="text1"/>
          <w:sz w:val="20"/>
          <w:szCs w:val="20"/>
        </w:rPr>
        <w:t xml:space="preserve"> </w:t>
      </w:r>
      <w:r w:rsidR="00B44F98" w:rsidRPr="00235FB2">
        <w:rPr>
          <w:rFonts w:ascii="Calibri" w:hAnsi="Calibri" w:cs="Calibri"/>
          <w:b/>
          <w:bCs/>
          <w:color w:val="000000" w:themeColor="text1"/>
          <w:sz w:val="20"/>
          <w:szCs w:val="20"/>
        </w:rPr>
        <w:t>(</w:t>
      </w:r>
      <w:r w:rsidR="005B0032" w:rsidRPr="00235FB2">
        <w:rPr>
          <w:rFonts w:ascii="Calibri" w:hAnsi="Calibri" w:cs="Calibri"/>
          <w:b/>
          <w:bCs/>
          <w:color w:val="000000" w:themeColor="text1"/>
          <w:sz w:val="20"/>
          <w:szCs w:val="20"/>
        </w:rPr>
        <w:t xml:space="preserve">Graham and </w:t>
      </w:r>
      <w:proofErr w:type="spellStart"/>
      <w:r w:rsidR="005B0032" w:rsidRPr="00235FB2">
        <w:rPr>
          <w:rFonts w:ascii="Calibri" w:hAnsi="Calibri" w:cs="Calibri"/>
          <w:b/>
          <w:bCs/>
          <w:color w:val="000000" w:themeColor="text1"/>
          <w:sz w:val="20"/>
          <w:szCs w:val="20"/>
        </w:rPr>
        <w:t>Sandmel</w:t>
      </w:r>
      <w:proofErr w:type="spellEnd"/>
      <w:r w:rsidR="005B0032" w:rsidRPr="00235FB2">
        <w:rPr>
          <w:rFonts w:ascii="Calibri" w:hAnsi="Calibri" w:cs="Calibri"/>
          <w:b/>
          <w:bCs/>
          <w:color w:val="000000" w:themeColor="text1"/>
          <w:sz w:val="20"/>
          <w:szCs w:val="20"/>
        </w:rPr>
        <w:t>, 2011)</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The image emphasises that this draft is provisional, encouraging writers to view writing as developmental rather than fixed.</w:t>
      </w:r>
    </w:p>
    <w:p w14:paraId="59C85435" w14:textId="14D6A10F" w:rsidR="007F1AB4" w:rsidRPr="00235FB2" w:rsidRDefault="007F1AB4" w:rsidP="007F1AB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Teacher review and peer feedback enrich the task environment by introducing audience perspectives, evaluation criteria, and scaffolding. This reflects sociocultural perspectives on writing development, where interaction and feedback mediate learning </w:t>
      </w:r>
      <w:r w:rsidRPr="00235FB2">
        <w:rPr>
          <w:rFonts w:ascii="Calibri" w:hAnsi="Calibri" w:cs="Calibri"/>
          <w:b/>
          <w:bCs/>
          <w:color w:val="000000" w:themeColor="text1"/>
          <w:sz w:val="20"/>
          <w:szCs w:val="20"/>
        </w:rPr>
        <w:t>(Vygotsky, 1978; Hyland &amp; Hyland, 2019).</w:t>
      </w:r>
      <w:r w:rsidR="0026237D"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The reflection stage enables writers to evaluate their progress, develop metacognitive awareness, and make strategic decisions about revision. This aligns with self-regulated learning theory, where reflection supports deeper cognitive engagement </w:t>
      </w:r>
      <w:r w:rsidRPr="00235FB2">
        <w:rPr>
          <w:rFonts w:ascii="Calibri" w:hAnsi="Calibri" w:cs="Calibri"/>
          <w:b/>
          <w:bCs/>
          <w:color w:val="000000" w:themeColor="text1"/>
          <w:sz w:val="20"/>
          <w:szCs w:val="20"/>
        </w:rPr>
        <w:t>(Zimmerman, 2002).</w:t>
      </w:r>
    </w:p>
    <w:p w14:paraId="17C080E3" w14:textId="26DCBD40" w:rsidR="007F1AB4" w:rsidRPr="00235FB2" w:rsidRDefault="007F1AB4" w:rsidP="007F1AB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 model then highlights revision as a meaning-focused process, where writers reorganise ideas, strengthen arguments, and improve coherence. This supports research showing that process-oriented revision improves writing quality more effectively than surface-level correction </w:t>
      </w:r>
      <w:r w:rsidRPr="00235FB2">
        <w:rPr>
          <w:rFonts w:ascii="Calibri" w:hAnsi="Calibri" w:cs="Calibri"/>
          <w:b/>
          <w:bCs/>
          <w:color w:val="000000" w:themeColor="text1"/>
          <w:sz w:val="20"/>
          <w:szCs w:val="20"/>
        </w:rPr>
        <w:t xml:space="preserve">(Graham &amp; </w:t>
      </w:r>
      <w:proofErr w:type="spellStart"/>
      <w:r w:rsidRPr="00235FB2">
        <w:rPr>
          <w:rFonts w:ascii="Calibri" w:hAnsi="Calibri" w:cs="Calibri"/>
          <w:b/>
          <w:bCs/>
          <w:color w:val="000000" w:themeColor="text1"/>
          <w:sz w:val="20"/>
          <w:szCs w:val="20"/>
        </w:rPr>
        <w:t>Sandmel</w:t>
      </w:r>
      <w:proofErr w:type="spellEnd"/>
      <w:r w:rsidRPr="00235FB2">
        <w:rPr>
          <w:rFonts w:ascii="Calibri" w:hAnsi="Calibri" w:cs="Calibri"/>
          <w:b/>
          <w:bCs/>
          <w:color w:val="000000" w:themeColor="text1"/>
          <w:sz w:val="20"/>
          <w:szCs w:val="20"/>
        </w:rPr>
        <w:t>, 2011).</w:t>
      </w:r>
      <w:r w:rsidR="00FF67A2"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Finally, editing and proofreading focus on grammatical accuracy, clarity, and mechanics, positioned deliberately after revision to ensure that meaning development precedes technical correctness. The circular arrows throughout the diagram reinforce that writers can loop back to earlier stages at any time, demonstrating the recursive nature of composing.</w:t>
      </w:r>
    </w:p>
    <w:p w14:paraId="4F1D33BE" w14:textId="5C6DBD66" w:rsidR="007F1AB4" w:rsidRPr="00235FB2" w:rsidRDefault="007F1AB4" w:rsidP="007F1AB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Overall, the image operationalises Flower and Hayes’ cognitive theory into a classroom-friendly pedagogical cycle, validating iterative drafting, feedback, and reflection as normal cognitive processes rather than additional workload. This helps explain why purely product-oriented instruction often fails to develop genuine writing proficiency</w:t>
      </w:r>
      <w:r w:rsidR="001E2E3A" w:rsidRPr="00235FB2">
        <w:rPr>
          <w:rFonts w:ascii="Calibri" w:hAnsi="Calibri" w:cs="Calibri"/>
          <w:color w:val="000000" w:themeColor="text1"/>
          <w:sz w:val="20"/>
          <w:szCs w:val="20"/>
        </w:rPr>
        <w:t xml:space="preserve"> </w:t>
      </w:r>
      <w:r w:rsidR="001E2E3A" w:rsidRPr="00235FB2">
        <w:rPr>
          <w:rFonts w:ascii="Calibri" w:hAnsi="Calibri" w:cs="Calibri"/>
          <w:b/>
          <w:bCs/>
          <w:color w:val="000000" w:themeColor="text1"/>
          <w:sz w:val="20"/>
          <w:szCs w:val="20"/>
        </w:rPr>
        <w:t>(Flower &amp; Hayes, 1981)</w:t>
      </w:r>
      <w:r w:rsidRPr="00235FB2">
        <w:rPr>
          <w:rFonts w:ascii="Calibri" w:hAnsi="Calibri" w:cs="Calibri"/>
          <w:color w:val="000000" w:themeColor="text1"/>
          <w:sz w:val="20"/>
          <w:szCs w:val="20"/>
        </w:rPr>
        <w:t>.</w:t>
      </w:r>
    </w:p>
    <w:p w14:paraId="7B9BA141" w14:textId="6840D5EA" w:rsidR="004D3619" w:rsidRPr="00235FB2" w:rsidRDefault="00FA34C4" w:rsidP="00785A03">
      <w:pPr>
        <w:spacing w:after="0" w:line="360" w:lineRule="auto"/>
        <w:ind w:left="720"/>
        <w:jc w:val="both"/>
        <w:rPr>
          <w:rFonts w:ascii="Calibri" w:hAnsi="Calibri" w:cs="Calibri"/>
          <w:color w:val="000000" w:themeColor="text1"/>
          <w:sz w:val="20"/>
          <w:szCs w:val="20"/>
        </w:rPr>
      </w:pPr>
      <w:r w:rsidRPr="00235FB2">
        <w:rPr>
          <w:rFonts w:ascii="Calibri" w:hAnsi="Calibri" w:cs="Calibri"/>
          <w:noProof/>
          <w:color w:val="000000" w:themeColor="text1"/>
          <w:sz w:val="20"/>
          <w:szCs w:val="20"/>
        </w:rPr>
        <w:drawing>
          <wp:anchor distT="0" distB="0" distL="114300" distR="114300" simplePos="0" relativeHeight="251661312" behindDoc="1" locked="0" layoutInCell="1" allowOverlap="1" wp14:anchorId="0C1C6187" wp14:editId="72CE6360">
            <wp:simplePos x="0" y="0"/>
            <wp:positionH relativeFrom="column">
              <wp:posOffset>1341120</wp:posOffset>
            </wp:positionH>
            <wp:positionV relativeFrom="paragraph">
              <wp:posOffset>10600</wp:posOffset>
            </wp:positionV>
            <wp:extent cx="3469005" cy="2457157"/>
            <wp:effectExtent l="0" t="0" r="0" b="635"/>
            <wp:wrapNone/>
            <wp:docPr id="231887093" name="Picture 1" descr="A diagram of wri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87093" name="Picture 1" descr="A diagram of writing process"/>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1353" cy="2494236"/>
                    </a:xfrm>
                    <a:prstGeom prst="rect">
                      <a:avLst/>
                    </a:prstGeom>
                  </pic:spPr>
                </pic:pic>
              </a:graphicData>
            </a:graphic>
            <wp14:sizeRelH relativeFrom="margin">
              <wp14:pctWidth>0</wp14:pctWidth>
            </wp14:sizeRelH>
            <wp14:sizeRelV relativeFrom="margin">
              <wp14:pctHeight>0</wp14:pctHeight>
            </wp14:sizeRelV>
          </wp:anchor>
        </w:drawing>
      </w:r>
    </w:p>
    <w:p w14:paraId="66122415" w14:textId="5B31D4F9" w:rsidR="004D3619" w:rsidRPr="00235FB2" w:rsidRDefault="004D3619" w:rsidP="00785A03">
      <w:pPr>
        <w:spacing w:after="0" w:line="360" w:lineRule="auto"/>
        <w:ind w:left="720"/>
        <w:jc w:val="both"/>
        <w:rPr>
          <w:rFonts w:ascii="Calibri" w:hAnsi="Calibri" w:cs="Calibri"/>
          <w:color w:val="000000" w:themeColor="text1"/>
          <w:sz w:val="20"/>
          <w:szCs w:val="20"/>
        </w:rPr>
      </w:pPr>
    </w:p>
    <w:p w14:paraId="37D3AF26" w14:textId="7B49BD99" w:rsidR="004D3619" w:rsidRPr="00235FB2" w:rsidRDefault="004D3619" w:rsidP="00785A03">
      <w:pPr>
        <w:spacing w:after="0" w:line="360" w:lineRule="auto"/>
        <w:ind w:left="720"/>
        <w:jc w:val="both"/>
        <w:rPr>
          <w:rFonts w:ascii="Calibri" w:hAnsi="Calibri" w:cs="Calibri"/>
          <w:color w:val="000000" w:themeColor="text1"/>
          <w:sz w:val="20"/>
          <w:szCs w:val="20"/>
        </w:rPr>
      </w:pPr>
    </w:p>
    <w:p w14:paraId="60D44723" w14:textId="0667DF55" w:rsidR="004D3619" w:rsidRPr="00235FB2" w:rsidRDefault="004D3619" w:rsidP="00785A03">
      <w:pPr>
        <w:spacing w:after="0" w:line="360" w:lineRule="auto"/>
        <w:ind w:left="720"/>
        <w:jc w:val="both"/>
        <w:rPr>
          <w:rFonts w:ascii="Calibri" w:hAnsi="Calibri" w:cs="Calibri"/>
          <w:color w:val="000000" w:themeColor="text1"/>
          <w:sz w:val="20"/>
          <w:szCs w:val="20"/>
        </w:rPr>
      </w:pPr>
    </w:p>
    <w:p w14:paraId="5A021D3F" w14:textId="77777777" w:rsidR="004D3619" w:rsidRPr="00235FB2" w:rsidRDefault="004D3619" w:rsidP="00785A03">
      <w:pPr>
        <w:spacing w:after="0" w:line="360" w:lineRule="auto"/>
        <w:ind w:left="720"/>
        <w:jc w:val="both"/>
        <w:rPr>
          <w:rFonts w:ascii="Calibri" w:hAnsi="Calibri" w:cs="Calibri"/>
          <w:color w:val="000000" w:themeColor="text1"/>
          <w:sz w:val="20"/>
          <w:szCs w:val="20"/>
        </w:rPr>
      </w:pPr>
    </w:p>
    <w:p w14:paraId="2071AB2F" w14:textId="77777777" w:rsidR="004D3619" w:rsidRPr="00235FB2" w:rsidRDefault="004D3619" w:rsidP="00785A03">
      <w:pPr>
        <w:spacing w:after="0" w:line="360" w:lineRule="auto"/>
        <w:ind w:left="720"/>
        <w:jc w:val="both"/>
        <w:rPr>
          <w:rFonts w:ascii="Calibri" w:hAnsi="Calibri" w:cs="Calibri"/>
          <w:color w:val="000000" w:themeColor="text1"/>
          <w:sz w:val="20"/>
          <w:szCs w:val="20"/>
        </w:rPr>
      </w:pPr>
    </w:p>
    <w:p w14:paraId="59CC52B6" w14:textId="77777777" w:rsidR="004D3619" w:rsidRPr="00235FB2" w:rsidRDefault="004D3619" w:rsidP="00785A03">
      <w:pPr>
        <w:spacing w:after="0" w:line="360" w:lineRule="auto"/>
        <w:ind w:left="720"/>
        <w:jc w:val="both"/>
        <w:rPr>
          <w:rFonts w:ascii="Calibri" w:hAnsi="Calibri" w:cs="Calibri"/>
          <w:color w:val="000000" w:themeColor="text1"/>
          <w:sz w:val="20"/>
          <w:szCs w:val="20"/>
        </w:rPr>
      </w:pPr>
    </w:p>
    <w:p w14:paraId="3059893D" w14:textId="77777777" w:rsidR="00CF5FC7" w:rsidRPr="00235FB2" w:rsidRDefault="00CF5FC7" w:rsidP="000F7AB8">
      <w:pPr>
        <w:spacing w:after="0" w:line="360" w:lineRule="auto"/>
        <w:ind w:left="720"/>
        <w:jc w:val="center"/>
        <w:rPr>
          <w:rFonts w:ascii="Calibri" w:hAnsi="Calibri" w:cs="Calibri"/>
          <w:b/>
          <w:bCs/>
          <w:color w:val="000000" w:themeColor="text1"/>
          <w:sz w:val="20"/>
          <w:szCs w:val="20"/>
        </w:rPr>
      </w:pPr>
    </w:p>
    <w:p w14:paraId="7ACE4416" w14:textId="77777777" w:rsidR="00CF5FC7" w:rsidRPr="00235FB2" w:rsidRDefault="00CF5FC7" w:rsidP="000F7AB8">
      <w:pPr>
        <w:spacing w:after="0" w:line="360" w:lineRule="auto"/>
        <w:ind w:left="720"/>
        <w:jc w:val="center"/>
        <w:rPr>
          <w:rFonts w:ascii="Calibri" w:hAnsi="Calibri" w:cs="Calibri"/>
          <w:b/>
          <w:bCs/>
          <w:color w:val="000000" w:themeColor="text1"/>
          <w:sz w:val="20"/>
          <w:szCs w:val="20"/>
        </w:rPr>
      </w:pPr>
    </w:p>
    <w:p w14:paraId="5F0D4039" w14:textId="77777777" w:rsidR="00AC29B3" w:rsidRPr="00235FB2" w:rsidRDefault="00AC29B3" w:rsidP="000F7AB8">
      <w:pPr>
        <w:spacing w:after="0" w:line="360" w:lineRule="auto"/>
        <w:ind w:left="720"/>
        <w:jc w:val="center"/>
        <w:rPr>
          <w:rFonts w:ascii="Calibri" w:hAnsi="Calibri" w:cs="Calibri"/>
          <w:b/>
          <w:bCs/>
          <w:color w:val="000000" w:themeColor="text1"/>
          <w:sz w:val="20"/>
          <w:szCs w:val="20"/>
        </w:rPr>
      </w:pPr>
    </w:p>
    <w:p w14:paraId="4985D399" w14:textId="77777777" w:rsidR="00AC29B3" w:rsidRPr="00235FB2" w:rsidRDefault="00AC29B3" w:rsidP="000F7AB8">
      <w:pPr>
        <w:spacing w:after="0" w:line="360" w:lineRule="auto"/>
        <w:ind w:left="720"/>
        <w:jc w:val="center"/>
        <w:rPr>
          <w:rFonts w:ascii="Calibri" w:hAnsi="Calibri" w:cs="Calibri"/>
          <w:b/>
          <w:bCs/>
          <w:color w:val="000000" w:themeColor="text1"/>
          <w:sz w:val="20"/>
          <w:szCs w:val="20"/>
        </w:rPr>
      </w:pPr>
    </w:p>
    <w:p w14:paraId="30CF2B0C" w14:textId="1A65AC0B" w:rsidR="004D3619" w:rsidRPr="00235FB2" w:rsidRDefault="00FD7F87" w:rsidP="000F7AB8">
      <w:pPr>
        <w:spacing w:after="0" w:line="360" w:lineRule="auto"/>
        <w:ind w:left="720"/>
        <w:jc w:val="center"/>
        <w:rPr>
          <w:rFonts w:ascii="Calibri" w:hAnsi="Calibri" w:cs="Calibri"/>
          <w:color w:val="000000" w:themeColor="text1"/>
          <w:sz w:val="20"/>
          <w:szCs w:val="20"/>
        </w:rPr>
      </w:pPr>
      <w:r w:rsidRPr="00235FB2">
        <w:rPr>
          <w:rFonts w:ascii="Calibri" w:hAnsi="Calibri" w:cs="Calibri"/>
          <w:b/>
          <w:bCs/>
          <w:color w:val="000000" w:themeColor="text1"/>
          <w:sz w:val="20"/>
          <w:szCs w:val="20"/>
        </w:rPr>
        <w:t>Fig 1:</w:t>
      </w:r>
      <w:r w:rsidRPr="00235FB2">
        <w:rPr>
          <w:rFonts w:ascii="Calibri" w:hAnsi="Calibri" w:cs="Calibri"/>
          <w:color w:val="000000" w:themeColor="text1"/>
          <w:sz w:val="20"/>
          <w:szCs w:val="20"/>
        </w:rPr>
        <w:t xml:space="preserve"> </w:t>
      </w:r>
      <w:r w:rsidR="005D1B19" w:rsidRPr="00235FB2">
        <w:rPr>
          <w:rFonts w:ascii="Calibri" w:hAnsi="Calibri" w:cs="Calibri"/>
          <w:color w:val="000000" w:themeColor="text1"/>
          <w:sz w:val="20"/>
          <w:szCs w:val="20"/>
        </w:rPr>
        <w:t>The Process Writing Approach (</w:t>
      </w:r>
      <w:r w:rsidR="00B376C7" w:rsidRPr="00235FB2">
        <w:rPr>
          <w:rFonts w:ascii="Calibri" w:hAnsi="Calibri" w:cs="Calibri"/>
          <w:color w:val="000000" w:themeColor="text1"/>
          <w:sz w:val="20"/>
          <w:szCs w:val="20"/>
        </w:rPr>
        <w:t xml:space="preserve">Source: Flower &amp; Hayes, 1998). </w:t>
      </w:r>
    </w:p>
    <w:p w14:paraId="5256B9D7" w14:textId="77777777" w:rsidR="00AC29B3" w:rsidRPr="00235FB2" w:rsidRDefault="00AC29B3" w:rsidP="00B36A94">
      <w:pPr>
        <w:spacing w:after="0" w:line="360" w:lineRule="auto"/>
        <w:jc w:val="both"/>
        <w:rPr>
          <w:rFonts w:ascii="Calibri" w:hAnsi="Calibri" w:cs="Calibri"/>
          <w:b/>
          <w:bCs/>
          <w:color w:val="000000" w:themeColor="text1"/>
          <w:sz w:val="20"/>
          <w:szCs w:val="20"/>
        </w:rPr>
      </w:pPr>
    </w:p>
    <w:p w14:paraId="040A8FC6" w14:textId="1B316E07" w:rsidR="00533849" w:rsidRPr="00235FB2" w:rsidRDefault="00B36A94" w:rsidP="00B36A94">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The Process Writing Approach: </w:t>
      </w:r>
      <w:r w:rsidR="00533849" w:rsidRPr="00235FB2">
        <w:rPr>
          <w:rFonts w:ascii="Calibri" w:hAnsi="Calibri" w:cs="Calibri"/>
          <w:b/>
          <w:bCs/>
          <w:color w:val="000000" w:themeColor="text1"/>
          <w:sz w:val="20"/>
          <w:szCs w:val="20"/>
        </w:rPr>
        <w:t xml:space="preserve">Relevance to the Bangladeshi Context </w:t>
      </w:r>
    </w:p>
    <w:p w14:paraId="47D58E74" w14:textId="30A95F47" w:rsidR="00177FE7" w:rsidRPr="00235FB2" w:rsidRDefault="00725CC7" w:rsidP="00725CC7">
      <w:pPr>
        <w:spacing w:after="0" w:line="360" w:lineRule="auto"/>
        <w:jc w:val="both"/>
        <w:rPr>
          <w:rFonts w:ascii="Calibri" w:hAnsi="Calibri" w:cs="Calibri"/>
          <w:b/>
          <w:bCs/>
          <w:color w:val="000000" w:themeColor="text1"/>
          <w:sz w:val="20"/>
          <w:szCs w:val="20"/>
        </w:rPr>
      </w:pPr>
      <w:r w:rsidRPr="00235FB2">
        <w:rPr>
          <w:rFonts w:ascii="Calibri" w:hAnsi="Calibri" w:cs="Calibri"/>
          <w:color w:val="000000" w:themeColor="text1"/>
          <w:sz w:val="20"/>
          <w:szCs w:val="20"/>
        </w:rPr>
        <w:t>Bangladesh, as a developing nation, remains predominantly rural, with 68.34% of its population residing in rural areas and only 31.66% living in urban centres, according to the Population and Housing Census 2022</w:t>
      </w:r>
      <w:r w:rsidR="004233A1" w:rsidRPr="00235FB2">
        <w:rPr>
          <w:rFonts w:ascii="Calibri" w:hAnsi="Calibri" w:cs="Calibri"/>
          <w:color w:val="000000" w:themeColor="text1"/>
          <w:sz w:val="20"/>
          <w:szCs w:val="20"/>
        </w:rPr>
        <w:t xml:space="preserve"> </w:t>
      </w:r>
      <w:r w:rsidR="004233A1" w:rsidRPr="00235FB2">
        <w:rPr>
          <w:rFonts w:ascii="Calibri" w:hAnsi="Calibri" w:cs="Calibri"/>
          <w:b/>
          <w:bCs/>
          <w:color w:val="000000" w:themeColor="text1"/>
          <w:sz w:val="20"/>
          <w:szCs w:val="20"/>
        </w:rPr>
        <w:t xml:space="preserve">(Bangladesh </w:t>
      </w:r>
      <w:r w:rsidR="004233A1" w:rsidRPr="00235FB2">
        <w:rPr>
          <w:rFonts w:ascii="Calibri" w:hAnsi="Calibri" w:cs="Calibri"/>
          <w:b/>
          <w:bCs/>
          <w:color w:val="000000" w:themeColor="text1"/>
          <w:sz w:val="20"/>
          <w:szCs w:val="20"/>
        </w:rPr>
        <w:lastRenderedPageBreak/>
        <w:t xml:space="preserve">Bureau of Statistics, </w:t>
      </w:r>
      <w:r w:rsidR="00464A55" w:rsidRPr="00235FB2">
        <w:rPr>
          <w:rFonts w:ascii="Calibri" w:hAnsi="Calibri" w:cs="Calibri"/>
          <w:b/>
          <w:bCs/>
          <w:color w:val="000000" w:themeColor="text1"/>
          <w:sz w:val="20"/>
          <w:szCs w:val="20"/>
        </w:rPr>
        <w:t>2023)</w:t>
      </w:r>
      <w:r w:rsidRPr="00235FB2">
        <w:rPr>
          <w:rFonts w:ascii="Calibri" w:hAnsi="Calibri" w:cs="Calibri"/>
          <w:color w:val="000000" w:themeColor="text1"/>
          <w:sz w:val="20"/>
          <w:szCs w:val="20"/>
        </w:rPr>
        <w:t>. This rural–urban demographic divide has significant implications for the education system, particularly in terms of access, infrastructure, and learning opportunities. Educational institutions in rural areas are often under-resourced and lack adequate teaching facilities, trained personnel, and language-learning support mechanisms</w:t>
      </w:r>
      <w:r w:rsidR="00882831" w:rsidRPr="00235FB2">
        <w:rPr>
          <w:rFonts w:ascii="Calibri" w:hAnsi="Calibri" w:cs="Calibri"/>
          <w:color w:val="000000" w:themeColor="text1"/>
          <w:sz w:val="20"/>
          <w:szCs w:val="20"/>
        </w:rPr>
        <w:t xml:space="preserve"> </w:t>
      </w:r>
      <w:r w:rsidR="00882831" w:rsidRPr="00235FB2">
        <w:rPr>
          <w:rFonts w:ascii="Calibri" w:hAnsi="Calibri" w:cs="Calibri"/>
          <w:b/>
          <w:bCs/>
          <w:color w:val="000000" w:themeColor="text1"/>
          <w:sz w:val="20"/>
          <w:szCs w:val="20"/>
        </w:rPr>
        <w:t>(World Bank, 2023)</w:t>
      </w:r>
      <w:r w:rsidRPr="00235FB2">
        <w:rPr>
          <w:rFonts w:ascii="Calibri" w:hAnsi="Calibri" w:cs="Calibri"/>
          <w:color w:val="000000" w:themeColor="text1"/>
          <w:sz w:val="20"/>
          <w:szCs w:val="20"/>
        </w:rPr>
        <w:t>. As a result, when a large proportion of students transition from rural schools and colleges to urban higher education institutions, their linguistic limitations</w:t>
      </w:r>
      <w:r w:rsidR="003A60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especially in English writing</w:t>
      </w:r>
      <w:r w:rsidR="003A60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become more pronounced</w:t>
      </w:r>
      <w:r w:rsidR="00882831" w:rsidRPr="00235FB2">
        <w:rPr>
          <w:rFonts w:ascii="Calibri" w:hAnsi="Calibri" w:cs="Calibri"/>
          <w:color w:val="000000" w:themeColor="text1"/>
          <w:sz w:val="20"/>
          <w:szCs w:val="20"/>
        </w:rPr>
        <w:t xml:space="preserve"> </w:t>
      </w:r>
      <w:r w:rsidR="00882831" w:rsidRPr="00235FB2">
        <w:rPr>
          <w:rFonts w:ascii="Calibri" w:hAnsi="Calibri" w:cs="Calibri"/>
          <w:b/>
          <w:bCs/>
          <w:color w:val="000000" w:themeColor="text1"/>
          <w:sz w:val="20"/>
          <w:szCs w:val="20"/>
        </w:rPr>
        <w:t xml:space="preserve">(Rana et al., 2025). </w:t>
      </w:r>
    </w:p>
    <w:p w14:paraId="725EDE5D" w14:textId="04D94107" w:rsidR="00C63FDA" w:rsidRPr="00235FB2" w:rsidRDefault="00725CC7"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Teaching writing to this diverse cohort presents substantial pedagogical challenges, as many learners have been socialised into traditional product-oriented approaches that prioritise memorisation and surface-level accuracy over creativity and critical thinking</w:t>
      </w:r>
      <w:r w:rsidR="00AD3536" w:rsidRPr="00235FB2">
        <w:rPr>
          <w:rFonts w:ascii="Calibri" w:hAnsi="Calibri" w:cs="Calibri"/>
          <w:color w:val="000000" w:themeColor="text1"/>
          <w:sz w:val="20"/>
          <w:szCs w:val="20"/>
        </w:rPr>
        <w:t xml:space="preserve"> </w:t>
      </w:r>
      <w:r w:rsidR="00AD3536" w:rsidRPr="00235FB2">
        <w:rPr>
          <w:rFonts w:ascii="Calibri" w:hAnsi="Calibri" w:cs="Calibri"/>
          <w:b/>
          <w:bCs/>
          <w:color w:val="000000" w:themeColor="text1"/>
          <w:sz w:val="20"/>
          <w:szCs w:val="20"/>
        </w:rPr>
        <w:t>(Akter, 2024)</w:t>
      </w:r>
      <w:r w:rsidRPr="00235FB2">
        <w:rPr>
          <w:rFonts w:ascii="Calibri" w:hAnsi="Calibri" w:cs="Calibri"/>
          <w:color w:val="000000" w:themeColor="text1"/>
          <w:sz w:val="20"/>
          <w:szCs w:val="20"/>
        </w:rPr>
        <w:t>. This reliance on rote learning is not confined to English; similar patterns are observed in Bangla writing instruction, reflecting a broader assessment-driven educational culture</w:t>
      </w:r>
      <w:r w:rsidR="00AD3536" w:rsidRPr="00235FB2">
        <w:rPr>
          <w:rFonts w:ascii="Calibri" w:hAnsi="Calibri" w:cs="Calibri"/>
          <w:color w:val="000000" w:themeColor="text1"/>
          <w:sz w:val="20"/>
          <w:szCs w:val="20"/>
        </w:rPr>
        <w:t xml:space="preserve"> </w:t>
      </w:r>
      <w:r w:rsidR="00AD3536" w:rsidRPr="00235FB2">
        <w:rPr>
          <w:rFonts w:ascii="Calibri" w:hAnsi="Calibri" w:cs="Calibri"/>
          <w:b/>
          <w:bCs/>
          <w:color w:val="000000" w:themeColor="text1"/>
          <w:sz w:val="20"/>
          <w:szCs w:val="20"/>
        </w:rPr>
        <w:t>(Chowdhury and Kabir, 2023)</w:t>
      </w:r>
      <w:r w:rsidRPr="00235FB2">
        <w:rPr>
          <w:rFonts w:ascii="Calibri" w:hAnsi="Calibri" w:cs="Calibri"/>
          <w:color w:val="000000" w:themeColor="text1"/>
          <w:sz w:val="20"/>
          <w:szCs w:val="20"/>
        </w:rPr>
        <w:t>. Consequently, students often struggle to generate original ideas, organise arguments coherently, and engage in reflective revision practices.</w:t>
      </w:r>
      <w:r w:rsidR="00261186"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In this context, the Process Writing Approach (PWA) offers a promising pedagogical alternative</w:t>
      </w:r>
      <w:r w:rsidR="009E6103" w:rsidRPr="00235FB2">
        <w:rPr>
          <w:rFonts w:ascii="Calibri" w:hAnsi="Calibri" w:cs="Calibri"/>
          <w:color w:val="000000" w:themeColor="text1"/>
          <w:sz w:val="20"/>
          <w:szCs w:val="20"/>
        </w:rPr>
        <w:t xml:space="preserve"> </w:t>
      </w:r>
      <w:r w:rsidR="009E6103" w:rsidRPr="00235FB2">
        <w:rPr>
          <w:rFonts w:ascii="Calibri" w:hAnsi="Calibri" w:cs="Calibri"/>
          <w:b/>
          <w:bCs/>
          <w:color w:val="000000" w:themeColor="text1"/>
          <w:sz w:val="20"/>
          <w:szCs w:val="20"/>
        </w:rPr>
        <w:t>(Rana et al., 2025)</w:t>
      </w:r>
      <w:r w:rsidRPr="00235FB2">
        <w:rPr>
          <w:rFonts w:ascii="Calibri" w:hAnsi="Calibri" w:cs="Calibri"/>
          <w:color w:val="000000" w:themeColor="text1"/>
          <w:sz w:val="20"/>
          <w:szCs w:val="20"/>
        </w:rPr>
        <w:t>. By emphasising recursive stages such as planning, drafting, revising, and editing, the approach supports gradual and sustained development of writing proficiency. Although the systematic application of PWA remains relatively new in Bangladesh, its learner-centred orientation and focus on formative feedback provide a strong theoretical and pedagogical foundation for improving HSC students’ writing competence. The approach facilitates structured skill development and encourages learner autonomy, suggesting its potential for long-term impact on academic writing performance at the higher secondary level</w:t>
      </w:r>
      <w:r w:rsidR="009E6103" w:rsidRPr="00235FB2">
        <w:rPr>
          <w:rFonts w:ascii="Calibri" w:hAnsi="Calibri" w:cs="Calibri"/>
          <w:color w:val="000000" w:themeColor="text1"/>
          <w:sz w:val="20"/>
          <w:szCs w:val="20"/>
        </w:rPr>
        <w:t xml:space="preserve"> </w:t>
      </w:r>
      <w:r w:rsidR="009E6103" w:rsidRPr="00235FB2">
        <w:rPr>
          <w:rFonts w:ascii="Calibri" w:hAnsi="Calibri" w:cs="Calibri"/>
          <w:b/>
          <w:bCs/>
          <w:color w:val="000000" w:themeColor="text1"/>
          <w:sz w:val="20"/>
          <w:szCs w:val="20"/>
        </w:rPr>
        <w:t>(Chowdhury and Kabir, 2023)</w:t>
      </w:r>
      <w:r w:rsidRPr="00235FB2">
        <w:rPr>
          <w:rFonts w:ascii="Calibri" w:hAnsi="Calibri" w:cs="Calibri"/>
          <w:color w:val="000000" w:themeColor="text1"/>
          <w:sz w:val="20"/>
          <w:szCs w:val="20"/>
        </w:rPr>
        <w:t>.</w:t>
      </w:r>
    </w:p>
    <w:p w14:paraId="54EBB4EE" w14:textId="79A8F4F5" w:rsidR="003A61F2" w:rsidRPr="00235FB2" w:rsidRDefault="00DE295A"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Evidence</w:t>
      </w:r>
      <w:r w:rsidR="004C216B" w:rsidRPr="00235FB2">
        <w:rPr>
          <w:rFonts w:ascii="Calibri" w:hAnsi="Calibri" w:cs="Calibri"/>
          <w:color w:val="000000" w:themeColor="text1"/>
          <w:sz w:val="20"/>
          <w:szCs w:val="20"/>
        </w:rPr>
        <w:t xml:space="preserve"> suggests that </w:t>
      </w:r>
      <w:r w:rsidR="0060521B" w:rsidRPr="00235FB2">
        <w:rPr>
          <w:rFonts w:ascii="Calibri" w:hAnsi="Calibri" w:cs="Calibri"/>
          <w:color w:val="000000" w:themeColor="text1"/>
          <w:sz w:val="20"/>
          <w:szCs w:val="20"/>
        </w:rPr>
        <w:t>Bangladesh-based empirical work on process writing exists but remains uneven across levels. A feasibility-focused study in secondary schooling argues that process-oriented writing can improve student writing performance and reduce mistakes, while also highlighting the centrality of feedback cycles</w:t>
      </w:r>
      <w:r w:rsidR="00F16845" w:rsidRPr="00235FB2">
        <w:rPr>
          <w:rFonts w:ascii="Calibri" w:hAnsi="Calibri" w:cs="Calibri"/>
          <w:color w:val="000000" w:themeColor="text1"/>
          <w:sz w:val="20"/>
          <w:szCs w:val="20"/>
        </w:rPr>
        <w:t xml:space="preserve"> </w:t>
      </w:r>
      <w:r w:rsidR="0033494E" w:rsidRPr="00235FB2">
        <w:rPr>
          <w:rFonts w:ascii="Calibri" w:hAnsi="Calibri" w:cs="Calibri"/>
          <w:color w:val="000000" w:themeColor="text1"/>
          <w:sz w:val="20"/>
          <w:szCs w:val="20"/>
        </w:rPr>
        <w:t>(</w:t>
      </w:r>
      <w:r w:rsidR="00F16845" w:rsidRPr="00235FB2">
        <w:rPr>
          <w:rFonts w:ascii="Calibri" w:hAnsi="Calibri" w:cs="Calibri"/>
          <w:b/>
          <w:bCs/>
          <w:color w:val="000000" w:themeColor="text1"/>
          <w:sz w:val="20"/>
          <w:szCs w:val="20"/>
        </w:rPr>
        <w:t>Sultana</w:t>
      </w:r>
      <w:r w:rsidR="0033494E" w:rsidRPr="00235FB2">
        <w:rPr>
          <w:rFonts w:ascii="Calibri" w:hAnsi="Calibri" w:cs="Calibri"/>
          <w:b/>
          <w:bCs/>
          <w:color w:val="000000" w:themeColor="text1"/>
          <w:sz w:val="20"/>
          <w:szCs w:val="20"/>
        </w:rPr>
        <w:t xml:space="preserve"> and Rahman, 2023)</w:t>
      </w:r>
      <w:r w:rsidR="0060521B" w:rsidRPr="00235FB2">
        <w:rPr>
          <w:rFonts w:ascii="Calibri" w:hAnsi="Calibri" w:cs="Calibri"/>
          <w:color w:val="000000" w:themeColor="text1"/>
          <w:sz w:val="20"/>
          <w:szCs w:val="20"/>
        </w:rPr>
        <w:t>. At the tertiary level, recent Bangladesh research with teacher candidates similarly argues for the utility and “essentiality” of process approaches, particularly in strengthening revising and reflective writing practices</w:t>
      </w:r>
      <w:r w:rsidR="0033494E" w:rsidRPr="00235FB2">
        <w:rPr>
          <w:rFonts w:ascii="Calibri" w:hAnsi="Calibri" w:cs="Calibri"/>
          <w:color w:val="000000" w:themeColor="text1"/>
          <w:sz w:val="20"/>
          <w:szCs w:val="20"/>
        </w:rPr>
        <w:t xml:space="preserve"> </w:t>
      </w:r>
      <w:r w:rsidR="0033494E" w:rsidRPr="00235FB2">
        <w:rPr>
          <w:rFonts w:ascii="Calibri" w:hAnsi="Calibri" w:cs="Calibri"/>
          <w:b/>
          <w:bCs/>
          <w:color w:val="000000" w:themeColor="text1"/>
          <w:sz w:val="20"/>
          <w:szCs w:val="20"/>
        </w:rPr>
        <w:t>(Datta, 2025)</w:t>
      </w:r>
      <w:r w:rsidR="0060521B" w:rsidRPr="00235FB2">
        <w:rPr>
          <w:rFonts w:ascii="Calibri" w:hAnsi="Calibri" w:cs="Calibri"/>
          <w:color w:val="000000" w:themeColor="text1"/>
          <w:sz w:val="20"/>
          <w:szCs w:val="20"/>
        </w:rPr>
        <w:t>. Yet, the HSC level remains under-investigated relative to its importance. The upper secondary stage is distinctive: writing is tightly coupled to examination performance, classroom time is pressured by syllabus completion, and teaching tends to be strategically aligned to assessment formats. These conditions create a compelling need for context-sensitive evidence on whether and how PWA can be implemented meaningfully within HSC realities</w:t>
      </w:r>
      <w:r w:rsidR="009A3AF6" w:rsidRPr="00235FB2">
        <w:rPr>
          <w:rFonts w:ascii="Calibri" w:hAnsi="Calibri" w:cs="Calibri"/>
          <w:color w:val="000000" w:themeColor="text1"/>
          <w:sz w:val="20"/>
          <w:szCs w:val="20"/>
        </w:rPr>
        <w:t xml:space="preserve"> </w:t>
      </w:r>
      <w:r w:rsidR="0060521B" w:rsidRPr="00235FB2">
        <w:rPr>
          <w:rFonts w:ascii="Calibri" w:hAnsi="Calibri" w:cs="Calibri"/>
          <w:color w:val="000000" w:themeColor="text1"/>
          <w:sz w:val="20"/>
          <w:szCs w:val="20"/>
        </w:rPr>
        <w:t>precisel</w:t>
      </w:r>
      <w:r w:rsidR="00AD27C2" w:rsidRPr="00235FB2">
        <w:rPr>
          <w:rFonts w:ascii="Calibri" w:hAnsi="Calibri" w:cs="Calibri"/>
          <w:color w:val="000000" w:themeColor="text1"/>
          <w:sz w:val="20"/>
          <w:szCs w:val="20"/>
        </w:rPr>
        <w:t>y</w:t>
      </w:r>
      <w:r w:rsidR="00592F40" w:rsidRPr="00235FB2">
        <w:rPr>
          <w:rFonts w:ascii="Calibri" w:hAnsi="Calibri" w:cs="Calibri"/>
          <w:color w:val="000000" w:themeColor="text1"/>
          <w:sz w:val="20"/>
          <w:szCs w:val="20"/>
        </w:rPr>
        <w:t xml:space="preserve"> </w:t>
      </w:r>
      <w:r w:rsidR="00592F40" w:rsidRPr="00235FB2">
        <w:rPr>
          <w:rFonts w:ascii="Calibri" w:hAnsi="Calibri" w:cs="Calibri"/>
          <w:b/>
          <w:bCs/>
          <w:color w:val="000000" w:themeColor="text1"/>
          <w:sz w:val="20"/>
          <w:szCs w:val="20"/>
        </w:rPr>
        <w:t>(Rana et al., 2025)</w:t>
      </w:r>
      <w:r w:rsidR="00AD27C2" w:rsidRPr="00235FB2">
        <w:rPr>
          <w:rFonts w:ascii="Calibri" w:hAnsi="Calibri" w:cs="Calibri"/>
          <w:color w:val="000000" w:themeColor="text1"/>
          <w:sz w:val="20"/>
          <w:szCs w:val="20"/>
        </w:rPr>
        <w:t>.</w:t>
      </w:r>
    </w:p>
    <w:p w14:paraId="109F156C" w14:textId="77777777" w:rsidR="0031049B" w:rsidRPr="00235FB2" w:rsidRDefault="0031049B" w:rsidP="003A61F2">
      <w:pPr>
        <w:spacing w:after="0" w:line="360" w:lineRule="auto"/>
        <w:jc w:val="both"/>
        <w:rPr>
          <w:rFonts w:ascii="Calibri" w:hAnsi="Calibri" w:cs="Calibri"/>
          <w:b/>
          <w:bCs/>
          <w:color w:val="000000" w:themeColor="text1"/>
          <w:sz w:val="20"/>
          <w:szCs w:val="20"/>
        </w:rPr>
      </w:pPr>
    </w:p>
    <w:p w14:paraId="1B03ACD1" w14:textId="6CB9026E" w:rsidR="001C1AEB" w:rsidRPr="00235FB2" w:rsidRDefault="001C1AEB" w:rsidP="003A61F2">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Research Methodology </w:t>
      </w:r>
    </w:p>
    <w:p w14:paraId="3AD14ECC" w14:textId="1E4B8497" w:rsidR="00135948" w:rsidRPr="00235FB2" w:rsidRDefault="001C1AEB"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This study adopts a qualitative research paradigm to explore the lived experiences, perceptions, and pedagogical challenges of higher secondary students and teachers regarding English writing instruction. Qualitative research is appropriate for this investigation because it seeks in-depth understanding of people’s perspectives and contextual complexities rather than producing generalisable numerical data, allowing the researcher to explore how and why</w:t>
      </w:r>
      <w:r w:rsidRPr="00235FB2">
        <w:rPr>
          <w:rFonts w:ascii="Calibri" w:hAnsi="Calibri" w:cs="Calibri"/>
          <w:b/>
          <w:bCs/>
          <w:color w:val="000000" w:themeColor="text1"/>
          <w:sz w:val="20"/>
          <w:szCs w:val="20"/>
        </w:rPr>
        <w:t xml:space="preserve"> </w:t>
      </w:r>
      <w:r w:rsidRPr="00235FB2">
        <w:rPr>
          <w:rFonts w:ascii="Calibri" w:hAnsi="Calibri" w:cs="Calibri"/>
          <w:color w:val="000000" w:themeColor="text1"/>
          <w:sz w:val="20"/>
          <w:szCs w:val="20"/>
        </w:rPr>
        <w:t>the Process Writing Approach (PWA) may influence writing competence in the Bangladeshi EFL context</w:t>
      </w:r>
      <w:r w:rsidR="00EC0306" w:rsidRPr="00235FB2">
        <w:rPr>
          <w:rFonts w:ascii="Calibri" w:hAnsi="Calibri" w:cs="Calibri"/>
          <w:color w:val="000000" w:themeColor="text1"/>
          <w:sz w:val="20"/>
          <w:szCs w:val="20"/>
        </w:rPr>
        <w:t xml:space="preserve"> </w:t>
      </w:r>
      <w:r w:rsidR="00EC0306" w:rsidRPr="00235FB2">
        <w:rPr>
          <w:rFonts w:ascii="Calibri" w:hAnsi="Calibri" w:cs="Calibri"/>
          <w:b/>
          <w:bCs/>
          <w:color w:val="000000" w:themeColor="text1"/>
          <w:sz w:val="20"/>
          <w:szCs w:val="20"/>
        </w:rPr>
        <w:t>(</w:t>
      </w:r>
      <w:r w:rsidR="00CB2F99" w:rsidRPr="00235FB2">
        <w:rPr>
          <w:rFonts w:ascii="Calibri" w:hAnsi="Calibri" w:cs="Calibri"/>
          <w:b/>
          <w:bCs/>
          <w:color w:val="000000" w:themeColor="text1"/>
          <w:sz w:val="20"/>
          <w:szCs w:val="20"/>
        </w:rPr>
        <w:t xml:space="preserve">Creswell and </w:t>
      </w:r>
      <w:proofErr w:type="spellStart"/>
      <w:r w:rsidR="00CB2F99" w:rsidRPr="00235FB2">
        <w:rPr>
          <w:rFonts w:ascii="Calibri" w:hAnsi="Calibri" w:cs="Calibri"/>
          <w:b/>
          <w:bCs/>
          <w:color w:val="000000" w:themeColor="text1"/>
          <w:sz w:val="20"/>
          <w:szCs w:val="20"/>
        </w:rPr>
        <w:t>Poth</w:t>
      </w:r>
      <w:proofErr w:type="spellEnd"/>
      <w:r w:rsidR="00CB2F99" w:rsidRPr="00235FB2">
        <w:rPr>
          <w:rFonts w:ascii="Calibri" w:hAnsi="Calibri" w:cs="Calibri"/>
          <w:b/>
          <w:bCs/>
          <w:color w:val="000000" w:themeColor="text1"/>
          <w:sz w:val="20"/>
          <w:szCs w:val="20"/>
        </w:rPr>
        <w:t>, 2023)</w:t>
      </w:r>
      <w:r w:rsidRPr="00235FB2">
        <w:rPr>
          <w:rFonts w:ascii="Calibri" w:hAnsi="Calibri" w:cs="Calibri"/>
          <w:color w:val="000000" w:themeColor="text1"/>
          <w:sz w:val="20"/>
          <w:szCs w:val="20"/>
        </w:rPr>
        <w:t>. Qualitative methods are widely used in educational research to capture nuanced meanings, feelings, and experiences that cannot be quantified easily</w:t>
      </w:r>
      <w:r w:rsidR="00CB2F99" w:rsidRPr="00235FB2">
        <w:rPr>
          <w:rFonts w:ascii="Calibri" w:hAnsi="Calibri" w:cs="Calibri"/>
          <w:color w:val="000000" w:themeColor="text1"/>
          <w:sz w:val="20"/>
          <w:szCs w:val="20"/>
        </w:rPr>
        <w:t xml:space="preserve"> </w:t>
      </w:r>
      <w:r w:rsidR="00CB2F99" w:rsidRPr="00235FB2">
        <w:rPr>
          <w:rFonts w:ascii="Calibri" w:hAnsi="Calibri" w:cs="Calibri"/>
          <w:b/>
          <w:bCs/>
          <w:color w:val="000000" w:themeColor="text1"/>
          <w:sz w:val="20"/>
          <w:szCs w:val="20"/>
        </w:rPr>
        <w:t>(Merriam and Tisdell, 2023)</w:t>
      </w:r>
      <w:r w:rsidRPr="00235FB2">
        <w:rPr>
          <w:rFonts w:ascii="Calibri" w:hAnsi="Calibri" w:cs="Calibri"/>
          <w:color w:val="000000" w:themeColor="text1"/>
          <w:sz w:val="20"/>
          <w:szCs w:val="20"/>
        </w:rPr>
        <w:t xml:space="preserve">. The </w:t>
      </w:r>
      <w:r w:rsidRPr="00235FB2">
        <w:rPr>
          <w:rFonts w:ascii="Calibri" w:hAnsi="Calibri" w:cs="Calibri"/>
          <w:color w:val="000000" w:themeColor="text1"/>
          <w:sz w:val="20"/>
          <w:szCs w:val="20"/>
        </w:rPr>
        <w:lastRenderedPageBreak/>
        <w:t>study employs an exploratory, descriptive qualitative design, which is ideal when existing empirical evidence is limited or when a phenomenon has not been extensively studied within a specific context</w:t>
      </w:r>
      <w:r w:rsidR="00492D87" w:rsidRPr="00235FB2">
        <w:rPr>
          <w:rFonts w:ascii="Calibri" w:hAnsi="Calibri" w:cs="Calibri"/>
          <w:color w:val="000000" w:themeColor="text1"/>
          <w:sz w:val="20"/>
          <w:szCs w:val="20"/>
        </w:rPr>
        <w:t xml:space="preserve"> </w:t>
      </w:r>
      <w:r w:rsidR="00492D87" w:rsidRPr="00235FB2">
        <w:rPr>
          <w:rFonts w:ascii="Calibri" w:hAnsi="Calibri" w:cs="Calibri"/>
          <w:b/>
          <w:bCs/>
          <w:color w:val="000000" w:themeColor="text1"/>
          <w:sz w:val="20"/>
          <w:szCs w:val="20"/>
        </w:rPr>
        <w:t>(Guest et al., 2024)</w:t>
      </w:r>
      <w:r w:rsidRPr="00235FB2">
        <w:rPr>
          <w:rFonts w:ascii="Calibri" w:hAnsi="Calibri" w:cs="Calibri"/>
          <w:color w:val="000000" w:themeColor="text1"/>
          <w:sz w:val="20"/>
          <w:szCs w:val="20"/>
        </w:rPr>
        <w:t>. In this case, systematic investigation of the PWA at the HSC level in Bangladesh remains under-documented, necessitating a research design that foregrounds participant voices and contextual instruction practices</w:t>
      </w:r>
      <w:r w:rsidR="00DE4E46" w:rsidRPr="00235FB2">
        <w:rPr>
          <w:rFonts w:ascii="Calibri" w:hAnsi="Calibri" w:cs="Calibri"/>
          <w:color w:val="000000" w:themeColor="text1"/>
          <w:sz w:val="20"/>
          <w:szCs w:val="20"/>
        </w:rPr>
        <w:t xml:space="preserve"> </w:t>
      </w:r>
      <w:r w:rsidR="00DE4E46" w:rsidRPr="00235FB2">
        <w:rPr>
          <w:rFonts w:ascii="Calibri" w:hAnsi="Calibri" w:cs="Calibri"/>
          <w:b/>
          <w:bCs/>
          <w:color w:val="000000" w:themeColor="text1"/>
          <w:sz w:val="20"/>
          <w:szCs w:val="20"/>
        </w:rPr>
        <w:t>(Rana et al., 2025)</w:t>
      </w:r>
      <w:r w:rsidRPr="00235FB2">
        <w:rPr>
          <w:rFonts w:ascii="Calibri" w:hAnsi="Calibri" w:cs="Calibri"/>
          <w:color w:val="000000" w:themeColor="text1"/>
          <w:sz w:val="20"/>
          <w:szCs w:val="20"/>
        </w:rPr>
        <w:t>.</w:t>
      </w:r>
    </w:p>
    <w:p w14:paraId="5DF0D640" w14:textId="2B751B75" w:rsidR="00B479ED" w:rsidRPr="00235FB2" w:rsidRDefault="00B479ED"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Participants were selected through purposive sampling, a non-probability technique commonly used in qualitative research to identify individuals who can provide rich, relevant, and diverse insights into the phenomenon under study</w:t>
      </w:r>
      <w:r w:rsidR="009C3583" w:rsidRPr="00235FB2">
        <w:rPr>
          <w:rFonts w:ascii="Calibri" w:hAnsi="Calibri" w:cs="Calibri"/>
          <w:color w:val="000000" w:themeColor="text1"/>
          <w:sz w:val="20"/>
          <w:szCs w:val="20"/>
        </w:rPr>
        <w:t xml:space="preserve"> </w:t>
      </w:r>
      <w:r w:rsidR="009C3583" w:rsidRPr="00235FB2">
        <w:rPr>
          <w:rFonts w:ascii="Calibri" w:hAnsi="Calibri" w:cs="Calibri"/>
          <w:b/>
          <w:bCs/>
          <w:color w:val="000000" w:themeColor="text1"/>
          <w:sz w:val="20"/>
          <w:szCs w:val="20"/>
        </w:rPr>
        <w:t>(Palinkas et al., 2023)</w:t>
      </w:r>
      <w:r w:rsidRPr="00235FB2">
        <w:rPr>
          <w:rFonts w:ascii="Calibri" w:hAnsi="Calibri" w:cs="Calibri"/>
          <w:color w:val="000000" w:themeColor="text1"/>
          <w:sz w:val="20"/>
          <w:szCs w:val="20"/>
        </w:rPr>
        <w:t>. This study involved:</w:t>
      </w:r>
    </w:p>
    <w:p w14:paraId="7B5831C8" w14:textId="77777777" w:rsidR="00B479ED" w:rsidRPr="00235FB2" w:rsidRDefault="00B479ED" w:rsidP="003A61F2">
      <w:pPr>
        <w:numPr>
          <w:ilvl w:val="0"/>
          <w:numId w:val="4"/>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Ten (10) higher secondary students enrolled in different colleges; and</w:t>
      </w:r>
    </w:p>
    <w:p w14:paraId="017AD260" w14:textId="77777777" w:rsidR="00B479ED" w:rsidRPr="00235FB2" w:rsidRDefault="00B479ED" w:rsidP="003A61F2">
      <w:pPr>
        <w:numPr>
          <w:ilvl w:val="0"/>
          <w:numId w:val="4"/>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Five (5) experienced English language teachers with direct involvement in HSC English instruction.</w:t>
      </w:r>
    </w:p>
    <w:p w14:paraId="61820AD8" w14:textId="343437BF" w:rsidR="004953CF" w:rsidRPr="00235FB2" w:rsidRDefault="00B479ED" w:rsidP="003A61F2">
      <w:pPr>
        <w:spacing w:after="0" w:line="360" w:lineRule="auto"/>
        <w:jc w:val="both"/>
        <w:rPr>
          <w:rFonts w:ascii="Calibri" w:hAnsi="Calibri" w:cs="Calibri"/>
          <w:b/>
          <w:bCs/>
          <w:color w:val="000000" w:themeColor="text1"/>
          <w:sz w:val="20"/>
          <w:szCs w:val="20"/>
        </w:rPr>
      </w:pPr>
      <w:r w:rsidRPr="00235FB2">
        <w:rPr>
          <w:rFonts w:ascii="Calibri" w:hAnsi="Calibri" w:cs="Calibri"/>
          <w:color w:val="000000" w:themeColor="text1"/>
          <w:sz w:val="20"/>
          <w:szCs w:val="20"/>
        </w:rPr>
        <w:t>Participants were chosen based on their engagement with English writing instruction and willingness to reflect on both traditional and process-oriented approaches. The sample size, while modest, aligns with qualitative methodological norms that prioritise depth over breadth and is sufficient for identifying meaningful patterns and themes through rigorous analysis</w:t>
      </w:r>
      <w:r w:rsidR="009C3583" w:rsidRPr="00235FB2">
        <w:rPr>
          <w:rFonts w:ascii="Calibri" w:hAnsi="Calibri" w:cs="Calibri"/>
          <w:color w:val="000000" w:themeColor="text1"/>
          <w:sz w:val="20"/>
          <w:szCs w:val="20"/>
        </w:rPr>
        <w:t xml:space="preserve"> </w:t>
      </w:r>
      <w:r w:rsidR="009C3583" w:rsidRPr="00235FB2">
        <w:rPr>
          <w:rFonts w:ascii="Calibri" w:hAnsi="Calibri" w:cs="Calibri"/>
          <w:b/>
          <w:bCs/>
          <w:color w:val="000000" w:themeColor="text1"/>
          <w:sz w:val="20"/>
          <w:szCs w:val="20"/>
        </w:rPr>
        <w:t xml:space="preserve">(Guest et al., </w:t>
      </w:r>
      <w:r w:rsidR="00607E51" w:rsidRPr="00235FB2">
        <w:rPr>
          <w:rFonts w:ascii="Calibri" w:hAnsi="Calibri" w:cs="Calibri"/>
          <w:b/>
          <w:bCs/>
          <w:color w:val="000000" w:themeColor="text1"/>
          <w:sz w:val="20"/>
          <w:szCs w:val="20"/>
        </w:rPr>
        <w:t>2024).</w:t>
      </w:r>
    </w:p>
    <w:p w14:paraId="66FF553C" w14:textId="746D5BB3" w:rsidR="00602499" w:rsidRPr="00235FB2" w:rsidRDefault="00B479ED"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Data were gathered using semi-structured interviews, a flexible interview format that employs a thematic guide while allowing the researcher to probe and explore emergent insights</w:t>
      </w:r>
      <w:r w:rsidR="00607E51" w:rsidRPr="00235FB2">
        <w:rPr>
          <w:rFonts w:ascii="Calibri" w:hAnsi="Calibri" w:cs="Calibri"/>
          <w:color w:val="000000" w:themeColor="text1"/>
          <w:sz w:val="20"/>
          <w:szCs w:val="20"/>
        </w:rPr>
        <w:t xml:space="preserve"> </w:t>
      </w:r>
      <w:r w:rsidR="00607E51" w:rsidRPr="00235FB2">
        <w:rPr>
          <w:rFonts w:ascii="Calibri" w:hAnsi="Calibri" w:cs="Calibri"/>
          <w:b/>
          <w:bCs/>
          <w:color w:val="000000" w:themeColor="text1"/>
          <w:sz w:val="20"/>
          <w:szCs w:val="20"/>
        </w:rPr>
        <w:t>(Kallio et al., 2023)</w:t>
      </w:r>
      <w:r w:rsidRPr="00235FB2">
        <w:rPr>
          <w:rFonts w:ascii="Calibri" w:hAnsi="Calibri" w:cs="Calibri"/>
          <w:color w:val="000000" w:themeColor="text1"/>
          <w:sz w:val="20"/>
          <w:szCs w:val="20"/>
        </w:rPr>
        <w:t>. Semi-structured interviews mix predetermined questions with adaptive follow-up prompts, enabling participants to articulate their views in their own terms and offer nuanced perspectives on complex experiences. An interview guide was developed following best practices in qualitative research, informed by extant literature on interview design and piloted to ensure clarity and relevance</w:t>
      </w:r>
      <w:r w:rsidR="004435A4" w:rsidRPr="00235FB2">
        <w:rPr>
          <w:rFonts w:ascii="Calibri" w:hAnsi="Calibri" w:cs="Calibri"/>
          <w:color w:val="000000" w:themeColor="text1"/>
          <w:sz w:val="20"/>
          <w:szCs w:val="20"/>
        </w:rPr>
        <w:t xml:space="preserve"> </w:t>
      </w:r>
      <w:r w:rsidR="004435A4" w:rsidRPr="00235FB2">
        <w:rPr>
          <w:rFonts w:ascii="Calibri" w:hAnsi="Calibri" w:cs="Calibri"/>
          <w:b/>
          <w:bCs/>
          <w:color w:val="000000" w:themeColor="text1"/>
          <w:sz w:val="20"/>
          <w:szCs w:val="20"/>
        </w:rPr>
        <w:t xml:space="preserve">(Creswell and </w:t>
      </w:r>
      <w:proofErr w:type="spellStart"/>
      <w:r w:rsidR="004435A4" w:rsidRPr="00235FB2">
        <w:rPr>
          <w:rFonts w:ascii="Calibri" w:hAnsi="Calibri" w:cs="Calibri"/>
          <w:b/>
          <w:bCs/>
          <w:color w:val="000000" w:themeColor="text1"/>
          <w:sz w:val="20"/>
          <w:szCs w:val="20"/>
        </w:rPr>
        <w:t>Poth</w:t>
      </w:r>
      <w:proofErr w:type="spellEnd"/>
      <w:r w:rsidR="004435A4" w:rsidRPr="00235FB2">
        <w:rPr>
          <w:rFonts w:ascii="Calibri" w:hAnsi="Calibri" w:cs="Calibri"/>
          <w:b/>
          <w:bCs/>
          <w:color w:val="000000" w:themeColor="text1"/>
          <w:sz w:val="20"/>
          <w:szCs w:val="20"/>
        </w:rPr>
        <w:t>, 2023)</w:t>
      </w:r>
      <w:r w:rsidRPr="00235FB2">
        <w:rPr>
          <w:rFonts w:ascii="Calibri" w:hAnsi="Calibri" w:cs="Calibri"/>
          <w:color w:val="000000" w:themeColor="text1"/>
          <w:sz w:val="20"/>
          <w:szCs w:val="20"/>
        </w:rPr>
        <w:t xml:space="preserve">. </w:t>
      </w:r>
      <w:r w:rsidR="00D85411" w:rsidRPr="00235FB2">
        <w:rPr>
          <w:rFonts w:ascii="Calibri" w:hAnsi="Calibri" w:cs="Calibri"/>
          <w:color w:val="000000" w:themeColor="text1"/>
          <w:sz w:val="20"/>
          <w:szCs w:val="20"/>
        </w:rPr>
        <w:t>I</w:t>
      </w:r>
      <w:r w:rsidR="00F479D0" w:rsidRPr="00235FB2">
        <w:rPr>
          <w:rFonts w:ascii="Calibri" w:hAnsi="Calibri" w:cs="Calibri"/>
          <w:color w:val="000000" w:themeColor="text1"/>
          <w:sz w:val="20"/>
          <w:szCs w:val="20"/>
        </w:rPr>
        <w:t>n-depth i</w:t>
      </w:r>
      <w:r w:rsidRPr="00235FB2">
        <w:rPr>
          <w:rFonts w:ascii="Calibri" w:hAnsi="Calibri" w:cs="Calibri"/>
          <w:color w:val="000000" w:themeColor="text1"/>
          <w:sz w:val="20"/>
          <w:szCs w:val="20"/>
        </w:rPr>
        <w:t>nterviews were conducted in person or via secure online platforms, depending on participant availability, and each session lasted approximately 30–45 minutes. All interviews were audio-recorded with informed consent and transcribed verbatim to ensure accuracy in analysis.</w:t>
      </w:r>
    </w:p>
    <w:p w14:paraId="226BD533" w14:textId="309FD183" w:rsidR="006531E8" w:rsidRPr="00235FB2" w:rsidRDefault="006531E8"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Thematic analysis was employed to interpret the interview data, as this method provides a systematic yet flexible approach to identifying, analysing, and reporting patterns of meaning across qualitative datasets</w:t>
      </w:r>
      <w:r w:rsidR="004435A4" w:rsidRPr="00235FB2">
        <w:rPr>
          <w:rFonts w:ascii="Calibri" w:hAnsi="Calibri" w:cs="Calibri"/>
          <w:color w:val="000000" w:themeColor="text1"/>
          <w:sz w:val="20"/>
          <w:szCs w:val="20"/>
        </w:rPr>
        <w:t xml:space="preserve"> </w:t>
      </w:r>
      <w:r w:rsidR="002800BF" w:rsidRPr="00235FB2">
        <w:rPr>
          <w:rFonts w:ascii="Calibri" w:hAnsi="Calibri" w:cs="Calibri"/>
          <w:b/>
          <w:bCs/>
          <w:color w:val="000000" w:themeColor="text1"/>
          <w:sz w:val="20"/>
          <w:szCs w:val="20"/>
        </w:rPr>
        <w:t>(Braun and Clarke, 2006; Braun and Clarke, 2022)</w:t>
      </w:r>
      <w:r w:rsidRPr="00235FB2">
        <w:rPr>
          <w:rFonts w:ascii="Calibri" w:hAnsi="Calibri" w:cs="Calibri"/>
          <w:color w:val="000000" w:themeColor="text1"/>
          <w:sz w:val="20"/>
          <w:szCs w:val="20"/>
        </w:rPr>
        <w:t>. Thematic analysis is widely recognised for its ability to organise complex qualitative information into coherent themes that directly address research questions</w:t>
      </w:r>
      <w:r w:rsidR="002800BF" w:rsidRPr="00235FB2">
        <w:rPr>
          <w:rFonts w:ascii="Calibri" w:hAnsi="Calibri" w:cs="Calibri"/>
          <w:color w:val="000000" w:themeColor="text1"/>
          <w:sz w:val="20"/>
          <w:szCs w:val="20"/>
        </w:rPr>
        <w:t xml:space="preserve"> </w:t>
      </w:r>
      <w:r w:rsidR="002800BF" w:rsidRPr="00235FB2">
        <w:rPr>
          <w:rFonts w:ascii="Calibri" w:hAnsi="Calibri" w:cs="Calibri"/>
          <w:b/>
          <w:bCs/>
          <w:color w:val="000000" w:themeColor="text1"/>
          <w:sz w:val="20"/>
          <w:szCs w:val="20"/>
        </w:rPr>
        <w:t>(Braun and Clarke, 2022)</w:t>
      </w:r>
      <w:r w:rsidRPr="00235FB2">
        <w:rPr>
          <w:rFonts w:ascii="Calibri" w:hAnsi="Calibri" w:cs="Calibri"/>
          <w:color w:val="000000" w:themeColor="text1"/>
          <w:sz w:val="20"/>
          <w:szCs w:val="20"/>
        </w:rPr>
        <w:t>. This study’s thematic analysis followed the six-step framework outlined by Braun and Clarke (2006), involving:</w:t>
      </w:r>
    </w:p>
    <w:p w14:paraId="1DDEC8E4" w14:textId="6668920D" w:rsidR="006531E8" w:rsidRPr="00235FB2" w:rsidRDefault="006531E8" w:rsidP="003A61F2">
      <w:pPr>
        <w:numPr>
          <w:ilvl w:val="0"/>
          <w:numId w:val="5"/>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Familiarisation with the data</w:t>
      </w:r>
      <w:r w:rsidR="00AD42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repeated reading of transcripts to understand the breadth and depth of content;</w:t>
      </w:r>
    </w:p>
    <w:p w14:paraId="06CD919F" w14:textId="47423777" w:rsidR="006531E8" w:rsidRPr="00235FB2" w:rsidRDefault="006531E8" w:rsidP="003A61F2">
      <w:pPr>
        <w:numPr>
          <w:ilvl w:val="0"/>
          <w:numId w:val="5"/>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Generating initial codes</w:t>
      </w:r>
      <w:r w:rsidR="00AD42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identifying meaningful data segments that relate to research questions;</w:t>
      </w:r>
    </w:p>
    <w:p w14:paraId="17583C7B" w14:textId="154D6D21" w:rsidR="006531E8" w:rsidRPr="00235FB2" w:rsidRDefault="006531E8" w:rsidP="003A61F2">
      <w:pPr>
        <w:numPr>
          <w:ilvl w:val="0"/>
          <w:numId w:val="5"/>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Searching for themes</w:t>
      </w:r>
      <w:r w:rsidR="00AD42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clustering related codes into candidate themes;</w:t>
      </w:r>
    </w:p>
    <w:p w14:paraId="2F150B9C" w14:textId="0FF86374" w:rsidR="006531E8" w:rsidRPr="00235FB2" w:rsidRDefault="006531E8" w:rsidP="003A61F2">
      <w:pPr>
        <w:numPr>
          <w:ilvl w:val="0"/>
          <w:numId w:val="5"/>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Reviewing themes</w:t>
      </w:r>
      <w:r w:rsidR="00AD42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refining themes by ensuring internal coherence and distinction from one another;</w:t>
      </w:r>
    </w:p>
    <w:p w14:paraId="556B19BE" w14:textId="67C42948" w:rsidR="006531E8" w:rsidRPr="00235FB2" w:rsidRDefault="006531E8" w:rsidP="003A61F2">
      <w:pPr>
        <w:numPr>
          <w:ilvl w:val="0"/>
          <w:numId w:val="5"/>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Defining and naming themes</w:t>
      </w:r>
      <w:r w:rsidR="00AD42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generating clear thematic definitions and labels; and</w:t>
      </w:r>
    </w:p>
    <w:p w14:paraId="08C75F19" w14:textId="6F9683C0" w:rsidR="006531E8" w:rsidRPr="00235FB2" w:rsidRDefault="006531E8" w:rsidP="003A61F2">
      <w:pPr>
        <w:numPr>
          <w:ilvl w:val="0"/>
          <w:numId w:val="5"/>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Producing the report</w:t>
      </w:r>
      <w:r w:rsidR="00AD42FA"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weaving together thematic findings with illustrative quotations and analytical interpretation. </w:t>
      </w:r>
    </w:p>
    <w:p w14:paraId="4BC64DD3" w14:textId="7CD2E424" w:rsidR="00863CD0" w:rsidRPr="00235FB2" w:rsidRDefault="006531E8"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 thematic approach is particularly suitable for this study as it supports both inductive interpretations rooted in participant responses and deductive linkages to theory and prior literature such as reconciling participants’ </w:t>
      </w:r>
      <w:r w:rsidRPr="00235FB2">
        <w:rPr>
          <w:rFonts w:ascii="Calibri" w:hAnsi="Calibri" w:cs="Calibri"/>
          <w:color w:val="000000" w:themeColor="text1"/>
          <w:sz w:val="20"/>
          <w:szCs w:val="20"/>
        </w:rPr>
        <w:lastRenderedPageBreak/>
        <w:t>lived experiences with theoretical insights from writing pedagogy</w:t>
      </w:r>
      <w:r w:rsidR="00DF6D41" w:rsidRPr="00235FB2">
        <w:rPr>
          <w:rFonts w:ascii="Calibri" w:hAnsi="Calibri" w:cs="Calibri"/>
          <w:color w:val="000000" w:themeColor="text1"/>
          <w:sz w:val="20"/>
          <w:szCs w:val="20"/>
        </w:rPr>
        <w:t xml:space="preserve"> </w:t>
      </w:r>
      <w:r w:rsidR="00DF6D41" w:rsidRPr="00235FB2">
        <w:rPr>
          <w:rFonts w:ascii="Calibri" w:hAnsi="Calibri" w:cs="Calibri"/>
          <w:b/>
          <w:bCs/>
          <w:color w:val="000000" w:themeColor="text1"/>
          <w:sz w:val="20"/>
          <w:szCs w:val="20"/>
        </w:rPr>
        <w:t>(Braun and Clarke, 2022)</w:t>
      </w:r>
      <w:r w:rsidRPr="00235FB2">
        <w:rPr>
          <w:rFonts w:ascii="Calibri" w:hAnsi="Calibri" w:cs="Calibri"/>
          <w:color w:val="000000" w:themeColor="text1"/>
          <w:sz w:val="20"/>
          <w:szCs w:val="20"/>
        </w:rPr>
        <w:t>.</w:t>
      </w:r>
      <w:r w:rsidR="00AD42FA" w:rsidRPr="00235FB2">
        <w:rPr>
          <w:rFonts w:ascii="Calibri" w:hAnsi="Calibri" w:cs="Calibri"/>
          <w:color w:val="000000" w:themeColor="text1"/>
          <w:sz w:val="20"/>
          <w:szCs w:val="20"/>
        </w:rPr>
        <w:t xml:space="preserve"> </w:t>
      </w:r>
      <w:r w:rsidR="00863CD0" w:rsidRPr="00235FB2">
        <w:rPr>
          <w:rFonts w:ascii="Calibri" w:hAnsi="Calibri" w:cs="Calibri"/>
          <w:color w:val="000000" w:themeColor="text1"/>
          <w:sz w:val="20"/>
          <w:szCs w:val="20"/>
        </w:rPr>
        <w:t xml:space="preserve">To </w:t>
      </w:r>
      <w:r w:rsidR="00706D11" w:rsidRPr="00235FB2">
        <w:rPr>
          <w:rFonts w:ascii="Calibri" w:hAnsi="Calibri" w:cs="Calibri"/>
          <w:color w:val="000000" w:themeColor="text1"/>
          <w:sz w:val="20"/>
          <w:szCs w:val="20"/>
        </w:rPr>
        <w:t xml:space="preserve">enhance trustworthiness, several strategies were employed in line with contemporary qualitative research standards </w:t>
      </w:r>
      <w:r w:rsidR="00706D11" w:rsidRPr="00235FB2">
        <w:rPr>
          <w:rFonts w:ascii="Calibri" w:hAnsi="Calibri" w:cs="Calibri"/>
          <w:b/>
          <w:bCs/>
          <w:color w:val="000000" w:themeColor="text1"/>
          <w:sz w:val="20"/>
          <w:szCs w:val="20"/>
        </w:rPr>
        <w:t>(Lin</w:t>
      </w:r>
      <w:r w:rsidR="00772B67" w:rsidRPr="00235FB2">
        <w:rPr>
          <w:rFonts w:ascii="Calibri" w:hAnsi="Calibri" w:cs="Calibri"/>
          <w:b/>
          <w:bCs/>
          <w:color w:val="000000" w:themeColor="text1"/>
          <w:sz w:val="20"/>
          <w:szCs w:val="20"/>
        </w:rPr>
        <w:t>coln and Guba, 2023)</w:t>
      </w:r>
      <w:r w:rsidR="00863CD0" w:rsidRPr="00235FB2">
        <w:rPr>
          <w:rFonts w:ascii="Calibri" w:hAnsi="Calibri" w:cs="Calibri"/>
          <w:color w:val="000000" w:themeColor="text1"/>
          <w:sz w:val="20"/>
          <w:szCs w:val="20"/>
        </w:rPr>
        <w:t>:</w:t>
      </w:r>
    </w:p>
    <w:p w14:paraId="11A470D2" w14:textId="77777777" w:rsidR="00863CD0" w:rsidRPr="00235FB2" w:rsidRDefault="00863CD0" w:rsidP="003A61F2">
      <w:pPr>
        <w:numPr>
          <w:ilvl w:val="0"/>
          <w:numId w:val="6"/>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Member checking</w:t>
      </w:r>
      <w:r w:rsidRPr="00235FB2">
        <w:rPr>
          <w:rFonts w:ascii="Calibri" w:hAnsi="Calibri" w:cs="Calibri"/>
          <w:color w:val="000000" w:themeColor="text1"/>
          <w:sz w:val="20"/>
          <w:szCs w:val="20"/>
        </w:rPr>
        <w:t>: Selected participants were invited to review initial theme summaries to ensure accurate representation of their views.</w:t>
      </w:r>
    </w:p>
    <w:p w14:paraId="6C88E19B" w14:textId="77777777" w:rsidR="00863CD0" w:rsidRPr="00235FB2" w:rsidRDefault="00863CD0" w:rsidP="003A61F2">
      <w:pPr>
        <w:numPr>
          <w:ilvl w:val="0"/>
          <w:numId w:val="6"/>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Audit trail</w:t>
      </w:r>
      <w:r w:rsidRPr="00235FB2">
        <w:rPr>
          <w:rFonts w:ascii="Calibri" w:hAnsi="Calibri" w:cs="Calibri"/>
          <w:color w:val="000000" w:themeColor="text1"/>
          <w:sz w:val="20"/>
          <w:szCs w:val="20"/>
        </w:rPr>
        <w:t>: Detailed documentation of coding decisions and analytic memos was maintained for transparency and potential replication by future researchers.</w:t>
      </w:r>
    </w:p>
    <w:p w14:paraId="2D153D02" w14:textId="77777777" w:rsidR="00AD42FA" w:rsidRPr="00235FB2" w:rsidRDefault="00863CD0" w:rsidP="003A61F2">
      <w:pPr>
        <w:numPr>
          <w:ilvl w:val="0"/>
          <w:numId w:val="6"/>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Reflexivity</w:t>
      </w:r>
      <w:r w:rsidRPr="00235FB2">
        <w:rPr>
          <w:rFonts w:ascii="Calibri" w:hAnsi="Calibri" w:cs="Calibri"/>
          <w:color w:val="000000" w:themeColor="text1"/>
          <w:sz w:val="20"/>
          <w:szCs w:val="20"/>
        </w:rPr>
        <w:t>: The researcher engaged in ongoing reflection about interpretive biases and positionality, recognising how these could influence theme interpretation.</w:t>
      </w:r>
    </w:p>
    <w:p w14:paraId="7BCE9029" w14:textId="4F377825" w:rsidR="00602499" w:rsidRPr="00235FB2" w:rsidRDefault="00863CD0" w:rsidP="003A61F2">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These practices align with qualitative research standards that emphasise methodological transparency and analytical accountability. </w:t>
      </w:r>
    </w:p>
    <w:p w14:paraId="738B2789" w14:textId="59675B0C" w:rsidR="003A61F2" w:rsidRPr="00235FB2" w:rsidRDefault="00E17F91" w:rsidP="003A61F2">
      <w:pPr>
        <w:spacing w:after="0" w:line="360" w:lineRule="auto"/>
        <w:jc w:val="both"/>
        <w:rPr>
          <w:rFonts w:ascii="Calibri" w:hAnsi="Calibri" w:cs="Calibri"/>
          <w:color w:val="000000" w:themeColor="text1"/>
          <w:sz w:val="20"/>
          <w:szCs w:val="20"/>
        </w:rPr>
      </w:pPr>
      <w:r w:rsidRPr="00235FB2">
        <w:rPr>
          <w:rFonts w:ascii="Calibri" w:hAnsi="Calibri" w:cs="Calibri"/>
          <w:noProof/>
          <w:color w:val="000000" w:themeColor="text1"/>
          <w:sz w:val="20"/>
          <w:szCs w:val="20"/>
        </w:rPr>
        <w:drawing>
          <wp:anchor distT="0" distB="0" distL="114300" distR="114300" simplePos="0" relativeHeight="251658240" behindDoc="1" locked="0" layoutInCell="1" allowOverlap="1" wp14:anchorId="6CC0A565" wp14:editId="7D75C1D3">
            <wp:simplePos x="0" y="0"/>
            <wp:positionH relativeFrom="margin">
              <wp:align>center</wp:align>
            </wp:positionH>
            <wp:positionV relativeFrom="paragraph">
              <wp:posOffset>2039190</wp:posOffset>
            </wp:positionV>
            <wp:extent cx="3656774" cy="3018503"/>
            <wp:effectExtent l="0" t="0" r="1270" b="0"/>
            <wp:wrapNone/>
            <wp:docPr id="1297672303" name="Picture 1" descr="A diagram of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72303" name="Picture 1" descr="A diagram of data analysi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668684" cy="3028335"/>
                    </a:xfrm>
                    <a:prstGeom prst="rect">
                      <a:avLst/>
                    </a:prstGeom>
                  </pic:spPr>
                </pic:pic>
              </a:graphicData>
            </a:graphic>
            <wp14:sizeRelV relativeFrom="margin">
              <wp14:pctHeight>0</wp14:pctHeight>
            </wp14:sizeRelV>
          </wp:anchor>
        </w:drawing>
      </w:r>
      <w:r w:rsidR="009D5951" w:rsidRPr="00235FB2">
        <w:rPr>
          <w:rFonts w:ascii="Calibri" w:hAnsi="Calibri" w:cs="Calibri"/>
          <w:color w:val="000000" w:themeColor="text1"/>
          <w:sz w:val="20"/>
          <w:szCs w:val="20"/>
        </w:rPr>
        <w:t>Research ethics were prioritised throughout the study. Participants were provided with clear information about the study’s purpose, voluntary nature, and confidentiality protections. Written informed consent was obtained prior to data collection</w:t>
      </w:r>
      <w:r w:rsidR="007165C7" w:rsidRPr="00235FB2">
        <w:rPr>
          <w:rFonts w:ascii="Calibri" w:hAnsi="Calibri" w:cs="Calibri"/>
          <w:color w:val="000000" w:themeColor="text1"/>
          <w:sz w:val="20"/>
          <w:szCs w:val="20"/>
        </w:rPr>
        <w:t xml:space="preserve"> </w:t>
      </w:r>
      <w:r w:rsidR="007165C7" w:rsidRPr="00235FB2">
        <w:rPr>
          <w:rFonts w:ascii="Calibri" w:hAnsi="Calibri" w:cs="Calibri"/>
          <w:b/>
          <w:bCs/>
          <w:color w:val="000000" w:themeColor="text1"/>
          <w:sz w:val="20"/>
          <w:szCs w:val="20"/>
        </w:rPr>
        <w:t>(BERA, 2023)</w:t>
      </w:r>
      <w:r w:rsidR="009D5951" w:rsidRPr="00235FB2">
        <w:rPr>
          <w:rFonts w:ascii="Calibri" w:hAnsi="Calibri" w:cs="Calibri"/>
          <w:color w:val="000000" w:themeColor="text1"/>
          <w:sz w:val="20"/>
          <w:szCs w:val="20"/>
        </w:rPr>
        <w:t>. Anonymised identifiers were used in all transcripts and reports to protect participant privacy. There was no coercion to participate, and participants were informed of their right to withdraw without penalty at any stage.</w:t>
      </w:r>
      <w:r w:rsidRPr="00235FB2">
        <w:rPr>
          <w:rFonts w:ascii="Calibri" w:hAnsi="Calibri" w:cs="Calibri"/>
          <w:color w:val="000000" w:themeColor="text1"/>
          <w:sz w:val="20"/>
          <w:szCs w:val="20"/>
        </w:rPr>
        <w:t xml:space="preserve"> </w:t>
      </w:r>
      <w:r w:rsidR="003A61F2" w:rsidRPr="00235FB2">
        <w:rPr>
          <w:rFonts w:ascii="Calibri" w:hAnsi="Calibri" w:cs="Calibri"/>
          <w:color w:val="000000" w:themeColor="text1"/>
          <w:sz w:val="20"/>
          <w:szCs w:val="20"/>
        </w:rPr>
        <w:t>While the exploratory qualitative design provides rich, contextualised insights into participants’ perceptions of writing pedagogy, findings are not statistically generalisable to all HSC contexts in Bangladesh</w:t>
      </w:r>
      <w:r w:rsidR="009145E1" w:rsidRPr="00235FB2">
        <w:rPr>
          <w:rFonts w:ascii="Calibri" w:hAnsi="Calibri" w:cs="Calibri"/>
          <w:color w:val="000000" w:themeColor="text1"/>
          <w:sz w:val="20"/>
          <w:szCs w:val="20"/>
        </w:rPr>
        <w:t xml:space="preserve"> </w:t>
      </w:r>
      <w:r w:rsidR="009145E1" w:rsidRPr="00235FB2">
        <w:rPr>
          <w:rFonts w:ascii="Calibri" w:hAnsi="Calibri" w:cs="Calibri"/>
          <w:b/>
          <w:bCs/>
          <w:color w:val="000000" w:themeColor="text1"/>
          <w:sz w:val="20"/>
          <w:szCs w:val="20"/>
        </w:rPr>
        <w:t xml:space="preserve">(Creswell and </w:t>
      </w:r>
      <w:proofErr w:type="spellStart"/>
      <w:r w:rsidR="009145E1" w:rsidRPr="00235FB2">
        <w:rPr>
          <w:rFonts w:ascii="Calibri" w:hAnsi="Calibri" w:cs="Calibri"/>
          <w:b/>
          <w:bCs/>
          <w:color w:val="000000" w:themeColor="text1"/>
          <w:sz w:val="20"/>
          <w:szCs w:val="20"/>
        </w:rPr>
        <w:t>Poth</w:t>
      </w:r>
      <w:proofErr w:type="spellEnd"/>
      <w:r w:rsidR="009145E1" w:rsidRPr="00235FB2">
        <w:rPr>
          <w:rFonts w:ascii="Calibri" w:hAnsi="Calibri" w:cs="Calibri"/>
          <w:b/>
          <w:bCs/>
          <w:color w:val="000000" w:themeColor="text1"/>
          <w:sz w:val="20"/>
          <w:szCs w:val="20"/>
        </w:rPr>
        <w:t>, 2023)</w:t>
      </w:r>
      <w:r w:rsidR="003A61F2" w:rsidRPr="00235FB2">
        <w:rPr>
          <w:rFonts w:ascii="Calibri" w:hAnsi="Calibri" w:cs="Calibri"/>
          <w:color w:val="000000" w:themeColor="text1"/>
          <w:sz w:val="20"/>
          <w:szCs w:val="20"/>
        </w:rPr>
        <w:t>. However, the depth of interpretive analysis and rigorous thematic development facilitates transferable insights that may inform future research, policy, and pedagogical design.</w:t>
      </w:r>
      <w:r w:rsidR="00175249" w:rsidRPr="00235FB2">
        <w:rPr>
          <w:rFonts w:ascii="Calibri" w:hAnsi="Calibri" w:cs="Calibri"/>
          <w:color w:val="000000" w:themeColor="text1"/>
          <w:sz w:val="20"/>
          <w:szCs w:val="20"/>
        </w:rPr>
        <w:t xml:space="preserve"> The research study framework is below: </w:t>
      </w:r>
    </w:p>
    <w:p w14:paraId="24793D96" w14:textId="38B5A66E" w:rsidR="00175249" w:rsidRPr="00235FB2" w:rsidRDefault="00175249" w:rsidP="003A61F2">
      <w:pPr>
        <w:spacing w:after="0" w:line="360" w:lineRule="auto"/>
        <w:jc w:val="both"/>
        <w:rPr>
          <w:rFonts w:ascii="Calibri" w:hAnsi="Calibri" w:cs="Calibri"/>
          <w:color w:val="000000" w:themeColor="text1"/>
          <w:sz w:val="20"/>
          <w:szCs w:val="20"/>
        </w:rPr>
      </w:pPr>
    </w:p>
    <w:p w14:paraId="38E53FF7" w14:textId="77777777" w:rsidR="00E04B27" w:rsidRPr="00235FB2" w:rsidRDefault="00E04B27" w:rsidP="003A61F2">
      <w:pPr>
        <w:spacing w:after="0" w:line="360" w:lineRule="auto"/>
        <w:jc w:val="both"/>
        <w:rPr>
          <w:rFonts w:ascii="Calibri" w:hAnsi="Calibri" w:cs="Calibri"/>
          <w:color w:val="000000" w:themeColor="text1"/>
          <w:sz w:val="20"/>
          <w:szCs w:val="20"/>
        </w:rPr>
      </w:pPr>
    </w:p>
    <w:p w14:paraId="71B96666" w14:textId="77777777" w:rsidR="006531E8" w:rsidRPr="00235FB2" w:rsidRDefault="006531E8" w:rsidP="0060521B">
      <w:pPr>
        <w:spacing w:after="0" w:line="360" w:lineRule="auto"/>
        <w:jc w:val="both"/>
        <w:rPr>
          <w:rFonts w:ascii="Calibri" w:hAnsi="Calibri" w:cs="Calibri"/>
          <w:color w:val="000000" w:themeColor="text1"/>
          <w:sz w:val="20"/>
          <w:szCs w:val="20"/>
        </w:rPr>
      </w:pPr>
    </w:p>
    <w:p w14:paraId="2DF940EE" w14:textId="77777777" w:rsidR="00533849" w:rsidRPr="00235FB2" w:rsidRDefault="00533849" w:rsidP="00B36A94">
      <w:pPr>
        <w:spacing w:after="0" w:line="360" w:lineRule="auto"/>
        <w:jc w:val="both"/>
        <w:rPr>
          <w:rFonts w:ascii="Calibri" w:hAnsi="Calibri" w:cs="Calibri"/>
          <w:color w:val="000000" w:themeColor="text1"/>
          <w:sz w:val="20"/>
          <w:szCs w:val="20"/>
        </w:rPr>
      </w:pPr>
    </w:p>
    <w:p w14:paraId="36677B83" w14:textId="77777777" w:rsidR="00862F54" w:rsidRPr="00235FB2" w:rsidRDefault="00862F54" w:rsidP="00EC6A66">
      <w:pPr>
        <w:spacing w:after="0" w:line="360" w:lineRule="auto"/>
        <w:jc w:val="both"/>
        <w:rPr>
          <w:rFonts w:ascii="Calibri" w:hAnsi="Calibri" w:cs="Calibri"/>
          <w:color w:val="000000" w:themeColor="text1"/>
          <w:sz w:val="20"/>
          <w:szCs w:val="20"/>
        </w:rPr>
      </w:pPr>
    </w:p>
    <w:p w14:paraId="633E9022" w14:textId="77777777" w:rsidR="00B36A94" w:rsidRPr="00235FB2" w:rsidRDefault="00B36A94" w:rsidP="00EC6A66">
      <w:pPr>
        <w:spacing w:after="0" w:line="360" w:lineRule="auto"/>
        <w:jc w:val="both"/>
        <w:rPr>
          <w:rFonts w:ascii="Calibri" w:hAnsi="Calibri" w:cs="Calibri"/>
          <w:color w:val="000000" w:themeColor="text1"/>
          <w:sz w:val="20"/>
          <w:szCs w:val="20"/>
        </w:rPr>
      </w:pPr>
    </w:p>
    <w:p w14:paraId="6374516F" w14:textId="77777777" w:rsidR="00EC6A66" w:rsidRPr="00235FB2" w:rsidRDefault="00EC6A66" w:rsidP="00800602">
      <w:pPr>
        <w:spacing w:after="0" w:line="360" w:lineRule="auto"/>
        <w:jc w:val="both"/>
        <w:rPr>
          <w:rFonts w:ascii="Calibri" w:hAnsi="Calibri" w:cs="Calibri"/>
          <w:color w:val="000000" w:themeColor="text1"/>
          <w:sz w:val="20"/>
          <w:szCs w:val="20"/>
        </w:rPr>
      </w:pPr>
    </w:p>
    <w:p w14:paraId="39405F15" w14:textId="77777777" w:rsidR="00B3363D" w:rsidRPr="00235FB2" w:rsidRDefault="00B3363D" w:rsidP="00800602">
      <w:pPr>
        <w:spacing w:after="0" w:line="360" w:lineRule="auto"/>
        <w:jc w:val="both"/>
        <w:rPr>
          <w:rFonts w:ascii="Calibri" w:hAnsi="Calibri" w:cs="Calibri"/>
          <w:color w:val="000000" w:themeColor="text1"/>
          <w:sz w:val="20"/>
          <w:szCs w:val="20"/>
        </w:rPr>
      </w:pPr>
    </w:p>
    <w:p w14:paraId="36D86010" w14:textId="77777777" w:rsidR="009D19C5" w:rsidRPr="00235FB2" w:rsidRDefault="009D19C5" w:rsidP="000362C0">
      <w:pPr>
        <w:spacing w:after="0" w:line="360" w:lineRule="auto"/>
        <w:rPr>
          <w:rFonts w:ascii="Calibri" w:hAnsi="Calibri" w:cs="Calibri"/>
          <w:b/>
          <w:bCs/>
          <w:color w:val="000000" w:themeColor="text1"/>
          <w:sz w:val="20"/>
          <w:szCs w:val="20"/>
        </w:rPr>
      </w:pPr>
    </w:p>
    <w:p w14:paraId="04586203" w14:textId="77777777" w:rsidR="00FF3321" w:rsidRPr="00235FB2" w:rsidRDefault="00FF3321" w:rsidP="000362C0">
      <w:pPr>
        <w:spacing w:after="0" w:line="360" w:lineRule="auto"/>
        <w:rPr>
          <w:rFonts w:ascii="Calibri" w:hAnsi="Calibri" w:cs="Calibri"/>
          <w:b/>
          <w:bCs/>
          <w:color w:val="000000" w:themeColor="text1"/>
          <w:sz w:val="20"/>
          <w:szCs w:val="20"/>
        </w:rPr>
      </w:pPr>
    </w:p>
    <w:p w14:paraId="378C78EC" w14:textId="77777777" w:rsidR="00FF3321" w:rsidRPr="00235FB2" w:rsidRDefault="00FF3321" w:rsidP="000362C0">
      <w:pPr>
        <w:spacing w:after="0" w:line="360" w:lineRule="auto"/>
        <w:rPr>
          <w:rFonts w:ascii="Calibri" w:hAnsi="Calibri" w:cs="Calibri"/>
          <w:b/>
          <w:bCs/>
          <w:color w:val="000000" w:themeColor="text1"/>
          <w:sz w:val="20"/>
          <w:szCs w:val="20"/>
        </w:rPr>
      </w:pPr>
    </w:p>
    <w:p w14:paraId="5E7002B4" w14:textId="77777777" w:rsidR="00FF3321" w:rsidRPr="00235FB2" w:rsidRDefault="00FF3321" w:rsidP="000362C0">
      <w:pPr>
        <w:spacing w:after="0" w:line="360" w:lineRule="auto"/>
        <w:rPr>
          <w:rFonts w:ascii="Calibri" w:hAnsi="Calibri" w:cs="Calibri"/>
          <w:b/>
          <w:bCs/>
          <w:color w:val="000000" w:themeColor="text1"/>
          <w:sz w:val="20"/>
          <w:szCs w:val="20"/>
        </w:rPr>
      </w:pPr>
    </w:p>
    <w:p w14:paraId="4A56A7F3" w14:textId="3EF22759" w:rsidR="00C82C37" w:rsidRPr="00235FB2" w:rsidRDefault="00FF3321" w:rsidP="006928A4">
      <w:pPr>
        <w:spacing w:after="0" w:line="360" w:lineRule="auto"/>
        <w:jc w:val="center"/>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Fig 2: </w:t>
      </w:r>
      <w:r w:rsidRPr="00235FB2">
        <w:rPr>
          <w:rFonts w:ascii="Calibri" w:hAnsi="Calibri" w:cs="Calibri"/>
          <w:color w:val="000000" w:themeColor="text1"/>
          <w:sz w:val="20"/>
          <w:szCs w:val="20"/>
        </w:rPr>
        <w:t>The research study framework (created by the authors)</w:t>
      </w:r>
      <w:r w:rsidR="00885437" w:rsidRPr="00235FB2">
        <w:rPr>
          <w:rFonts w:ascii="Calibri" w:hAnsi="Calibri" w:cs="Calibri"/>
          <w:color w:val="000000" w:themeColor="text1"/>
          <w:sz w:val="20"/>
          <w:szCs w:val="20"/>
        </w:rPr>
        <w:t xml:space="preserve">. </w:t>
      </w:r>
    </w:p>
    <w:p w14:paraId="1DBAB82F" w14:textId="77777777" w:rsidR="00235FB2" w:rsidRDefault="00235FB2" w:rsidP="00C82C37">
      <w:pPr>
        <w:spacing w:after="0" w:line="360" w:lineRule="auto"/>
        <w:rPr>
          <w:rFonts w:ascii="Calibri" w:hAnsi="Calibri" w:cs="Calibri"/>
          <w:b/>
          <w:bCs/>
          <w:color w:val="000000" w:themeColor="text1"/>
          <w:sz w:val="20"/>
          <w:szCs w:val="20"/>
        </w:rPr>
      </w:pPr>
    </w:p>
    <w:p w14:paraId="3B047359" w14:textId="0530019E" w:rsidR="00C82C37" w:rsidRPr="00235FB2" w:rsidRDefault="00C82C37" w:rsidP="00C82C37">
      <w:pPr>
        <w:spacing w:after="0"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Data Analysis and </w:t>
      </w:r>
      <w:r w:rsidR="00AE5CA8" w:rsidRPr="00235FB2">
        <w:rPr>
          <w:rFonts w:ascii="Calibri" w:hAnsi="Calibri" w:cs="Calibri"/>
          <w:b/>
          <w:bCs/>
          <w:color w:val="000000" w:themeColor="text1"/>
          <w:sz w:val="20"/>
          <w:szCs w:val="20"/>
        </w:rPr>
        <w:t>Interpretation</w:t>
      </w:r>
      <w:r w:rsidRPr="00235FB2">
        <w:rPr>
          <w:rFonts w:ascii="Calibri" w:hAnsi="Calibri" w:cs="Calibri"/>
          <w:b/>
          <w:bCs/>
          <w:color w:val="000000" w:themeColor="text1"/>
          <w:sz w:val="20"/>
          <w:szCs w:val="20"/>
        </w:rPr>
        <w:t xml:space="preserve"> </w:t>
      </w:r>
    </w:p>
    <w:p w14:paraId="3F327E43" w14:textId="036071D5" w:rsidR="007D7540" w:rsidRPr="00235FB2" w:rsidRDefault="00DD4D46" w:rsidP="00AE4750">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 analysis below follows a reflexive thematic analysis logic, moving from meaning units → codes → candidate themes → refined themes, and is grounded in participants’ accounts of writing instruction and their emerging </w:t>
      </w:r>
      <w:r w:rsidRPr="00235FB2">
        <w:rPr>
          <w:rFonts w:ascii="Calibri" w:hAnsi="Calibri" w:cs="Calibri"/>
          <w:color w:val="000000" w:themeColor="text1"/>
          <w:sz w:val="20"/>
          <w:szCs w:val="20"/>
        </w:rPr>
        <w:lastRenderedPageBreak/>
        <w:t>exposure to PWA in selected college settings. Evidence is drawn directly from the interview transcripts</w:t>
      </w:r>
      <w:r w:rsidR="00A22CA4" w:rsidRPr="00235FB2">
        <w:rPr>
          <w:rFonts w:ascii="Calibri" w:hAnsi="Calibri" w:cs="Calibri"/>
          <w:color w:val="000000" w:themeColor="text1"/>
          <w:sz w:val="20"/>
          <w:szCs w:val="20"/>
        </w:rPr>
        <w:t xml:space="preserve"> </w:t>
      </w:r>
      <w:r w:rsidR="00A87E74" w:rsidRPr="00235FB2">
        <w:rPr>
          <w:rFonts w:ascii="Calibri" w:hAnsi="Calibri" w:cs="Calibri"/>
          <w:color w:val="000000" w:themeColor="text1"/>
          <w:sz w:val="20"/>
          <w:szCs w:val="20"/>
        </w:rPr>
        <w:t xml:space="preserve">and each theme </w:t>
      </w:r>
      <w:r w:rsidR="00140889" w:rsidRPr="00235FB2">
        <w:rPr>
          <w:rFonts w:ascii="Calibri" w:hAnsi="Calibri" w:cs="Calibri"/>
          <w:color w:val="000000" w:themeColor="text1"/>
          <w:sz w:val="20"/>
          <w:szCs w:val="20"/>
        </w:rPr>
        <w:t xml:space="preserve">below </w:t>
      </w:r>
      <w:r w:rsidR="00A87E74" w:rsidRPr="00235FB2">
        <w:rPr>
          <w:rFonts w:ascii="Calibri" w:hAnsi="Calibri" w:cs="Calibri"/>
          <w:color w:val="000000" w:themeColor="text1"/>
          <w:sz w:val="20"/>
          <w:szCs w:val="20"/>
        </w:rPr>
        <w:t xml:space="preserve">is supported by multiple </w:t>
      </w:r>
      <w:r w:rsidR="00140889" w:rsidRPr="00235FB2">
        <w:rPr>
          <w:rFonts w:ascii="Calibri" w:hAnsi="Calibri" w:cs="Calibri"/>
          <w:color w:val="000000" w:themeColor="text1"/>
          <w:sz w:val="20"/>
          <w:szCs w:val="20"/>
        </w:rPr>
        <w:t>direct participant quotations</w:t>
      </w:r>
      <w:r w:rsidRPr="00235FB2">
        <w:rPr>
          <w:rFonts w:ascii="Calibri" w:hAnsi="Calibri" w:cs="Calibri"/>
          <w:color w:val="000000" w:themeColor="text1"/>
          <w:sz w:val="20"/>
          <w:szCs w:val="20"/>
        </w:rPr>
        <w:t xml:space="preserve">. </w:t>
      </w:r>
    </w:p>
    <w:p w14:paraId="58DA920F" w14:textId="77777777" w:rsidR="00235FB2" w:rsidRDefault="00235FB2" w:rsidP="00AE4750">
      <w:pPr>
        <w:spacing w:after="0" w:line="360" w:lineRule="auto"/>
        <w:jc w:val="both"/>
        <w:rPr>
          <w:rFonts w:ascii="Calibri" w:hAnsi="Calibri" w:cs="Calibri"/>
          <w:b/>
          <w:bCs/>
          <w:color w:val="000000" w:themeColor="text1"/>
          <w:sz w:val="20"/>
          <w:szCs w:val="20"/>
        </w:rPr>
      </w:pPr>
    </w:p>
    <w:p w14:paraId="1A83AB57" w14:textId="1F3895E1" w:rsidR="00C129AA" w:rsidRPr="00235FB2" w:rsidRDefault="00AE4750" w:rsidP="00AE4750">
      <w:p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Theme 1: Product-oriented writing as an entrenched learning culture (rote learning, guidebooks, “suggestions”): </w:t>
      </w:r>
      <w:r w:rsidRPr="00235FB2">
        <w:rPr>
          <w:rFonts w:ascii="Calibri" w:hAnsi="Calibri" w:cs="Calibri"/>
          <w:color w:val="000000" w:themeColor="text1"/>
          <w:sz w:val="20"/>
          <w:szCs w:val="20"/>
        </w:rPr>
        <w:t xml:space="preserve">Across student interviews, the most consistent pattern is that English writing is typically learned through memorisation of common topics and guidebook-driven scripts </w:t>
      </w:r>
      <w:r w:rsidR="00D101EE" w:rsidRPr="00235FB2">
        <w:rPr>
          <w:rFonts w:ascii="Calibri" w:hAnsi="Calibri" w:cs="Calibri"/>
          <w:color w:val="000000" w:themeColor="text1"/>
          <w:sz w:val="20"/>
          <w:szCs w:val="20"/>
        </w:rPr>
        <w:t xml:space="preserve">such as </w:t>
      </w:r>
      <w:r w:rsidRPr="00235FB2">
        <w:rPr>
          <w:rFonts w:ascii="Calibri" w:hAnsi="Calibri" w:cs="Calibri"/>
          <w:color w:val="000000" w:themeColor="text1"/>
          <w:sz w:val="20"/>
          <w:szCs w:val="20"/>
        </w:rPr>
        <w:t>paragraphs, compositions, summary, application and email.</w:t>
      </w:r>
      <w:r w:rsidR="00D101EE" w:rsidRPr="00235FB2">
        <w:rPr>
          <w:rFonts w:ascii="Calibri" w:hAnsi="Calibri" w:cs="Calibri"/>
          <w:color w:val="000000" w:themeColor="text1"/>
          <w:sz w:val="20"/>
          <w:szCs w:val="20"/>
        </w:rPr>
        <w:t xml:space="preserve"> For example, student 1 stated, </w:t>
      </w:r>
      <w:r w:rsidR="00D101EE" w:rsidRPr="00235FB2">
        <w:rPr>
          <w:rFonts w:ascii="Calibri" w:hAnsi="Calibri" w:cs="Calibri"/>
          <w:i/>
          <w:iCs/>
          <w:color w:val="000000" w:themeColor="text1"/>
          <w:sz w:val="20"/>
          <w:szCs w:val="20"/>
        </w:rPr>
        <w:t>“</w:t>
      </w:r>
      <w:r w:rsidR="00A42591" w:rsidRPr="00235FB2">
        <w:rPr>
          <w:rFonts w:ascii="Calibri" w:hAnsi="Calibri" w:cs="Calibri"/>
          <w:i/>
          <w:iCs/>
          <w:color w:val="000000" w:themeColor="text1"/>
          <w:sz w:val="20"/>
          <w:szCs w:val="20"/>
        </w:rPr>
        <w:t>…in our classes, we mostly memorise model paragraphs from guidebooks because those same topics usually come in the exam</w:t>
      </w:r>
      <w:r w:rsidR="00217002" w:rsidRPr="00235FB2">
        <w:rPr>
          <w:rFonts w:ascii="Calibri" w:hAnsi="Calibri" w:cs="Calibri"/>
          <w:i/>
          <w:iCs/>
          <w:color w:val="000000" w:themeColor="text1"/>
          <w:sz w:val="20"/>
          <w:szCs w:val="20"/>
        </w:rPr>
        <w:t xml:space="preserve">…”. </w:t>
      </w:r>
      <w:r w:rsidRPr="00235FB2">
        <w:rPr>
          <w:rFonts w:ascii="Calibri" w:hAnsi="Calibri" w:cs="Calibri"/>
          <w:color w:val="000000" w:themeColor="text1"/>
          <w:sz w:val="20"/>
          <w:szCs w:val="20"/>
        </w:rPr>
        <w:t>Students described classroom and coaching-centre routines where teachers provide sheets, notes, or suggestions prior to examinations, and students prepare by memorising and reproducing them.</w:t>
      </w:r>
      <w:r w:rsidR="0049233B" w:rsidRPr="00235FB2">
        <w:rPr>
          <w:rFonts w:ascii="Calibri" w:hAnsi="Calibri" w:cs="Calibri"/>
          <w:color w:val="000000" w:themeColor="text1"/>
          <w:sz w:val="20"/>
          <w:szCs w:val="20"/>
        </w:rPr>
        <w:t xml:space="preserve"> </w:t>
      </w:r>
      <w:r w:rsidR="00217002" w:rsidRPr="00235FB2">
        <w:rPr>
          <w:rFonts w:ascii="Calibri" w:hAnsi="Calibri" w:cs="Calibri"/>
          <w:color w:val="000000" w:themeColor="text1"/>
          <w:sz w:val="20"/>
          <w:szCs w:val="20"/>
        </w:rPr>
        <w:t xml:space="preserve">For instance, </w:t>
      </w:r>
      <w:r w:rsidR="00017C3D" w:rsidRPr="00235FB2">
        <w:rPr>
          <w:rFonts w:ascii="Calibri" w:hAnsi="Calibri" w:cs="Calibri"/>
          <w:color w:val="000000" w:themeColor="text1"/>
          <w:sz w:val="20"/>
          <w:szCs w:val="20"/>
        </w:rPr>
        <w:t xml:space="preserve">student 3 stated, </w:t>
      </w:r>
      <w:r w:rsidR="00017C3D" w:rsidRPr="00235FB2">
        <w:rPr>
          <w:rFonts w:ascii="Calibri" w:hAnsi="Calibri" w:cs="Calibri"/>
          <w:i/>
          <w:iCs/>
          <w:color w:val="000000" w:themeColor="text1"/>
          <w:sz w:val="20"/>
          <w:szCs w:val="20"/>
        </w:rPr>
        <w:t xml:space="preserve">“…my teacher gives us ‘suggestions’ before exams, and we just memorise them </w:t>
      </w:r>
      <w:r w:rsidR="0054670D" w:rsidRPr="00235FB2">
        <w:rPr>
          <w:rFonts w:ascii="Calibri" w:hAnsi="Calibri" w:cs="Calibri"/>
          <w:i/>
          <w:iCs/>
          <w:color w:val="000000" w:themeColor="text1"/>
          <w:sz w:val="20"/>
          <w:szCs w:val="20"/>
        </w:rPr>
        <w:t xml:space="preserve">word by word…”. </w:t>
      </w:r>
      <w:r w:rsidR="003C3958" w:rsidRPr="00235FB2">
        <w:rPr>
          <w:rFonts w:ascii="Calibri" w:hAnsi="Calibri" w:cs="Calibri"/>
          <w:color w:val="000000" w:themeColor="text1"/>
          <w:sz w:val="20"/>
          <w:szCs w:val="20"/>
        </w:rPr>
        <w:t>Student</w:t>
      </w:r>
      <w:r w:rsidR="00803DA3" w:rsidRPr="00235FB2">
        <w:rPr>
          <w:rFonts w:ascii="Calibri" w:hAnsi="Calibri" w:cs="Calibri"/>
          <w:color w:val="000000" w:themeColor="text1"/>
          <w:sz w:val="20"/>
          <w:szCs w:val="20"/>
        </w:rPr>
        <w:t>s</w:t>
      </w:r>
      <w:r w:rsidR="003C3958" w:rsidRPr="00235FB2">
        <w:rPr>
          <w:rFonts w:ascii="Calibri" w:hAnsi="Calibri" w:cs="Calibri"/>
          <w:color w:val="000000" w:themeColor="text1"/>
          <w:sz w:val="20"/>
          <w:szCs w:val="20"/>
        </w:rPr>
        <w:t xml:space="preserve"> further added that</w:t>
      </w:r>
      <w:r w:rsidRPr="00235FB2">
        <w:rPr>
          <w:rFonts w:ascii="Calibri" w:hAnsi="Calibri" w:cs="Calibri"/>
          <w:color w:val="000000" w:themeColor="text1"/>
          <w:sz w:val="20"/>
          <w:szCs w:val="20"/>
        </w:rPr>
        <w:t xml:space="preserve"> </w:t>
      </w:r>
      <w:r w:rsidR="00803DA3" w:rsidRPr="00235FB2">
        <w:rPr>
          <w:rFonts w:ascii="Calibri" w:hAnsi="Calibri" w:cs="Calibri"/>
          <w:color w:val="000000" w:themeColor="text1"/>
          <w:sz w:val="20"/>
          <w:szCs w:val="20"/>
        </w:rPr>
        <w:t xml:space="preserve">they are trained to reproduce answers, rather </w:t>
      </w:r>
      <w:r w:rsidR="009F6B86" w:rsidRPr="00235FB2">
        <w:rPr>
          <w:rFonts w:ascii="Calibri" w:hAnsi="Calibri" w:cs="Calibri"/>
          <w:color w:val="000000" w:themeColor="text1"/>
          <w:sz w:val="20"/>
          <w:szCs w:val="20"/>
        </w:rPr>
        <w:t xml:space="preserve">developing ideas. For example, student 6 stated, </w:t>
      </w:r>
      <w:r w:rsidR="009F6B86" w:rsidRPr="00235FB2">
        <w:rPr>
          <w:rFonts w:ascii="Calibri" w:hAnsi="Calibri" w:cs="Calibri"/>
          <w:i/>
          <w:iCs/>
          <w:color w:val="000000" w:themeColor="text1"/>
          <w:sz w:val="20"/>
          <w:szCs w:val="20"/>
        </w:rPr>
        <w:t xml:space="preserve">“…we are trained to reproduce answers, not to think or write in our own way…”. </w:t>
      </w:r>
    </w:p>
    <w:p w14:paraId="63C40485" w14:textId="77777777" w:rsidR="00C129AA" w:rsidRPr="00235FB2" w:rsidRDefault="00C129AA" w:rsidP="00AE4750">
      <w:pPr>
        <w:spacing w:after="0" w:line="360" w:lineRule="auto"/>
        <w:jc w:val="both"/>
        <w:rPr>
          <w:rFonts w:ascii="Calibri" w:hAnsi="Calibri" w:cs="Calibri"/>
          <w:color w:val="000000" w:themeColor="text1"/>
          <w:sz w:val="20"/>
          <w:szCs w:val="20"/>
        </w:rPr>
      </w:pPr>
    </w:p>
    <w:p w14:paraId="2CEB8832" w14:textId="64DE51BC" w:rsidR="00C129AA" w:rsidRPr="00235FB2" w:rsidRDefault="00C129AA" w:rsidP="00AE4750">
      <w:pPr>
        <w:spacing w:after="0" w:line="360" w:lineRule="auto"/>
        <w:jc w:val="both"/>
        <w:rPr>
          <w:rFonts w:ascii="Calibri" w:hAnsi="Calibri" w:cs="Calibri"/>
          <w:b/>
          <w:bCs/>
          <w:i/>
          <w:iCs/>
          <w:color w:val="000000" w:themeColor="text1"/>
          <w:sz w:val="20"/>
          <w:szCs w:val="20"/>
        </w:rPr>
      </w:pPr>
      <w:r w:rsidRPr="00235FB2">
        <w:rPr>
          <w:rFonts w:ascii="Calibri" w:hAnsi="Calibri" w:cs="Calibri"/>
          <w:b/>
          <w:bCs/>
          <w:i/>
          <w:iCs/>
          <w:color w:val="000000" w:themeColor="text1"/>
          <w:sz w:val="20"/>
          <w:szCs w:val="20"/>
        </w:rPr>
        <w:t xml:space="preserve">Interpretation </w:t>
      </w:r>
    </w:p>
    <w:p w14:paraId="4F4D6B92" w14:textId="366D3B8E" w:rsidR="009B169D" w:rsidRPr="00235FB2" w:rsidRDefault="002F33C1" w:rsidP="009B169D">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 quotes illustrat</w:t>
      </w:r>
      <w:r w:rsidR="000F5126" w:rsidRPr="00235FB2">
        <w:rPr>
          <w:rFonts w:ascii="Calibri" w:hAnsi="Calibri" w:cs="Calibri"/>
          <w:color w:val="000000" w:themeColor="text1"/>
          <w:sz w:val="20"/>
          <w:szCs w:val="20"/>
        </w:rPr>
        <w:t>e that how writing is framed as reproduction rather than composition. Students perceive success as the ability to recall memorised texts rather than construct original meaning. This aligns with the product-oriented pedagogy, where the final script is prioritised over the writing process. The instit</w:t>
      </w:r>
      <w:r w:rsidR="00C45CDC" w:rsidRPr="00235FB2">
        <w:rPr>
          <w:rFonts w:ascii="Calibri" w:hAnsi="Calibri" w:cs="Calibri"/>
          <w:color w:val="000000" w:themeColor="text1"/>
          <w:sz w:val="20"/>
          <w:szCs w:val="20"/>
        </w:rPr>
        <w:t>utionalisation of “suggestions” reflects a washback effect of high-stakes examinations, encouraging surface learning stra</w:t>
      </w:r>
      <w:r w:rsidR="004364EF" w:rsidRPr="00235FB2">
        <w:rPr>
          <w:rFonts w:ascii="Calibri" w:hAnsi="Calibri" w:cs="Calibri"/>
          <w:color w:val="000000" w:themeColor="text1"/>
          <w:sz w:val="20"/>
          <w:szCs w:val="20"/>
        </w:rPr>
        <w:t xml:space="preserve">tegies and discouraging creativity. The quotes further </w:t>
      </w:r>
      <w:r w:rsidR="00AE4750" w:rsidRPr="00235FB2">
        <w:rPr>
          <w:rFonts w:ascii="Calibri" w:hAnsi="Calibri" w:cs="Calibri"/>
          <w:color w:val="000000" w:themeColor="text1"/>
          <w:sz w:val="20"/>
          <w:szCs w:val="20"/>
        </w:rPr>
        <w:t>suggest that, under exam pressure, writing becomes a risk-avoidance activity</w:t>
      </w:r>
      <w:r w:rsidR="004D452E" w:rsidRPr="00235FB2">
        <w:rPr>
          <w:rFonts w:ascii="Calibri" w:hAnsi="Calibri" w:cs="Calibri"/>
          <w:color w:val="000000" w:themeColor="text1"/>
          <w:sz w:val="20"/>
          <w:szCs w:val="20"/>
        </w:rPr>
        <w:t xml:space="preserve">, and </w:t>
      </w:r>
      <w:r w:rsidR="00AE4750" w:rsidRPr="00235FB2">
        <w:rPr>
          <w:rFonts w:ascii="Calibri" w:hAnsi="Calibri" w:cs="Calibri"/>
          <w:color w:val="000000" w:themeColor="text1"/>
          <w:sz w:val="20"/>
          <w:szCs w:val="20"/>
        </w:rPr>
        <w:t>memorisation is perceived as the safest route to grades.</w:t>
      </w:r>
      <w:r w:rsidR="00BD1916" w:rsidRPr="00235FB2">
        <w:rPr>
          <w:rFonts w:ascii="Calibri" w:hAnsi="Calibri" w:cs="Calibri"/>
          <w:color w:val="000000" w:themeColor="text1"/>
          <w:sz w:val="20"/>
          <w:szCs w:val="20"/>
        </w:rPr>
        <w:t xml:space="preserve"> </w:t>
      </w:r>
      <w:r w:rsidR="00AE4750" w:rsidRPr="00235FB2">
        <w:rPr>
          <w:rFonts w:ascii="Calibri" w:hAnsi="Calibri" w:cs="Calibri"/>
          <w:color w:val="000000" w:themeColor="text1"/>
          <w:sz w:val="20"/>
          <w:szCs w:val="20"/>
        </w:rPr>
        <w:t xml:space="preserve">Even when some teachers encourage creative writing, students reported the outcome still ended in suggestion based rote learning, indicating the strength of the broader assessment culture in shaping everyday practice. </w:t>
      </w:r>
      <w:r w:rsidR="004D7CBE" w:rsidRPr="00235FB2">
        <w:rPr>
          <w:rFonts w:ascii="Calibri" w:hAnsi="Calibri" w:cs="Calibri"/>
          <w:color w:val="000000" w:themeColor="text1"/>
          <w:sz w:val="20"/>
          <w:szCs w:val="20"/>
        </w:rPr>
        <w:t>Based on the above, it can be said that a</w:t>
      </w:r>
      <w:r w:rsidR="00AE4750" w:rsidRPr="00235FB2">
        <w:rPr>
          <w:rFonts w:ascii="Calibri" w:hAnsi="Calibri" w:cs="Calibri"/>
          <w:color w:val="000000" w:themeColor="text1"/>
          <w:sz w:val="20"/>
          <w:szCs w:val="20"/>
        </w:rPr>
        <w:t xml:space="preserve"> product-only ecology narrows learners’ opportunities to build idea generation habits, organisational control, and revision strategies</w:t>
      </w:r>
      <w:r w:rsidR="008D2D9D" w:rsidRPr="00235FB2">
        <w:rPr>
          <w:rFonts w:ascii="Calibri" w:hAnsi="Calibri" w:cs="Calibri"/>
          <w:color w:val="000000" w:themeColor="text1"/>
          <w:sz w:val="20"/>
          <w:szCs w:val="20"/>
        </w:rPr>
        <w:t xml:space="preserve"> </w:t>
      </w:r>
      <w:r w:rsidR="00AE4750" w:rsidRPr="00235FB2">
        <w:rPr>
          <w:rFonts w:ascii="Calibri" w:hAnsi="Calibri" w:cs="Calibri"/>
          <w:color w:val="000000" w:themeColor="text1"/>
          <w:sz w:val="20"/>
          <w:szCs w:val="20"/>
        </w:rPr>
        <w:t>capabilities that are central to developing writing proficiency at HSC level.</w:t>
      </w:r>
    </w:p>
    <w:p w14:paraId="6DA1A6C6" w14:textId="77777777" w:rsidR="00BD1916" w:rsidRPr="00235FB2" w:rsidRDefault="00BD1916" w:rsidP="009B169D">
      <w:pPr>
        <w:spacing w:after="0" w:line="360" w:lineRule="auto"/>
        <w:jc w:val="both"/>
        <w:rPr>
          <w:rFonts w:ascii="Calibri" w:hAnsi="Calibri" w:cs="Calibri"/>
          <w:color w:val="000000" w:themeColor="text1"/>
          <w:sz w:val="20"/>
          <w:szCs w:val="20"/>
        </w:rPr>
      </w:pPr>
    </w:p>
    <w:p w14:paraId="56255939" w14:textId="77777777" w:rsidR="00A03270" w:rsidRPr="00235FB2" w:rsidRDefault="00A03270" w:rsidP="00A03270">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Theme 2: Writing anxiety, low agency, and “fear” of English writing</w:t>
      </w:r>
    </w:p>
    <w:p w14:paraId="4BADEBC4" w14:textId="7FAF9DA2" w:rsidR="00497712" w:rsidRPr="00235FB2" w:rsidRDefault="00A03270" w:rsidP="00A03270">
      <w:pPr>
        <w:spacing w:after="0" w:line="360" w:lineRule="auto"/>
        <w:jc w:val="both"/>
        <w:rPr>
          <w:rFonts w:ascii="Calibri" w:hAnsi="Calibri" w:cs="Calibri"/>
          <w:i/>
          <w:iCs/>
          <w:color w:val="000000" w:themeColor="text1"/>
          <w:sz w:val="20"/>
          <w:szCs w:val="20"/>
        </w:rPr>
      </w:pPr>
      <w:r w:rsidRPr="00235FB2">
        <w:rPr>
          <w:rFonts w:ascii="Calibri" w:hAnsi="Calibri" w:cs="Calibri"/>
          <w:color w:val="000000" w:themeColor="text1"/>
          <w:sz w:val="20"/>
          <w:szCs w:val="20"/>
        </w:rPr>
        <w:t>Several students positioned English writing as stressful and intimidating</w:t>
      </w:r>
      <w:r w:rsidR="00965609" w:rsidRPr="00235FB2">
        <w:rPr>
          <w:rFonts w:ascii="Calibri" w:hAnsi="Calibri" w:cs="Calibri"/>
          <w:color w:val="000000" w:themeColor="text1"/>
          <w:sz w:val="20"/>
          <w:szCs w:val="20"/>
        </w:rPr>
        <w:t xml:space="preserve">. For example, student 10 stated, </w:t>
      </w:r>
      <w:r w:rsidR="00965609" w:rsidRPr="00235FB2">
        <w:rPr>
          <w:rFonts w:ascii="Calibri" w:hAnsi="Calibri" w:cs="Calibri"/>
          <w:i/>
          <w:iCs/>
          <w:color w:val="000000" w:themeColor="text1"/>
          <w:sz w:val="20"/>
          <w:szCs w:val="20"/>
        </w:rPr>
        <w:t>“…</w:t>
      </w:r>
      <w:r w:rsidR="00F30FC8" w:rsidRPr="00235FB2">
        <w:rPr>
          <w:rFonts w:ascii="Calibri" w:hAnsi="Calibri" w:cs="Calibri"/>
          <w:i/>
          <w:iCs/>
          <w:color w:val="000000" w:themeColor="text1"/>
          <w:sz w:val="20"/>
          <w:szCs w:val="20"/>
        </w:rPr>
        <w:t xml:space="preserve">whenever I have to write in English, I feel nervous because I am scared of making mistakes…”. </w:t>
      </w:r>
      <w:r w:rsidR="00AC16EC" w:rsidRPr="00235FB2">
        <w:rPr>
          <w:rFonts w:ascii="Calibri" w:hAnsi="Calibri" w:cs="Calibri"/>
          <w:color w:val="000000" w:themeColor="text1"/>
          <w:sz w:val="20"/>
          <w:szCs w:val="20"/>
        </w:rPr>
        <w:t xml:space="preserve">Likewise, student 8 stated, </w:t>
      </w:r>
      <w:r w:rsidR="00AC16EC" w:rsidRPr="00235FB2">
        <w:rPr>
          <w:rFonts w:ascii="Calibri" w:hAnsi="Calibri" w:cs="Calibri"/>
          <w:i/>
          <w:iCs/>
          <w:color w:val="000000" w:themeColor="text1"/>
          <w:sz w:val="20"/>
          <w:szCs w:val="20"/>
        </w:rPr>
        <w:t xml:space="preserve">“…I avoid writing </w:t>
      </w:r>
      <w:r w:rsidR="00482182" w:rsidRPr="00235FB2">
        <w:rPr>
          <w:rFonts w:ascii="Calibri" w:hAnsi="Calibri" w:cs="Calibri"/>
          <w:i/>
          <w:iCs/>
          <w:color w:val="000000" w:themeColor="text1"/>
          <w:sz w:val="20"/>
          <w:szCs w:val="20"/>
        </w:rPr>
        <w:t xml:space="preserve">English because I know my grammar is weak and my sentences are not good…”. </w:t>
      </w:r>
      <w:r w:rsidR="002B35B1" w:rsidRPr="00235FB2">
        <w:rPr>
          <w:rFonts w:ascii="Calibri" w:hAnsi="Calibri" w:cs="Calibri"/>
          <w:color w:val="000000" w:themeColor="text1"/>
          <w:sz w:val="20"/>
          <w:szCs w:val="20"/>
        </w:rPr>
        <w:t xml:space="preserve">Several students reported that they are afraid of writing English </w:t>
      </w:r>
      <w:r w:rsidR="00BD3DD7" w:rsidRPr="00235FB2">
        <w:rPr>
          <w:rFonts w:ascii="Calibri" w:hAnsi="Calibri" w:cs="Calibri"/>
          <w:color w:val="000000" w:themeColor="text1"/>
          <w:sz w:val="20"/>
          <w:szCs w:val="20"/>
        </w:rPr>
        <w:t>as they feel English is the toughest thing to write</w:t>
      </w:r>
      <w:r w:rsidR="00160D81" w:rsidRPr="00235FB2">
        <w:rPr>
          <w:rFonts w:ascii="Calibri" w:hAnsi="Calibri" w:cs="Calibri"/>
          <w:color w:val="000000" w:themeColor="text1"/>
          <w:sz w:val="20"/>
          <w:szCs w:val="20"/>
        </w:rPr>
        <w:t>. For example, students, 3, 6, 7, and 8 stated</w:t>
      </w:r>
      <w:r w:rsidR="00C76F95" w:rsidRPr="00235FB2">
        <w:rPr>
          <w:rFonts w:ascii="Calibri" w:hAnsi="Calibri" w:cs="Calibri"/>
          <w:color w:val="000000" w:themeColor="text1"/>
          <w:sz w:val="20"/>
          <w:szCs w:val="20"/>
        </w:rPr>
        <w:t xml:space="preserve"> they are</w:t>
      </w:r>
      <w:r w:rsidRPr="00235FB2">
        <w:rPr>
          <w:rFonts w:ascii="Calibri" w:hAnsi="Calibri" w:cs="Calibri"/>
          <w:color w:val="000000" w:themeColor="text1"/>
          <w:sz w:val="20"/>
          <w:szCs w:val="20"/>
        </w:rPr>
        <w:t xml:space="preserve"> </w:t>
      </w:r>
      <w:r w:rsidR="00C76F95" w:rsidRPr="00235FB2">
        <w:rPr>
          <w:rFonts w:ascii="Calibri" w:hAnsi="Calibri" w:cs="Calibri"/>
          <w:i/>
          <w:iCs/>
          <w:color w:val="000000" w:themeColor="text1"/>
          <w:sz w:val="20"/>
          <w:szCs w:val="20"/>
        </w:rPr>
        <w:t>“…</w:t>
      </w:r>
      <w:r w:rsidRPr="00235FB2">
        <w:rPr>
          <w:rFonts w:ascii="Calibri" w:hAnsi="Calibri" w:cs="Calibri"/>
          <w:i/>
          <w:iCs/>
          <w:color w:val="000000" w:themeColor="text1"/>
          <w:sz w:val="20"/>
          <w:szCs w:val="20"/>
        </w:rPr>
        <w:t xml:space="preserve">afraid of writing in English </w:t>
      </w:r>
      <w:r w:rsidR="00C76F95" w:rsidRPr="00235FB2">
        <w:rPr>
          <w:rFonts w:ascii="Calibri" w:hAnsi="Calibri" w:cs="Calibri"/>
          <w:i/>
          <w:iCs/>
          <w:color w:val="000000" w:themeColor="text1"/>
          <w:sz w:val="20"/>
          <w:szCs w:val="20"/>
        </w:rPr>
        <w:t xml:space="preserve">as </w:t>
      </w:r>
      <w:r w:rsidR="00C17E68" w:rsidRPr="00235FB2">
        <w:rPr>
          <w:rFonts w:ascii="Calibri" w:hAnsi="Calibri" w:cs="Calibri"/>
          <w:i/>
          <w:iCs/>
          <w:color w:val="000000" w:themeColor="text1"/>
          <w:sz w:val="20"/>
          <w:szCs w:val="20"/>
        </w:rPr>
        <w:t xml:space="preserve">writing in English is </w:t>
      </w:r>
      <w:r w:rsidRPr="00235FB2">
        <w:rPr>
          <w:rFonts w:ascii="Calibri" w:hAnsi="Calibri" w:cs="Calibri"/>
          <w:i/>
          <w:iCs/>
          <w:color w:val="000000" w:themeColor="text1"/>
          <w:sz w:val="20"/>
          <w:szCs w:val="20"/>
        </w:rPr>
        <w:t>the toughest</w:t>
      </w:r>
      <w:r w:rsidR="00214B17" w:rsidRPr="00235FB2">
        <w:rPr>
          <w:rFonts w:ascii="Calibri" w:hAnsi="Calibri" w:cs="Calibri"/>
          <w:i/>
          <w:iCs/>
          <w:color w:val="000000" w:themeColor="text1"/>
          <w:sz w:val="20"/>
          <w:szCs w:val="20"/>
        </w:rPr>
        <w:t xml:space="preserve"> thing and need to remember many things like tense, grammar etc</w:t>
      </w:r>
      <w:r w:rsidRPr="00235FB2">
        <w:rPr>
          <w:rFonts w:ascii="Calibri" w:hAnsi="Calibri" w:cs="Calibri"/>
          <w:i/>
          <w:iCs/>
          <w:color w:val="000000" w:themeColor="text1"/>
          <w:sz w:val="20"/>
          <w:szCs w:val="20"/>
        </w:rPr>
        <w:t xml:space="preserve"> with dependence on coaching-centre materials and rote routines</w:t>
      </w:r>
      <w:r w:rsidR="00497712" w:rsidRPr="00235FB2">
        <w:rPr>
          <w:rFonts w:ascii="Calibri" w:hAnsi="Calibri" w:cs="Calibri"/>
          <w:i/>
          <w:iCs/>
          <w:color w:val="000000" w:themeColor="text1"/>
          <w:sz w:val="20"/>
          <w:szCs w:val="20"/>
        </w:rPr>
        <w:t>…”</w:t>
      </w:r>
      <w:r w:rsidRPr="00235FB2">
        <w:rPr>
          <w:rFonts w:ascii="Calibri" w:hAnsi="Calibri" w:cs="Calibri"/>
          <w:color w:val="000000" w:themeColor="text1"/>
          <w:sz w:val="20"/>
          <w:szCs w:val="20"/>
        </w:rPr>
        <w:t>. Another student linked lack of enjoyment to inability</w:t>
      </w:r>
      <w:r w:rsidR="00156266" w:rsidRPr="00235FB2">
        <w:rPr>
          <w:rFonts w:ascii="Calibri" w:hAnsi="Calibri" w:cs="Calibri"/>
          <w:color w:val="000000" w:themeColor="text1"/>
          <w:sz w:val="20"/>
          <w:szCs w:val="20"/>
        </w:rPr>
        <w:t xml:space="preserve"> in writing English. For example, student 10 stated, </w:t>
      </w:r>
      <w:r w:rsidR="00156266" w:rsidRPr="00235FB2">
        <w:rPr>
          <w:rFonts w:ascii="Calibri" w:hAnsi="Calibri" w:cs="Calibri"/>
          <w:i/>
          <w:iCs/>
          <w:color w:val="000000" w:themeColor="text1"/>
          <w:sz w:val="20"/>
          <w:szCs w:val="20"/>
        </w:rPr>
        <w:t xml:space="preserve">“… English writing is </w:t>
      </w:r>
      <w:r w:rsidRPr="00235FB2">
        <w:rPr>
          <w:rFonts w:ascii="Calibri" w:hAnsi="Calibri" w:cs="Calibri"/>
          <w:i/>
          <w:iCs/>
          <w:color w:val="000000" w:themeColor="text1"/>
          <w:sz w:val="20"/>
          <w:szCs w:val="20"/>
        </w:rPr>
        <w:t>boring because I cannot write in English properl</w:t>
      </w:r>
      <w:r w:rsidR="00024339" w:rsidRPr="00235FB2">
        <w:rPr>
          <w:rFonts w:ascii="Calibri" w:hAnsi="Calibri" w:cs="Calibri"/>
          <w:i/>
          <w:iCs/>
          <w:color w:val="000000" w:themeColor="text1"/>
          <w:sz w:val="20"/>
          <w:szCs w:val="20"/>
        </w:rPr>
        <w:t xml:space="preserve">y </w:t>
      </w:r>
      <w:r w:rsidRPr="00235FB2">
        <w:rPr>
          <w:rFonts w:ascii="Calibri" w:hAnsi="Calibri" w:cs="Calibri"/>
          <w:i/>
          <w:iCs/>
          <w:color w:val="000000" w:themeColor="text1"/>
          <w:sz w:val="20"/>
          <w:szCs w:val="20"/>
        </w:rPr>
        <w:t xml:space="preserve">and </w:t>
      </w:r>
      <w:r w:rsidR="00024339" w:rsidRPr="00235FB2">
        <w:rPr>
          <w:rFonts w:ascii="Calibri" w:hAnsi="Calibri" w:cs="Calibri"/>
          <w:i/>
          <w:iCs/>
          <w:color w:val="000000" w:themeColor="text1"/>
          <w:sz w:val="20"/>
          <w:szCs w:val="20"/>
        </w:rPr>
        <w:t>it make my confident low…”</w:t>
      </w:r>
      <w:r w:rsidRPr="00235FB2">
        <w:rPr>
          <w:rFonts w:ascii="Calibri" w:hAnsi="Calibri" w:cs="Calibri"/>
          <w:color w:val="000000" w:themeColor="text1"/>
          <w:sz w:val="20"/>
          <w:szCs w:val="20"/>
        </w:rPr>
        <w:t xml:space="preserve">. Even students who felt relatively </w:t>
      </w:r>
      <w:r w:rsidR="00C50864" w:rsidRPr="00235FB2">
        <w:rPr>
          <w:rFonts w:ascii="Calibri" w:hAnsi="Calibri" w:cs="Calibri"/>
          <w:color w:val="000000" w:themeColor="text1"/>
          <w:sz w:val="20"/>
          <w:szCs w:val="20"/>
        </w:rPr>
        <w:t xml:space="preserve">a little </w:t>
      </w:r>
      <w:r w:rsidRPr="00235FB2">
        <w:rPr>
          <w:rFonts w:ascii="Calibri" w:hAnsi="Calibri" w:cs="Calibri"/>
          <w:color w:val="000000" w:themeColor="text1"/>
          <w:sz w:val="20"/>
          <w:szCs w:val="20"/>
        </w:rPr>
        <w:t>comfortable with grammar</w:t>
      </w:r>
      <w:r w:rsidR="00C50864" w:rsidRPr="00235FB2">
        <w:rPr>
          <w:rFonts w:ascii="Calibri" w:hAnsi="Calibri" w:cs="Calibri"/>
          <w:color w:val="000000" w:themeColor="text1"/>
          <w:sz w:val="20"/>
          <w:szCs w:val="20"/>
        </w:rPr>
        <w:t>,</w:t>
      </w:r>
      <w:r w:rsidRPr="00235FB2">
        <w:rPr>
          <w:rFonts w:ascii="Calibri" w:hAnsi="Calibri" w:cs="Calibri"/>
          <w:color w:val="000000" w:themeColor="text1"/>
          <w:sz w:val="20"/>
          <w:szCs w:val="20"/>
        </w:rPr>
        <w:t xml:space="preserve"> still reported weakness in coherence and effectiveness</w:t>
      </w:r>
      <w:r w:rsidR="001C4E13" w:rsidRPr="00235FB2">
        <w:rPr>
          <w:rFonts w:ascii="Calibri" w:hAnsi="Calibri" w:cs="Calibri"/>
          <w:color w:val="000000" w:themeColor="text1"/>
          <w:sz w:val="20"/>
          <w:szCs w:val="20"/>
        </w:rPr>
        <w:t xml:space="preserve"> and</w:t>
      </w:r>
      <w:r w:rsidRPr="00235FB2">
        <w:rPr>
          <w:rFonts w:ascii="Calibri" w:hAnsi="Calibri" w:cs="Calibri"/>
          <w:color w:val="000000" w:themeColor="text1"/>
          <w:sz w:val="20"/>
          <w:szCs w:val="20"/>
        </w:rPr>
        <w:t xml:space="preserve"> suggesting a gap between sentence-level control and text-level competence.</w:t>
      </w:r>
      <w:r w:rsidR="0047029C" w:rsidRPr="00235FB2">
        <w:rPr>
          <w:rFonts w:ascii="Calibri" w:hAnsi="Calibri" w:cs="Calibri"/>
          <w:color w:val="000000" w:themeColor="text1"/>
          <w:sz w:val="20"/>
          <w:szCs w:val="20"/>
        </w:rPr>
        <w:t xml:space="preserve"> </w:t>
      </w:r>
      <w:r w:rsidR="001C4E13" w:rsidRPr="00235FB2">
        <w:rPr>
          <w:rFonts w:ascii="Calibri" w:hAnsi="Calibri" w:cs="Calibri"/>
          <w:color w:val="000000" w:themeColor="text1"/>
          <w:sz w:val="20"/>
          <w:szCs w:val="20"/>
        </w:rPr>
        <w:t xml:space="preserve">For example, </w:t>
      </w:r>
      <w:r w:rsidR="001C4E13" w:rsidRPr="00235FB2">
        <w:rPr>
          <w:rFonts w:ascii="Calibri" w:hAnsi="Calibri" w:cs="Calibri"/>
          <w:color w:val="000000" w:themeColor="text1"/>
          <w:sz w:val="20"/>
          <w:szCs w:val="20"/>
        </w:rPr>
        <w:lastRenderedPageBreak/>
        <w:t xml:space="preserve">student 7 stated, </w:t>
      </w:r>
      <w:r w:rsidR="001C4E13" w:rsidRPr="00235FB2">
        <w:rPr>
          <w:rFonts w:ascii="Calibri" w:hAnsi="Calibri" w:cs="Calibri"/>
          <w:i/>
          <w:iCs/>
          <w:color w:val="000000" w:themeColor="text1"/>
          <w:sz w:val="20"/>
          <w:szCs w:val="20"/>
        </w:rPr>
        <w:t xml:space="preserve">“…although I am </w:t>
      </w:r>
      <w:r w:rsidR="00E86B42" w:rsidRPr="00235FB2">
        <w:rPr>
          <w:rFonts w:ascii="Calibri" w:hAnsi="Calibri" w:cs="Calibri"/>
          <w:i/>
          <w:iCs/>
          <w:color w:val="000000" w:themeColor="text1"/>
          <w:sz w:val="20"/>
          <w:szCs w:val="20"/>
        </w:rPr>
        <w:t xml:space="preserve">comfortable with grammar and tenses, but still </w:t>
      </w:r>
      <w:r w:rsidR="001C4E13" w:rsidRPr="00235FB2">
        <w:rPr>
          <w:rFonts w:ascii="Calibri" w:hAnsi="Calibri" w:cs="Calibri"/>
          <w:i/>
          <w:iCs/>
          <w:color w:val="000000" w:themeColor="text1"/>
          <w:sz w:val="20"/>
          <w:szCs w:val="20"/>
        </w:rPr>
        <w:t>English writing makes me feel</w:t>
      </w:r>
      <w:r w:rsidR="00E86B42" w:rsidRPr="00235FB2">
        <w:rPr>
          <w:rFonts w:ascii="Calibri" w:hAnsi="Calibri" w:cs="Calibri"/>
          <w:i/>
          <w:iCs/>
          <w:color w:val="000000" w:themeColor="text1"/>
          <w:sz w:val="20"/>
          <w:szCs w:val="20"/>
        </w:rPr>
        <w:t xml:space="preserve"> inferior compared to </w:t>
      </w:r>
      <w:r w:rsidR="00A5216A" w:rsidRPr="00235FB2">
        <w:rPr>
          <w:rFonts w:ascii="Calibri" w:hAnsi="Calibri" w:cs="Calibri"/>
          <w:i/>
          <w:iCs/>
          <w:color w:val="000000" w:themeColor="text1"/>
          <w:sz w:val="20"/>
          <w:szCs w:val="20"/>
        </w:rPr>
        <w:t xml:space="preserve">Bengali </w:t>
      </w:r>
      <w:r w:rsidR="00E25A94" w:rsidRPr="00235FB2">
        <w:rPr>
          <w:rFonts w:ascii="Calibri" w:hAnsi="Calibri" w:cs="Calibri"/>
          <w:i/>
          <w:iCs/>
          <w:color w:val="000000" w:themeColor="text1"/>
          <w:sz w:val="20"/>
          <w:szCs w:val="20"/>
        </w:rPr>
        <w:t xml:space="preserve">writing…”. </w:t>
      </w:r>
    </w:p>
    <w:p w14:paraId="63B9DD3F" w14:textId="77777777" w:rsidR="00497712" w:rsidRPr="00235FB2" w:rsidRDefault="00497712" w:rsidP="00A03270">
      <w:pPr>
        <w:spacing w:after="0" w:line="360" w:lineRule="auto"/>
        <w:jc w:val="both"/>
        <w:rPr>
          <w:rFonts w:ascii="Calibri" w:hAnsi="Calibri" w:cs="Calibri"/>
          <w:color w:val="000000" w:themeColor="text1"/>
          <w:sz w:val="20"/>
          <w:szCs w:val="20"/>
        </w:rPr>
      </w:pPr>
    </w:p>
    <w:p w14:paraId="434B563F" w14:textId="6640F405" w:rsidR="004B3304" w:rsidRPr="00235FB2" w:rsidRDefault="004B3304" w:rsidP="00A03270">
      <w:pPr>
        <w:spacing w:after="0" w:line="360" w:lineRule="auto"/>
        <w:jc w:val="both"/>
        <w:rPr>
          <w:rFonts w:ascii="Calibri" w:hAnsi="Calibri" w:cs="Calibri"/>
          <w:b/>
          <w:bCs/>
          <w:i/>
          <w:iCs/>
          <w:color w:val="000000" w:themeColor="text1"/>
          <w:sz w:val="20"/>
          <w:szCs w:val="20"/>
        </w:rPr>
      </w:pPr>
      <w:r w:rsidRPr="00235FB2">
        <w:rPr>
          <w:rFonts w:ascii="Calibri" w:hAnsi="Calibri" w:cs="Calibri"/>
          <w:b/>
          <w:bCs/>
          <w:i/>
          <w:iCs/>
          <w:color w:val="000000" w:themeColor="text1"/>
          <w:sz w:val="20"/>
          <w:szCs w:val="20"/>
        </w:rPr>
        <w:t xml:space="preserve">Interpretation </w:t>
      </w:r>
    </w:p>
    <w:p w14:paraId="19DEAEA2" w14:textId="1034D515" w:rsidR="00A03270" w:rsidRPr="00235FB2" w:rsidRDefault="002C5F50" w:rsidP="00A03270">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These quotes demonstrates how fear of error and negative self-perception shape learners’ writing behaviour</w:t>
      </w:r>
      <w:r w:rsidR="000F7E3C" w:rsidRPr="00235FB2">
        <w:rPr>
          <w:rFonts w:ascii="Calibri" w:hAnsi="Calibri" w:cs="Calibri"/>
          <w:color w:val="000000" w:themeColor="text1"/>
          <w:sz w:val="20"/>
          <w:szCs w:val="20"/>
        </w:rPr>
        <w:t>. Writing anxiety emerges as a key barrier to engagement, reinforcing avoidance strategies such as me</w:t>
      </w:r>
      <w:r w:rsidR="00E65CAD" w:rsidRPr="00235FB2">
        <w:rPr>
          <w:rFonts w:ascii="Calibri" w:hAnsi="Calibri" w:cs="Calibri"/>
          <w:color w:val="000000" w:themeColor="text1"/>
          <w:sz w:val="20"/>
          <w:szCs w:val="20"/>
        </w:rPr>
        <w:t>m</w:t>
      </w:r>
      <w:r w:rsidR="000F7E3C" w:rsidRPr="00235FB2">
        <w:rPr>
          <w:rFonts w:ascii="Calibri" w:hAnsi="Calibri" w:cs="Calibri"/>
          <w:color w:val="000000" w:themeColor="text1"/>
          <w:sz w:val="20"/>
          <w:szCs w:val="20"/>
        </w:rPr>
        <w:t xml:space="preserve">orisation. This affective dimension shows that writing difficulty </w:t>
      </w:r>
      <w:r w:rsidR="00D244D6" w:rsidRPr="00235FB2">
        <w:rPr>
          <w:rFonts w:ascii="Calibri" w:hAnsi="Calibri" w:cs="Calibri"/>
          <w:color w:val="000000" w:themeColor="text1"/>
          <w:sz w:val="20"/>
          <w:szCs w:val="20"/>
        </w:rPr>
        <w:t>is not purely linguistic but also emotional and psychological</w:t>
      </w:r>
      <w:r w:rsidR="00E65CAD" w:rsidRPr="00235FB2">
        <w:rPr>
          <w:rFonts w:ascii="Calibri" w:hAnsi="Calibri" w:cs="Calibri"/>
          <w:color w:val="000000" w:themeColor="text1"/>
          <w:sz w:val="20"/>
          <w:szCs w:val="20"/>
        </w:rPr>
        <w:t xml:space="preserve">. </w:t>
      </w:r>
      <w:r w:rsidR="00A03270" w:rsidRPr="00235FB2">
        <w:rPr>
          <w:rFonts w:ascii="Calibri" w:hAnsi="Calibri" w:cs="Calibri"/>
          <w:color w:val="000000" w:themeColor="text1"/>
          <w:sz w:val="20"/>
          <w:szCs w:val="20"/>
        </w:rPr>
        <w:t xml:space="preserve">This theme </w:t>
      </w:r>
      <w:r w:rsidR="00E65CAD" w:rsidRPr="00235FB2">
        <w:rPr>
          <w:rFonts w:ascii="Calibri" w:hAnsi="Calibri" w:cs="Calibri"/>
          <w:color w:val="000000" w:themeColor="text1"/>
          <w:sz w:val="20"/>
          <w:szCs w:val="20"/>
        </w:rPr>
        <w:t xml:space="preserve">further </w:t>
      </w:r>
      <w:r w:rsidR="00A03270" w:rsidRPr="00235FB2">
        <w:rPr>
          <w:rFonts w:ascii="Calibri" w:hAnsi="Calibri" w:cs="Calibri"/>
          <w:color w:val="000000" w:themeColor="text1"/>
          <w:sz w:val="20"/>
          <w:szCs w:val="20"/>
        </w:rPr>
        <w:t>reflects a classic agency constraint</w:t>
      </w:r>
      <w:r w:rsidR="0047029C" w:rsidRPr="00235FB2">
        <w:rPr>
          <w:rFonts w:ascii="Calibri" w:hAnsi="Calibri" w:cs="Calibri"/>
          <w:color w:val="000000" w:themeColor="text1"/>
          <w:sz w:val="20"/>
          <w:szCs w:val="20"/>
        </w:rPr>
        <w:t xml:space="preserve"> such as </w:t>
      </w:r>
      <w:r w:rsidR="00A03270" w:rsidRPr="00235FB2">
        <w:rPr>
          <w:rFonts w:ascii="Calibri" w:hAnsi="Calibri" w:cs="Calibri"/>
          <w:color w:val="000000" w:themeColor="text1"/>
          <w:sz w:val="20"/>
          <w:szCs w:val="20"/>
        </w:rPr>
        <w:t>students do not experience writing as their own thinking made visible, but as an externally judged performance where errors are penalised and time is limited. Because the dominant routine is memorise</w:t>
      </w:r>
      <w:r w:rsidRPr="00235FB2">
        <w:rPr>
          <w:rFonts w:ascii="Calibri" w:hAnsi="Calibri" w:cs="Calibri"/>
          <w:color w:val="000000" w:themeColor="text1"/>
          <w:sz w:val="20"/>
          <w:szCs w:val="20"/>
        </w:rPr>
        <w:t xml:space="preserve"> </w:t>
      </w:r>
      <w:r w:rsidR="00A03270" w:rsidRPr="00235FB2">
        <w:rPr>
          <w:rFonts w:ascii="Calibri" w:hAnsi="Calibri" w:cs="Calibri"/>
          <w:color w:val="000000" w:themeColor="text1"/>
          <w:sz w:val="20"/>
          <w:szCs w:val="20"/>
        </w:rPr>
        <w:t>reproduce, learners may not develop confidence in generating original content under exam-like conditions. Anxiety also appears to be reinforced by limited opportunities for repeated practice and feedback within crowded classrooms.</w:t>
      </w:r>
    </w:p>
    <w:p w14:paraId="12B9BCBF" w14:textId="77777777" w:rsidR="00A03270" w:rsidRPr="00235FB2" w:rsidRDefault="00A03270" w:rsidP="009B169D">
      <w:pPr>
        <w:spacing w:after="0" w:line="360" w:lineRule="auto"/>
        <w:jc w:val="both"/>
        <w:rPr>
          <w:rFonts w:ascii="Calibri" w:hAnsi="Calibri" w:cs="Calibri"/>
          <w:color w:val="000000" w:themeColor="text1"/>
          <w:sz w:val="20"/>
          <w:szCs w:val="20"/>
        </w:rPr>
      </w:pPr>
    </w:p>
    <w:p w14:paraId="6D1C5A78" w14:textId="77777777" w:rsidR="003F6DA4" w:rsidRPr="00235FB2" w:rsidRDefault="003F6DA4" w:rsidP="003F6DA4">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Theme 3: Limited classroom time and large class size restrict feedback and practice</w:t>
      </w:r>
    </w:p>
    <w:p w14:paraId="49C440B0" w14:textId="3D90EF03" w:rsidR="00D41ABD" w:rsidRPr="00235FB2" w:rsidRDefault="003F6DA4" w:rsidP="003F6DA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Students repeatedly highlighted structural constraints</w:t>
      </w:r>
      <w:r w:rsidR="00764FF3" w:rsidRPr="00235FB2">
        <w:rPr>
          <w:rFonts w:ascii="Calibri" w:hAnsi="Calibri" w:cs="Calibri"/>
          <w:color w:val="000000" w:themeColor="text1"/>
          <w:sz w:val="20"/>
          <w:szCs w:val="20"/>
        </w:rPr>
        <w:t xml:space="preserve"> such as</w:t>
      </w:r>
      <w:r w:rsidRPr="00235FB2">
        <w:rPr>
          <w:rFonts w:ascii="Calibri" w:hAnsi="Calibri" w:cs="Calibri"/>
          <w:color w:val="000000" w:themeColor="text1"/>
          <w:sz w:val="20"/>
          <w:szCs w:val="20"/>
        </w:rPr>
        <w:t xml:space="preserve"> writing practice is very rarely</w:t>
      </w:r>
      <w:r w:rsidR="00764FF3"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done in class (once a month), teachers prefer homework, and class time is limited. </w:t>
      </w:r>
      <w:r w:rsidR="00764FF3" w:rsidRPr="00235FB2">
        <w:rPr>
          <w:rFonts w:ascii="Calibri" w:hAnsi="Calibri" w:cs="Calibri"/>
          <w:color w:val="000000" w:themeColor="text1"/>
          <w:sz w:val="20"/>
          <w:szCs w:val="20"/>
        </w:rPr>
        <w:t xml:space="preserve">For instance, </w:t>
      </w:r>
      <w:r w:rsidR="008575DC" w:rsidRPr="00235FB2">
        <w:rPr>
          <w:rFonts w:ascii="Calibri" w:hAnsi="Calibri" w:cs="Calibri"/>
          <w:color w:val="000000" w:themeColor="text1"/>
          <w:sz w:val="20"/>
          <w:szCs w:val="20"/>
        </w:rPr>
        <w:t xml:space="preserve">students, 2, 4, and 9 stated, </w:t>
      </w:r>
      <w:r w:rsidR="008575DC" w:rsidRPr="00235FB2">
        <w:rPr>
          <w:rFonts w:ascii="Calibri" w:hAnsi="Calibri" w:cs="Calibri"/>
          <w:i/>
          <w:iCs/>
          <w:color w:val="000000" w:themeColor="text1"/>
          <w:sz w:val="20"/>
          <w:szCs w:val="20"/>
        </w:rPr>
        <w:t>“…we rarely practise writing in class because</w:t>
      </w:r>
      <w:r w:rsidR="00D41ABD" w:rsidRPr="00235FB2">
        <w:rPr>
          <w:rFonts w:ascii="Calibri" w:hAnsi="Calibri" w:cs="Calibri"/>
          <w:i/>
          <w:iCs/>
          <w:color w:val="000000" w:themeColor="text1"/>
          <w:sz w:val="20"/>
          <w:szCs w:val="20"/>
        </w:rPr>
        <w:t xml:space="preserve"> the syllabus has to be finished quickly…”. </w:t>
      </w:r>
      <w:r w:rsidR="00690FBD" w:rsidRPr="00235FB2">
        <w:rPr>
          <w:rFonts w:ascii="Calibri" w:hAnsi="Calibri" w:cs="Calibri"/>
          <w:color w:val="000000" w:themeColor="text1"/>
          <w:sz w:val="20"/>
          <w:szCs w:val="20"/>
        </w:rPr>
        <w:t>A few students pointed out that the class size is too large</w:t>
      </w:r>
      <w:r w:rsidR="009E2068" w:rsidRPr="00235FB2">
        <w:rPr>
          <w:rFonts w:ascii="Calibri" w:hAnsi="Calibri" w:cs="Calibri"/>
          <w:color w:val="000000" w:themeColor="text1"/>
          <w:sz w:val="20"/>
          <w:szCs w:val="20"/>
        </w:rPr>
        <w:t xml:space="preserve"> and difficult for us to either listen to the teacher carefully or</w:t>
      </w:r>
      <w:r w:rsidR="00101913" w:rsidRPr="00235FB2">
        <w:rPr>
          <w:rFonts w:ascii="Calibri" w:hAnsi="Calibri" w:cs="Calibri"/>
          <w:color w:val="000000" w:themeColor="text1"/>
          <w:sz w:val="20"/>
          <w:szCs w:val="20"/>
        </w:rPr>
        <w:t xml:space="preserve"> receive feedback from the teachers. For example, students 1, 2, 4, and 5 stated, </w:t>
      </w:r>
      <w:r w:rsidR="00101913" w:rsidRPr="00235FB2">
        <w:rPr>
          <w:rFonts w:ascii="Calibri" w:hAnsi="Calibri" w:cs="Calibri"/>
          <w:i/>
          <w:iCs/>
          <w:color w:val="000000" w:themeColor="text1"/>
          <w:sz w:val="20"/>
          <w:szCs w:val="20"/>
        </w:rPr>
        <w:t xml:space="preserve">“…there are more than 70 students in our class, so the teacher cannot check everyone’s writing…”. </w:t>
      </w:r>
      <w:r w:rsidR="00CD2C4A" w:rsidRPr="00235FB2">
        <w:rPr>
          <w:rFonts w:ascii="Calibri" w:hAnsi="Calibri" w:cs="Calibri"/>
          <w:color w:val="000000" w:themeColor="text1"/>
          <w:sz w:val="20"/>
          <w:szCs w:val="20"/>
        </w:rPr>
        <w:t>At</w:t>
      </w:r>
      <w:r w:rsidR="001468A7" w:rsidRPr="00235FB2">
        <w:rPr>
          <w:rFonts w:ascii="Calibri" w:hAnsi="Calibri" w:cs="Calibri"/>
          <w:color w:val="000000" w:themeColor="text1"/>
          <w:sz w:val="20"/>
          <w:szCs w:val="20"/>
        </w:rPr>
        <w:t xml:space="preserve"> least </w:t>
      </w:r>
      <w:r w:rsidR="00CD2C4A" w:rsidRPr="00235FB2">
        <w:rPr>
          <w:rFonts w:ascii="Calibri" w:hAnsi="Calibri" w:cs="Calibri"/>
          <w:color w:val="000000" w:themeColor="text1"/>
          <w:sz w:val="20"/>
          <w:szCs w:val="20"/>
        </w:rPr>
        <w:t xml:space="preserve">3 teachers have agreed on the same point. For example, teachers 1, 3, &amp; 4 stated that </w:t>
      </w:r>
      <w:r w:rsidR="00CD2C4A" w:rsidRPr="00235FB2">
        <w:rPr>
          <w:rFonts w:ascii="Calibri" w:hAnsi="Calibri" w:cs="Calibri"/>
          <w:i/>
          <w:iCs/>
          <w:color w:val="000000" w:themeColor="text1"/>
          <w:sz w:val="20"/>
          <w:szCs w:val="20"/>
        </w:rPr>
        <w:t>“…</w:t>
      </w:r>
      <w:r w:rsidR="00A327FD" w:rsidRPr="00235FB2">
        <w:rPr>
          <w:rFonts w:ascii="Calibri" w:hAnsi="Calibri" w:cs="Calibri"/>
          <w:i/>
          <w:iCs/>
          <w:color w:val="000000" w:themeColor="text1"/>
          <w:sz w:val="20"/>
          <w:szCs w:val="20"/>
        </w:rPr>
        <w:t xml:space="preserve">we hardly can reach to all the students owing to large class size </w:t>
      </w:r>
      <w:r w:rsidR="00052A48" w:rsidRPr="00235FB2">
        <w:rPr>
          <w:rFonts w:ascii="Calibri" w:hAnsi="Calibri" w:cs="Calibri"/>
          <w:i/>
          <w:iCs/>
          <w:color w:val="000000" w:themeColor="text1"/>
          <w:sz w:val="20"/>
          <w:szCs w:val="20"/>
        </w:rPr>
        <w:t>of 80-90…”</w:t>
      </w:r>
      <w:r w:rsidR="00877C1E" w:rsidRPr="00235FB2">
        <w:rPr>
          <w:rFonts w:ascii="Calibri" w:hAnsi="Calibri" w:cs="Calibri"/>
          <w:i/>
          <w:iCs/>
          <w:color w:val="000000" w:themeColor="text1"/>
          <w:sz w:val="20"/>
          <w:szCs w:val="20"/>
        </w:rPr>
        <w:t>.</w:t>
      </w:r>
      <w:r w:rsidR="00877C1E" w:rsidRPr="00235FB2">
        <w:rPr>
          <w:rFonts w:ascii="Calibri" w:hAnsi="Calibri" w:cs="Calibri"/>
          <w:color w:val="000000" w:themeColor="text1"/>
          <w:sz w:val="20"/>
          <w:szCs w:val="20"/>
        </w:rPr>
        <w:t xml:space="preserve"> In addition, teacher 2 made an important point of class timing</w:t>
      </w:r>
      <w:r w:rsidR="00481213" w:rsidRPr="00235FB2">
        <w:rPr>
          <w:rFonts w:ascii="Calibri" w:hAnsi="Calibri" w:cs="Calibri"/>
          <w:color w:val="000000" w:themeColor="text1"/>
          <w:sz w:val="20"/>
          <w:szCs w:val="20"/>
        </w:rPr>
        <w:t xml:space="preserve">, which lasts for about 45 minutes. According to teacher 2, </w:t>
      </w:r>
      <w:r w:rsidR="00481213" w:rsidRPr="00235FB2">
        <w:rPr>
          <w:rFonts w:ascii="Calibri" w:hAnsi="Calibri" w:cs="Calibri"/>
          <w:i/>
          <w:iCs/>
          <w:color w:val="000000" w:themeColor="text1"/>
          <w:sz w:val="20"/>
          <w:szCs w:val="20"/>
        </w:rPr>
        <w:t>“…</w:t>
      </w:r>
      <w:r w:rsidR="00B143C1" w:rsidRPr="00235FB2">
        <w:rPr>
          <w:rFonts w:ascii="Calibri" w:hAnsi="Calibri" w:cs="Calibri"/>
          <w:i/>
          <w:iCs/>
          <w:color w:val="000000" w:themeColor="text1"/>
          <w:sz w:val="20"/>
          <w:szCs w:val="20"/>
        </w:rPr>
        <w:t>due to limited time (45 minutes session)</w:t>
      </w:r>
      <w:r w:rsidR="00046D5F" w:rsidRPr="00235FB2">
        <w:rPr>
          <w:rFonts w:ascii="Calibri" w:hAnsi="Calibri" w:cs="Calibri"/>
          <w:i/>
          <w:iCs/>
          <w:color w:val="000000" w:themeColor="text1"/>
          <w:sz w:val="20"/>
          <w:szCs w:val="20"/>
        </w:rPr>
        <w:t>, it is practically impossible to make individual student’s correction</w:t>
      </w:r>
      <w:r w:rsidR="0039040B" w:rsidRPr="00235FB2">
        <w:rPr>
          <w:rFonts w:ascii="Calibri" w:hAnsi="Calibri" w:cs="Calibri"/>
          <w:i/>
          <w:iCs/>
          <w:color w:val="000000" w:themeColor="text1"/>
          <w:sz w:val="20"/>
          <w:szCs w:val="20"/>
        </w:rPr>
        <w:t xml:space="preserve">…”. </w:t>
      </w:r>
      <w:r w:rsidRPr="00235FB2">
        <w:rPr>
          <w:rFonts w:ascii="Calibri" w:hAnsi="Calibri" w:cs="Calibri"/>
          <w:color w:val="000000" w:themeColor="text1"/>
          <w:sz w:val="20"/>
          <w:szCs w:val="20"/>
        </w:rPr>
        <w:t>A</w:t>
      </w:r>
      <w:r w:rsidR="0039040B" w:rsidRPr="00235FB2">
        <w:rPr>
          <w:rFonts w:ascii="Calibri" w:hAnsi="Calibri" w:cs="Calibri"/>
          <w:color w:val="000000" w:themeColor="text1"/>
          <w:sz w:val="20"/>
          <w:szCs w:val="20"/>
        </w:rPr>
        <w:t>nother</w:t>
      </w:r>
      <w:r w:rsidRPr="00235FB2">
        <w:rPr>
          <w:rFonts w:ascii="Calibri" w:hAnsi="Calibri" w:cs="Calibri"/>
          <w:color w:val="000000" w:themeColor="text1"/>
          <w:sz w:val="20"/>
          <w:szCs w:val="20"/>
        </w:rPr>
        <w:t xml:space="preserve"> teacher </w:t>
      </w:r>
      <w:r w:rsidR="0039040B" w:rsidRPr="00235FB2">
        <w:rPr>
          <w:rFonts w:ascii="Calibri" w:hAnsi="Calibri" w:cs="Calibri"/>
          <w:color w:val="000000" w:themeColor="text1"/>
          <w:sz w:val="20"/>
          <w:szCs w:val="20"/>
        </w:rPr>
        <w:t xml:space="preserve">(teacher 5) </w:t>
      </w:r>
      <w:r w:rsidRPr="00235FB2">
        <w:rPr>
          <w:rFonts w:ascii="Calibri" w:hAnsi="Calibri" w:cs="Calibri"/>
          <w:color w:val="000000" w:themeColor="text1"/>
          <w:sz w:val="20"/>
          <w:szCs w:val="20"/>
        </w:rPr>
        <w:t xml:space="preserve">similarly reported </w:t>
      </w:r>
      <w:r w:rsidR="00B02417" w:rsidRPr="00235FB2">
        <w:rPr>
          <w:rFonts w:ascii="Calibri" w:hAnsi="Calibri" w:cs="Calibri"/>
          <w:i/>
          <w:iCs/>
          <w:color w:val="000000" w:themeColor="text1"/>
          <w:sz w:val="20"/>
          <w:szCs w:val="20"/>
        </w:rPr>
        <w:t>“…</w:t>
      </w:r>
      <w:r w:rsidR="006977CB" w:rsidRPr="00235FB2">
        <w:rPr>
          <w:rFonts w:ascii="Calibri" w:hAnsi="Calibri" w:cs="Calibri"/>
          <w:i/>
          <w:iCs/>
          <w:color w:val="000000" w:themeColor="text1"/>
          <w:sz w:val="20"/>
          <w:szCs w:val="20"/>
        </w:rPr>
        <w:t xml:space="preserve">due to </w:t>
      </w:r>
      <w:r w:rsidRPr="00235FB2">
        <w:rPr>
          <w:rFonts w:ascii="Calibri" w:hAnsi="Calibri" w:cs="Calibri"/>
          <w:i/>
          <w:iCs/>
          <w:color w:val="000000" w:themeColor="text1"/>
          <w:sz w:val="20"/>
          <w:szCs w:val="20"/>
        </w:rPr>
        <w:t xml:space="preserve">typical </w:t>
      </w:r>
      <w:r w:rsidR="006977CB" w:rsidRPr="00235FB2">
        <w:rPr>
          <w:rFonts w:ascii="Calibri" w:hAnsi="Calibri" w:cs="Calibri"/>
          <w:i/>
          <w:iCs/>
          <w:color w:val="000000" w:themeColor="text1"/>
          <w:sz w:val="20"/>
          <w:szCs w:val="20"/>
        </w:rPr>
        <w:t>class</w:t>
      </w:r>
      <w:r w:rsidRPr="00235FB2">
        <w:rPr>
          <w:rFonts w:ascii="Calibri" w:hAnsi="Calibri" w:cs="Calibri"/>
          <w:i/>
          <w:iCs/>
          <w:color w:val="000000" w:themeColor="text1"/>
          <w:sz w:val="20"/>
          <w:szCs w:val="20"/>
        </w:rPr>
        <w:t xml:space="preserve"> sizes of </w:t>
      </w:r>
      <w:r w:rsidR="006977CB" w:rsidRPr="00235FB2">
        <w:rPr>
          <w:rFonts w:ascii="Calibri" w:hAnsi="Calibri" w:cs="Calibri"/>
          <w:i/>
          <w:iCs/>
          <w:color w:val="000000" w:themeColor="text1"/>
          <w:sz w:val="20"/>
          <w:szCs w:val="20"/>
        </w:rPr>
        <w:t xml:space="preserve">70-80, most feedback is just ticks and crosses, not </w:t>
      </w:r>
      <w:r w:rsidR="00E96ABF" w:rsidRPr="00235FB2">
        <w:rPr>
          <w:rFonts w:ascii="Calibri" w:hAnsi="Calibri" w:cs="Calibri"/>
          <w:i/>
          <w:iCs/>
          <w:color w:val="000000" w:themeColor="text1"/>
          <w:sz w:val="20"/>
          <w:szCs w:val="20"/>
        </w:rPr>
        <w:t xml:space="preserve">detailed comments…”. </w:t>
      </w:r>
      <w:r w:rsidR="00E96ABF" w:rsidRPr="00235FB2">
        <w:rPr>
          <w:rFonts w:ascii="Calibri" w:hAnsi="Calibri" w:cs="Calibri"/>
          <w:color w:val="000000" w:themeColor="text1"/>
          <w:sz w:val="20"/>
          <w:szCs w:val="20"/>
        </w:rPr>
        <w:t xml:space="preserve">The same teacher </w:t>
      </w:r>
      <w:r w:rsidR="00706545" w:rsidRPr="00235FB2">
        <w:rPr>
          <w:rFonts w:ascii="Calibri" w:hAnsi="Calibri" w:cs="Calibri"/>
          <w:color w:val="000000" w:themeColor="text1"/>
          <w:sz w:val="20"/>
          <w:szCs w:val="20"/>
        </w:rPr>
        <w:t xml:space="preserve">argued that for </w:t>
      </w:r>
      <w:r w:rsidRPr="00235FB2">
        <w:rPr>
          <w:rFonts w:ascii="Calibri" w:hAnsi="Calibri" w:cs="Calibri"/>
          <w:color w:val="000000" w:themeColor="text1"/>
          <w:sz w:val="20"/>
          <w:szCs w:val="20"/>
        </w:rPr>
        <w:t>effective process-based implementation would require substantially smaller groups (e.g.</w:t>
      </w:r>
      <w:r w:rsidR="005B2126" w:rsidRPr="00235FB2">
        <w:rPr>
          <w:rFonts w:ascii="Calibri" w:hAnsi="Calibri" w:cs="Calibri"/>
          <w:color w:val="000000" w:themeColor="text1"/>
          <w:sz w:val="20"/>
          <w:szCs w:val="20"/>
        </w:rPr>
        <w:t xml:space="preserve">, </w:t>
      </w:r>
      <w:r w:rsidR="00706545" w:rsidRPr="00235FB2">
        <w:rPr>
          <w:rFonts w:ascii="Calibri" w:hAnsi="Calibri" w:cs="Calibri"/>
          <w:color w:val="000000" w:themeColor="text1"/>
          <w:sz w:val="20"/>
          <w:szCs w:val="20"/>
        </w:rPr>
        <w:t>30-</w:t>
      </w:r>
      <w:r w:rsidRPr="00235FB2">
        <w:rPr>
          <w:rFonts w:ascii="Calibri" w:hAnsi="Calibri" w:cs="Calibri"/>
          <w:color w:val="000000" w:themeColor="text1"/>
          <w:sz w:val="20"/>
          <w:szCs w:val="20"/>
        </w:rPr>
        <w:t>40)</w:t>
      </w:r>
      <w:r w:rsidR="00706545"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 </w:t>
      </w:r>
    </w:p>
    <w:p w14:paraId="57848C7E" w14:textId="77777777" w:rsidR="00D41ABD" w:rsidRPr="00235FB2" w:rsidRDefault="00D41ABD" w:rsidP="003F6DA4">
      <w:pPr>
        <w:spacing w:after="0" w:line="360" w:lineRule="auto"/>
        <w:jc w:val="both"/>
        <w:rPr>
          <w:rFonts w:ascii="Calibri" w:hAnsi="Calibri" w:cs="Calibri"/>
          <w:color w:val="000000" w:themeColor="text1"/>
          <w:sz w:val="20"/>
          <w:szCs w:val="20"/>
        </w:rPr>
      </w:pPr>
    </w:p>
    <w:p w14:paraId="4F697B7C" w14:textId="28A893F5" w:rsidR="00B02417" w:rsidRPr="00235FB2" w:rsidRDefault="00B02417" w:rsidP="003F6DA4">
      <w:pPr>
        <w:spacing w:after="0" w:line="360" w:lineRule="auto"/>
        <w:jc w:val="both"/>
        <w:rPr>
          <w:rFonts w:ascii="Calibri" w:hAnsi="Calibri" w:cs="Calibri"/>
          <w:b/>
          <w:bCs/>
          <w:i/>
          <w:iCs/>
          <w:color w:val="000000" w:themeColor="text1"/>
          <w:sz w:val="20"/>
          <w:szCs w:val="20"/>
        </w:rPr>
      </w:pPr>
      <w:r w:rsidRPr="00235FB2">
        <w:rPr>
          <w:rFonts w:ascii="Calibri" w:hAnsi="Calibri" w:cs="Calibri"/>
          <w:b/>
          <w:bCs/>
          <w:i/>
          <w:iCs/>
          <w:color w:val="000000" w:themeColor="text1"/>
          <w:sz w:val="20"/>
          <w:szCs w:val="20"/>
        </w:rPr>
        <w:t xml:space="preserve">Interpretation </w:t>
      </w:r>
    </w:p>
    <w:p w14:paraId="211F6A97" w14:textId="500F289C" w:rsidR="003F6DA4" w:rsidRPr="00235FB2" w:rsidRDefault="00482EEE" w:rsidP="009B169D">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These statements reveal how institutional constraints restrict formative feedback and iterative drafting. </w:t>
      </w:r>
      <w:r w:rsidR="00EC4A74">
        <w:rPr>
          <w:rFonts w:ascii="Calibri" w:hAnsi="Calibri" w:cs="Calibri"/>
          <w:color w:val="000000" w:themeColor="text1"/>
          <w:sz w:val="20"/>
          <w:szCs w:val="20"/>
        </w:rPr>
        <w:t xml:space="preserve"> </w:t>
      </w:r>
      <w:r w:rsidR="00EC4A74" w:rsidRPr="00EC4A74">
        <w:rPr>
          <w:rFonts w:ascii="Calibri" w:hAnsi="Calibri" w:cs="Calibri"/>
          <w:color w:val="000000" w:themeColor="text1"/>
          <w:sz w:val="20"/>
          <w:szCs w:val="20"/>
          <w:highlight w:val="yellow"/>
        </w:rPr>
        <w:t>Classroom synthesis research indicates that teachers often focus on manageable surface corrections under workload pressure, reducing opportunities for deeper revision support (Mao et al., 2024).</w:t>
      </w:r>
      <w:r w:rsidR="00EC4A74">
        <w:rPr>
          <w:rFonts w:ascii="Calibri" w:hAnsi="Calibri" w:cs="Calibri"/>
          <w:color w:val="000000" w:themeColor="text1"/>
          <w:sz w:val="20"/>
          <w:szCs w:val="20"/>
        </w:rPr>
        <w:t xml:space="preserve"> T</w:t>
      </w:r>
      <w:r w:rsidR="00E266A6" w:rsidRPr="00235FB2">
        <w:rPr>
          <w:rFonts w:ascii="Calibri" w:hAnsi="Calibri" w:cs="Calibri"/>
          <w:color w:val="000000" w:themeColor="text1"/>
          <w:sz w:val="20"/>
          <w:szCs w:val="20"/>
        </w:rPr>
        <w:t xml:space="preserve">eachers from implementing process-oriented pedagogy. This highlights the systematic barriers to PWA adoption and explains why teachers default to homework-based corrections and surface-level marking. </w:t>
      </w:r>
      <w:r w:rsidR="005B2126" w:rsidRPr="00235FB2">
        <w:rPr>
          <w:rFonts w:ascii="Calibri" w:hAnsi="Calibri" w:cs="Calibri"/>
          <w:color w:val="000000" w:themeColor="text1"/>
          <w:sz w:val="20"/>
          <w:szCs w:val="20"/>
        </w:rPr>
        <w:t xml:space="preserve">This </w:t>
      </w:r>
      <w:r w:rsidR="003F6DA4" w:rsidRPr="00235FB2">
        <w:rPr>
          <w:rFonts w:ascii="Calibri" w:hAnsi="Calibri" w:cs="Calibri"/>
          <w:color w:val="000000" w:themeColor="text1"/>
          <w:sz w:val="20"/>
          <w:szCs w:val="20"/>
        </w:rPr>
        <w:t>theme frames the adoption of PWA as not only pedagogical but logistical. PWA requires iterative drafting and feedback loops</w:t>
      </w:r>
      <w:r w:rsidR="00544303" w:rsidRPr="00235FB2">
        <w:rPr>
          <w:rFonts w:ascii="Calibri" w:hAnsi="Calibri" w:cs="Calibri"/>
          <w:color w:val="000000" w:themeColor="text1"/>
          <w:sz w:val="20"/>
          <w:szCs w:val="20"/>
        </w:rPr>
        <w:t xml:space="preserve"> but </w:t>
      </w:r>
      <w:r w:rsidR="003F6DA4" w:rsidRPr="00235FB2">
        <w:rPr>
          <w:rFonts w:ascii="Calibri" w:hAnsi="Calibri" w:cs="Calibri"/>
          <w:color w:val="000000" w:themeColor="text1"/>
          <w:sz w:val="20"/>
          <w:szCs w:val="20"/>
        </w:rPr>
        <w:t xml:space="preserve">participants’ </w:t>
      </w:r>
      <w:r w:rsidR="00544303" w:rsidRPr="00235FB2">
        <w:rPr>
          <w:rFonts w:ascii="Calibri" w:hAnsi="Calibri" w:cs="Calibri"/>
          <w:color w:val="000000" w:themeColor="text1"/>
          <w:sz w:val="20"/>
          <w:szCs w:val="20"/>
        </w:rPr>
        <w:t>responses</w:t>
      </w:r>
      <w:r w:rsidR="003F6DA4" w:rsidRPr="00235FB2">
        <w:rPr>
          <w:rFonts w:ascii="Calibri" w:hAnsi="Calibri" w:cs="Calibri"/>
          <w:color w:val="000000" w:themeColor="text1"/>
          <w:sz w:val="20"/>
          <w:szCs w:val="20"/>
        </w:rPr>
        <w:t xml:space="preserve"> suggest the feedback economy is currently thin because of time constraints and because writing instruction is not organised around cycles of drafting and revising.</w:t>
      </w:r>
      <w:r w:rsidR="005B2126" w:rsidRPr="00235FB2">
        <w:rPr>
          <w:rFonts w:ascii="Calibri" w:hAnsi="Calibri" w:cs="Calibri"/>
          <w:color w:val="000000" w:themeColor="text1"/>
          <w:sz w:val="20"/>
          <w:szCs w:val="20"/>
        </w:rPr>
        <w:t xml:space="preserve"> </w:t>
      </w:r>
      <w:r w:rsidR="003F6DA4" w:rsidRPr="00235FB2">
        <w:rPr>
          <w:rFonts w:ascii="Calibri" w:hAnsi="Calibri" w:cs="Calibri"/>
          <w:color w:val="000000" w:themeColor="text1"/>
          <w:sz w:val="20"/>
          <w:szCs w:val="20"/>
        </w:rPr>
        <w:t>Even when teachers value PWA, scaling it within existing class-size realities demands pragmatic adaptations (e.g., structured peer review, selective sampling of scripts per cycle, rotation models).</w:t>
      </w:r>
    </w:p>
    <w:p w14:paraId="3C6E8288" w14:textId="77777777" w:rsidR="00235FB2" w:rsidRDefault="00235FB2" w:rsidP="00B367AF">
      <w:pPr>
        <w:spacing w:after="0" w:line="360" w:lineRule="auto"/>
        <w:jc w:val="both"/>
        <w:rPr>
          <w:rFonts w:ascii="Calibri" w:hAnsi="Calibri" w:cs="Calibri"/>
          <w:b/>
          <w:bCs/>
          <w:color w:val="000000" w:themeColor="text1"/>
          <w:sz w:val="20"/>
          <w:szCs w:val="20"/>
        </w:rPr>
      </w:pPr>
    </w:p>
    <w:p w14:paraId="2D807926" w14:textId="54222190" w:rsidR="00B367AF" w:rsidRPr="00235FB2" w:rsidRDefault="00B367AF" w:rsidP="00B367AF">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Theme 4: </w:t>
      </w:r>
      <w:r w:rsidR="00E07B75" w:rsidRPr="00235FB2">
        <w:rPr>
          <w:rFonts w:ascii="Calibri" w:hAnsi="Calibri" w:cs="Calibri"/>
          <w:b/>
          <w:bCs/>
          <w:color w:val="000000" w:themeColor="text1"/>
          <w:sz w:val="20"/>
          <w:szCs w:val="20"/>
        </w:rPr>
        <w:t>C</w:t>
      </w:r>
      <w:r w:rsidRPr="00235FB2">
        <w:rPr>
          <w:rFonts w:ascii="Calibri" w:hAnsi="Calibri" w:cs="Calibri"/>
          <w:b/>
          <w:bCs/>
          <w:color w:val="000000" w:themeColor="text1"/>
          <w:sz w:val="20"/>
          <w:szCs w:val="20"/>
        </w:rPr>
        <w:t xml:space="preserve">onceptual </w:t>
      </w:r>
      <w:r w:rsidR="00E07B75" w:rsidRPr="00235FB2">
        <w:rPr>
          <w:rFonts w:ascii="Calibri" w:hAnsi="Calibri" w:cs="Calibri"/>
          <w:b/>
          <w:bCs/>
          <w:color w:val="000000" w:themeColor="text1"/>
          <w:sz w:val="20"/>
          <w:szCs w:val="20"/>
        </w:rPr>
        <w:t>S</w:t>
      </w:r>
      <w:r w:rsidRPr="00235FB2">
        <w:rPr>
          <w:rFonts w:ascii="Calibri" w:hAnsi="Calibri" w:cs="Calibri"/>
          <w:b/>
          <w:bCs/>
          <w:color w:val="000000" w:themeColor="text1"/>
          <w:sz w:val="20"/>
          <w:szCs w:val="20"/>
        </w:rPr>
        <w:t>hift</w:t>
      </w:r>
      <w:r w:rsidR="00E07B75" w:rsidRPr="00235FB2">
        <w:rPr>
          <w:rFonts w:ascii="Calibri" w:hAnsi="Calibri" w:cs="Calibri"/>
          <w:b/>
          <w:bCs/>
          <w:color w:val="000000" w:themeColor="text1"/>
          <w:sz w:val="20"/>
          <w:szCs w:val="20"/>
        </w:rPr>
        <w:t xml:space="preserve"> Through PWA</w:t>
      </w:r>
      <w:r w:rsidRPr="00235FB2">
        <w:rPr>
          <w:rFonts w:ascii="Calibri" w:hAnsi="Calibri" w:cs="Calibri"/>
          <w:b/>
          <w:bCs/>
          <w:color w:val="000000" w:themeColor="text1"/>
          <w:sz w:val="20"/>
          <w:szCs w:val="20"/>
        </w:rPr>
        <w:t xml:space="preserve"> </w:t>
      </w:r>
      <w:r w:rsidR="00526A16" w:rsidRPr="00235FB2">
        <w:rPr>
          <w:rFonts w:ascii="Calibri" w:hAnsi="Calibri" w:cs="Calibri"/>
          <w:b/>
          <w:bCs/>
          <w:color w:val="000000" w:themeColor="text1"/>
          <w:sz w:val="20"/>
          <w:szCs w:val="20"/>
        </w:rPr>
        <w:t>(F</w:t>
      </w:r>
      <w:r w:rsidRPr="00235FB2">
        <w:rPr>
          <w:rFonts w:ascii="Calibri" w:hAnsi="Calibri" w:cs="Calibri"/>
          <w:b/>
          <w:bCs/>
          <w:color w:val="000000" w:themeColor="text1"/>
          <w:sz w:val="20"/>
          <w:szCs w:val="20"/>
        </w:rPr>
        <w:t xml:space="preserve">rom </w:t>
      </w:r>
      <w:r w:rsidR="00526A16" w:rsidRPr="00235FB2">
        <w:rPr>
          <w:rFonts w:ascii="Calibri" w:hAnsi="Calibri" w:cs="Calibri"/>
          <w:b/>
          <w:bCs/>
          <w:color w:val="000000" w:themeColor="text1"/>
          <w:sz w:val="20"/>
          <w:szCs w:val="20"/>
        </w:rPr>
        <w:t>C</w:t>
      </w:r>
      <w:r w:rsidRPr="00235FB2">
        <w:rPr>
          <w:rFonts w:ascii="Calibri" w:hAnsi="Calibri" w:cs="Calibri"/>
          <w:b/>
          <w:bCs/>
          <w:color w:val="000000" w:themeColor="text1"/>
          <w:sz w:val="20"/>
          <w:szCs w:val="20"/>
        </w:rPr>
        <w:t xml:space="preserve">opying to </w:t>
      </w:r>
      <w:r w:rsidR="00526A16" w:rsidRPr="00235FB2">
        <w:rPr>
          <w:rFonts w:ascii="Calibri" w:hAnsi="Calibri" w:cs="Calibri"/>
          <w:b/>
          <w:bCs/>
          <w:color w:val="000000" w:themeColor="text1"/>
          <w:sz w:val="20"/>
          <w:szCs w:val="20"/>
        </w:rPr>
        <w:t>C</w:t>
      </w:r>
      <w:r w:rsidRPr="00235FB2">
        <w:rPr>
          <w:rFonts w:ascii="Calibri" w:hAnsi="Calibri" w:cs="Calibri"/>
          <w:b/>
          <w:bCs/>
          <w:color w:val="000000" w:themeColor="text1"/>
          <w:sz w:val="20"/>
          <w:szCs w:val="20"/>
        </w:rPr>
        <w:t>omposing</w:t>
      </w:r>
      <w:r w:rsidR="00526A16" w:rsidRPr="00235FB2">
        <w:rPr>
          <w:rFonts w:ascii="Calibri" w:hAnsi="Calibri" w:cs="Calibri"/>
          <w:b/>
          <w:bCs/>
          <w:color w:val="000000" w:themeColor="text1"/>
          <w:sz w:val="20"/>
          <w:szCs w:val="20"/>
        </w:rPr>
        <w:t>)</w:t>
      </w:r>
    </w:p>
    <w:p w14:paraId="4B10152E" w14:textId="49D9E05F" w:rsidR="00B023C0" w:rsidRPr="00235FB2" w:rsidRDefault="00B367AF" w:rsidP="00B367AF">
      <w:pPr>
        <w:spacing w:after="0" w:line="360" w:lineRule="auto"/>
        <w:jc w:val="both"/>
        <w:rPr>
          <w:rFonts w:ascii="Calibri" w:hAnsi="Calibri" w:cs="Calibri"/>
          <w:i/>
          <w:iCs/>
          <w:color w:val="000000" w:themeColor="text1"/>
          <w:sz w:val="20"/>
          <w:szCs w:val="20"/>
        </w:rPr>
      </w:pPr>
      <w:r w:rsidRPr="00235FB2">
        <w:rPr>
          <w:rFonts w:ascii="Calibri" w:hAnsi="Calibri" w:cs="Calibri"/>
          <w:color w:val="000000" w:themeColor="text1"/>
          <w:sz w:val="20"/>
          <w:szCs w:val="20"/>
        </w:rPr>
        <w:t>Students who experienced PWA described it as unique</w:t>
      </w:r>
      <w:r w:rsidR="00526A16" w:rsidRPr="00235FB2">
        <w:rPr>
          <w:rFonts w:ascii="Calibri" w:hAnsi="Calibri" w:cs="Calibri"/>
          <w:color w:val="000000" w:themeColor="text1"/>
          <w:sz w:val="20"/>
          <w:szCs w:val="20"/>
        </w:rPr>
        <w:t>,</w:t>
      </w:r>
      <w:r w:rsidRPr="00235FB2">
        <w:rPr>
          <w:rFonts w:ascii="Calibri" w:hAnsi="Calibri" w:cs="Calibri"/>
          <w:color w:val="000000" w:themeColor="text1"/>
          <w:sz w:val="20"/>
          <w:szCs w:val="20"/>
        </w:rPr>
        <w:t xml:space="preserve"> interesting, and fundamentally different because it discourages rote learning and requires planning and drafting. </w:t>
      </w:r>
      <w:r w:rsidR="0097161C" w:rsidRPr="00235FB2">
        <w:rPr>
          <w:rFonts w:ascii="Calibri" w:hAnsi="Calibri" w:cs="Calibri"/>
          <w:color w:val="000000" w:themeColor="text1"/>
          <w:sz w:val="20"/>
          <w:szCs w:val="20"/>
        </w:rPr>
        <w:t xml:space="preserve">For example, student 6 stated, </w:t>
      </w:r>
      <w:r w:rsidR="0097161C" w:rsidRPr="00235FB2">
        <w:rPr>
          <w:rFonts w:ascii="Calibri" w:hAnsi="Calibri" w:cs="Calibri"/>
          <w:i/>
          <w:iCs/>
          <w:color w:val="000000" w:themeColor="text1"/>
          <w:sz w:val="20"/>
          <w:szCs w:val="20"/>
        </w:rPr>
        <w:t>“…for the first time, my teacher told me not to copy from any boo</w:t>
      </w:r>
      <w:r w:rsidR="007205EF" w:rsidRPr="00235FB2">
        <w:rPr>
          <w:rFonts w:ascii="Calibri" w:hAnsi="Calibri" w:cs="Calibri"/>
          <w:i/>
          <w:iCs/>
          <w:color w:val="000000" w:themeColor="text1"/>
          <w:sz w:val="20"/>
          <w:szCs w:val="20"/>
        </w:rPr>
        <w:t xml:space="preserve">k, which I found unique and interesting, but challenging too…”. </w:t>
      </w:r>
      <w:r w:rsidR="00C44E81" w:rsidRPr="00235FB2">
        <w:rPr>
          <w:rFonts w:ascii="Calibri" w:hAnsi="Calibri" w:cs="Calibri"/>
          <w:color w:val="000000" w:themeColor="text1"/>
          <w:sz w:val="20"/>
          <w:szCs w:val="20"/>
        </w:rPr>
        <w:t xml:space="preserve">Another </w:t>
      </w:r>
      <w:r w:rsidRPr="00235FB2">
        <w:rPr>
          <w:rFonts w:ascii="Calibri" w:hAnsi="Calibri" w:cs="Calibri"/>
          <w:color w:val="000000" w:themeColor="text1"/>
          <w:sz w:val="20"/>
          <w:szCs w:val="20"/>
        </w:rPr>
        <w:t>student described an explicit shift</w:t>
      </w:r>
      <w:r w:rsidR="00C44E81" w:rsidRPr="00235FB2">
        <w:rPr>
          <w:rFonts w:ascii="Calibri" w:hAnsi="Calibri" w:cs="Calibri"/>
          <w:color w:val="000000" w:themeColor="text1"/>
          <w:sz w:val="20"/>
          <w:szCs w:val="20"/>
        </w:rPr>
        <w:t xml:space="preserve"> that</w:t>
      </w:r>
      <w:r w:rsidRPr="00235FB2">
        <w:rPr>
          <w:rFonts w:ascii="Calibri" w:hAnsi="Calibri" w:cs="Calibri"/>
          <w:color w:val="000000" w:themeColor="text1"/>
          <w:sz w:val="20"/>
          <w:szCs w:val="20"/>
        </w:rPr>
        <w:t xml:space="preserve"> initially </w:t>
      </w:r>
      <w:r w:rsidR="001C6A41" w:rsidRPr="00235FB2">
        <w:rPr>
          <w:rFonts w:ascii="Calibri" w:hAnsi="Calibri" w:cs="Calibri"/>
          <w:color w:val="000000" w:themeColor="text1"/>
          <w:sz w:val="20"/>
          <w:szCs w:val="20"/>
        </w:rPr>
        <w:t xml:space="preserve">they wanted to impress their teacher by copying from the books, but being caught and </w:t>
      </w:r>
      <w:r w:rsidRPr="00235FB2">
        <w:rPr>
          <w:rFonts w:ascii="Calibri" w:hAnsi="Calibri" w:cs="Calibri"/>
          <w:color w:val="000000" w:themeColor="text1"/>
          <w:sz w:val="20"/>
          <w:szCs w:val="20"/>
        </w:rPr>
        <w:t xml:space="preserve">then being required to study the topic, plan structure, draft independently, receive feedback, and rewrite repeatedly until meeting expectations. </w:t>
      </w:r>
      <w:r w:rsidR="00E91555" w:rsidRPr="00235FB2">
        <w:rPr>
          <w:rFonts w:ascii="Calibri" w:hAnsi="Calibri" w:cs="Calibri"/>
          <w:color w:val="000000" w:themeColor="text1"/>
          <w:sz w:val="20"/>
          <w:szCs w:val="20"/>
        </w:rPr>
        <w:t xml:space="preserve">For example, student 9 said, </w:t>
      </w:r>
      <w:r w:rsidR="00E91555" w:rsidRPr="00235FB2">
        <w:rPr>
          <w:rFonts w:ascii="Calibri" w:hAnsi="Calibri" w:cs="Calibri"/>
          <w:i/>
          <w:iCs/>
          <w:color w:val="000000" w:themeColor="text1"/>
          <w:sz w:val="20"/>
          <w:szCs w:val="20"/>
        </w:rPr>
        <w:t>“…I learned how to plan</w:t>
      </w:r>
      <w:r w:rsidR="00230C7C" w:rsidRPr="00235FB2">
        <w:rPr>
          <w:rFonts w:ascii="Calibri" w:hAnsi="Calibri" w:cs="Calibri"/>
          <w:i/>
          <w:iCs/>
          <w:color w:val="000000" w:themeColor="text1"/>
          <w:sz w:val="20"/>
          <w:szCs w:val="20"/>
        </w:rPr>
        <w:t xml:space="preserve"> before writing instead of starting randomly…”. </w:t>
      </w:r>
      <w:r w:rsidRPr="00235FB2">
        <w:rPr>
          <w:rFonts w:ascii="Calibri" w:hAnsi="Calibri" w:cs="Calibri"/>
          <w:color w:val="000000" w:themeColor="text1"/>
          <w:sz w:val="20"/>
          <w:szCs w:val="20"/>
        </w:rPr>
        <w:t>Another student noted that in PWA no topic is given rather a concept is discussed, requiring reading and then drafting for teacher review</w:t>
      </w:r>
      <w:r w:rsidR="00B023C0" w:rsidRPr="00235FB2">
        <w:rPr>
          <w:rFonts w:ascii="Calibri" w:hAnsi="Calibri" w:cs="Calibri"/>
          <w:color w:val="000000" w:themeColor="text1"/>
          <w:sz w:val="20"/>
          <w:szCs w:val="20"/>
        </w:rPr>
        <w:t>. T</w:t>
      </w:r>
      <w:r w:rsidRPr="00235FB2">
        <w:rPr>
          <w:rFonts w:ascii="Calibri" w:hAnsi="Calibri" w:cs="Calibri"/>
          <w:color w:val="000000" w:themeColor="text1"/>
          <w:sz w:val="20"/>
          <w:szCs w:val="20"/>
        </w:rPr>
        <w:t xml:space="preserve">hey viewed this as effective because memorising short paragraphs does not build knowledge or writing capability. </w:t>
      </w:r>
      <w:r w:rsidR="005A0574" w:rsidRPr="00235FB2">
        <w:rPr>
          <w:rFonts w:ascii="Calibri" w:hAnsi="Calibri" w:cs="Calibri"/>
          <w:color w:val="000000" w:themeColor="text1"/>
          <w:sz w:val="20"/>
          <w:szCs w:val="20"/>
        </w:rPr>
        <w:t xml:space="preserve">For example, student 1 stated, </w:t>
      </w:r>
      <w:r w:rsidR="005A0574" w:rsidRPr="00235FB2">
        <w:rPr>
          <w:rFonts w:ascii="Calibri" w:hAnsi="Calibri" w:cs="Calibri"/>
          <w:i/>
          <w:iCs/>
          <w:color w:val="000000" w:themeColor="text1"/>
          <w:sz w:val="20"/>
          <w:szCs w:val="20"/>
        </w:rPr>
        <w:t xml:space="preserve">“…now I think about my ideas before I write, not about memorising answers…”. </w:t>
      </w:r>
    </w:p>
    <w:p w14:paraId="688C8761" w14:textId="77777777" w:rsidR="00235FB2" w:rsidRDefault="00235FB2" w:rsidP="00B367AF">
      <w:pPr>
        <w:spacing w:after="0" w:line="360" w:lineRule="auto"/>
        <w:jc w:val="both"/>
        <w:rPr>
          <w:rFonts w:ascii="Calibri" w:hAnsi="Calibri" w:cs="Calibri"/>
          <w:b/>
          <w:bCs/>
          <w:i/>
          <w:iCs/>
          <w:color w:val="000000" w:themeColor="text1"/>
          <w:sz w:val="20"/>
          <w:szCs w:val="20"/>
        </w:rPr>
      </w:pPr>
    </w:p>
    <w:p w14:paraId="58C8FFB9" w14:textId="7692607D" w:rsidR="00B023C0" w:rsidRPr="00235FB2" w:rsidRDefault="005A0574" w:rsidP="00B367AF">
      <w:pPr>
        <w:spacing w:after="0" w:line="360" w:lineRule="auto"/>
        <w:jc w:val="both"/>
        <w:rPr>
          <w:rFonts w:ascii="Calibri" w:hAnsi="Calibri" w:cs="Calibri"/>
          <w:b/>
          <w:bCs/>
          <w:i/>
          <w:iCs/>
          <w:color w:val="000000" w:themeColor="text1"/>
          <w:sz w:val="20"/>
          <w:szCs w:val="20"/>
        </w:rPr>
      </w:pPr>
      <w:r w:rsidRPr="00235FB2">
        <w:rPr>
          <w:rFonts w:ascii="Calibri" w:hAnsi="Calibri" w:cs="Calibri"/>
          <w:b/>
          <w:bCs/>
          <w:i/>
          <w:iCs/>
          <w:color w:val="000000" w:themeColor="text1"/>
          <w:sz w:val="20"/>
          <w:szCs w:val="20"/>
        </w:rPr>
        <w:t xml:space="preserve">Interpretation </w:t>
      </w:r>
    </w:p>
    <w:p w14:paraId="3EF02ED0" w14:textId="41AEC50F" w:rsidR="00E86936" w:rsidRPr="00235FB2" w:rsidRDefault="00515754" w:rsidP="007E64A9">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These quotes illustrates a cognitive shift triggered by PWA exposure. Students begin to reconceptualise writing as idea construction rather than recall. This reflects Flower and Hayes’ planning stage and demonstrates how PWA operationalises cognitive writing theory in classrooms. </w:t>
      </w:r>
      <w:r w:rsidR="00B367AF" w:rsidRPr="00235FB2">
        <w:rPr>
          <w:rFonts w:ascii="Calibri" w:hAnsi="Calibri" w:cs="Calibri"/>
          <w:color w:val="000000" w:themeColor="text1"/>
          <w:sz w:val="20"/>
          <w:szCs w:val="20"/>
        </w:rPr>
        <w:t>This is the strongest “mechanism” theme</w:t>
      </w:r>
      <w:r w:rsidR="005C09D7" w:rsidRPr="00235FB2">
        <w:rPr>
          <w:rFonts w:ascii="Calibri" w:hAnsi="Calibri" w:cs="Calibri"/>
          <w:color w:val="000000" w:themeColor="text1"/>
          <w:sz w:val="20"/>
          <w:szCs w:val="20"/>
        </w:rPr>
        <w:t xml:space="preserve"> because </w:t>
      </w:r>
      <w:r w:rsidR="00B367AF" w:rsidRPr="00235FB2">
        <w:rPr>
          <w:rFonts w:ascii="Calibri" w:hAnsi="Calibri" w:cs="Calibri"/>
          <w:color w:val="000000" w:themeColor="text1"/>
          <w:sz w:val="20"/>
          <w:szCs w:val="20"/>
        </w:rPr>
        <w:t>PWA works partly by changing what writing is for students</w:t>
      </w:r>
      <w:r w:rsidR="0048418D" w:rsidRPr="00235FB2">
        <w:rPr>
          <w:rFonts w:ascii="Calibri" w:hAnsi="Calibri" w:cs="Calibri"/>
          <w:color w:val="000000" w:themeColor="text1"/>
          <w:sz w:val="20"/>
          <w:szCs w:val="20"/>
        </w:rPr>
        <w:t xml:space="preserve"> </w:t>
      </w:r>
      <w:r w:rsidR="00B367AF" w:rsidRPr="00235FB2">
        <w:rPr>
          <w:rFonts w:ascii="Calibri" w:hAnsi="Calibri" w:cs="Calibri"/>
          <w:color w:val="000000" w:themeColor="text1"/>
          <w:sz w:val="20"/>
          <w:szCs w:val="20"/>
        </w:rPr>
        <w:t xml:space="preserve">from text replication to knowledge-building and idea construction. Participants’ </w:t>
      </w:r>
      <w:r w:rsidR="005C09D7" w:rsidRPr="00235FB2">
        <w:rPr>
          <w:rFonts w:ascii="Calibri" w:hAnsi="Calibri" w:cs="Calibri"/>
          <w:color w:val="000000" w:themeColor="text1"/>
          <w:sz w:val="20"/>
          <w:szCs w:val="20"/>
        </w:rPr>
        <w:t>responses</w:t>
      </w:r>
      <w:r w:rsidR="00B367AF" w:rsidRPr="00235FB2">
        <w:rPr>
          <w:rFonts w:ascii="Calibri" w:hAnsi="Calibri" w:cs="Calibri"/>
          <w:color w:val="000000" w:themeColor="text1"/>
          <w:sz w:val="20"/>
          <w:szCs w:val="20"/>
        </w:rPr>
        <w:t xml:space="preserve"> show how PWA can disrupt copy–paste habits and introduce writing as staged problem-solving (plan → draft → feedback → revise).</w:t>
      </w:r>
    </w:p>
    <w:p w14:paraId="431E9D1B" w14:textId="77777777" w:rsidR="00ED6ED9" w:rsidRPr="00235FB2" w:rsidRDefault="00ED6ED9" w:rsidP="007E64A9">
      <w:pPr>
        <w:spacing w:after="0" w:line="360" w:lineRule="auto"/>
        <w:jc w:val="both"/>
        <w:rPr>
          <w:rFonts w:ascii="Calibri" w:hAnsi="Calibri" w:cs="Calibri"/>
          <w:color w:val="000000" w:themeColor="text1"/>
          <w:sz w:val="20"/>
          <w:szCs w:val="20"/>
        </w:rPr>
      </w:pPr>
    </w:p>
    <w:p w14:paraId="7D87DED9" w14:textId="4E0B3E98" w:rsidR="004B3EC8" w:rsidRPr="00235FB2" w:rsidRDefault="007E64A9" w:rsidP="007E64A9">
      <w:p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Theme </w:t>
      </w:r>
      <w:r w:rsidR="00871A53" w:rsidRPr="00235FB2">
        <w:rPr>
          <w:rFonts w:ascii="Calibri" w:hAnsi="Calibri" w:cs="Calibri"/>
          <w:b/>
          <w:bCs/>
          <w:color w:val="000000" w:themeColor="text1"/>
          <w:sz w:val="20"/>
          <w:szCs w:val="20"/>
        </w:rPr>
        <w:t>5</w:t>
      </w:r>
      <w:r w:rsidRPr="00235FB2">
        <w:rPr>
          <w:rFonts w:ascii="Calibri" w:hAnsi="Calibri" w:cs="Calibri"/>
          <w:b/>
          <w:bCs/>
          <w:color w:val="000000" w:themeColor="text1"/>
          <w:sz w:val="20"/>
          <w:szCs w:val="20"/>
        </w:rPr>
        <w:t>: Resistance to PWA is pragmatic and exam-oriented, not necessarily ideological</w:t>
      </w:r>
      <w:r w:rsidRPr="00235FB2">
        <w:rPr>
          <w:rFonts w:ascii="Calibri" w:hAnsi="Calibri" w:cs="Calibri"/>
          <w:color w:val="000000" w:themeColor="text1"/>
          <w:sz w:val="20"/>
          <w:szCs w:val="20"/>
        </w:rPr>
        <w:br/>
      </w:r>
      <w:r w:rsidR="00CB67FF" w:rsidRPr="00235FB2">
        <w:rPr>
          <w:rFonts w:ascii="Calibri" w:hAnsi="Calibri" w:cs="Calibri"/>
          <w:color w:val="000000" w:themeColor="text1"/>
          <w:sz w:val="20"/>
          <w:szCs w:val="20"/>
        </w:rPr>
        <w:t xml:space="preserve">There are diverse </w:t>
      </w:r>
      <w:r w:rsidR="00B03636" w:rsidRPr="00235FB2">
        <w:rPr>
          <w:rFonts w:ascii="Calibri" w:hAnsi="Calibri" w:cs="Calibri"/>
          <w:color w:val="000000" w:themeColor="text1"/>
          <w:sz w:val="20"/>
          <w:szCs w:val="20"/>
        </w:rPr>
        <w:t>opinions about PWA and n</w:t>
      </w:r>
      <w:r w:rsidRPr="00235FB2">
        <w:rPr>
          <w:rFonts w:ascii="Calibri" w:hAnsi="Calibri" w:cs="Calibri"/>
          <w:color w:val="000000" w:themeColor="text1"/>
          <w:sz w:val="20"/>
          <w:szCs w:val="20"/>
        </w:rPr>
        <w:t xml:space="preserve">ot all students welcomed PWA. </w:t>
      </w:r>
      <w:r w:rsidR="00B03636" w:rsidRPr="00235FB2">
        <w:rPr>
          <w:rFonts w:ascii="Calibri" w:hAnsi="Calibri" w:cs="Calibri"/>
          <w:color w:val="000000" w:themeColor="text1"/>
          <w:sz w:val="20"/>
          <w:szCs w:val="20"/>
        </w:rPr>
        <w:t>At least a couple of s</w:t>
      </w:r>
      <w:r w:rsidRPr="00235FB2">
        <w:rPr>
          <w:rFonts w:ascii="Calibri" w:hAnsi="Calibri" w:cs="Calibri"/>
          <w:color w:val="000000" w:themeColor="text1"/>
          <w:sz w:val="20"/>
          <w:szCs w:val="20"/>
        </w:rPr>
        <w:t>tudent</w:t>
      </w:r>
      <w:r w:rsidR="00B03636" w:rsidRPr="00235FB2">
        <w:rPr>
          <w:rFonts w:ascii="Calibri" w:hAnsi="Calibri" w:cs="Calibri"/>
          <w:color w:val="000000" w:themeColor="text1"/>
          <w:sz w:val="20"/>
          <w:szCs w:val="20"/>
        </w:rPr>
        <w:t>s</w:t>
      </w:r>
      <w:r w:rsidRPr="00235FB2">
        <w:rPr>
          <w:rFonts w:ascii="Calibri" w:hAnsi="Calibri" w:cs="Calibri"/>
          <w:color w:val="000000" w:themeColor="text1"/>
          <w:sz w:val="20"/>
          <w:szCs w:val="20"/>
        </w:rPr>
        <w:t xml:space="preserve"> argued </w:t>
      </w:r>
      <w:r w:rsidR="00B03636" w:rsidRPr="00235FB2">
        <w:rPr>
          <w:rFonts w:ascii="Calibri" w:hAnsi="Calibri" w:cs="Calibri"/>
          <w:color w:val="000000" w:themeColor="text1"/>
          <w:sz w:val="20"/>
          <w:szCs w:val="20"/>
        </w:rPr>
        <w:t>PWA</w:t>
      </w:r>
      <w:r w:rsidRPr="00235FB2">
        <w:rPr>
          <w:rFonts w:ascii="Calibri" w:hAnsi="Calibri" w:cs="Calibri"/>
          <w:color w:val="000000" w:themeColor="text1"/>
          <w:sz w:val="20"/>
          <w:szCs w:val="20"/>
        </w:rPr>
        <w:t xml:space="preserve"> is a waste of time because memorising a paragraph in an hour</w:t>
      </w:r>
      <w:r w:rsidR="00B03636"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feels more efficient, and because exam questions are often predictable (we get maximum writing topics common in our exams). </w:t>
      </w:r>
      <w:r w:rsidR="00CE41B9" w:rsidRPr="00235FB2">
        <w:rPr>
          <w:rFonts w:ascii="Calibri" w:hAnsi="Calibri" w:cs="Calibri"/>
          <w:color w:val="000000" w:themeColor="text1"/>
          <w:sz w:val="20"/>
          <w:szCs w:val="20"/>
        </w:rPr>
        <w:t xml:space="preserve">For example, student 9 stated, </w:t>
      </w:r>
      <w:r w:rsidR="00CE41B9" w:rsidRPr="00235FB2">
        <w:rPr>
          <w:rFonts w:ascii="Calibri" w:hAnsi="Calibri" w:cs="Calibri"/>
          <w:i/>
          <w:iCs/>
          <w:color w:val="000000" w:themeColor="text1"/>
          <w:sz w:val="20"/>
          <w:szCs w:val="20"/>
        </w:rPr>
        <w:t>“…PWA method takes too much time for one paragraph</w:t>
      </w:r>
      <w:r w:rsidR="00924765" w:rsidRPr="00235FB2">
        <w:rPr>
          <w:rFonts w:ascii="Calibri" w:hAnsi="Calibri" w:cs="Calibri"/>
          <w:i/>
          <w:iCs/>
          <w:color w:val="000000" w:themeColor="text1"/>
          <w:sz w:val="20"/>
          <w:szCs w:val="20"/>
        </w:rPr>
        <w:t xml:space="preserve"> and careful attention and more analytical skills…”. </w:t>
      </w:r>
      <w:r w:rsidR="0010437F" w:rsidRPr="00235FB2">
        <w:rPr>
          <w:rFonts w:ascii="Calibri" w:hAnsi="Calibri" w:cs="Calibri"/>
          <w:color w:val="000000" w:themeColor="text1"/>
          <w:sz w:val="20"/>
          <w:szCs w:val="20"/>
        </w:rPr>
        <w:t>Some students reported</w:t>
      </w:r>
      <w:r w:rsidRPr="00235FB2">
        <w:rPr>
          <w:rFonts w:ascii="Calibri" w:hAnsi="Calibri" w:cs="Calibri"/>
          <w:color w:val="000000" w:themeColor="text1"/>
          <w:sz w:val="20"/>
          <w:szCs w:val="20"/>
        </w:rPr>
        <w:t xml:space="preserve"> PWA as requiring too much thinking, a lot of effort, and repeated drafting</w:t>
      </w:r>
      <w:r w:rsidR="0010437F" w:rsidRPr="00235FB2">
        <w:rPr>
          <w:rFonts w:ascii="Calibri" w:hAnsi="Calibri" w:cs="Calibri"/>
          <w:color w:val="000000" w:themeColor="text1"/>
          <w:sz w:val="20"/>
          <w:szCs w:val="20"/>
        </w:rPr>
        <w:t>,</w:t>
      </w:r>
      <w:r w:rsidR="003441D5"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therefore inferior under time and performance pressures.</w:t>
      </w:r>
      <w:r w:rsidR="00276985" w:rsidRPr="00235FB2">
        <w:rPr>
          <w:rFonts w:ascii="Calibri" w:hAnsi="Calibri" w:cs="Calibri"/>
          <w:color w:val="000000" w:themeColor="text1"/>
          <w:sz w:val="20"/>
          <w:szCs w:val="20"/>
        </w:rPr>
        <w:t xml:space="preserve"> For example, students 5 &amp; 6 stated </w:t>
      </w:r>
      <w:r w:rsidR="00276985" w:rsidRPr="00235FB2">
        <w:rPr>
          <w:rFonts w:ascii="Calibri" w:hAnsi="Calibri" w:cs="Calibri"/>
          <w:i/>
          <w:iCs/>
          <w:color w:val="000000" w:themeColor="text1"/>
          <w:sz w:val="20"/>
          <w:szCs w:val="20"/>
        </w:rPr>
        <w:t>“…although PWS sounds interesting</w:t>
      </w:r>
      <w:r w:rsidR="00B41745" w:rsidRPr="00235FB2">
        <w:rPr>
          <w:rFonts w:ascii="Calibri" w:hAnsi="Calibri" w:cs="Calibri"/>
          <w:i/>
          <w:iCs/>
          <w:color w:val="000000" w:themeColor="text1"/>
          <w:sz w:val="20"/>
          <w:szCs w:val="20"/>
        </w:rPr>
        <w:t>, but we need additional efforts, extra time to think</w:t>
      </w:r>
      <w:r w:rsidR="009619B4" w:rsidRPr="00235FB2">
        <w:rPr>
          <w:rFonts w:ascii="Calibri" w:hAnsi="Calibri" w:cs="Calibri"/>
          <w:i/>
          <w:iCs/>
          <w:color w:val="000000" w:themeColor="text1"/>
          <w:sz w:val="20"/>
          <w:szCs w:val="20"/>
        </w:rPr>
        <w:t>, write and re-write</w:t>
      </w:r>
      <w:r w:rsidR="004B3EC8" w:rsidRPr="00235FB2">
        <w:rPr>
          <w:rFonts w:ascii="Calibri" w:hAnsi="Calibri" w:cs="Calibri"/>
          <w:i/>
          <w:iCs/>
          <w:color w:val="000000" w:themeColor="text1"/>
          <w:sz w:val="20"/>
          <w:szCs w:val="20"/>
        </w:rPr>
        <w:t xml:space="preserve"> which does not help us before exams</w:t>
      </w:r>
      <w:r w:rsidR="00B85768" w:rsidRPr="00235FB2">
        <w:rPr>
          <w:rFonts w:ascii="Calibri" w:hAnsi="Calibri" w:cs="Calibri"/>
          <w:i/>
          <w:iCs/>
          <w:color w:val="000000" w:themeColor="text1"/>
          <w:sz w:val="20"/>
          <w:szCs w:val="20"/>
        </w:rPr>
        <w:t xml:space="preserve"> because memorising is easier and safer for getting marks and pass the exams…</w:t>
      </w:r>
      <w:r w:rsidR="004B3EC8" w:rsidRPr="00235FB2">
        <w:rPr>
          <w:rFonts w:ascii="Calibri" w:hAnsi="Calibri" w:cs="Calibri"/>
          <w:i/>
          <w:iCs/>
          <w:color w:val="000000" w:themeColor="text1"/>
          <w:sz w:val="20"/>
          <w:szCs w:val="20"/>
        </w:rPr>
        <w:t>”.</w:t>
      </w:r>
      <w:r w:rsidR="003441D5" w:rsidRPr="00235FB2">
        <w:rPr>
          <w:rFonts w:ascii="Calibri" w:hAnsi="Calibri" w:cs="Calibri"/>
          <w:color w:val="000000" w:themeColor="text1"/>
          <w:sz w:val="20"/>
          <w:szCs w:val="20"/>
        </w:rPr>
        <w:t xml:space="preserve"> </w:t>
      </w:r>
    </w:p>
    <w:p w14:paraId="17FFD58A" w14:textId="77777777" w:rsidR="00235FB2" w:rsidRDefault="00235FB2" w:rsidP="007E64A9">
      <w:pPr>
        <w:spacing w:after="0" w:line="360" w:lineRule="auto"/>
        <w:jc w:val="both"/>
        <w:rPr>
          <w:rFonts w:ascii="Calibri" w:hAnsi="Calibri" w:cs="Calibri"/>
          <w:b/>
          <w:bCs/>
          <w:i/>
          <w:iCs/>
          <w:color w:val="000000" w:themeColor="text1"/>
          <w:sz w:val="20"/>
          <w:szCs w:val="20"/>
        </w:rPr>
      </w:pPr>
    </w:p>
    <w:p w14:paraId="03F60609" w14:textId="72328AB2" w:rsidR="00A5104A" w:rsidRPr="00235FB2" w:rsidRDefault="00A5104A" w:rsidP="007E64A9">
      <w:pPr>
        <w:spacing w:after="0" w:line="360" w:lineRule="auto"/>
        <w:jc w:val="both"/>
        <w:rPr>
          <w:rFonts w:ascii="Calibri" w:hAnsi="Calibri" w:cs="Calibri"/>
          <w:b/>
          <w:bCs/>
          <w:i/>
          <w:iCs/>
          <w:color w:val="000000" w:themeColor="text1"/>
          <w:sz w:val="20"/>
          <w:szCs w:val="20"/>
        </w:rPr>
      </w:pPr>
      <w:r w:rsidRPr="00235FB2">
        <w:rPr>
          <w:rFonts w:ascii="Calibri" w:hAnsi="Calibri" w:cs="Calibri"/>
          <w:b/>
          <w:bCs/>
          <w:i/>
          <w:iCs/>
          <w:color w:val="000000" w:themeColor="text1"/>
          <w:sz w:val="20"/>
          <w:szCs w:val="20"/>
        </w:rPr>
        <w:t xml:space="preserve">Interpretation </w:t>
      </w:r>
    </w:p>
    <w:p w14:paraId="02D9D98A" w14:textId="2A13F228" w:rsidR="00ED6ED9" w:rsidRPr="00235FB2" w:rsidRDefault="001D09E4" w:rsidP="007D7540">
      <w:pPr>
        <w:spacing w:after="0" w:line="360" w:lineRule="auto"/>
        <w:jc w:val="both"/>
        <w:rPr>
          <w:rFonts w:ascii="Calibri" w:hAnsi="Calibri" w:cs="Calibri"/>
          <w:b/>
          <w:bCs/>
          <w:color w:val="000000" w:themeColor="text1"/>
          <w:sz w:val="20"/>
          <w:szCs w:val="20"/>
        </w:rPr>
      </w:pPr>
      <w:r w:rsidRPr="00235FB2">
        <w:rPr>
          <w:rFonts w:ascii="Calibri" w:hAnsi="Calibri" w:cs="Calibri"/>
          <w:color w:val="000000" w:themeColor="text1"/>
          <w:sz w:val="20"/>
          <w:szCs w:val="20"/>
        </w:rPr>
        <w:t>The quotes reveal strategic resistance rather than rejection of learning. Students calculate effort v</w:t>
      </w:r>
      <w:r w:rsidR="00C20966" w:rsidRPr="00235FB2">
        <w:rPr>
          <w:rFonts w:ascii="Calibri" w:hAnsi="Calibri" w:cs="Calibri"/>
          <w:color w:val="000000" w:themeColor="text1"/>
          <w:sz w:val="20"/>
          <w:szCs w:val="20"/>
        </w:rPr>
        <w:t xml:space="preserve">s reward within exam-driven systems. This supports the theoretical contribution introducing resistance as a rational response to assessment culture. </w:t>
      </w:r>
      <w:r w:rsidR="007E64A9" w:rsidRPr="00235FB2">
        <w:rPr>
          <w:rFonts w:ascii="Calibri" w:hAnsi="Calibri" w:cs="Calibri"/>
          <w:color w:val="000000" w:themeColor="text1"/>
          <w:sz w:val="20"/>
          <w:szCs w:val="20"/>
        </w:rPr>
        <w:t>This theme highlights a critical tension</w:t>
      </w:r>
      <w:r w:rsidR="00C20966" w:rsidRPr="00235FB2">
        <w:rPr>
          <w:rFonts w:ascii="Calibri" w:hAnsi="Calibri" w:cs="Calibri"/>
          <w:color w:val="000000" w:themeColor="text1"/>
          <w:sz w:val="20"/>
          <w:szCs w:val="20"/>
        </w:rPr>
        <w:t>, which is</w:t>
      </w:r>
      <w:r w:rsidR="007E64A9" w:rsidRPr="00235FB2">
        <w:rPr>
          <w:rFonts w:ascii="Calibri" w:hAnsi="Calibri" w:cs="Calibri"/>
          <w:color w:val="000000" w:themeColor="text1"/>
          <w:sz w:val="20"/>
          <w:szCs w:val="20"/>
        </w:rPr>
        <w:t xml:space="preserve"> pedagogical effectiveness vs assessment rationality. Where examinations reward memorised scripts, students may rationally resist PWA even if it improves genuine writing capability. This helps explain why PWA adoption at HSC level can be uneven unless assessment practices and classroom incentives also shift.</w:t>
      </w:r>
    </w:p>
    <w:p w14:paraId="0D84AF73" w14:textId="77777777" w:rsidR="00235FB2" w:rsidRDefault="00235FB2" w:rsidP="007D7540">
      <w:pPr>
        <w:spacing w:after="0" w:line="360" w:lineRule="auto"/>
        <w:jc w:val="both"/>
        <w:rPr>
          <w:rFonts w:ascii="Calibri" w:hAnsi="Calibri" w:cs="Calibri"/>
          <w:b/>
          <w:bCs/>
          <w:color w:val="000000" w:themeColor="text1"/>
          <w:sz w:val="20"/>
          <w:szCs w:val="20"/>
        </w:rPr>
      </w:pPr>
    </w:p>
    <w:p w14:paraId="66C4704F" w14:textId="4CAFC0CF" w:rsidR="007D7540" w:rsidRPr="00235FB2" w:rsidRDefault="007D7540" w:rsidP="007D7540">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Theme </w:t>
      </w:r>
      <w:r w:rsidR="00824E5A" w:rsidRPr="00235FB2">
        <w:rPr>
          <w:rFonts w:ascii="Calibri" w:hAnsi="Calibri" w:cs="Calibri"/>
          <w:b/>
          <w:bCs/>
          <w:color w:val="000000" w:themeColor="text1"/>
          <w:sz w:val="20"/>
          <w:szCs w:val="20"/>
        </w:rPr>
        <w:t>6</w:t>
      </w:r>
      <w:r w:rsidRPr="00235FB2">
        <w:rPr>
          <w:rFonts w:ascii="Calibri" w:hAnsi="Calibri" w:cs="Calibri"/>
          <w:b/>
          <w:bCs/>
          <w:color w:val="000000" w:themeColor="text1"/>
          <w:sz w:val="20"/>
          <w:szCs w:val="20"/>
        </w:rPr>
        <w:t>: Teacher readiness and system support shape whether PWA can be implemented at scale</w:t>
      </w:r>
    </w:p>
    <w:p w14:paraId="5BE047D8" w14:textId="42289341" w:rsidR="003840AA" w:rsidRPr="00235FB2" w:rsidRDefault="007D7540" w:rsidP="009B169D">
      <w:pPr>
        <w:spacing w:after="0" w:line="360" w:lineRule="auto"/>
        <w:jc w:val="both"/>
        <w:rPr>
          <w:rFonts w:ascii="Calibri" w:hAnsi="Calibri" w:cs="Calibri"/>
          <w:i/>
          <w:iCs/>
          <w:color w:val="000000" w:themeColor="text1"/>
          <w:sz w:val="20"/>
          <w:szCs w:val="20"/>
        </w:rPr>
      </w:pPr>
      <w:r w:rsidRPr="00235FB2">
        <w:rPr>
          <w:rFonts w:ascii="Calibri" w:hAnsi="Calibri" w:cs="Calibri"/>
          <w:color w:val="000000" w:themeColor="text1"/>
          <w:sz w:val="20"/>
          <w:szCs w:val="20"/>
        </w:rPr>
        <w:t xml:space="preserve">The teacher interview emphasised that introducing PWA directly at HSC could be uncomfortable because students are not habituated, and argued for earlier introduction </w:t>
      </w:r>
      <w:r w:rsidR="00801C1B" w:rsidRPr="00235FB2">
        <w:rPr>
          <w:rFonts w:ascii="Calibri" w:hAnsi="Calibri" w:cs="Calibri"/>
          <w:color w:val="000000" w:themeColor="text1"/>
          <w:sz w:val="20"/>
          <w:szCs w:val="20"/>
        </w:rPr>
        <w:t xml:space="preserve">i.e., </w:t>
      </w:r>
      <w:r w:rsidRPr="00235FB2">
        <w:rPr>
          <w:rFonts w:ascii="Calibri" w:hAnsi="Calibri" w:cs="Calibri"/>
          <w:color w:val="000000" w:themeColor="text1"/>
          <w:sz w:val="20"/>
          <w:szCs w:val="20"/>
        </w:rPr>
        <w:t xml:space="preserve">from primary level. </w:t>
      </w:r>
      <w:r w:rsidR="00801C1B" w:rsidRPr="00235FB2">
        <w:rPr>
          <w:rFonts w:ascii="Calibri" w:hAnsi="Calibri" w:cs="Calibri"/>
          <w:color w:val="000000" w:themeColor="text1"/>
          <w:sz w:val="20"/>
          <w:szCs w:val="20"/>
        </w:rPr>
        <w:t xml:space="preserve">For example, teacher </w:t>
      </w:r>
      <w:r w:rsidR="003E1B14" w:rsidRPr="00235FB2">
        <w:rPr>
          <w:rFonts w:ascii="Calibri" w:hAnsi="Calibri" w:cs="Calibri"/>
          <w:color w:val="000000" w:themeColor="text1"/>
          <w:sz w:val="20"/>
          <w:szCs w:val="20"/>
        </w:rPr>
        <w:t xml:space="preserve">5 suggested </w:t>
      </w:r>
      <w:r w:rsidR="003E1B14" w:rsidRPr="00235FB2">
        <w:rPr>
          <w:rFonts w:ascii="Calibri" w:hAnsi="Calibri" w:cs="Calibri"/>
          <w:i/>
          <w:iCs/>
          <w:color w:val="000000" w:themeColor="text1"/>
          <w:sz w:val="20"/>
          <w:szCs w:val="20"/>
        </w:rPr>
        <w:t>“…PWA should have been implemented at the primary school</w:t>
      </w:r>
      <w:r w:rsidR="00C54C91" w:rsidRPr="00235FB2">
        <w:rPr>
          <w:rFonts w:ascii="Calibri" w:hAnsi="Calibri" w:cs="Calibri"/>
          <w:i/>
          <w:iCs/>
          <w:color w:val="000000" w:themeColor="text1"/>
          <w:sz w:val="20"/>
          <w:szCs w:val="20"/>
        </w:rPr>
        <w:t xml:space="preserve"> or School Secondary Certificate (SS)</w:t>
      </w:r>
      <w:r w:rsidR="003E1B14" w:rsidRPr="00235FB2">
        <w:rPr>
          <w:rFonts w:ascii="Calibri" w:hAnsi="Calibri" w:cs="Calibri"/>
          <w:i/>
          <w:iCs/>
          <w:color w:val="000000" w:themeColor="text1"/>
          <w:sz w:val="20"/>
          <w:szCs w:val="20"/>
        </w:rPr>
        <w:t xml:space="preserve"> level as </w:t>
      </w:r>
      <w:r w:rsidR="00BA7C0F" w:rsidRPr="00235FB2">
        <w:rPr>
          <w:rFonts w:ascii="Calibri" w:hAnsi="Calibri" w:cs="Calibri"/>
          <w:i/>
          <w:iCs/>
          <w:color w:val="000000" w:themeColor="text1"/>
          <w:sz w:val="20"/>
          <w:szCs w:val="20"/>
        </w:rPr>
        <w:t>suddenly introducing PWA in HSC</w:t>
      </w:r>
      <w:r w:rsidR="00C54C91" w:rsidRPr="00235FB2">
        <w:rPr>
          <w:rFonts w:ascii="Calibri" w:hAnsi="Calibri" w:cs="Calibri"/>
          <w:i/>
          <w:iCs/>
          <w:color w:val="000000" w:themeColor="text1"/>
          <w:sz w:val="20"/>
          <w:szCs w:val="20"/>
        </w:rPr>
        <w:t xml:space="preserve"> level not only makes students confuse but also demotivated…”. </w:t>
      </w:r>
      <w:r w:rsidRPr="00235FB2">
        <w:rPr>
          <w:rFonts w:ascii="Calibri" w:hAnsi="Calibri" w:cs="Calibri"/>
          <w:color w:val="000000" w:themeColor="text1"/>
          <w:sz w:val="20"/>
          <w:szCs w:val="20"/>
        </w:rPr>
        <w:t>The teacher</w:t>
      </w:r>
      <w:r w:rsidR="00713716" w:rsidRPr="00235FB2">
        <w:rPr>
          <w:rFonts w:ascii="Calibri" w:hAnsi="Calibri" w:cs="Calibri"/>
          <w:color w:val="000000" w:themeColor="text1"/>
          <w:sz w:val="20"/>
          <w:szCs w:val="20"/>
        </w:rPr>
        <w:t>s</w:t>
      </w:r>
      <w:r w:rsidRPr="00235FB2">
        <w:rPr>
          <w:rFonts w:ascii="Calibri" w:hAnsi="Calibri" w:cs="Calibri"/>
          <w:color w:val="000000" w:themeColor="text1"/>
          <w:sz w:val="20"/>
          <w:szCs w:val="20"/>
        </w:rPr>
        <w:t xml:space="preserve"> also highlighted teacher-quality and training gaps </w:t>
      </w:r>
      <w:r w:rsidR="00CE1444" w:rsidRPr="00235FB2">
        <w:rPr>
          <w:rFonts w:ascii="Calibri" w:hAnsi="Calibri" w:cs="Calibri"/>
          <w:color w:val="000000" w:themeColor="text1"/>
          <w:sz w:val="20"/>
          <w:szCs w:val="20"/>
        </w:rPr>
        <w:t xml:space="preserve">particularly for the PWA </w:t>
      </w:r>
      <w:r w:rsidRPr="00235FB2">
        <w:rPr>
          <w:rFonts w:ascii="Calibri" w:hAnsi="Calibri" w:cs="Calibri"/>
          <w:color w:val="000000" w:themeColor="text1"/>
          <w:sz w:val="20"/>
          <w:szCs w:val="20"/>
        </w:rPr>
        <w:t xml:space="preserve">along with the absence of fixed writing pedagogy norms </w:t>
      </w:r>
      <w:r w:rsidR="00CE1444" w:rsidRPr="00235FB2">
        <w:rPr>
          <w:rFonts w:ascii="Calibri" w:hAnsi="Calibri" w:cs="Calibri"/>
          <w:color w:val="000000" w:themeColor="text1"/>
          <w:sz w:val="20"/>
          <w:szCs w:val="20"/>
        </w:rPr>
        <w:t xml:space="preserve">such as </w:t>
      </w:r>
      <w:r w:rsidRPr="00235FB2">
        <w:rPr>
          <w:rFonts w:ascii="Calibri" w:hAnsi="Calibri" w:cs="Calibri"/>
          <w:color w:val="000000" w:themeColor="text1"/>
          <w:sz w:val="20"/>
          <w:szCs w:val="20"/>
        </w:rPr>
        <w:t xml:space="preserve">no fixed approach or method of teaching. </w:t>
      </w:r>
      <w:r w:rsidR="00CE1444" w:rsidRPr="00235FB2">
        <w:rPr>
          <w:rFonts w:ascii="Calibri" w:hAnsi="Calibri" w:cs="Calibri"/>
          <w:color w:val="000000" w:themeColor="text1"/>
          <w:sz w:val="20"/>
          <w:szCs w:val="20"/>
        </w:rPr>
        <w:t>For example, teacher</w:t>
      </w:r>
      <w:r w:rsidR="004B0C76" w:rsidRPr="00235FB2">
        <w:rPr>
          <w:rFonts w:ascii="Calibri" w:hAnsi="Calibri" w:cs="Calibri"/>
          <w:color w:val="000000" w:themeColor="text1"/>
          <w:sz w:val="20"/>
          <w:szCs w:val="20"/>
        </w:rPr>
        <w:t xml:space="preserve">s 2, &amp; 3 stated that </w:t>
      </w:r>
      <w:r w:rsidR="004B0C76" w:rsidRPr="00235FB2">
        <w:rPr>
          <w:rFonts w:ascii="Calibri" w:hAnsi="Calibri" w:cs="Calibri"/>
          <w:i/>
          <w:iCs/>
          <w:color w:val="000000" w:themeColor="text1"/>
          <w:sz w:val="20"/>
          <w:szCs w:val="20"/>
        </w:rPr>
        <w:t>“…we were never trained to teach writing this way</w:t>
      </w:r>
      <w:r w:rsidR="00926B7D" w:rsidRPr="00235FB2">
        <w:rPr>
          <w:rFonts w:ascii="Calibri" w:hAnsi="Calibri" w:cs="Calibri"/>
          <w:i/>
          <w:iCs/>
          <w:color w:val="000000" w:themeColor="text1"/>
          <w:sz w:val="20"/>
          <w:szCs w:val="20"/>
        </w:rPr>
        <w:t xml:space="preserve">; therefore, it is challenging for us to teach students in the classroom…”. </w:t>
      </w:r>
      <w:r w:rsidR="00B5686D" w:rsidRPr="00235FB2">
        <w:rPr>
          <w:rFonts w:ascii="Calibri" w:hAnsi="Calibri" w:cs="Calibri"/>
          <w:color w:val="000000" w:themeColor="text1"/>
          <w:sz w:val="20"/>
          <w:szCs w:val="20"/>
        </w:rPr>
        <w:t xml:space="preserve">A couple of teachers who is aware of PWA raised a concern about </w:t>
      </w:r>
      <w:r w:rsidR="00D00596" w:rsidRPr="00235FB2">
        <w:rPr>
          <w:rFonts w:ascii="Calibri" w:hAnsi="Calibri" w:cs="Calibri"/>
          <w:color w:val="000000" w:themeColor="text1"/>
          <w:sz w:val="20"/>
          <w:szCs w:val="20"/>
        </w:rPr>
        <w:t>managing PWA in a large class size. For example, teachers 3 &amp; 4 stated that</w:t>
      </w:r>
      <w:r w:rsidR="0046081A" w:rsidRPr="00235FB2">
        <w:rPr>
          <w:rFonts w:ascii="Calibri" w:hAnsi="Calibri" w:cs="Calibri"/>
          <w:color w:val="000000" w:themeColor="text1"/>
          <w:sz w:val="20"/>
          <w:szCs w:val="20"/>
        </w:rPr>
        <w:t xml:space="preserve"> </w:t>
      </w:r>
      <w:r w:rsidR="0046081A" w:rsidRPr="00235FB2">
        <w:rPr>
          <w:rFonts w:ascii="Calibri" w:hAnsi="Calibri" w:cs="Calibri"/>
          <w:i/>
          <w:iCs/>
          <w:color w:val="000000" w:themeColor="text1"/>
          <w:sz w:val="20"/>
          <w:szCs w:val="20"/>
        </w:rPr>
        <w:t xml:space="preserve">“…PWA is good, but it is hard to manage with big classes…”. </w:t>
      </w:r>
      <w:r w:rsidR="00330EDD" w:rsidRPr="00235FB2">
        <w:rPr>
          <w:rFonts w:ascii="Calibri" w:hAnsi="Calibri" w:cs="Calibri"/>
          <w:color w:val="000000" w:themeColor="text1"/>
          <w:sz w:val="20"/>
          <w:szCs w:val="20"/>
        </w:rPr>
        <w:t>On a different note, a couple of teachers</w:t>
      </w:r>
      <w:r w:rsidR="004462D7" w:rsidRPr="00235FB2">
        <w:rPr>
          <w:rFonts w:ascii="Calibri" w:hAnsi="Calibri" w:cs="Calibri"/>
          <w:color w:val="000000" w:themeColor="text1"/>
          <w:sz w:val="20"/>
          <w:szCs w:val="20"/>
        </w:rPr>
        <w:t xml:space="preserve"> (2 &amp; 5)</w:t>
      </w:r>
      <w:r w:rsidR="00330EDD" w:rsidRPr="00235FB2">
        <w:rPr>
          <w:rFonts w:ascii="Calibri" w:hAnsi="Calibri" w:cs="Calibri"/>
          <w:color w:val="000000" w:themeColor="text1"/>
          <w:sz w:val="20"/>
          <w:szCs w:val="20"/>
        </w:rPr>
        <w:t xml:space="preserve"> criticised the HSC curriculum</w:t>
      </w:r>
      <w:r w:rsidR="002B40CE" w:rsidRPr="00235FB2">
        <w:rPr>
          <w:rFonts w:ascii="Calibri" w:hAnsi="Calibri" w:cs="Calibri"/>
          <w:color w:val="000000" w:themeColor="text1"/>
          <w:sz w:val="20"/>
          <w:szCs w:val="20"/>
        </w:rPr>
        <w:t xml:space="preserve"> by mentioning that </w:t>
      </w:r>
      <w:r w:rsidR="002B40CE" w:rsidRPr="00235FB2">
        <w:rPr>
          <w:rFonts w:ascii="Calibri" w:hAnsi="Calibri" w:cs="Calibri"/>
          <w:i/>
          <w:iCs/>
          <w:color w:val="000000" w:themeColor="text1"/>
          <w:sz w:val="20"/>
          <w:szCs w:val="20"/>
        </w:rPr>
        <w:t>“…the curriculu</w:t>
      </w:r>
      <w:r w:rsidR="00CD194B" w:rsidRPr="00235FB2">
        <w:rPr>
          <w:rFonts w:ascii="Calibri" w:hAnsi="Calibri" w:cs="Calibri"/>
          <w:i/>
          <w:iCs/>
          <w:color w:val="000000" w:themeColor="text1"/>
          <w:sz w:val="20"/>
          <w:szCs w:val="20"/>
        </w:rPr>
        <w:t>m focuses more on results</w:t>
      </w:r>
      <w:r w:rsidR="004462D7" w:rsidRPr="00235FB2">
        <w:rPr>
          <w:rFonts w:ascii="Calibri" w:hAnsi="Calibri" w:cs="Calibri"/>
          <w:i/>
          <w:iCs/>
          <w:color w:val="000000" w:themeColor="text1"/>
          <w:sz w:val="20"/>
          <w:szCs w:val="20"/>
        </w:rPr>
        <w:t xml:space="preserve"> than learning, which is a constraint of PWA implementation…”. </w:t>
      </w:r>
    </w:p>
    <w:p w14:paraId="2E2A0FA7" w14:textId="77777777" w:rsidR="006234C9" w:rsidRPr="00235FB2" w:rsidRDefault="006234C9" w:rsidP="009B169D">
      <w:pPr>
        <w:spacing w:after="0" w:line="360" w:lineRule="auto"/>
        <w:jc w:val="both"/>
        <w:rPr>
          <w:rFonts w:ascii="Calibri" w:hAnsi="Calibri" w:cs="Calibri"/>
          <w:b/>
          <w:bCs/>
          <w:i/>
          <w:iCs/>
          <w:color w:val="000000" w:themeColor="text1"/>
          <w:sz w:val="20"/>
          <w:szCs w:val="20"/>
        </w:rPr>
      </w:pPr>
    </w:p>
    <w:p w14:paraId="5C9738CF" w14:textId="265BE342" w:rsidR="0076359C" w:rsidRPr="00235FB2" w:rsidRDefault="0076359C" w:rsidP="009B169D">
      <w:pPr>
        <w:spacing w:after="0" w:line="360" w:lineRule="auto"/>
        <w:jc w:val="both"/>
        <w:rPr>
          <w:rFonts w:ascii="Calibri" w:hAnsi="Calibri" w:cs="Calibri"/>
          <w:b/>
          <w:bCs/>
          <w:i/>
          <w:iCs/>
          <w:color w:val="000000" w:themeColor="text1"/>
          <w:sz w:val="20"/>
          <w:szCs w:val="20"/>
        </w:rPr>
      </w:pPr>
      <w:r w:rsidRPr="00235FB2">
        <w:rPr>
          <w:rFonts w:ascii="Calibri" w:hAnsi="Calibri" w:cs="Calibri"/>
          <w:b/>
          <w:bCs/>
          <w:i/>
          <w:iCs/>
          <w:color w:val="000000" w:themeColor="text1"/>
          <w:sz w:val="20"/>
          <w:szCs w:val="20"/>
        </w:rPr>
        <w:t xml:space="preserve">Interpretation: </w:t>
      </w:r>
    </w:p>
    <w:p w14:paraId="2E0B82AB" w14:textId="6E6FCC9D" w:rsidR="00B367AF" w:rsidRPr="00235FB2" w:rsidRDefault="00EC1A16" w:rsidP="009B169D">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 quotes from the above shows that </w:t>
      </w:r>
      <w:r w:rsidR="007D7540" w:rsidRPr="00235FB2">
        <w:rPr>
          <w:rFonts w:ascii="Calibri" w:hAnsi="Calibri" w:cs="Calibri"/>
          <w:color w:val="000000" w:themeColor="text1"/>
          <w:sz w:val="20"/>
          <w:szCs w:val="20"/>
        </w:rPr>
        <w:t>PWA is not merely a classroom technique</w:t>
      </w:r>
      <w:r w:rsidRPr="00235FB2">
        <w:rPr>
          <w:rFonts w:ascii="Calibri" w:hAnsi="Calibri" w:cs="Calibri"/>
          <w:color w:val="000000" w:themeColor="text1"/>
          <w:sz w:val="20"/>
          <w:szCs w:val="20"/>
        </w:rPr>
        <w:t xml:space="preserve"> but</w:t>
      </w:r>
      <w:r w:rsidR="007D7540" w:rsidRPr="00235FB2">
        <w:rPr>
          <w:rFonts w:ascii="Calibri" w:hAnsi="Calibri" w:cs="Calibri"/>
          <w:color w:val="000000" w:themeColor="text1"/>
          <w:sz w:val="20"/>
          <w:szCs w:val="20"/>
        </w:rPr>
        <w:t xml:space="preserve"> it is a capability and capacity issue. Teachers perceive PWA as pragmatic and potentially transformative</w:t>
      </w:r>
      <w:r w:rsidR="000C2F9B" w:rsidRPr="00235FB2">
        <w:rPr>
          <w:rFonts w:ascii="Calibri" w:hAnsi="Calibri" w:cs="Calibri"/>
          <w:color w:val="000000" w:themeColor="text1"/>
          <w:sz w:val="20"/>
          <w:szCs w:val="20"/>
        </w:rPr>
        <w:t xml:space="preserve"> as well as valuable but difficult to implement without training, institutional support, and workload adjustments</w:t>
      </w:r>
      <w:r w:rsidR="00502F64" w:rsidRPr="00235FB2">
        <w:rPr>
          <w:rFonts w:ascii="Calibri" w:hAnsi="Calibri" w:cs="Calibri"/>
          <w:color w:val="000000" w:themeColor="text1"/>
          <w:sz w:val="20"/>
          <w:szCs w:val="20"/>
        </w:rPr>
        <w:t xml:space="preserve">. </w:t>
      </w:r>
      <w:r w:rsidR="008672B7" w:rsidRPr="00235FB2">
        <w:rPr>
          <w:rFonts w:ascii="Calibri" w:hAnsi="Calibri" w:cs="Calibri"/>
          <w:color w:val="000000" w:themeColor="text1"/>
          <w:sz w:val="20"/>
          <w:szCs w:val="20"/>
        </w:rPr>
        <w:t xml:space="preserve">The findings suggested that </w:t>
      </w:r>
      <w:r w:rsidR="00266834" w:rsidRPr="00235FB2">
        <w:rPr>
          <w:rFonts w:ascii="Calibri" w:hAnsi="Calibri" w:cs="Calibri"/>
          <w:color w:val="000000" w:themeColor="text1"/>
          <w:sz w:val="20"/>
          <w:szCs w:val="20"/>
        </w:rPr>
        <w:t>all the identified barriers must</w:t>
      </w:r>
      <w:r w:rsidR="007D7540" w:rsidRPr="00235FB2">
        <w:rPr>
          <w:rFonts w:ascii="Calibri" w:hAnsi="Calibri" w:cs="Calibri"/>
          <w:color w:val="000000" w:themeColor="text1"/>
          <w:sz w:val="20"/>
          <w:szCs w:val="20"/>
        </w:rPr>
        <w:t xml:space="preserve"> be addressed for sustainable adoption</w:t>
      </w:r>
      <w:r w:rsidR="00266834" w:rsidRPr="00235FB2">
        <w:rPr>
          <w:rFonts w:ascii="Calibri" w:hAnsi="Calibri" w:cs="Calibri"/>
          <w:color w:val="000000" w:themeColor="text1"/>
          <w:sz w:val="20"/>
          <w:szCs w:val="20"/>
        </w:rPr>
        <w:t xml:space="preserve"> of PWA in HSC curriculum in Bangladesh. </w:t>
      </w:r>
    </w:p>
    <w:p w14:paraId="55555DAA" w14:textId="77777777" w:rsidR="00266834" w:rsidRPr="00235FB2" w:rsidRDefault="00266834" w:rsidP="009B169D">
      <w:pPr>
        <w:spacing w:after="0" w:line="360" w:lineRule="auto"/>
        <w:jc w:val="both"/>
        <w:rPr>
          <w:rFonts w:ascii="Calibri" w:hAnsi="Calibri" w:cs="Calibri"/>
          <w:color w:val="000000" w:themeColor="text1"/>
          <w:sz w:val="20"/>
          <w:szCs w:val="20"/>
        </w:rPr>
      </w:pPr>
    </w:p>
    <w:p w14:paraId="5CF8C0AF" w14:textId="489767DC" w:rsidR="00162D7B" w:rsidRPr="00235FB2" w:rsidRDefault="00465073" w:rsidP="009B169D">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Overall, the findings reveal a complex interaction between entrenched product-oriented practices and emerging process-based pedagogy. While institutional constraints and assessment pressures sustain rote learning, exposure to PWA initiates cognitive, affective, and behavioural transformation. Students demonstrate increased confidence, originality, and strategic awareness, although resistance persists due to exam rationality. Teacher capacity and systemic support emerge as critical conditions for sustainable implementation. </w:t>
      </w:r>
      <w:r w:rsidR="00360BD8" w:rsidRPr="00235FB2">
        <w:rPr>
          <w:rFonts w:ascii="Calibri" w:hAnsi="Calibri" w:cs="Calibri"/>
          <w:color w:val="000000" w:themeColor="text1"/>
          <w:sz w:val="20"/>
          <w:szCs w:val="20"/>
        </w:rPr>
        <w:t xml:space="preserve">From the data analysis and </w:t>
      </w:r>
      <w:r w:rsidR="00D147C7" w:rsidRPr="00235FB2">
        <w:rPr>
          <w:rFonts w:ascii="Calibri" w:hAnsi="Calibri" w:cs="Calibri"/>
          <w:color w:val="000000" w:themeColor="text1"/>
          <w:sz w:val="20"/>
          <w:szCs w:val="20"/>
        </w:rPr>
        <w:t>interpretation</w:t>
      </w:r>
      <w:r w:rsidR="00360BD8" w:rsidRPr="00235FB2">
        <w:rPr>
          <w:rFonts w:ascii="Calibri" w:hAnsi="Calibri" w:cs="Calibri"/>
          <w:color w:val="000000" w:themeColor="text1"/>
          <w:sz w:val="20"/>
          <w:szCs w:val="20"/>
        </w:rPr>
        <w:t xml:space="preserve"> </w:t>
      </w:r>
      <w:r w:rsidR="007279A1" w:rsidRPr="00235FB2">
        <w:rPr>
          <w:rFonts w:ascii="Calibri" w:hAnsi="Calibri" w:cs="Calibri"/>
          <w:color w:val="000000" w:themeColor="text1"/>
          <w:sz w:val="20"/>
          <w:szCs w:val="20"/>
        </w:rPr>
        <w:t>above, the authors have revised the Flower and Hayes’ Process Writing Approach (PWA)</w:t>
      </w:r>
      <w:r w:rsidR="001546BE" w:rsidRPr="00235FB2">
        <w:rPr>
          <w:rFonts w:ascii="Calibri" w:hAnsi="Calibri" w:cs="Calibri"/>
          <w:color w:val="000000" w:themeColor="text1"/>
          <w:sz w:val="20"/>
          <w:szCs w:val="20"/>
        </w:rPr>
        <w:t xml:space="preserve"> model </w:t>
      </w:r>
      <w:r w:rsidR="001638B0" w:rsidRPr="00235FB2">
        <w:rPr>
          <w:rFonts w:ascii="Calibri" w:hAnsi="Calibri" w:cs="Calibri"/>
          <w:color w:val="000000" w:themeColor="text1"/>
          <w:sz w:val="20"/>
          <w:szCs w:val="20"/>
        </w:rPr>
        <w:t>below (</w:t>
      </w:r>
      <w:r w:rsidR="001638B0" w:rsidRPr="00235FB2">
        <w:rPr>
          <w:rFonts w:ascii="Calibri" w:hAnsi="Calibri" w:cs="Calibri"/>
          <w:b/>
          <w:bCs/>
          <w:color w:val="000000" w:themeColor="text1"/>
          <w:sz w:val="20"/>
          <w:szCs w:val="20"/>
        </w:rPr>
        <w:t xml:space="preserve">Fig 3) </w:t>
      </w:r>
      <w:r w:rsidR="001546BE" w:rsidRPr="00235FB2">
        <w:rPr>
          <w:rFonts w:ascii="Calibri" w:hAnsi="Calibri" w:cs="Calibri"/>
          <w:color w:val="000000" w:themeColor="text1"/>
          <w:sz w:val="20"/>
          <w:szCs w:val="20"/>
        </w:rPr>
        <w:t>with the key findings</w:t>
      </w:r>
      <w:r w:rsidR="00EA354A" w:rsidRPr="00235FB2">
        <w:rPr>
          <w:rFonts w:ascii="Calibri" w:hAnsi="Calibri" w:cs="Calibri"/>
          <w:color w:val="000000" w:themeColor="text1"/>
          <w:sz w:val="20"/>
          <w:szCs w:val="20"/>
        </w:rPr>
        <w:t xml:space="preserve">. </w:t>
      </w:r>
    </w:p>
    <w:p w14:paraId="5D692922" w14:textId="77777777" w:rsidR="006234C9" w:rsidRPr="00235FB2" w:rsidRDefault="006234C9" w:rsidP="009B169D">
      <w:pPr>
        <w:spacing w:after="0" w:line="360" w:lineRule="auto"/>
        <w:jc w:val="both"/>
        <w:rPr>
          <w:rFonts w:ascii="Calibri" w:hAnsi="Calibri" w:cs="Calibri"/>
          <w:color w:val="000000" w:themeColor="text1"/>
          <w:sz w:val="20"/>
          <w:szCs w:val="20"/>
        </w:rPr>
      </w:pPr>
    </w:p>
    <w:p w14:paraId="5D89916B" w14:textId="4604550E" w:rsidR="009B169D" w:rsidRPr="00235FB2" w:rsidRDefault="004708F4" w:rsidP="009B169D">
      <w:pPr>
        <w:spacing w:after="0" w:line="360" w:lineRule="auto"/>
        <w:jc w:val="both"/>
        <w:rPr>
          <w:rFonts w:ascii="Calibri" w:hAnsi="Calibri" w:cs="Calibri"/>
          <w:color w:val="000000" w:themeColor="text1"/>
          <w:sz w:val="20"/>
          <w:szCs w:val="20"/>
        </w:rPr>
      </w:pPr>
      <w:r w:rsidRPr="00235FB2">
        <w:rPr>
          <w:rFonts w:ascii="Calibri" w:hAnsi="Calibri" w:cs="Calibri"/>
          <w:noProof/>
          <w:color w:val="000000" w:themeColor="text1"/>
          <w:sz w:val="20"/>
          <w:szCs w:val="20"/>
        </w:rPr>
        <w:drawing>
          <wp:anchor distT="0" distB="0" distL="114300" distR="114300" simplePos="0" relativeHeight="251660288" behindDoc="1" locked="0" layoutInCell="1" allowOverlap="1" wp14:anchorId="03054952" wp14:editId="0AD4B6EA">
            <wp:simplePos x="0" y="0"/>
            <wp:positionH relativeFrom="margin">
              <wp:posOffset>1101213</wp:posOffset>
            </wp:positionH>
            <wp:positionV relativeFrom="paragraph">
              <wp:posOffset>2622</wp:posOffset>
            </wp:positionV>
            <wp:extent cx="3642852" cy="2787650"/>
            <wp:effectExtent l="0" t="0" r="0" b="0"/>
            <wp:wrapNone/>
            <wp:docPr id="1090954127" name="Picture 1" descr="A diagram of process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54127" name="Picture 1" descr="A diagram of process writing&#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6395" cy="2790362"/>
                    </a:xfrm>
                    <a:prstGeom prst="rect">
                      <a:avLst/>
                    </a:prstGeom>
                  </pic:spPr>
                </pic:pic>
              </a:graphicData>
            </a:graphic>
            <wp14:sizeRelH relativeFrom="margin">
              <wp14:pctWidth>0</wp14:pctWidth>
            </wp14:sizeRelH>
            <wp14:sizeRelV relativeFrom="margin">
              <wp14:pctHeight>0</wp14:pctHeight>
            </wp14:sizeRelV>
          </wp:anchor>
        </w:drawing>
      </w:r>
    </w:p>
    <w:p w14:paraId="77D9E933" w14:textId="71E2CD0E" w:rsidR="004708F4" w:rsidRPr="00235FB2" w:rsidRDefault="004708F4" w:rsidP="00C82C37">
      <w:pPr>
        <w:spacing w:after="0" w:line="360" w:lineRule="auto"/>
        <w:rPr>
          <w:rFonts w:ascii="Calibri" w:hAnsi="Calibri" w:cs="Calibri"/>
          <w:color w:val="000000" w:themeColor="text1"/>
          <w:sz w:val="20"/>
          <w:szCs w:val="20"/>
        </w:rPr>
      </w:pPr>
    </w:p>
    <w:p w14:paraId="546AF943" w14:textId="46595D79" w:rsidR="004708F4" w:rsidRPr="00235FB2" w:rsidRDefault="004708F4" w:rsidP="00C82C37">
      <w:pPr>
        <w:spacing w:after="0" w:line="360" w:lineRule="auto"/>
        <w:rPr>
          <w:rFonts w:ascii="Calibri" w:hAnsi="Calibri" w:cs="Calibri"/>
          <w:color w:val="000000" w:themeColor="text1"/>
          <w:sz w:val="20"/>
          <w:szCs w:val="20"/>
        </w:rPr>
      </w:pPr>
    </w:p>
    <w:p w14:paraId="09B4CF89" w14:textId="117B65FD" w:rsidR="00C82C37" w:rsidRPr="00235FB2" w:rsidRDefault="00C82C37" w:rsidP="00C82C37">
      <w:pPr>
        <w:spacing w:after="0" w:line="360" w:lineRule="auto"/>
        <w:rPr>
          <w:rFonts w:ascii="Calibri" w:hAnsi="Calibri" w:cs="Calibri"/>
          <w:color w:val="000000" w:themeColor="text1"/>
          <w:sz w:val="20"/>
          <w:szCs w:val="20"/>
        </w:rPr>
      </w:pPr>
    </w:p>
    <w:p w14:paraId="3E6CFFE0" w14:textId="77777777" w:rsidR="004708F4" w:rsidRPr="00235FB2" w:rsidRDefault="004708F4" w:rsidP="00C82C37">
      <w:pPr>
        <w:spacing w:after="0" w:line="360" w:lineRule="auto"/>
        <w:rPr>
          <w:rFonts w:ascii="Calibri" w:hAnsi="Calibri" w:cs="Calibri"/>
          <w:color w:val="000000" w:themeColor="text1"/>
          <w:sz w:val="20"/>
          <w:szCs w:val="20"/>
        </w:rPr>
      </w:pPr>
    </w:p>
    <w:p w14:paraId="742484A2" w14:textId="77777777" w:rsidR="004708F4" w:rsidRPr="00235FB2" w:rsidRDefault="004708F4" w:rsidP="00C82C37">
      <w:pPr>
        <w:spacing w:after="0" w:line="360" w:lineRule="auto"/>
        <w:rPr>
          <w:rFonts w:ascii="Calibri" w:hAnsi="Calibri" w:cs="Calibri"/>
          <w:color w:val="000000" w:themeColor="text1"/>
          <w:sz w:val="20"/>
          <w:szCs w:val="20"/>
        </w:rPr>
      </w:pPr>
    </w:p>
    <w:p w14:paraId="1E7AA57E" w14:textId="77777777" w:rsidR="004708F4" w:rsidRPr="00235FB2" w:rsidRDefault="004708F4" w:rsidP="00C82C37">
      <w:pPr>
        <w:spacing w:after="0" w:line="360" w:lineRule="auto"/>
        <w:rPr>
          <w:rFonts w:ascii="Calibri" w:hAnsi="Calibri" w:cs="Calibri"/>
          <w:color w:val="000000" w:themeColor="text1"/>
          <w:sz w:val="20"/>
          <w:szCs w:val="20"/>
        </w:rPr>
      </w:pPr>
    </w:p>
    <w:p w14:paraId="3DF79253" w14:textId="77777777" w:rsidR="004708F4" w:rsidRPr="00235FB2" w:rsidRDefault="004708F4" w:rsidP="00C82C37">
      <w:pPr>
        <w:spacing w:after="0" w:line="360" w:lineRule="auto"/>
        <w:rPr>
          <w:rFonts w:ascii="Calibri" w:hAnsi="Calibri" w:cs="Calibri"/>
          <w:color w:val="000000" w:themeColor="text1"/>
          <w:sz w:val="20"/>
          <w:szCs w:val="20"/>
        </w:rPr>
      </w:pPr>
    </w:p>
    <w:p w14:paraId="0E05843D" w14:textId="77777777" w:rsidR="004708F4" w:rsidRPr="00235FB2" w:rsidRDefault="004708F4" w:rsidP="00C82C37">
      <w:pPr>
        <w:spacing w:after="0" w:line="360" w:lineRule="auto"/>
        <w:rPr>
          <w:rFonts w:ascii="Calibri" w:hAnsi="Calibri" w:cs="Calibri"/>
          <w:color w:val="000000" w:themeColor="text1"/>
          <w:sz w:val="20"/>
          <w:szCs w:val="20"/>
        </w:rPr>
      </w:pPr>
    </w:p>
    <w:p w14:paraId="3ECA34C7" w14:textId="77777777" w:rsidR="004708F4" w:rsidRPr="00235FB2" w:rsidRDefault="004708F4" w:rsidP="00C82C37">
      <w:pPr>
        <w:spacing w:after="0" w:line="360" w:lineRule="auto"/>
        <w:rPr>
          <w:rFonts w:ascii="Calibri" w:hAnsi="Calibri" w:cs="Calibri"/>
          <w:color w:val="000000" w:themeColor="text1"/>
          <w:sz w:val="20"/>
          <w:szCs w:val="20"/>
        </w:rPr>
      </w:pPr>
    </w:p>
    <w:p w14:paraId="304419E5" w14:textId="77777777" w:rsidR="004708F4" w:rsidRPr="00235FB2" w:rsidRDefault="004708F4" w:rsidP="00C82C37">
      <w:pPr>
        <w:spacing w:after="0" w:line="360" w:lineRule="auto"/>
        <w:rPr>
          <w:rFonts w:ascii="Calibri" w:hAnsi="Calibri" w:cs="Calibri"/>
          <w:color w:val="000000" w:themeColor="text1"/>
          <w:sz w:val="20"/>
          <w:szCs w:val="20"/>
        </w:rPr>
      </w:pPr>
    </w:p>
    <w:p w14:paraId="4DD2CC56" w14:textId="77777777" w:rsidR="004708F4" w:rsidRPr="00235FB2" w:rsidRDefault="004708F4" w:rsidP="00C82C37">
      <w:pPr>
        <w:spacing w:after="0" w:line="360" w:lineRule="auto"/>
        <w:rPr>
          <w:rFonts w:ascii="Calibri" w:hAnsi="Calibri" w:cs="Calibri"/>
          <w:color w:val="000000" w:themeColor="text1"/>
          <w:sz w:val="20"/>
          <w:szCs w:val="20"/>
        </w:rPr>
      </w:pPr>
    </w:p>
    <w:p w14:paraId="030F6E07" w14:textId="55A0D584" w:rsidR="004708F4" w:rsidRPr="00235FB2" w:rsidRDefault="00A714EE" w:rsidP="00A714EE">
      <w:pPr>
        <w:spacing w:after="0" w:line="360" w:lineRule="auto"/>
        <w:jc w:val="center"/>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Fig 3: Revised Process Writing Approach Model </w:t>
      </w:r>
      <w:r w:rsidRPr="00235FB2">
        <w:rPr>
          <w:rFonts w:ascii="Calibri" w:hAnsi="Calibri" w:cs="Calibri"/>
          <w:color w:val="000000" w:themeColor="text1"/>
          <w:sz w:val="20"/>
          <w:szCs w:val="20"/>
        </w:rPr>
        <w:t xml:space="preserve">(Created by the </w:t>
      </w:r>
      <w:r w:rsidR="00454D62" w:rsidRPr="00235FB2">
        <w:rPr>
          <w:rFonts w:ascii="Calibri" w:hAnsi="Calibri" w:cs="Calibri"/>
          <w:color w:val="000000" w:themeColor="text1"/>
          <w:sz w:val="20"/>
          <w:szCs w:val="20"/>
        </w:rPr>
        <w:t xml:space="preserve">authors). </w:t>
      </w:r>
    </w:p>
    <w:p w14:paraId="6A2BC4AC" w14:textId="77777777" w:rsidR="00A714EE" w:rsidRPr="00235FB2" w:rsidRDefault="00A714EE" w:rsidP="00C82C37">
      <w:pPr>
        <w:spacing w:after="0" w:line="360" w:lineRule="auto"/>
        <w:rPr>
          <w:rFonts w:ascii="Calibri" w:hAnsi="Calibri" w:cs="Calibri"/>
          <w:color w:val="000000" w:themeColor="text1"/>
          <w:sz w:val="20"/>
          <w:szCs w:val="20"/>
        </w:rPr>
      </w:pPr>
    </w:p>
    <w:p w14:paraId="620CD187" w14:textId="799F5AB9" w:rsidR="00261B85" w:rsidRPr="00235FB2" w:rsidRDefault="00261B85" w:rsidP="00C82C37">
      <w:p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Based on the </w:t>
      </w:r>
      <w:r w:rsidR="0064472A" w:rsidRPr="00235FB2">
        <w:rPr>
          <w:rFonts w:ascii="Calibri" w:hAnsi="Calibri" w:cs="Calibri"/>
          <w:color w:val="000000" w:themeColor="text1"/>
          <w:sz w:val="20"/>
          <w:szCs w:val="20"/>
        </w:rPr>
        <w:t>study findings</w:t>
      </w:r>
      <w:r w:rsidR="00540CFD" w:rsidRPr="00235FB2">
        <w:rPr>
          <w:rFonts w:ascii="Calibri" w:hAnsi="Calibri" w:cs="Calibri"/>
          <w:color w:val="000000" w:themeColor="text1"/>
          <w:sz w:val="20"/>
          <w:szCs w:val="20"/>
        </w:rPr>
        <w:t xml:space="preserve"> and compared with Flower &amp; Hayes (1981) Component</w:t>
      </w:r>
      <w:r w:rsidR="00F53165" w:rsidRPr="00235FB2">
        <w:rPr>
          <w:rFonts w:ascii="Calibri" w:hAnsi="Calibri" w:cs="Calibri"/>
          <w:color w:val="000000" w:themeColor="text1"/>
          <w:sz w:val="20"/>
          <w:szCs w:val="20"/>
        </w:rPr>
        <w:t xml:space="preserve"> </w:t>
      </w:r>
      <w:r w:rsidR="00564BF8" w:rsidRPr="00235FB2">
        <w:rPr>
          <w:rFonts w:ascii="Calibri" w:hAnsi="Calibri" w:cs="Calibri"/>
          <w:color w:val="000000" w:themeColor="text1"/>
          <w:sz w:val="20"/>
          <w:szCs w:val="20"/>
        </w:rPr>
        <w:t xml:space="preserve">and the revised PWA model, this study </w:t>
      </w:r>
      <w:r w:rsidR="00C32A25" w:rsidRPr="00235FB2">
        <w:rPr>
          <w:rFonts w:ascii="Calibri" w:hAnsi="Calibri" w:cs="Calibri"/>
          <w:color w:val="000000" w:themeColor="text1"/>
          <w:sz w:val="20"/>
          <w:szCs w:val="20"/>
        </w:rPr>
        <w:t>produces</w:t>
      </w:r>
      <w:r w:rsidR="00582977" w:rsidRPr="00235FB2">
        <w:rPr>
          <w:rFonts w:ascii="Calibri" w:hAnsi="Calibri" w:cs="Calibri"/>
          <w:color w:val="000000" w:themeColor="text1"/>
          <w:sz w:val="20"/>
          <w:szCs w:val="20"/>
        </w:rPr>
        <w:t xml:space="preserve"> a list of</w:t>
      </w:r>
      <w:r w:rsidR="00C32A25" w:rsidRPr="00235FB2">
        <w:rPr>
          <w:rFonts w:ascii="Calibri" w:hAnsi="Calibri" w:cs="Calibri"/>
          <w:color w:val="000000" w:themeColor="text1"/>
          <w:sz w:val="20"/>
          <w:szCs w:val="20"/>
        </w:rPr>
        <w:t xml:space="preserve"> </w:t>
      </w:r>
      <w:r w:rsidR="00CE08B1" w:rsidRPr="00235FB2">
        <w:rPr>
          <w:rFonts w:ascii="Calibri" w:hAnsi="Calibri" w:cs="Calibri"/>
          <w:color w:val="000000" w:themeColor="text1"/>
          <w:sz w:val="20"/>
          <w:szCs w:val="20"/>
        </w:rPr>
        <w:t xml:space="preserve">theoretical Integration </w:t>
      </w:r>
      <w:r w:rsidR="00582977" w:rsidRPr="00235FB2">
        <w:rPr>
          <w:rFonts w:ascii="Calibri" w:hAnsi="Calibri" w:cs="Calibri"/>
          <w:color w:val="000000" w:themeColor="text1"/>
          <w:sz w:val="20"/>
          <w:szCs w:val="20"/>
        </w:rPr>
        <w:t xml:space="preserve">and contribution. </w:t>
      </w:r>
    </w:p>
    <w:tbl>
      <w:tblPr>
        <w:tblStyle w:val="TableGrid"/>
        <w:tblW w:w="0" w:type="auto"/>
        <w:tblLook w:val="04A0" w:firstRow="1" w:lastRow="0" w:firstColumn="1" w:lastColumn="0" w:noHBand="0" w:noVBand="1"/>
      </w:tblPr>
      <w:tblGrid>
        <w:gridCol w:w="2358"/>
        <w:gridCol w:w="1824"/>
        <w:gridCol w:w="2505"/>
        <w:gridCol w:w="2329"/>
      </w:tblGrid>
      <w:tr w:rsidR="001D56FD" w:rsidRPr="00235FB2" w14:paraId="0DEC5759" w14:textId="77777777" w:rsidTr="001E0C87">
        <w:tc>
          <w:tcPr>
            <w:tcW w:w="0" w:type="auto"/>
          </w:tcPr>
          <w:p w14:paraId="69CAF07B" w14:textId="77777777" w:rsidR="00582977" w:rsidRPr="00235FB2" w:rsidRDefault="00582977" w:rsidP="001E0C87">
            <w:pPr>
              <w:spacing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Study Findings </w:t>
            </w:r>
          </w:p>
        </w:tc>
        <w:tc>
          <w:tcPr>
            <w:tcW w:w="0" w:type="auto"/>
          </w:tcPr>
          <w:p w14:paraId="29789C6A" w14:textId="77777777" w:rsidR="00582977" w:rsidRPr="00235FB2" w:rsidRDefault="00582977" w:rsidP="001E0C87">
            <w:pPr>
              <w:spacing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Flower &amp; Hayes (1981) Component </w:t>
            </w:r>
          </w:p>
        </w:tc>
        <w:tc>
          <w:tcPr>
            <w:tcW w:w="0" w:type="auto"/>
          </w:tcPr>
          <w:p w14:paraId="13156068" w14:textId="77777777" w:rsidR="00582977" w:rsidRPr="00235FB2" w:rsidRDefault="00582977" w:rsidP="001E0C87">
            <w:pPr>
              <w:spacing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Theoretical Integration</w:t>
            </w:r>
          </w:p>
        </w:tc>
        <w:tc>
          <w:tcPr>
            <w:tcW w:w="0" w:type="auto"/>
          </w:tcPr>
          <w:p w14:paraId="36203DB7" w14:textId="77777777" w:rsidR="00582977" w:rsidRPr="00235FB2" w:rsidRDefault="00582977" w:rsidP="001E0C87">
            <w:pPr>
              <w:spacing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Contribution to Theory </w:t>
            </w:r>
          </w:p>
        </w:tc>
      </w:tr>
      <w:tr w:rsidR="001D56FD" w:rsidRPr="00235FB2" w14:paraId="5EE799DB" w14:textId="77777777" w:rsidTr="001E0C87">
        <w:tc>
          <w:tcPr>
            <w:tcW w:w="0" w:type="auto"/>
          </w:tcPr>
          <w:p w14:paraId="3EDF97D8" w14:textId="77777777" w:rsidR="00582977" w:rsidRPr="00235FB2" w:rsidRDefault="00582977" w:rsidP="001E0C87">
            <w:pPr>
              <w:spacing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Rote memorisation dominates writing instructions</w:t>
            </w:r>
          </w:p>
        </w:tc>
        <w:tc>
          <w:tcPr>
            <w:tcW w:w="0" w:type="auto"/>
          </w:tcPr>
          <w:p w14:paraId="22D1213F" w14:textId="77777777" w:rsidR="00582977" w:rsidRPr="00235FB2" w:rsidRDefault="00582977" w:rsidP="001E0C87">
            <w:pPr>
              <w:spacing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Absence of Planning &amp; Reviewing</w:t>
            </w:r>
          </w:p>
        </w:tc>
        <w:tc>
          <w:tcPr>
            <w:tcW w:w="0" w:type="auto"/>
          </w:tcPr>
          <w:p w14:paraId="4BF53751" w14:textId="77777777" w:rsidR="00582977" w:rsidRPr="00235FB2" w:rsidRDefault="00582977" w:rsidP="001E0C87">
            <w:pPr>
              <w:spacing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Product pedagogy suppresses cognitive composing processes </w:t>
            </w:r>
          </w:p>
        </w:tc>
        <w:tc>
          <w:tcPr>
            <w:tcW w:w="0" w:type="auto"/>
          </w:tcPr>
          <w:p w14:paraId="1957F891" w14:textId="77777777" w:rsidR="00582977" w:rsidRPr="00235FB2" w:rsidRDefault="00582977" w:rsidP="001E0C87">
            <w:pPr>
              <w:spacing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Shows how exam culture blocks core cognitive routines</w:t>
            </w:r>
          </w:p>
        </w:tc>
      </w:tr>
      <w:tr w:rsidR="001D56FD" w:rsidRPr="00235FB2" w14:paraId="36CB6760" w14:textId="77777777" w:rsidTr="001E0C87">
        <w:tc>
          <w:tcPr>
            <w:tcW w:w="0" w:type="auto"/>
          </w:tcPr>
          <w:p w14:paraId="760655D3"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Students shift from copying to composing under PWA</w:t>
            </w:r>
          </w:p>
        </w:tc>
        <w:tc>
          <w:tcPr>
            <w:tcW w:w="0" w:type="auto"/>
          </w:tcPr>
          <w:p w14:paraId="6C1775BD"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Planning Process</w:t>
            </w:r>
          </w:p>
        </w:tc>
        <w:tc>
          <w:tcPr>
            <w:tcW w:w="0" w:type="auto"/>
          </w:tcPr>
          <w:p w14:paraId="5B0CB7B0"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Idea generation, goal setting activated </w:t>
            </w:r>
          </w:p>
        </w:tc>
        <w:tc>
          <w:tcPr>
            <w:tcW w:w="0" w:type="auto"/>
          </w:tcPr>
          <w:p w14:paraId="11EFC7A9"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Empirically validates planning as teachable practice </w:t>
            </w:r>
          </w:p>
        </w:tc>
      </w:tr>
      <w:tr w:rsidR="001D56FD" w:rsidRPr="00235FB2" w14:paraId="56ED869A" w14:textId="77777777" w:rsidTr="001E0C87">
        <w:tc>
          <w:tcPr>
            <w:tcW w:w="0" w:type="auto"/>
          </w:tcPr>
          <w:p w14:paraId="3449A491"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Improved coherence and originality </w:t>
            </w:r>
          </w:p>
        </w:tc>
        <w:tc>
          <w:tcPr>
            <w:tcW w:w="0" w:type="auto"/>
          </w:tcPr>
          <w:p w14:paraId="083B2E96"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Reviewing Process </w:t>
            </w:r>
          </w:p>
        </w:tc>
        <w:tc>
          <w:tcPr>
            <w:tcW w:w="0" w:type="auto"/>
          </w:tcPr>
          <w:p w14:paraId="6176F726"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Meaning-focused revision </w:t>
            </w:r>
          </w:p>
        </w:tc>
        <w:tc>
          <w:tcPr>
            <w:tcW w:w="0" w:type="auto"/>
          </w:tcPr>
          <w:p w14:paraId="2BF451A9"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Reframes revision as higher-order cognition </w:t>
            </w:r>
          </w:p>
        </w:tc>
      </w:tr>
      <w:tr w:rsidR="001D56FD" w:rsidRPr="00235FB2" w14:paraId="3AFDBEF5" w14:textId="77777777" w:rsidTr="001E0C87">
        <w:tc>
          <w:tcPr>
            <w:tcW w:w="0" w:type="auto"/>
          </w:tcPr>
          <w:p w14:paraId="7151A359"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Writing anxiety reduces under PWA</w:t>
            </w:r>
          </w:p>
        </w:tc>
        <w:tc>
          <w:tcPr>
            <w:tcW w:w="0" w:type="auto"/>
          </w:tcPr>
          <w:p w14:paraId="63F492A1"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Monitoring Mechanism </w:t>
            </w:r>
          </w:p>
        </w:tc>
        <w:tc>
          <w:tcPr>
            <w:tcW w:w="0" w:type="auto"/>
          </w:tcPr>
          <w:p w14:paraId="38AA09B9"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Emotions regulate composing decisions </w:t>
            </w:r>
          </w:p>
        </w:tc>
        <w:tc>
          <w:tcPr>
            <w:tcW w:w="0" w:type="auto"/>
          </w:tcPr>
          <w:p w14:paraId="6E43D2E0"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Extends model to include affective mediation </w:t>
            </w:r>
          </w:p>
        </w:tc>
      </w:tr>
      <w:tr w:rsidR="001D56FD" w:rsidRPr="00235FB2" w14:paraId="3841EE21" w14:textId="77777777" w:rsidTr="001E0C87">
        <w:tc>
          <w:tcPr>
            <w:tcW w:w="0" w:type="auto"/>
          </w:tcPr>
          <w:p w14:paraId="33937FEA"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Resistance to PWA due to exam pressure </w:t>
            </w:r>
          </w:p>
        </w:tc>
        <w:tc>
          <w:tcPr>
            <w:tcW w:w="0" w:type="auto"/>
          </w:tcPr>
          <w:p w14:paraId="3C9F15B7"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Monitoring Mechanism </w:t>
            </w:r>
          </w:p>
        </w:tc>
        <w:tc>
          <w:tcPr>
            <w:tcW w:w="0" w:type="auto"/>
          </w:tcPr>
          <w:p w14:paraId="3E10E1ED"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Strategic decision-making </w:t>
            </w:r>
          </w:p>
        </w:tc>
        <w:tc>
          <w:tcPr>
            <w:tcW w:w="0" w:type="auto"/>
          </w:tcPr>
          <w:p w14:paraId="28B80FC6"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Introduces assessment rationality as cognitive regulator </w:t>
            </w:r>
          </w:p>
        </w:tc>
      </w:tr>
      <w:tr w:rsidR="001D56FD" w:rsidRPr="00235FB2" w14:paraId="5752927C" w14:textId="77777777" w:rsidTr="001E0C87">
        <w:tc>
          <w:tcPr>
            <w:tcW w:w="0" w:type="auto"/>
          </w:tcPr>
          <w:p w14:paraId="5459419A"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Peer feedback improves writing </w:t>
            </w:r>
          </w:p>
        </w:tc>
        <w:tc>
          <w:tcPr>
            <w:tcW w:w="0" w:type="auto"/>
          </w:tcPr>
          <w:p w14:paraId="7F369412"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Task Environment </w:t>
            </w:r>
          </w:p>
        </w:tc>
        <w:tc>
          <w:tcPr>
            <w:tcW w:w="0" w:type="auto"/>
          </w:tcPr>
          <w:p w14:paraId="6BDB82A7"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Social mediation of cognition (Vygotsky)</w:t>
            </w:r>
          </w:p>
        </w:tc>
        <w:tc>
          <w:tcPr>
            <w:tcW w:w="0" w:type="auto"/>
          </w:tcPr>
          <w:p w14:paraId="5F303448"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Extends model into sociocultural domain</w:t>
            </w:r>
          </w:p>
        </w:tc>
      </w:tr>
      <w:tr w:rsidR="001D56FD" w:rsidRPr="00235FB2" w14:paraId="16E1B6FC" w14:textId="77777777" w:rsidTr="001E0C87">
        <w:tc>
          <w:tcPr>
            <w:tcW w:w="0" w:type="auto"/>
          </w:tcPr>
          <w:p w14:paraId="15CA8135"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Large class size limit feedback</w:t>
            </w:r>
          </w:p>
        </w:tc>
        <w:tc>
          <w:tcPr>
            <w:tcW w:w="0" w:type="auto"/>
          </w:tcPr>
          <w:p w14:paraId="14CB7FC9"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Task Environment </w:t>
            </w:r>
          </w:p>
        </w:tc>
        <w:tc>
          <w:tcPr>
            <w:tcW w:w="0" w:type="auto"/>
          </w:tcPr>
          <w:p w14:paraId="5DF1F7F7"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Structural constraints </w:t>
            </w:r>
          </w:p>
        </w:tc>
        <w:tc>
          <w:tcPr>
            <w:tcW w:w="0" w:type="auto"/>
          </w:tcPr>
          <w:p w14:paraId="26C2B68B"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Embeds institutional realities into theory </w:t>
            </w:r>
          </w:p>
        </w:tc>
      </w:tr>
      <w:tr w:rsidR="001D56FD" w:rsidRPr="00235FB2" w14:paraId="7D10CC6F" w14:textId="77777777" w:rsidTr="001E0C87">
        <w:tc>
          <w:tcPr>
            <w:tcW w:w="0" w:type="auto"/>
          </w:tcPr>
          <w:p w14:paraId="6C3595C5"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Teacher training affects PWA success </w:t>
            </w:r>
          </w:p>
        </w:tc>
        <w:tc>
          <w:tcPr>
            <w:tcW w:w="0" w:type="auto"/>
          </w:tcPr>
          <w:p w14:paraId="5EBF978F"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External Mediation </w:t>
            </w:r>
          </w:p>
        </w:tc>
        <w:tc>
          <w:tcPr>
            <w:tcW w:w="0" w:type="auto"/>
          </w:tcPr>
          <w:p w14:paraId="77261F7D"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Teacher cognition theory (Borg) </w:t>
            </w:r>
          </w:p>
        </w:tc>
        <w:tc>
          <w:tcPr>
            <w:tcW w:w="0" w:type="auto"/>
          </w:tcPr>
          <w:p w14:paraId="0C92F6C0"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Positions teacher capacity as theoretical enabler </w:t>
            </w:r>
          </w:p>
        </w:tc>
      </w:tr>
      <w:tr w:rsidR="001D56FD" w:rsidRPr="00235FB2" w14:paraId="5480CB94" w14:textId="77777777" w:rsidTr="001E0C87">
        <w:tc>
          <w:tcPr>
            <w:tcW w:w="0" w:type="auto"/>
          </w:tcPr>
          <w:p w14:paraId="087FB05E"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Reflection improves metacognition</w:t>
            </w:r>
          </w:p>
        </w:tc>
        <w:tc>
          <w:tcPr>
            <w:tcW w:w="0" w:type="auto"/>
          </w:tcPr>
          <w:p w14:paraId="259DCB4F"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Reviewing &amp; Monitoring </w:t>
            </w:r>
          </w:p>
        </w:tc>
        <w:tc>
          <w:tcPr>
            <w:tcW w:w="0" w:type="auto"/>
          </w:tcPr>
          <w:p w14:paraId="318D6247"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Self-regulated learning (Zimmerman)</w:t>
            </w:r>
          </w:p>
        </w:tc>
        <w:tc>
          <w:tcPr>
            <w:tcW w:w="0" w:type="auto"/>
          </w:tcPr>
          <w:p w14:paraId="180009B3"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Adds reflective dimension to cognitive model</w:t>
            </w:r>
          </w:p>
        </w:tc>
      </w:tr>
      <w:tr w:rsidR="001D56FD" w:rsidRPr="00235FB2" w14:paraId="65AC2E1E" w14:textId="77777777" w:rsidTr="001E0C87">
        <w:tc>
          <w:tcPr>
            <w:tcW w:w="0" w:type="auto"/>
          </w:tcPr>
          <w:p w14:paraId="6C0EC567"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Increased learner confidence</w:t>
            </w:r>
          </w:p>
        </w:tc>
        <w:tc>
          <w:tcPr>
            <w:tcW w:w="0" w:type="auto"/>
          </w:tcPr>
          <w:p w14:paraId="0DB7FC0E"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Affective regulation </w:t>
            </w:r>
          </w:p>
        </w:tc>
        <w:tc>
          <w:tcPr>
            <w:tcW w:w="0" w:type="auto"/>
          </w:tcPr>
          <w:p w14:paraId="664D4D78"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Control-value theory (</w:t>
            </w:r>
            <w:proofErr w:type="spellStart"/>
            <w:r w:rsidRPr="00235FB2">
              <w:rPr>
                <w:rFonts w:ascii="Calibri" w:hAnsi="Calibri" w:cs="Calibri"/>
                <w:color w:val="000000" w:themeColor="text1"/>
                <w:sz w:val="20"/>
                <w:szCs w:val="20"/>
              </w:rPr>
              <w:t>Pekrun</w:t>
            </w:r>
            <w:proofErr w:type="spellEnd"/>
            <w:r w:rsidRPr="00235FB2">
              <w:rPr>
                <w:rFonts w:ascii="Calibri" w:hAnsi="Calibri" w:cs="Calibri"/>
                <w:color w:val="000000" w:themeColor="text1"/>
                <w:sz w:val="20"/>
                <w:szCs w:val="20"/>
              </w:rPr>
              <w:t>)</w:t>
            </w:r>
          </w:p>
        </w:tc>
        <w:tc>
          <w:tcPr>
            <w:tcW w:w="0" w:type="auto"/>
          </w:tcPr>
          <w:p w14:paraId="3EA1F120" w14:textId="77777777" w:rsidR="00582977" w:rsidRPr="00235FB2" w:rsidRDefault="00582977" w:rsidP="001E0C8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Integrates motivation into writing theory. </w:t>
            </w:r>
          </w:p>
        </w:tc>
      </w:tr>
    </w:tbl>
    <w:p w14:paraId="21CE96D1" w14:textId="3443481F" w:rsidR="003840AA" w:rsidRPr="00235FB2" w:rsidRDefault="00582977" w:rsidP="0052581C">
      <w:pPr>
        <w:spacing w:after="0" w:line="360" w:lineRule="auto"/>
        <w:jc w:val="center"/>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Table 1: </w:t>
      </w:r>
      <w:r w:rsidR="0052581C" w:rsidRPr="00235FB2">
        <w:rPr>
          <w:rFonts w:ascii="Calibri" w:hAnsi="Calibri" w:cs="Calibri"/>
          <w:color w:val="000000" w:themeColor="text1"/>
          <w:sz w:val="20"/>
          <w:szCs w:val="20"/>
        </w:rPr>
        <w:t>Theory Integration Table (Source: Created by the authors)</w:t>
      </w:r>
    </w:p>
    <w:p w14:paraId="75166F90" w14:textId="77777777" w:rsidR="0052581C" w:rsidRPr="00235FB2" w:rsidRDefault="0052581C" w:rsidP="0052581C">
      <w:pPr>
        <w:spacing w:after="0" w:line="360" w:lineRule="auto"/>
        <w:jc w:val="center"/>
        <w:rPr>
          <w:rFonts w:ascii="Calibri" w:hAnsi="Calibri" w:cs="Calibri"/>
          <w:color w:val="000000" w:themeColor="text1"/>
          <w:sz w:val="20"/>
          <w:szCs w:val="20"/>
        </w:rPr>
      </w:pPr>
    </w:p>
    <w:p w14:paraId="318725E7" w14:textId="4DBB3434" w:rsidR="004708F4" w:rsidRPr="00235FB2" w:rsidRDefault="00A47B20" w:rsidP="00D56FAC">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Revised</w:t>
      </w:r>
      <w:r w:rsidR="004708F4" w:rsidRPr="00235FB2">
        <w:rPr>
          <w:rFonts w:ascii="Calibri" w:hAnsi="Calibri" w:cs="Calibri"/>
          <w:b/>
          <w:bCs/>
          <w:color w:val="000000" w:themeColor="text1"/>
          <w:sz w:val="20"/>
          <w:szCs w:val="20"/>
        </w:rPr>
        <w:t xml:space="preserve"> Process Writing Approach Model</w:t>
      </w:r>
      <w:r w:rsidR="0053667F" w:rsidRPr="00235FB2">
        <w:rPr>
          <w:rFonts w:ascii="Calibri" w:hAnsi="Calibri" w:cs="Calibri"/>
          <w:b/>
          <w:bCs/>
          <w:color w:val="000000" w:themeColor="text1"/>
          <w:sz w:val="20"/>
          <w:szCs w:val="20"/>
        </w:rPr>
        <w:t xml:space="preserve">: An Insight </w:t>
      </w:r>
    </w:p>
    <w:p w14:paraId="28C5D4E7" w14:textId="1064D33A" w:rsidR="004708F4" w:rsidRPr="00235FB2" w:rsidRDefault="004708F4" w:rsidP="00D56FAC">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 xml:space="preserve">The </w:t>
      </w:r>
      <w:r w:rsidR="00A47B20" w:rsidRPr="00235FB2">
        <w:rPr>
          <w:rFonts w:ascii="Calibri" w:hAnsi="Calibri" w:cs="Calibri"/>
          <w:color w:val="000000" w:themeColor="text1"/>
          <w:sz w:val="20"/>
          <w:szCs w:val="20"/>
        </w:rPr>
        <w:t>revised</w:t>
      </w:r>
      <w:r w:rsidRPr="00235FB2">
        <w:rPr>
          <w:rFonts w:ascii="Calibri" w:hAnsi="Calibri" w:cs="Calibri"/>
          <w:color w:val="000000" w:themeColor="text1"/>
          <w:sz w:val="20"/>
          <w:szCs w:val="20"/>
        </w:rPr>
        <w:t xml:space="preserve"> Process Writing Approach (PWA) model synthesises the empirical findings of this study with established process-oriented writing theory, particularly Flower and Hayes’ cognitive process model. The revised framework extends the traditional model by embedding contextual constraints, learner affect, peer interaction, </w:t>
      </w:r>
      <w:r w:rsidRPr="00235FB2">
        <w:rPr>
          <w:rFonts w:ascii="Calibri" w:hAnsi="Calibri" w:cs="Calibri"/>
          <w:color w:val="000000" w:themeColor="text1"/>
          <w:sz w:val="20"/>
          <w:szCs w:val="20"/>
        </w:rPr>
        <w:lastRenderedPageBreak/>
        <w:t>and systemic influences, thereby offering a context-responsive representation of writing development among Higher Secondary Certificate (HSC) learners in Bangladesh.</w:t>
      </w:r>
    </w:p>
    <w:p w14:paraId="04C622B4" w14:textId="4256A1D1" w:rsidR="004708F4" w:rsidRPr="00235FB2" w:rsidRDefault="004708F4" w:rsidP="00446A18">
      <w:pPr>
        <w:pStyle w:val="ListParagraph"/>
        <w:numPr>
          <w:ilvl w:val="0"/>
          <w:numId w:val="24"/>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Prewriting and Planning: Shifting from Memorisation to Meaning Construction</w:t>
      </w:r>
      <w:r w:rsidR="00446A18" w:rsidRPr="00235FB2">
        <w:rPr>
          <w:rFonts w:ascii="Calibri" w:hAnsi="Calibri" w:cs="Calibri"/>
          <w:b/>
          <w:bCs/>
          <w:color w:val="000000" w:themeColor="text1"/>
          <w:sz w:val="20"/>
          <w:szCs w:val="20"/>
        </w:rPr>
        <w:t xml:space="preserve">: </w:t>
      </w:r>
      <w:r w:rsidRPr="00235FB2">
        <w:rPr>
          <w:rFonts w:ascii="Calibri" w:hAnsi="Calibri" w:cs="Calibri"/>
          <w:color w:val="000000" w:themeColor="text1"/>
          <w:sz w:val="20"/>
          <w:szCs w:val="20"/>
        </w:rPr>
        <w:t>The model begins with prewriting and planning, reflecting participants’ accounts of how PWA disrupted habitual rote learning practices. Students reported that traditional instruction emphasised memorising model answers and guidebook content. However, exposure to PWA encouraged them to brainstorm, explore concepts, and organise ideas before writing. This aligns with Flower and Hayes’ planning</w:t>
      </w:r>
      <w:r w:rsidRPr="00235FB2">
        <w:rPr>
          <w:rFonts w:ascii="Calibri" w:hAnsi="Calibri" w:cs="Calibri"/>
          <w:b/>
          <w:bCs/>
          <w:color w:val="000000" w:themeColor="text1"/>
          <w:sz w:val="20"/>
          <w:szCs w:val="20"/>
        </w:rPr>
        <w:t xml:space="preserve"> </w:t>
      </w:r>
      <w:r w:rsidRPr="00235FB2">
        <w:rPr>
          <w:rFonts w:ascii="Calibri" w:hAnsi="Calibri" w:cs="Calibri"/>
          <w:color w:val="000000" w:themeColor="text1"/>
          <w:sz w:val="20"/>
          <w:szCs w:val="20"/>
        </w:rPr>
        <w:t>stage, which involves goal setting and idea generation.</w:t>
      </w:r>
      <w:r w:rsidR="00A04D3D" w:rsidRPr="00235FB2">
        <w:rPr>
          <w:rFonts w:ascii="Calibri" w:hAnsi="Calibri" w:cs="Calibri"/>
          <w:color w:val="000000" w:themeColor="text1"/>
          <w:sz w:val="20"/>
          <w:szCs w:val="20"/>
        </w:rPr>
        <w:t xml:space="preserve"> The </w:t>
      </w:r>
      <w:r w:rsidRPr="00235FB2">
        <w:rPr>
          <w:rFonts w:ascii="Calibri" w:hAnsi="Calibri" w:cs="Calibri"/>
          <w:color w:val="000000" w:themeColor="text1"/>
          <w:sz w:val="20"/>
          <w:szCs w:val="20"/>
        </w:rPr>
        <w:t>findings show that students experienced a conceptual shift</w:t>
      </w:r>
      <w:r w:rsidR="00A04D3D"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from copying to composing</w:t>
      </w:r>
      <w:r w:rsidR="00A04D3D"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where planning became an active cognitive process. This stage now incorporates</w:t>
      </w:r>
      <w:r w:rsidR="002046FF" w:rsidRPr="00235FB2">
        <w:rPr>
          <w:rFonts w:ascii="Calibri" w:hAnsi="Calibri" w:cs="Calibri"/>
          <w:color w:val="000000" w:themeColor="text1"/>
          <w:sz w:val="20"/>
          <w:szCs w:val="20"/>
        </w:rPr>
        <w:t xml:space="preserve"> </w:t>
      </w:r>
      <w:proofErr w:type="spellStart"/>
      <w:r w:rsidR="002046FF" w:rsidRPr="00235FB2">
        <w:rPr>
          <w:rFonts w:ascii="Calibri" w:hAnsi="Calibri" w:cs="Calibri"/>
          <w:color w:val="000000" w:themeColor="text1"/>
          <w:sz w:val="20"/>
          <w:szCs w:val="20"/>
        </w:rPr>
        <w:t>i</w:t>
      </w:r>
      <w:proofErr w:type="spellEnd"/>
      <w:r w:rsidR="002046FF" w:rsidRPr="00235FB2">
        <w:rPr>
          <w:rFonts w:ascii="Calibri" w:hAnsi="Calibri" w:cs="Calibri"/>
          <w:color w:val="000000" w:themeColor="text1"/>
          <w:sz w:val="20"/>
          <w:szCs w:val="20"/>
        </w:rPr>
        <w:t>) i</w:t>
      </w:r>
      <w:r w:rsidRPr="00235FB2">
        <w:rPr>
          <w:rFonts w:ascii="Calibri" w:hAnsi="Calibri" w:cs="Calibri"/>
          <w:color w:val="000000" w:themeColor="text1"/>
          <w:sz w:val="20"/>
          <w:szCs w:val="20"/>
        </w:rPr>
        <w:t>ndependent topic exploration</w:t>
      </w:r>
      <w:r w:rsidR="002046FF" w:rsidRPr="00235FB2">
        <w:rPr>
          <w:rFonts w:ascii="Calibri" w:hAnsi="Calibri" w:cs="Calibri"/>
          <w:color w:val="000000" w:themeColor="text1"/>
          <w:sz w:val="20"/>
          <w:szCs w:val="20"/>
        </w:rPr>
        <w:t>, ii) s</w:t>
      </w:r>
      <w:r w:rsidRPr="00235FB2">
        <w:rPr>
          <w:rFonts w:ascii="Calibri" w:hAnsi="Calibri" w:cs="Calibri"/>
          <w:color w:val="000000" w:themeColor="text1"/>
          <w:sz w:val="20"/>
          <w:szCs w:val="20"/>
        </w:rPr>
        <w:t>tructuring arguments</w:t>
      </w:r>
      <w:r w:rsidR="002046FF" w:rsidRPr="00235FB2">
        <w:rPr>
          <w:rFonts w:ascii="Calibri" w:hAnsi="Calibri" w:cs="Calibri"/>
          <w:color w:val="000000" w:themeColor="text1"/>
          <w:sz w:val="20"/>
          <w:szCs w:val="20"/>
        </w:rPr>
        <w:t>, and iii) a</w:t>
      </w:r>
      <w:r w:rsidRPr="00235FB2">
        <w:rPr>
          <w:rFonts w:ascii="Calibri" w:hAnsi="Calibri" w:cs="Calibri"/>
          <w:color w:val="000000" w:themeColor="text1"/>
          <w:sz w:val="20"/>
          <w:szCs w:val="20"/>
        </w:rPr>
        <w:t>wareness of audience and purpose</w:t>
      </w:r>
      <w:r w:rsidR="002046F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This transformation enhanced students’ writing confidence and critical thinking, validating the model’s emphasis on prewriting as a foundation for quality composition.</w:t>
      </w:r>
    </w:p>
    <w:p w14:paraId="3DC7AE92" w14:textId="6A680CC6" w:rsidR="0073523F" w:rsidRPr="00235FB2" w:rsidRDefault="004708F4" w:rsidP="0073523F">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Drafting: Writing as Cognitive Engagement</w:t>
      </w:r>
      <w:r w:rsidR="00446A18" w:rsidRPr="00235FB2">
        <w:rPr>
          <w:rFonts w:ascii="Calibri" w:hAnsi="Calibri" w:cs="Calibri"/>
          <w:b/>
          <w:bCs/>
          <w:color w:val="000000" w:themeColor="text1"/>
          <w:sz w:val="20"/>
          <w:szCs w:val="20"/>
        </w:rPr>
        <w:t>:</w:t>
      </w:r>
      <w:r w:rsidR="00446A18"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Drafting in the </w:t>
      </w:r>
      <w:r w:rsidR="00C35FDE" w:rsidRPr="00235FB2">
        <w:rPr>
          <w:rFonts w:ascii="Calibri" w:hAnsi="Calibri" w:cs="Calibri"/>
          <w:color w:val="000000" w:themeColor="text1"/>
          <w:sz w:val="20"/>
          <w:szCs w:val="20"/>
        </w:rPr>
        <w:t>revised</w:t>
      </w:r>
      <w:r w:rsidRPr="00235FB2">
        <w:rPr>
          <w:rFonts w:ascii="Calibri" w:hAnsi="Calibri" w:cs="Calibri"/>
          <w:color w:val="000000" w:themeColor="text1"/>
          <w:sz w:val="20"/>
          <w:szCs w:val="20"/>
        </w:rPr>
        <w:t xml:space="preserve"> model reflects knowledge construction rather than text reproduction. Participants described how initial drafts were no longer judged for perfection but treated as working documents. This reduced writing anxiety and fostered willingness to experiment with ideas.</w:t>
      </w:r>
      <w:r w:rsidR="00B51B2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Drafting is now conceptualised as</w:t>
      </w:r>
      <w:r w:rsidR="00B51B2F" w:rsidRPr="00235FB2">
        <w:rPr>
          <w:rFonts w:ascii="Calibri" w:hAnsi="Calibri" w:cs="Calibri"/>
          <w:color w:val="000000" w:themeColor="text1"/>
          <w:sz w:val="20"/>
          <w:szCs w:val="20"/>
        </w:rPr>
        <w:t xml:space="preserve"> </w:t>
      </w:r>
      <w:proofErr w:type="spellStart"/>
      <w:r w:rsidR="00B51B2F" w:rsidRPr="00235FB2">
        <w:rPr>
          <w:rFonts w:ascii="Calibri" w:hAnsi="Calibri" w:cs="Calibri"/>
          <w:color w:val="000000" w:themeColor="text1"/>
          <w:sz w:val="20"/>
          <w:szCs w:val="20"/>
        </w:rPr>
        <w:t>i</w:t>
      </w:r>
      <w:proofErr w:type="spellEnd"/>
      <w:r w:rsidR="00B51B2F" w:rsidRPr="00235FB2">
        <w:rPr>
          <w:rFonts w:ascii="Calibri" w:hAnsi="Calibri" w:cs="Calibri"/>
          <w:color w:val="000000" w:themeColor="text1"/>
          <w:sz w:val="20"/>
          <w:szCs w:val="20"/>
        </w:rPr>
        <w:t>) t</w:t>
      </w:r>
      <w:r w:rsidRPr="00235FB2">
        <w:rPr>
          <w:rFonts w:ascii="Calibri" w:hAnsi="Calibri" w:cs="Calibri"/>
          <w:color w:val="000000" w:themeColor="text1"/>
          <w:sz w:val="20"/>
          <w:szCs w:val="20"/>
        </w:rPr>
        <w:t>ranslating planned ideas into text</w:t>
      </w:r>
      <w:r w:rsidR="00B51B2F" w:rsidRPr="00235FB2">
        <w:rPr>
          <w:rFonts w:ascii="Calibri" w:hAnsi="Calibri" w:cs="Calibri"/>
          <w:color w:val="000000" w:themeColor="text1"/>
          <w:sz w:val="20"/>
          <w:szCs w:val="20"/>
        </w:rPr>
        <w:t>, ii) a</w:t>
      </w:r>
      <w:r w:rsidRPr="00235FB2">
        <w:rPr>
          <w:rFonts w:ascii="Calibri" w:hAnsi="Calibri" w:cs="Calibri"/>
          <w:color w:val="000000" w:themeColor="text1"/>
          <w:sz w:val="20"/>
          <w:szCs w:val="20"/>
        </w:rPr>
        <w:t>ccepting imperfection</w:t>
      </w:r>
      <w:r w:rsidR="00B51B2F" w:rsidRPr="00235FB2">
        <w:rPr>
          <w:rFonts w:ascii="Calibri" w:hAnsi="Calibri" w:cs="Calibri"/>
          <w:color w:val="000000" w:themeColor="text1"/>
          <w:sz w:val="20"/>
          <w:szCs w:val="20"/>
        </w:rPr>
        <w:t>, and iii) v</w:t>
      </w:r>
      <w:r w:rsidRPr="00235FB2">
        <w:rPr>
          <w:rFonts w:ascii="Calibri" w:hAnsi="Calibri" w:cs="Calibri"/>
          <w:color w:val="000000" w:themeColor="text1"/>
          <w:sz w:val="20"/>
          <w:szCs w:val="20"/>
        </w:rPr>
        <w:t>iewing writing as developmental</w:t>
      </w:r>
      <w:r w:rsidR="00B51B2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This corresponds with Flower and Hayes’ translating phase but is strengthened by </w:t>
      </w:r>
      <w:r w:rsidR="00446A18" w:rsidRPr="00235FB2">
        <w:rPr>
          <w:rFonts w:ascii="Calibri" w:hAnsi="Calibri" w:cs="Calibri"/>
          <w:color w:val="000000" w:themeColor="text1"/>
          <w:sz w:val="20"/>
          <w:szCs w:val="20"/>
        </w:rPr>
        <w:t xml:space="preserve">the </w:t>
      </w:r>
      <w:r w:rsidRPr="00235FB2">
        <w:rPr>
          <w:rFonts w:ascii="Calibri" w:hAnsi="Calibri" w:cs="Calibri"/>
          <w:color w:val="000000" w:themeColor="text1"/>
          <w:sz w:val="20"/>
          <w:szCs w:val="20"/>
        </w:rPr>
        <w:t>findings that students became more metacognitively aware of their writing strategies.</w:t>
      </w:r>
    </w:p>
    <w:p w14:paraId="2B981D43" w14:textId="508D975B" w:rsidR="0073523F" w:rsidRPr="00235FB2" w:rsidRDefault="004708F4" w:rsidP="0073523F">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Reflection: Developing Writer Identity and Agency</w:t>
      </w:r>
      <w:r w:rsidR="00446A18" w:rsidRPr="00235FB2">
        <w:rPr>
          <w:rFonts w:ascii="Calibri" w:hAnsi="Calibri" w:cs="Calibri"/>
          <w:b/>
          <w:bCs/>
          <w:color w:val="000000" w:themeColor="text1"/>
          <w:sz w:val="20"/>
          <w:szCs w:val="20"/>
        </w:rPr>
        <w:t>:</w:t>
      </w:r>
      <w:r w:rsidR="00446A18"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Reflection appears as a distinct stage in </w:t>
      </w:r>
      <w:r w:rsidR="00051D51" w:rsidRPr="00235FB2">
        <w:rPr>
          <w:rFonts w:ascii="Calibri" w:hAnsi="Calibri" w:cs="Calibri"/>
          <w:color w:val="000000" w:themeColor="text1"/>
          <w:sz w:val="20"/>
          <w:szCs w:val="20"/>
        </w:rPr>
        <w:t>the</w:t>
      </w:r>
      <w:r w:rsidRPr="00235FB2">
        <w:rPr>
          <w:rFonts w:ascii="Calibri" w:hAnsi="Calibri" w:cs="Calibri"/>
          <w:color w:val="000000" w:themeColor="text1"/>
          <w:sz w:val="20"/>
          <w:szCs w:val="20"/>
        </w:rPr>
        <w:t xml:space="preserve"> model, informed directly by participants’ narratives. Students reported thinking about</w:t>
      </w:r>
      <w:r w:rsidR="00051D51" w:rsidRPr="00235FB2">
        <w:rPr>
          <w:rFonts w:ascii="Calibri" w:hAnsi="Calibri" w:cs="Calibri"/>
          <w:color w:val="000000" w:themeColor="text1"/>
          <w:sz w:val="20"/>
          <w:szCs w:val="20"/>
        </w:rPr>
        <w:t xml:space="preserve"> w</w:t>
      </w:r>
      <w:r w:rsidRPr="00235FB2">
        <w:rPr>
          <w:rFonts w:ascii="Calibri" w:hAnsi="Calibri" w:cs="Calibri"/>
          <w:color w:val="000000" w:themeColor="text1"/>
          <w:sz w:val="20"/>
          <w:szCs w:val="20"/>
        </w:rPr>
        <w:t>hat worked</w:t>
      </w:r>
      <w:r w:rsidR="00051D51" w:rsidRPr="00235FB2">
        <w:rPr>
          <w:rFonts w:ascii="Calibri" w:hAnsi="Calibri" w:cs="Calibri"/>
          <w:color w:val="000000" w:themeColor="text1"/>
          <w:sz w:val="20"/>
          <w:szCs w:val="20"/>
        </w:rPr>
        <w:t>, w</w:t>
      </w:r>
      <w:r w:rsidRPr="00235FB2">
        <w:rPr>
          <w:rFonts w:ascii="Calibri" w:hAnsi="Calibri" w:cs="Calibri"/>
          <w:color w:val="000000" w:themeColor="text1"/>
          <w:sz w:val="20"/>
          <w:szCs w:val="20"/>
        </w:rPr>
        <w:t>here they struggled</w:t>
      </w:r>
      <w:r w:rsidR="00051D51" w:rsidRPr="00235FB2">
        <w:rPr>
          <w:rFonts w:ascii="Calibri" w:hAnsi="Calibri" w:cs="Calibri"/>
          <w:color w:val="000000" w:themeColor="text1"/>
          <w:sz w:val="20"/>
          <w:szCs w:val="20"/>
        </w:rPr>
        <w:t>, and h</w:t>
      </w:r>
      <w:r w:rsidRPr="00235FB2">
        <w:rPr>
          <w:rFonts w:ascii="Calibri" w:hAnsi="Calibri" w:cs="Calibri"/>
          <w:color w:val="000000" w:themeColor="text1"/>
          <w:sz w:val="20"/>
          <w:szCs w:val="20"/>
        </w:rPr>
        <w:t>ow feedback shaped their writing</w:t>
      </w:r>
      <w:r w:rsidR="00051D51"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This reflective cycle supports learner agency, enabling students to view themselves as developing writers rather than passive recipients of correction. Reflection thus functions as a bridge between drafts and revision, deepening cognitive engagement.</w:t>
      </w:r>
    </w:p>
    <w:p w14:paraId="61CC5702" w14:textId="77777777" w:rsidR="007649A6" w:rsidRPr="00235FB2" w:rsidRDefault="004708F4"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 Peer Feedback: Collaborative Knowledge Building</w:t>
      </w:r>
      <w:r w:rsidR="0073523F" w:rsidRPr="00235FB2">
        <w:rPr>
          <w:rFonts w:ascii="Calibri" w:hAnsi="Calibri" w:cs="Calibri"/>
          <w:b/>
          <w:bCs/>
          <w:color w:val="000000" w:themeColor="text1"/>
          <w:sz w:val="20"/>
          <w:szCs w:val="20"/>
        </w:rPr>
        <w:t>:</w:t>
      </w:r>
      <w:r w:rsidR="0073523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A major empirical contribution of </w:t>
      </w:r>
      <w:r w:rsidR="0073523F" w:rsidRPr="00235FB2">
        <w:rPr>
          <w:rFonts w:ascii="Calibri" w:hAnsi="Calibri" w:cs="Calibri"/>
          <w:color w:val="000000" w:themeColor="text1"/>
          <w:sz w:val="20"/>
          <w:szCs w:val="20"/>
        </w:rPr>
        <w:t>the</w:t>
      </w:r>
      <w:r w:rsidRPr="00235FB2">
        <w:rPr>
          <w:rFonts w:ascii="Calibri" w:hAnsi="Calibri" w:cs="Calibri"/>
          <w:color w:val="000000" w:themeColor="text1"/>
          <w:sz w:val="20"/>
          <w:szCs w:val="20"/>
        </w:rPr>
        <w:t xml:space="preserve"> study is the central positioning of peer feedback. Students reported that</w:t>
      </w:r>
      <w:r w:rsidR="00497937" w:rsidRPr="00235FB2">
        <w:rPr>
          <w:rFonts w:ascii="Calibri" w:hAnsi="Calibri" w:cs="Calibri"/>
          <w:color w:val="000000" w:themeColor="text1"/>
          <w:sz w:val="20"/>
          <w:szCs w:val="20"/>
        </w:rPr>
        <w:t xml:space="preserve"> r</w:t>
      </w:r>
      <w:r w:rsidRPr="00235FB2">
        <w:rPr>
          <w:rFonts w:ascii="Calibri" w:hAnsi="Calibri" w:cs="Calibri"/>
          <w:color w:val="000000" w:themeColor="text1"/>
          <w:sz w:val="20"/>
          <w:szCs w:val="20"/>
        </w:rPr>
        <w:t>eading peers’ work broadened perspectives</w:t>
      </w:r>
      <w:r w:rsidR="00497937" w:rsidRPr="00235FB2">
        <w:rPr>
          <w:rFonts w:ascii="Calibri" w:hAnsi="Calibri" w:cs="Calibri"/>
          <w:color w:val="000000" w:themeColor="text1"/>
          <w:sz w:val="20"/>
          <w:szCs w:val="20"/>
        </w:rPr>
        <w:t>, g</w:t>
      </w:r>
      <w:r w:rsidRPr="00235FB2">
        <w:rPr>
          <w:rFonts w:ascii="Calibri" w:hAnsi="Calibri" w:cs="Calibri"/>
          <w:color w:val="000000" w:themeColor="text1"/>
          <w:sz w:val="20"/>
          <w:szCs w:val="20"/>
        </w:rPr>
        <w:t>iving feedback improved their own writing awareness</w:t>
      </w:r>
      <w:r w:rsidR="00497937" w:rsidRPr="00235FB2">
        <w:rPr>
          <w:rFonts w:ascii="Calibri" w:hAnsi="Calibri" w:cs="Calibri"/>
          <w:color w:val="000000" w:themeColor="text1"/>
          <w:sz w:val="20"/>
          <w:szCs w:val="20"/>
        </w:rPr>
        <w:t>, and c</w:t>
      </w:r>
      <w:r w:rsidRPr="00235FB2">
        <w:rPr>
          <w:rFonts w:ascii="Calibri" w:hAnsi="Calibri" w:cs="Calibri"/>
          <w:color w:val="000000" w:themeColor="text1"/>
          <w:sz w:val="20"/>
          <w:szCs w:val="20"/>
        </w:rPr>
        <w:t>ollaborative discussion reduced fear and isolation</w:t>
      </w:r>
      <w:r w:rsidR="00497937"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Peer feedback acts as a social mediator, aligning with sociocultural learning theory. It transforms writing from an individual activity into a community practice, fostering</w:t>
      </w:r>
      <w:r w:rsidR="007649A6" w:rsidRPr="00235FB2">
        <w:rPr>
          <w:rFonts w:ascii="Calibri" w:hAnsi="Calibri" w:cs="Calibri"/>
          <w:color w:val="000000" w:themeColor="text1"/>
          <w:sz w:val="20"/>
          <w:szCs w:val="20"/>
        </w:rPr>
        <w:t xml:space="preserve"> n</w:t>
      </w:r>
      <w:r w:rsidRPr="00235FB2">
        <w:rPr>
          <w:rFonts w:ascii="Calibri" w:hAnsi="Calibri" w:cs="Calibri"/>
          <w:color w:val="000000" w:themeColor="text1"/>
          <w:sz w:val="20"/>
          <w:szCs w:val="20"/>
        </w:rPr>
        <w:t>egotiation of meaning</w:t>
      </w:r>
      <w:r w:rsidR="007649A6" w:rsidRPr="00235FB2">
        <w:rPr>
          <w:rFonts w:ascii="Calibri" w:hAnsi="Calibri" w:cs="Calibri"/>
          <w:color w:val="000000" w:themeColor="text1"/>
          <w:sz w:val="20"/>
          <w:szCs w:val="20"/>
        </w:rPr>
        <w:t>, e</w:t>
      </w:r>
      <w:r w:rsidRPr="00235FB2">
        <w:rPr>
          <w:rFonts w:ascii="Calibri" w:hAnsi="Calibri" w:cs="Calibri"/>
          <w:color w:val="000000" w:themeColor="text1"/>
          <w:sz w:val="20"/>
          <w:szCs w:val="20"/>
        </w:rPr>
        <w:t>xposure to diverse ideas</w:t>
      </w:r>
      <w:r w:rsidR="007649A6" w:rsidRPr="00235FB2">
        <w:rPr>
          <w:rFonts w:ascii="Calibri" w:hAnsi="Calibri" w:cs="Calibri"/>
          <w:color w:val="000000" w:themeColor="text1"/>
          <w:sz w:val="20"/>
          <w:szCs w:val="20"/>
        </w:rPr>
        <w:t>, and s</w:t>
      </w:r>
      <w:r w:rsidRPr="00235FB2">
        <w:rPr>
          <w:rFonts w:ascii="Calibri" w:hAnsi="Calibri" w:cs="Calibri"/>
          <w:color w:val="000000" w:themeColor="text1"/>
          <w:sz w:val="20"/>
          <w:szCs w:val="20"/>
        </w:rPr>
        <w:t>hared problem-solving</w:t>
      </w:r>
      <w:r w:rsidR="007649A6"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This element extends Flower and Hayes’ model by recognising the social dimension of the writing process.</w:t>
      </w:r>
    </w:p>
    <w:p w14:paraId="12ABE98F" w14:textId="77777777" w:rsidR="00821190" w:rsidRPr="00235FB2" w:rsidRDefault="004708F4"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Revision: Meaning-Focused Rewriting</w:t>
      </w:r>
      <w:r w:rsidR="007649A6" w:rsidRPr="00235FB2">
        <w:rPr>
          <w:rFonts w:ascii="Calibri" w:hAnsi="Calibri" w:cs="Calibri"/>
          <w:b/>
          <w:bCs/>
          <w:color w:val="000000" w:themeColor="text1"/>
          <w:sz w:val="20"/>
          <w:szCs w:val="20"/>
        </w:rPr>
        <w:t xml:space="preserve">: </w:t>
      </w:r>
      <w:r w:rsidRPr="00235FB2">
        <w:rPr>
          <w:rFonts w:ascii="Calibri" w:hAnsi="Calibri" w:cs="Calibri"/>
          <w:color w:val="000000" w:themeColor="text1"/>
          <w:sz w:val="20"/>
          <w:szCs w:val="20"/>
        </w:rPr>
        <w:t xml:space="preserve">The revision stage in </w:t>
      </w:r>
      <w:r w:rsidR="007649A6" w:rsidRPr="00235FB2">
        <w:rPr>
          <w:rFonts w:ascii="Calibri" w:hAnsi="Calibri" w:cs="Calibri"/>
          <w:color w:val="000000" w:themeColor="text1"/>
          <w:sz w:val="20"/>
          <w:szCs w:val="20"/>
        </w:rPr>
        <w:t>the</w:t>
      </w:r>
      <w:r w:rsidRPr="00235FB2">
        <w:rPr>
          <w:rFonts w:ascii="Calibri" w:hAnsi="Calibri" w:cs="Calibri"/>
          <w:color w:val="000000" w:themeColor="text1"/>
          <w:sz w:val="20"/>
          <w:szCs w:val="20"/>
        </w:rPr>
        <w:t xml:space="preserve"> model explicitly prioritises coherence, organisation, and idea development, rather than surface-level error correction. Participants described</w:t>
      </w:r>
      <w:r w:rsidR="000D5675" w:rsidRPr="00235FB2">
        <w:rPr>
          <w:rFonts w:ascii="Calibri" w:hAnsi="Calibri" w:cs="Calibri"/>
          <w:color w:val="000000" w:themeColor="text1"/>
          <w:sz w:val="20"/>
          <w:szCs w:val="20"/>
        </w:rPr>
        <w:t xml:space="preserve"> r</w:t>
      </w:r>
      <w:r w:rsidRPr="00235FB2">
        <w:rPr>
          <w:rFonts w:ascii="Calibri" w:hAnsi="Calibri" w:cs="Calibri"/>
          <w:color w:val="000000" w:themeColor="text1"/>
          <w:sz w:val="20"/>
          <w:szCs w:val="20"/>
        </w:rPr>
        <w:t>ewriting multiple times</w:t>
      </w:r>
      <w:r w:rsidR="000D5675" w:rsidRPr="00235FB2">
        <w:rPr>
          <w:rFonts w:ascii="Calibri" w:hAnsi="Calibri" w:cs="Calibri"/>
          <w:color w:val="000000" w:themeColor="text1"/>
          <w:sz w:val="20"/>
          <w:szCs w:val="20"/>
        </w:rPr>
        <w:t>, r</w:t>
      </w:r>
      <w:r w:rsidRPr="00235FB2">
        <w:rPr>
          <w:rFonts w:ascii="Calibri" w:hAnsi="Calibri" w:cs="Calibri"/>
          <w:color w:val="000000" w:themeColor="text1"/>
          <w:sz w:val="20"/>
          <w:szCs w:val="20"/>
        </w:rPr>
        <w:t>estructuring paragraphs</w:t>
      </w:r>
      <w:r w:rsidR="000D5675" w:rsidRPr="00235FB2">
        <w:rPr>
          <w:rFonts w:ascii="Calibri" w:hAnsi="Calibri" w:cs="Calibri"/>
          <w:color w:val="000000" w:themeColor="text1"/>
          <w:sz w:val="20"/>
          <w:szCs w:val="20"/>
        </w:rPr>
        <w:t>, and s</w:t>
      </w:r>
      <w:r w:rsidRPr="00235FB2">
        <w:rPr>
          <w:rFonts w:ascii="Calibri" w:hAnsi="Calibri" w:cs="Calibri"/>
          <w:color w:val="000000" w:themeColor="text1"/>
          <w:sz w:val="20"/>
          <w:szCs w:val="20"/>
        </w:rPr>
        <w:t>trengthening arguments</w:t>
      </w:r>
      <w:r w:rsidR="000D5675"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This reflects a mature revision practice, moving beyond grammar fixes to text-level improvement. Teachers’ acceptance of imperfect drafts reinforced this developmental view of writing.</w:t>
      </w:r>
    </w:p>
    <w:p w14:paraId="31A40046" w14:textId="77777777" w:rsidR="000503AB" w:rsidRPr="00235FB2" w:rsidRDefault="004708F4"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Editing and Proofreading: Accuracy as a Final Stage</w:t>
      </w:r>
      <w:r w:rsidR="00821190" w:rsidRPr="00235FB2">
        <w:rPr>
          <w:rFonts w:ascii="Calibri" w:hAnsi="Calibri" w:cs="Calibri"/>
          <w:b/>
          <w:bCs/>
          <w:color w:val="000000" w:themeColor="text1"/>
          <w:sz w:val="20"/>
          <w:szCs w:val="20"/>
        </w:rPr>
        <w:t>:</w:t>
      </w:r>
      <w:r w:rsidR="00821190"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Editing now appears after revision, aligning with best practices. Students improved</w:t>
      </w:r>
      <w:r w:rsidR="00821190" w:rsidRPr="00235FB2">
        <w:rPr>
          <w:rFonts w:ascii="Calibri" w:hAnsi="Calibri" w:cs="Calibri"/>
          <w:color w:val="000000" w:themeColor="text1"/>
          <w:sz w:val="20"/>
          <w:szCs w:val="20"/>
        </w:rPr>
        <w:t xml:space="preserve"> g</w:t>
      </w:r>
      <w:r w:rsidRPr="00235FB2">
        <w:rPr>
          <w:rFonts w:ascii="Calibri" w:hAnsi="Calibri" w:cs="Calibri"/>
          <w:color w:val="000000" w:themeColor="text1"/>
          <w:sz w:val="20"/>
          <w:szCs w:val="20"/>
        </w:rPr>
        <w:t>rammar</w:t>
      </w:r>
      <w:r w:rsidR="00821190" w:rsidRPr="00235FB2">
        <w:rPr>
          <w:rFonts w:ascii="Calibri" w:hAnsi="Calibri" w:cs="Calibri"/>
          <w:color w:val="000000" w:themeColor="text1"/>
          <w:sz w:val="20"/>
          <w:szCs w:val="20"/>
        </w:rPr>
        <w:t>, v</w:t>
      </w:r>
      <w:r w:rsidRPr="00235FB2">
        <w:rPr>
          <w:rFonts w:ascii="Calibri" w:hAnsi="Calibri" w:cs="Calibri"/>
          <w:color w:val="000000" w:themeColor="text1"/>
          <w:sz w:val="20"/>
          <w:szCs w:val="20"/>
        </w:rPr>
        <w:t>ocabulary use</w:t>
      </w:r>
      <w:r w:rsidR="00821190" w:rsidRPr="00235FB2">
        <w:rPr>
          <w:rFonts w:ascii="Calibri" w:hAnsi="Calibri" w:cs="Calibri"/>
          <w:color w:val="000000" w:themeColor="text1"/>
          <w:sz w:val="20"/>
          <w:szCs w:val="20"/>
        </w:rPr>
        <w:t>, and s</w:t>
      </w:r>
      <w:r w:rsidRPr="00235FB2">
        <w:rPr>
          <w:rFonts w:ascii="Calibri" w:hAnsi="Calibri" w:cs="Calibri"/>
          <w:color w:val="000000" w:themeColor="text1"/>
          <w:sz w:val="20"/>
          <w:szCs w:val="20"/>
        </w:rPr>
        <w:t>entence clarity</w:t>
      </w:r>
      <w:r w:rsidR="00821190" w:rsidRPr="00235FB2">
        <w:rPr>
          <w:rFonts w:ascii="Calibri" w:hAnsi="Calibri" w:cs="Calibri"/>
          <w:color w:val="000000" w:themeColor="text1"/>
          <w:sz w:val="20"/>
          <w:szCs w:val="20"/>
        </w:rPr>
        <w:t>. Th</w:t>
      </w:r>
      <w:r w:rsidR="005016E6" w:rsidRPr="00235FB2">
        <w:rPr>
          <w:rFonts w:ascii="Calibri" w:hAnsi="Calibri" w:cs="Calibri"/>
          <w:color w:val="000000" w:themeColor="text1"/>
          <w:sz w:val="20"/>
          <w:szCs w:val="20"/>
        </w:rPr>
        <w:t>ese</w:t>
      </w:r>
      <w:r w:rsidR="00821190" w:rsidRPr="00235FB2">
        <w:rPr>
          <w:rFonts w:ascii="Calibri" w:hAnsi="Calibri" w:cs="Calibri"/>
          <w:color w:val="000000" w:themeColor="text1"/>
          <w:sz w:val="20"/>
          <w:szCs w:val="20"/>
        </w:rPr>
        <w:t xml:space="preserve"> f</w:t>
      </w:r>
      <w:r w:rsidRPr="00235FB2">
        <w:rPr>
          <w:rFonts w:ascii="Calibri" w:hAnsi="Calibri" w:cs="Calibri"/>
          <w:color w:val="000000" w:themeColor="text1"/>
          <w:sz w:val="20"/>
          <w:szCs w:val="20"/>
        </w:rPr>
        <w:t xml:space="preserve">indings </w:t>
      </w:r>
      <w:r w:rsidRPr="00235FB2">
        <w:rPr>
          <w:rFonts w:ascii="Calibri" w:hAnsi="Calibri" w:cs="Calibri"/>
          <w:color w:val="000000" w:themeColor="text1"/>
          <w:sz w:val="20"/>
          <w:szCs w:val="20"/>
        </w:rPr>
        <w:lastRenderedPageBreak/>
        <w:t>confirm that when editing is delayed until later stages, students</w:t>
      </w:r>
      <w:r w:rsidR="005016E6" w:rsidRPr="00235FB2">
        <w:rPr>
          <w:rFonts w:ascii="Calibri" w:hAnsi="Calibri" w:cs="Calibri"/>
          <w:color w:val="000000" w:themeColor="text1"/>
          <w:sz w:val="20"/>
          <w:szCs w:val="20"/>
        </w:rPr>
        <w:t xml:space="preserve"> f</w:t>
      </w:r>
      <w:r w:rsidRPr="00235FB2">
        <w:rPr>
          <w:rFonts w:ascii="Calibri" w:hAnsi="Calibri" w:cs="Calibri"/>
          <w:color w:val="000000" w:themeColor="text1"/>
          <w:sz w:val="20"/>
          <w:szCs w:val="20"/>
        </w:rPr>
        <w:t>ocus first on meaning</w:t>
      </w:r>
      <w:r w:rsidR="005016E6" w:rsidRPr="00235FB2">
        <w:rPr>
          <w:rFonts w:ascii="Calibri" w:hAnsi="Calibri" w:cs="Calibri"/>
          <w:color w:val="000000" w:themeColor="text1"/>
          <w:sz w:val="20"/>
          <w:szCs w:val="20"/>
        </w:rPr>
        <w:t>, a</w:t>
      </w:r>
      <w:r w:rsidRPr="00235FB2">
        <w:rPr>
          <w:rFonts w:ascii="Calibri" w:hAnsi="Calibri" w:cs="Calibri"/>
          <w:color w:val="000000" w:themeColor="text1"/>
          <w:sz w:val="20"/>
          <w:szCs w:val="20"/>
        </w:rPr>
        <w:t>void early self-censorship</w:t>
      </w:r>
      <w:r w:rsidR="005016E6" w:rsidRPr="00235FB2">
        <w:rPr>
          <w:rFonts w:ascii="Calibri" w:hAnsi="Calibri" w:cs="Calibri"/>
          <w:color w:val="000000" w:themeColor="text1"/>
          <w:sz w:val="20"/>
          <w:szCs w:val="20"/>
        </w:rPr>
        <w:t>, and d</w:t>
      </w:r>
      <w:r w:rsidRPr="00235FB2">
        <w:rPr>
          <w:rFonts w:ascii="Calibri" w:hAnsi="Calibri" w:cs="Calibri"/>
          <w:color w:val="000000" w:themeColor="text1"/>
          <w:sz w:val="20"/>
          <w:szCs w:val="20"/>
        </w:rPr>
        <w:t>evelop fluency before accuracy</w:t>
      </w:r>
      <w:r w:rsidR="005016E6"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This sequencing corrects the traditional Bangladeshi classroom tendency to prioritise accuracy too early.</w:t>
      </w:r>
    </w:p>
    <w:p w14:paraId="7EF69115" w14:textId="77777777" w:rsidR="007879CF" w:rsidRPr="00235FB2" w:rsidRDefault="004708F4"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Contextual Constraints: Systemic Realities</w:t>
      </w:r>
      <w:r w:rsidR="000503AB" w:rsidRPr="00235FB2">
        <w:rPr>
          <w:rFonts w:ascii="Calibri" w:hAnsi="Calibri" w:cs="Calibri"/>
          <w:b/>
          <w:bCs/>
          <w:color w:val="000000" w:themeColor="text1"/>
          <w:sz w:val="20"/>
          <w:szCs w:val="20"/>
        </w:rPr>
        <w:t>:</w:t>
      </w:r>
      <w:r w:rsidR="000503AB"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The model explicitly integrates structural barriers</w:t>
      </w:r>
      <w:r w:rsidR="000503AB" w:rsidRPr="00235FB2">
        <w:rPr>
          <w:rFonts w:ascii="Calibri" w:hAnsi="Calibri" w:cs="Calibri"/>
          <w:color w:val="000000" w:themeColor="text1"/>
          <w:sz w:val="20"/>
          <w:szCs w:val="20"/>
        </w:rPr>
        <w:t xml:space="preserve"> such as l</w:t>
      </w:r>
      <w:r w:rsidRPr="00235FB2">
        <w:rPr>
          <w:rFonts w:ascii="Calibri" w:hAnsi="Calibri" w:cs="Calibri"/>
          <w:color w:val="000000" w:themeColor="text1"/>
          <w:sz w:val="20"/>
          <w:szCs w:val="20"/>
        </w:rPr>
        <w:t>arge class sizes</w:t>
      </w:r>
      <w:r w:rsidR="000503AB" w:rsidRPr="00235FB2">
        <w:rPr>
          <w:rFonts w:ascii="Calibri" w:hAnsi="Calibri" w:cs="Calibri"/>
          <w:color w:val="000000" w:themeColor="text1"/>
          <w:sz w:val="20"/>
          <w:szCs w:val="20"/>
        </w:rPr>
        <w:t>, l</w:t>
      </w:r>
      <w:r w:rsidRPr="00235FB2">
        <w:rPr>
          <w:rFonts w:ascii="Calibri" w:hAnsi="Calibri" w:cs="Calibri"/>
          <w:color w:val="000000" w:themeColor="text1"/>
          <w:sz w:val="20"/>
          <w:szCs w:val="20"/>
        </w:rPr>
        <w:t>imited class time</w:t>
      </w:r>
      <w:r w:rsidR="000503AB" w:rsidRPr="00235FB2">
        <w:rPr>
          <w:rFonts w:ascii="Calibri" w:hAnsi="Calibri" w:cs="Calibri"/>
          <w:color w:val="000000" w:themeColor="text1"/>
          <w:sz w:val="20"/>
          <w:szCs w:val="20"/>
        </w:rPr>
        <w:t>, and e</w:t>
      </w:r>
      <w:r w:rsidRPr="00235FB2">
        <w:rPr>
          <w:rFonts w:ascii="Calibri" w:hAnsi="Calibri" w:cs="Calibri"/>
          <w:color w:val="000000" w:themeColor="text1"/>
          <w:sz w:val="20"/>
          <w:szCs w:val="20"/>
        </w:rPr>
        <w:t>xam-driven curriculum</w:t>
      </w:r>
      <w:r w:rsidR="000503AB"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Participants consistently highlighted these constraints. Their inclusion is critical, as it acknowledges that pedagogy operates within institutional realities. The dotted arrows indicate how constraints</w:t>
      </w:r>
      <w:r w:rsidR="007879CF" w:rsidRPr="00235FB2">
        <w:rPr>
          <w:rFonts w:ascii="Calibri" w:hAnsi="Calibri" w:cs="Calibri"/>
          <w:color w:val="000000" w:themeColor="text1"/>
          <w:sz w:val="20"/>
          <w:szCs w:val="20"/>
        </w:rPr>
        <w:t xml:space="preserve"> l</w:t>
      </w:r>
      <w:r w:rsidRPr="00235FB2">
        <w:rPr>
          <w:rFonts w:ascii="Calibri" w:hAnsi="Calibri" w:cs="Calibri"/>
          <w:color w:val="000000" w:themeColor="text1"/>
          <w:sz w:val="20"/>
          <w:szCs w:val="20"/>
        </w:rPr>
        <w:t>imit feedback cycles</w:t>
      </w:r>
      <w:r w:rsidR="007879CF" w:rsidRPr="00235FB2">
        <w:rPr>
          <w:rFonts w:ascii="Calibri" w:hAnsi="Calibri" w:cs="Calibri"/>
          <w:color w:val="000000" w:themeColor="text1"/>
          <w:sz w:val="20"/>
          <w:szCs w:val="20"/>
        </w:rPr>
        <w:t>, r</w:t>
      </w:r>
      <w:r w:rsidRPr="00235FB2">
        <w:rPr>
          <w:rFonts w:ascii="Calibri" w:hAnsi="Calibri" w:cs="Calibri"/>
          <w:color w:val="000000" w:themeColor="text1"/>
          <w:sz w:val="20"/>
          <w:szCs w:val="20"/>
        </w:rPr>
        <w:t>educe classroom practice</w:t>
      </w:r>
      <w:r w:rsidR="007879CF" w:rsidRPr="00235FB2">
        <w:rPr>
          <w:rFonts w:ascii="Calibri" w:hAnsi="Calibri" w:cs="Calibri"/>
          <w:color w:val="000000" w:themeColor="text1"/>
          <w:sz w:val="20"/>
          <w:szCs w:val="20"/>
        </w:rPr>
        <w:t>, and s</w:t>
      </w:r>
      <w:r w:rsidRPr="00235FB2">
        <w:rPr>
          <w:rFonts w:ascii="Calibri" w:hAnsi="Calibri" w:cs="Calibri"/>
          <w:color w:val="000000" w:themeColor="text1"/>
          <w:sz w:val="20"/>
          <w:szCs w:val="20"/>
        </w:rPr>
        <w:t>hape learner resistance</w:t>
      </w:r>
      <w:r w:rsidR="007879CF" w:rsidRPr="00235FB2">
        <w:rPr>
          <w:rFonts w:ascii="Calibri" w:hAnsi="Calibri" w:cs="Calibri"/>
          <w:color w:val="000000" w:themeColor="text1"/>
          <w:sz w:val="20"/>
          <w:szCs w:val="20"/>
        </w:rPr>
        <w:t>.</w:t>
      </w:r>
    </w:p>
    <w:p w14:paraId="4718B896" w14:textId="77777777" w:rsidR="004C5C63" w:rsidRPr="00235FB2" w:rsidRDefault="004708F4"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Resistance to PWA: Rational, Exam-Driven Decisions</w:t>
      </w:r>
      <w:r w:rsidR="007879CF" w:rsidRPr="00235FB2">
        <w:rPr>
          <w:rFonts w:ascii="Calibri" w:hAnsi="Calibri" w:cs="Calibri"/>
          <w:b/>
          <w:bCs/>
          <w:color w:val="000000" w:themeColor="text1"/>
          <w:sz w:val="20"/>
          <w:szCs w:val="20"/>
        </w:rPr>
        <w:t>:</w:t>
      </w:r>
      <w:r w:rsidR="007879CF"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A novel contribution is the explicit representation of student resistance. Some learners viewed PWA as</w:t>
      </w:r>
      <w:r w:rsidR="00493C16" w:rsidRPr="00235FB2">
        <w:rPr>
          <w:rFonts w:ascii="Calibri" w:hAnsi="Calibri" w:cs="Calibri"/>
          <w:color w:val="000000" w:themeColor="text1"/>
          <w:sz w:val="20"/>
          <w:szCs w:val="20"/>
        </w:rPr>
        <w:t xml:space="preserve"> t</w:t>
      </w:r>
      <w:r w:rsidRPr="00235FB2">
        <w:rPr>
          <w:rFonts w:ascii="Calibri" w:hAnsi="Calibri" w:cs="Calibri"/>
          <w:color w:val="000000" w:themeColor="text1"/>
          <w:sz w:val="20"/>
          <w:szCs w:val="20"/>
        </w:rPr>
        <w:t>ime-consuming</w:t>
      </w:r>
      <w:r w:rsidR="00493C16" w:rsidRPr="00235FB2">
        <w:rPr>
          <w:rFonts w:ascii="Calibri" w:hAnsi="Calibri" w:cs="Calibri"/>
          <w:color w:val="000000" w:themeColor="text1"/>
          <w:sz w:val="20"/>
          <w:szCs w:val="20"/>
        </w:rPr>
        <w:t>, r</w:t>
      </w:r>
      <w:r w:rsidRPr="00235FB2">
        <w:rPr>
          <w:rFonts w:ascii="Calibri" w:hAnsi="Calibri" w:cs="Calibri"/>
          <w:color w:val="000000" w:themeColor="text1"/>
          <w:sz w:val="20"/>
          <w:szCs w:val="20"/>
        </w:rPr>
        <w:t>isky for exams</w:t>
      </w:r>
      <w:r w:rsidR="00493C16" w:rsidRPr="00235FB2">
        <w:rPr>
          <w:rFonts w:ascii="Calibri" w:hAnsi="Calibri" w:cs="Calibri"/>
          <w:color w:val="000000" w:themeColor="text1"/>
          <w:sz w:val="20"/>
          <w:szCs w:val="20"/>
        </w:rPr>
        <w:t>, and l</w:t>
      </w:r>
      <w:r w:rsidRPr="00235FB2">
        <w:rPr>
          <w:rFonts w:ascii="Calibri" w:hAnsi="Calibri" w:cs="Calibri"/>
          <w:color w:val="000000" w:themeColor="text1"/>
          <w:sz w:val="20"/>
          <w:szCs w:val="20"/>
        </w:rPr>
        <w:t>ess efficient than memorisation</w:t>
      </w:r>
      <w:r w:rsidR="00493C16"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 xml:space="preserve">This resistance is pragmatic, not ideological. Students calculate effort vs reward within exam systems. By embedding resistance in the model, </w:t>
      </w:r>
      <w:r w:rsidR="00A94E10" w:rsidRPr="00235FB2">
        <w:rPr>
          <w:rFonts w:ascii="Calibri" w:hAnsi="Calibri" w:cs="Calibri"/>
          <w:color w:val="000000" w:themeColor="text1"/>
          <w:sz w:val="20"/>
          <w:szCs w:val="20"/>
        </w:rPr>
        <w:t xml:space="preserve">this study </w:t>
      </w:r>
      <w:r w:rsidRPr="00235FB2">
        <w:rPr>
          <w:rFonts w:ascii="Calibri" w:hAnsi="Calibri" w:cs="Calibri"/>
          <w:color w:val="000000" w:themeColor="text1"/>
          <w:sz w:val="20"/>
          <w:szCs w:val="20"/>
        </w:rPr>
        <w:t>acknowledge</w:t>
      </w:r>
      <w:r w:rsidR="00A94E10" w:rsidRPr="00235FB2">
        <w:rPr>
          <w:rFonts w:ascii="Calibri" w:hAnsi="Calibri" w:cs="Calibri"/>
          <w:color w:val="000000" w:themeColor="text1"/>
          <w:sz w:val="20"/>
          <w:szCs w:val="20"/>
        </w:rPr>
        <w:t>s</w:t>
      </w:r>
      <w:r w:rsidR="004C5C63"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The power of assessment culture</w:t>
      </w:r>
      <w:r w:rsidR="004C5C63" w:rsidRPr="00235FB2">
        <w:rPr>
          <w:rFonts w:ascii="Calibri" w:hAnsi="Calibri" w:cs="Calibri"/>
          <w:color w:val="000000" w:themeColor="text1"/>
          <w:sz w:val="20"/>
          <w:szCs w:val="20"/>
        </w:rPr>
        <w:t>” and “</w:t>
      </w:r>
      <w:r w:rsidRPr="00235FB2">
        <w:rPr>
          <w:rFonts w:ascii="Calibri" w:hAnsi="Calibri" w:cs="Calibri"/>
          <w:color w:val="000000" w:themeColor="text1"/>
          <w:sz w:val="20"/>
          <w:szCs w:val="20"/>
        </w:rPr>
        <w:t>The need for systemic alignment</w:t>
      </w:r>
      <w:r w:rsidR="004C5C63" w:rsidRPr="00235FB2">
        <w:rPr>
          <w:rFonts w:ascii="Calibri" w:hAnsi="Calibri" w:cs="Calibri"/>
          <w:color w:val="000000" w:themeColor="text1"/>
          <w:sz w:val="20"/>
          <w:szCs w:val="20"/>
        </w:rPr>
        <w:t xml:space="preserve">”. </w:t>
      </w:r>
    </w:p>
    <w:p w14:paraId="3DA067EE" w14:textId="77777777" w:rsidR="00312172" w:rsidRPr="00235FB2" w:rsidRDefault="004708F4"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Affective Outcomes: Reduced Anxiety and Increased Confidence</w:t>
      </w:r>
      <w:r w:rsidR="004C5C63" w:rsidRPr="00235FB2">
        <w:rPr>
          <w:rFonts w:ascii="Calibri" w:hAnsi="Calibri" w:cs="Calibri"/>
          <w:b/>
          <w:bCs/>
          <w:color w:val="000000" w:themeColor="text1"/>
          <w:sz w:val="20"/>
          <w:szCs w:val="20"/>
        </w:rPr>
        <w:t>:</w:t>
      </w:r>
      <w:r w:rsidR="004C5C63" w:rsidRPr="00235FB2">
        <w:rPr>
          <w:rFonts w:ascii="Calibri" w:hAnsi="Calibri" w:cs="Calibri"/>
          <w:color w:val="000000" w:themeColor="text1"/>
          <w:sz w:val="20"/>
          <w:szCs w:val="20"/>
        </w:rPr>
        <w:t xml:space="preserve"> The</w:t>
      </w:r>
      <w:r w:rsidRPr="00235FB2">
        <w:rPr>
          <w:rFonts w:ascii="Calibri" w:hAnsi="Calibri" w:cs="Calibri"/>
          <w:color w:val="000000" w:themeColor="text1"/>
          <w:sz w:val="20"/>
          <w:szCs w:val="20"/>
        </w:rPr>
        <w:t xml:space="preserve"> findings demonstrate that PWA</w:t>
      </w:r>
      <w:r w:rsidR="004C5C63" w:rsidRPr="00235FB2">
        <w:rPr>
          <w:rFonts w:ascii="Calibri" w:hAnsi="Calibri" w:cs="Calibri"/>
          <w:color w:val="000000" w:themeColor="text1"/>
          <w:sz w:val="20"/>
          <w:szCs w:val="20"/>
        </w:rPr>
        <w:t xml:space="preserve"> r</w:t>
      </w:r>
      <w:r w:rsidRPr="00235FB2">
        <w:rPr>
          <w:rFonts w:ascii="Calibri" w:hAnsi="Calibri" w:cs="Calibri"/>
          <w:color w:val="000000" w:themeColor="text1"/>
          <w:sz w:val="20"/>
          <w:szCs w:val="20"/>
        </w:rPr>
        <w:t>educed writing fear</w:t>
      </w:r>
      <w:r w:rsidR="004C5C63" w:rsidRPr="00235FB2">
        <w:rPr>
          <w:rFonts w:ascii="Calibri" w:hAnsi="Calibri" w:cs="Calibri"/>
          <w:color w:val="000000" w:themeColor="text1"/>
          <w:sz w:val="20"/>
          <w:szCs w:val="20"/>
        </w:rPr>
        <w:t>, i</w:t>
      </w:r>
      <w:r w:rsidRPr="00235FB2">
        <w:rPr>
          <w:rFonts w:ascii="Calibri" w:hAnsi="Calibri" w:cs="Calibri"/>
          <w:color w:val="000000" w:themeColor="text1"/>
          <w:sz w:val="20"/>
          <w:szCs w:val="20"/>
        </w:rPr>
        <w:t>ncreased confidence</w:t>
      </w:r>
      <w:r w:rsidR="004C5C63" w:rsidRPr="00235FB2">
        <w:rPr>
          <w:rFonts w:ascii="Calibri" w:hAnsi="Calibri" w:cs="Calibri"/>
          <w:color w:val="000000" w:themeColor="text1"/>
          <w:sz w:val="20"/>
          <w:szCs w:val="20"/>
        </w:rPr>
        <w:t>, and i</w:t>
      </w:r>
      <w:r w:rsidRPr="00235FB2">
        <w:rPr>
          <w:rFonts w:ascii="Calibri" w:hAnsi="Calibri" w:cs="Calibri"/>
          <w:color w:val="000000" w:themeColor="text1"/>
          <w:sz w:val="20"/>
          <w:szCs w:val="20"/>
        </w:rPr>
        <w:t>mproved motivation</w:t>
      </w:r>
      <w:r w:rsidR="004C5C63" w:rsidRPr="00235FB2">
        <w:rPr>
          <w:rFonts w:ascii="Calibri" w:hAnsi="Calibri" w:cs="Calibri"/>
          <w:color w:val="000000" w:themeColor="text1"/>
          <w:sz w:val="20"/>
          <w:szCs w:val="20"/>
        </w:rPr>
        <w:t xml:space="preserve">. </w:t>
      </w:r>
      <w:r w:rsidRPr="00235FB2">
        <w:rPr>
          <w:rFonts w:ascii="Calibri" w:hAnsi="Calibri" w:cs="Calibri"/>
          <w:color w:val="000000" w:themeColor="text1"/>
          <w:sz w:val="20"/>
          <w:szCs w:val="20"/>
        </w:rPr>
        <w:t>These affective outcomes are visually represented alongside reflection and peer feedback, emphasising that emotional engagement is central to learning.</w:t>
      </w:r>
    </w:p>
    <w:p w14:paraId="44D2F6E6" w14:textId="13711F62" w:rsidR="004708F4" w:rsidRPr="00235FB2" w:rsidRDefault="00312172" w:rsidP="00D56FAC">
      <w:pPr>
        <w:pStyle w:val="ListParagraph"/>
        <w:numPr>
          <w:ilvl w:val="0"/>
          <w:numId w:val="24"/>
        </w:num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T</w:t>
      </w:r>
      <w:r w:rsidR="004708F4" w:rsidRPr="00235FB2">
        <w:rPr>
          <w:rFonts w:ascii="Calibri" w:hAnsi="Calibri" w:cs="Calibri"/>
          <w:b/>
          <w:bCs/>
          <w:color w:val="000000" w:themeColor="text1"/>
          <w:sz w:val="20"/>
          <w:szCs w:val="20"/>
        </w:rPr>
        <w:t>eacher Needs: Professional Development and Workload</w:t>
      </w:r>
      <w:r w:rsidRPr="00235FB2">
        <w:rPr>
          <w:rFonts w:ascii="Calibri" w:hAnsi="Calibri" w:cs="Calibri"/>
          <w:b/>
          <w:bCs/>
          <w:color w:val="000000" w:themeColor="text1"/>
          <w:sz w:val="20"/>
          <w:szCs w:val="20"/>
        </w:rPr>
        <w:t>:</w:t>
      </w:r>
      <w:r w:rsidRPr="00235FB2">
        <w:rPr>
          <w:rFonts w:ascii="Calibri" w:hAnsi="Calibri" w:cs="Calibri"/>
          <w:color w:val="000000" w:themeColor="text1"/>
          <w:sz w:val="20"/>
          <w:szCs w:val="20"/>
        </w:rPr>
        <w:t xml:space="preserve"> </w:t>
      </w:r>
      <w:r w:rsidR="004708F4" w:rsidRPr="00235FB2">
        <w:rPr>
          <w:rFonts w:ascii="Calibri" w:hAnsi="Calibri" w:cs="Calibri"/>
          <w:color w:val="000000" w:themeColor="text1"/>
          <w:sz w:val="20"/>
          <w:szCs w:val="20"/>
        </w:rPr>
        <w:t>The model incorporates teacher capacity</w:t>
      </w:r>
      <w:r w:rsidRPr="00235FB2">
        <w:rPr>
          <w:rFonts w:ascii="Calibri" w:hAnsi="Calibri" w:cs="Calibri"/>
          <w:color w:val="000000" w:themeColor="text1"/>
          <w:sz w:val="20"/>
          <w:szCs w:val="20"/>
        </w:rPr>
        <w:t xml:space="preserve"> such as n</w:t>
      </w:r>
      <w:r w:rsidR="004708F4" w:rsidRPr="00235FB2">
        <w:rPr>
          <w:rFonts w:ascii="Calibri" w:hAnsi="Calibri" w:cs="Calibri"/>
          <w:color w:val="000000" w:themeColor="text1"/>
          <w:sz w:val="20"/>
          <w:szCs w:val="20"/>
        </w:rPr>
        <w:t>eed for training</w:t>
      </w:r>
      <w:r w:rsidRPr="00235FB2">
        <w:rPr>
          <w:rFonts w:ascii="Calibri" w:hAnsi="Calibri" w:cs="Calibri"/>
          <w:color w:val="000000" w:themeColor="text1"/>
          <w:sz w:val="20"/>
          <w:szCs w:val="20"/>
        </w:rPr>
        <w:t>, f</w:t>
      </w:r>
      <w:r w:rsidR="004708F4" w:rsidRPr="00235FB2">
        <w:rPr>
          <w:rFonts w:ascii="Calibri" w:hAnsi="Calibri" w:cs="Calibri"/>
          <w:color w:val="000000" w:themeColor="text1"/>
          <w:sz w:val="20"/>
          <w:szCs w:val="20"/>
        </w:rPr>
        <w:t>eedback workload</w:t>
      </w:r>
      <w:r w:rsidRPr="00235FB2">
        <w:rPr>
          <w:rFonts w:ascii="Calibri" w:hAnsi="Calibri" w:cs="Calibri"/>
          <w:color w:val="000000" w:themeColor="text1"/>
          <w:sz w:val="20"/>
          <w:szCs w:val="20"/>
        </w:rPr>
        <w:t>, and c</w:t>
      </w:r>
      <w:r w:rsidR="004708F4" w:rsidRPr="00235FB2">
        <w:rPr>
          <w:rFonts w:ascii="Calibri" w:hAnsi="Calibri" w:cs="Calibri"/>
          <w:color w:val="000000" w:themeColor="text1"/>
          <w:sz w:val="20"/>
          <w:szCs w:val="20"/>
        </w:rPr>
        <w:t>lassroom management strategies</w:t>
      </w:r>
      <w:r w:rsidRPr="00235FB2">
        <w:rPr>
          <w:rFonts w:ascii="Calibri" w:hAnsi="Calibri" w:cs="Calibri"/>
          <w:color w:val="000000" w:themeColor="text1"/>
          <w:sz w:val="20"/>
          <w:szCs w:val="20"/>
        </w:rPr>
        <w:t xml:space="preserve">. </w:t>
      </w:r>
      <w:r w:rsidR="004708F4" w:rsidRPr="00235FB2">
        <w:rPr>
          <w:rFonts w:ascii="Calibri" w:hAnsi="Calibri" w:cs="Calibri"/>
          <w:color w:val="000000" w:themeColor="text1"/>
          <w:sz w:val="20"/>
          <w:szCs w:val="20"/>
        </w:rPr>
        <w:t xml:space="preserve">Teachers in </w:t>
      </w:r>
      <w:r w:rsidRPr="00235FB2">
        <w:rPr>
          <w:rFonts w:ascii="Calibri" w:hAnsi="Calibri" w:cs="Calibri"/>
          <w:color w:val="000000" w:themeColor="text1"/>
          <w:sz w:val="20"/>
          <w:szCs w:val="20"/>
        </w:rPr>
        <w:t xml:space="preserve">the </w:t>
      </w:r>
      <w:r w:rsidR="004708F4" w:rsidRPr="00235FB2">
        <w:rPr>
          <w:rFonts w:ascii="Calibri" w:hAnsi="Calibri" w:cs="Calibri"/>
          <w:color w:val="000000" w:themeColor="text1"/>
          <w:sz w:val="20"/>
          <w:szCs w:val="20"/>
        </w:rPr>
        <w:t>study recognised PWA’s value but stressed</w:t>
      </w:r>
      <w:r w:rsidR="009B372C" w:rsidRPr="00235FB2">
        <w:rPr>
          <w:rFonts w:ascii="Calibri" w:hAnsi="Calibri" w:cs="Calibri"/>
          <w:color w:val="000000" w:themeColor="text1"/>
          <w:sz w:val="20"/>
          <w:szCs w:val="20"/>
        </w:rPr>
        <w:t xml:space="preserve"> n</w:t>
      </w:r>
      <w:r w:rsidR="004708F4" w:rsidRPr="00235FB2">
        <w:rPr>
          <w:rFonts w:ascii="Calibri" w:hAnsi="Calibri" w:cs="Calibri"/>
          <w:color w:val="000000" w:themeColor="text1"/>
          <w:sz w:val="20"/>
          <w:szCs w:val="20"/>
        </w:rPr>
        <w:t>eed for professional development</w:t>
      </w:r>
      <w:r w:rsidR="009B372C" w:rsidRPr="00235FB2">
        <w:rPr>
          <w:rFonts w:ascii="Calibri" w:hAnsi="Calibri" w:cs="Calibri"/>
          <w:color w:val="000000" w:themeColor="text1"/>
          <w:sz w:val="20"/>
          <w:szCs w:val="20"/>
        </w:rPr>
        <w:t>, and s</w:t>
      </w:r>
      <w:r w:rsidR="004708F4" w:rsidRPr="00235FB2">
        <w:rPr>
          <w:rFonts w:ascii="Calibri" w:hAnsi="Calibri" w:cs="Calibri"/>
          <w:color w:val="000000" w:themeColor="text1"/>
          <w:sz w:val="20"/>
          <w:szCs w:val="20"/>
        </w:rPr>
        <w:t>tructural support</w:t>
      </w:r>
      <w:r w:rsidR="009B372C" w:rsidRPr="00235FB2">
        <w:rPr>
          <w:rFonts w:ascii="Calibri" w:hAnsi="Calibri" w:cs="Calibri"/>
          <w:color w:val="000000" w:themeColor="text1"/>
          <w:sz w:val="20"/>
          <w:szCs w:val="20"/>
        </w:rPr>
        <w:t xml:space="preserve">. </w:t>
      </w:r>
      <w:r w:rsidR="004708F4" w:rsidRPr="00235FB2">
        <w:rPr>
          <w:rFonts w:ascii="Calibri" w:hAnsi="Calibri" w:cs="Calibri"/>
          <w:color w:val="000000" w:themeColor="text1"/>
          <w:sz w:val="20"/>
          <w:szCs w:val="20"/>
        </w:rPr>
        <w:t>This ensures the model remains implementable, not merely aspirational.</w:t>
      </w:r>
    </w:p>
    <w:p w14:paraId="202C719D" w14:textId="2A4E6B8F" w:rsidR="00A93E9A" w:rsidRPr="00235FB2" w:rsidRDefault="00737DAD" w:rsidP="00C82C37">
      <w:pPr>
        <w:spacing w:after="0" w:line="360" w:lineRule="auto"/>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Theoretical Advancement: </w:t>
      </w:r>
      <w:r w:rsidR="00622302" w:rsidRPr="00235FB2">
        <w:rPr>
          <w:rFonts w:ascii="Calibri" w:hAnsi="Calibri" w:cs="Calibri"/>
          <w:color w:val="000000" w:themeColor="text1"/>
          <w:sz w:val="20"/>
          <w:szCs w:val="20"/>
        </w:rPr>
        <w:t xml:space="preserve">The revised model extends Flower and Hayes by: </w:t>
      </w:r>
    </w:p>
    <w:tbl>
      <w:tblPr>
        <w:tblStyle w:val="TableGrid"/>
        <w:tblW w:w="6986" w:type="dxa"/>
        <w:tblInd w:w="1015" w:type="dxa"/>
        <w:tblLook w:val="04A0" w:firstRow="1" w:lastRow="0" w:firstColumn="1" w:lastColumn="0" w:noHBand="0" w:noVBand="1"/>
      </w:tblPr>
      <w:tblGrid>
        <w:gridCol w:w="3318"/>
        <w:gridCol w:w="3668"/>
      </w:tblGrid>
      <w:tr w:rsidR="001D56FD" w:rsidRPr="00235FB2" w14:paraId="0832FACE" w14:textId="77777777" w:rsidTr="00235FB2">
        <w:trPr>
          <w:trHeight w:val="379"/>
        </w:trPr>
        <w:tc>
          <w:tcPr>
            <w:tcW w:w="0" w:type="auto"/>
          </w:tcPr>
          <w:p w14:paraId="7FC3EB54" w14:textId="410EEC2D" w:rsidR="00622302" w:rsidRPr="00235FB2" w:rsidRDefault="00622302" w:rsidP="005D2AFC">
            <w:pPr>
              <w:spacing w:line="360" w:lineRule="auto"/>
              <w:jc w:val="center"/>
              <w:rPr>
                <w:rFonts w:ascii="Calibri" w:hAnsi="Calibri" w:cs="Calibri"/>
                <w:b/>
                <w:bCs/>
                <w:color w:val="000000" w:themeColor="text1"/>
                <w:sz w:val="20"/>
                <w:szCs w:val="20"/>
              </w:rPr>
            </w:pPr>
            <w:r w:rsidRPr="00235FB2">
              <w:rPr>
                <w:rFonts w:ascii="Calibri" w:hAnsi="Calibri" w:cs="Calibri"/>
                <w:b/>
                <w:bCs/>
                <w:color w:val="000000" w:themeColor="text1"/>
                <w:sz w:val="20"/>
                <w:szCs w:val="20"/>
              </w:rPr>
              <w:t>Original Model</w:t>
            </w:r>
          </w:p>
        </w:tc>
        <w:tc>
          <w:tcPr>
            <w:tcW w:w="0" w:type="auto"/>
          </w:tcPr>
          <w:p w14:paraId="1A27E96F" w14:textId="471121E5" w:rsidR="00622302" w:rsidRPr="00235FB2" w:rsidRDefault="00622302" w:rsidP="005D2AFC">
            <w:pPr>
              <w:spacing w:line="360" w:lineRule="auto"/>
              <w:jc w:val="center"/>
              <w:rPr>
                <w:rFonts w:ascii="Calibri" w:hAnsi="Calibri" w:cs="Calibri"/>
                <w:b/>
                <w:bCs/>
                <w:color w:val="000000" w:themeColor="text1"/>
                <w:sz w:val="20"/>
                <w:szCs w:val="20"/>
              </w:rPr>
            </w:pPr>
            <w:r w:rsidRPr="00235FB2">
              <w:rPr>
                <w:rFonts w:ascii="Calibri" w:hAnsi="Calibri" w:cs="Calibri"/>
                <w:b/>
                <w:bCs/>
                <w:color w:val="000000" w:themeColor="text1"/>
                <w:sz w:val="20"/>
                <w:szCs w:val="20"/>
              </w:rPr>
              <w:t>Revised Model</w:t>
            </w:r>
          </w:p>
        </w:tc>
      </w:tr>
      <w:tr w:rsidR="001D56FD" w:rsidRPr="00235FB2" w14:paraId="2613499B" w14:textId="77777777" w:rsidTr="00235FB2">
        <w:trPr>
          <w:trHeight w:val="371"/>
        </w:trPr>
        <w:tc>
          <w:tcPr>
            <w:tcW w:w="0" w:type="auto"/>
          </w:tcPr>
          <w:p w14:paraId="26CC5C25" w14:textId="0DB419C1" w:rsidR="00622302" w:rsidRPr="00235FB2" w:rsidRDefault="00622302"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Individual cognition</w:t>
            </w:r>
          </w:p>
        </w:tc>
        <w:tc>
          <w:tcPr>
            <w:tcW w:w="0" w:type="auto"/>
          </w:tcPr>
          <w:p w14:paraId="08F7D0D6" w14:textId="75773C6E" w:rsidR="00622302" w:rsidRPr="00235FB2" w:rsidRDefault="00622302"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Social and collaborative learning </w:t>
            </w:r>
          </w:p>
        </w:tc>
      </w:tr>
      <w:tr w:rsidR="001D56FD" w:rsidRPr="00235FB2" w14:paraId="0D151645" w14:textId="77777777" w:rsidTr="00235FB2">
        <w:trPr>
          <w:trHeight w:val="379"/>
        </w:trPr>
        <w:tc>
          <w:tcPr>
            <w:tcW w:w="0" w:type="auto"/>
          </w:tcPr>
          <w:p w14:paraId="4CFB8B10" w14:textId="15D6E4A3" w:rsidR="00622302" w:rsidRPr="00235FB2" w:rsidRDefault="00AD42EB"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Planning -&gt; Drafting -&gt; Revising</w:t>
            </w:r>
          </w:p>
        </w:tc>
        <w:tc>
          <w:tcPr>
            <w:tcW w:w="0" w:type="auto"/>
          </w:tcPr>
          <w:p w14:paraId="6912B0CA" w14:textId="25B6F2FB" w:rsidR="00622302" w:rsidRPr="00235FB2" w:rsidRDefault="00AD42EB"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Iterative cycles with peer feedback</w:t>
            </w:r>
          </w:p>
        </w:tc>
      </w:tr>
      <w:tr w:rsidR="001D56FD" w:rsidRPr="00235FB2" w14:paraId="797B82D8" w14:textId="77777777" w:rsidTr="00235FB2">
        <w:trPr>
          <w:trHeight w:val="371"/>
        </w:trPr>
        <w:tc>
          <w:tcPr>
            <w:tcW w:w="0" w:type="auto"/>
          </w:tcPr>
          <w:p w14:paraId="7D040338" w14:textId="66F5A700" w:rsidR="00622302" w:rsidRPr="00235FB2" w:rsidRDefault="00AD42EB"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Neutral environment </w:t>
            </w:r>
          </w:p>
        </w:tc>
        <w:tc>
          <w:tcPr>
            <w:tcW w:w="0" w:type="auto"/>
          </w:tcPr>
          <w:p w14:paraId="1DFC775A" w14:textId="112199FF" w:rsidR="00622302" w:rsidRPr="00235FB2" w:rsidRDefault="00AD3956"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Embedded constraints </w:t>
            </w:r>
          </w:p>
        </w:tc>
      </w:tr>
      <w:tr w:rsidR="001D56FD" w:rsidRPr="00235FB2" w14:paraId="18CD7347" w14:textId="77777777" w:rsidTr="00235FB2">
        <w:trPr>
          <w:trHeight w:val="379"/>
        </w:trPr>
        <w:tc>
          <w:tcPr>
            <w:tcW w:w="0" w:type="auto"/>
          </w:tcPr>
          <w:p w14:paraId="12579FCB" w14:textId="11E4C619" w:rsidR="00622302" w:rsidRPr="00235FB2" w:rsidRDefault="00AD3956"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No affective dimension</w:t>
            </w:r>
          </w:p>
        </w:tc>
        <w:tc>
          <w:tcPr>
            <w:tcW w:w="0" w:type="auto"/>
          </w:tcPr>
          <w:p w14:paraId="4699E405" w14:textId="67579047" w:rsidR="00622302" w:rsidRPr="00235FB2" w:rsidRDefault="00AD3956"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Anxiety &amp; confidence included </w:t>
            </w:r>
          </w:p>
        </w:tc>
      </w:tr>
      <w:tr w:rsidR="001D56FD" w:rsidRPr="00235FB2" w14:paraId="2A215BB2" w14:textId="77777777" w:rsidTr="00235FB2">
        <w:trPr>
          <w:trHeight w:val="379"/>
        </w:trPr>
        <w:tc>
          <w:tcPr>
            <w:tcW w:w="0" w:type="auto"/>
          </w:tcPr>
          <w:p w14:paraId="1CA0E0C7" w14:textId="3C17A26E" w:rsidR="00AD3956" w:rsidRPr="00235FB2" w:rsidRDefault="00AD3956"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Writer as individual</w:t>
            </w:r>
          </w:p>
        </w:tc>
        <w:tc>
          <w:tcPr>
            <w:tcW w:w="0" w:type="auto"/>
          </w:tcPr>
          <w:p w14:paraId="62DBED09" w14:textId="5B82251F" w:rsidR="00AD3956" w:rsidRPr="00235FB2" w:rsidRDefault="005D2AFC" w:rsidP="00C82C37">
            <w:pPr>
              <w:spacing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Writer in community </w:t>
            </w:r>
          </w:p>
        </w:tc>
      </w:tr>
    </w:tbl>
    <w:p w14:paraId="7D9A71FC" w14:textId="45BE7FE5" w:rsidR="00622302" w:rsidRPr="00235FB2" w:rsidRDefault="005D2AFC" w:rsidP="00C82C37">
      <w:p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Thus, the revised model becomes a contextualised </w:t>
      </w:r>
      <w:r w:rsidRPr="00235FB2">
        <w:rPr>
          <w:rFonts w:ascii="Calibri" w:hAnsi="Calibri" w:cs="Calibri"/>
          <w:b/>
          <w:bCs/>
          <w:color w:val="000000" w:themeColor="text1"/>
          <w:sz w:val="20"/>
          <w:szCs w:val="20"/>
        </w:rPr>
        <w:t>cognitive–sociocultural hybrid framework</w:t>
      </w:r>
      <w:r w:rsidRPr="00235FB2">
        <w:rPr>
          <w:rFonts w:ascii="Calibri" w:hAnsi="Calibri" w:cs="Calibri"/>
          <w:color w:val="000000" w:themeColor="text1"/>
          <w:sz w:val="20"/>
          <w:szCs w:val="20"/>
        </w:rPr>
        <w:t>.</w:t>
      </w:r>
    </w:p>
    <w:p w14:paraId="2B7DF846" w14:textId="77777777" w:rsidR="003F3DD5" w:rsidRDefault="003F3DD5" w:rsidP="0001469C">
      <w:pPr>
        <w:spacing w:after="0" w:line="360" w:lineRule="auto"/>
        <w:jc w:val="both"/>
        <w:rPr>
          <w:rFonts w:ascii="Calibri" w:hAnsi="Calibri" w:cs="Calibri"/>
          <w:b/>
          <w:bCs/>
          <w:color w:val="000000" w:themeColor="text1"/>
          <w:sz w:val="20"/>
          <w:szCs w:val="20"/>
        </w:rPr>
      </w:pPr>
    </w:p>
    <w:p w14:paraId="4C5E79B8" w14:textId="5B7B7D2C" w:rsidR="00FD64A6" w:rsidRPr="00235FB2" w:rsidRDefault="00FD64A6" w:rsidP="0001469C">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Theoretical Contributions</w:t>
      </w:r>
    </w:p>
    <w:p w14:paraId="077559E4" w14:textId="77777777" w:rsidR="003752BE" w:rsidRPr="00235FB2" w:rsidRDefault="00FD64A6" w:rsidP="0001469C">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This study makes several substantive theoretical contributions to writing pedagogy and second language acquisition research by extending, contextualising, and reconceptualising the Process Writing Approach (PWA) through empirical evidence from Bangladeshi higher secondary education.</w:t>
      </w:r>
      <w:r w:rsidR="00503917" w:rsidRPr="00235FB2">
        <w:rPr>
          <w:rFonts w:ascii="Calibri" w:hAnsi="Calibri" w:cs="Calibri"/>
          <w:color w:val="000000" w:themeColor="text1"/>
          <w:sz w:val="20"/>
          <w:szCs w:val="20"/>
        </w:rPr>
        <w:t xml:space="preserve"> </w:t>
      </w:r>
    </w:p>
    <w:p w14:paraId="6B118CAF" w14:textId="6FCEAD12" w:rsidR="003752BE" w:rsidRPr="00235FB2" w:rsidRDefault="007D55E8" w:rsidP="003752BE">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 xml:space="preserve">he study advances </w:t>
      </w:r>
      <w:r w:rsidR="00FD64A6" w:rsidRPr="00235FB2">
        <w:rPr>
          <w:rFonts w:ascii="Calibri" w:hAnsi="Calibri" w:cs="Calibri"/>
          <w:b/>
          <w:bCs/>
          <w:color w:val="000000" w:themeColor="text1"/>
          <w:sz w:val="20"/>
          <w:szCs w:val="20"/>
        </w:rPr>
        <w:t>Flower and Hayes’ (1981)</w:t>
      </w:r>
      <w:r w:rsidR="00FD64A6" w:rsidRPr="00235FB2">
        <w:rPr>
          <w:rFonts w:ascii="Calibri" w:hAnsi="Calibri" w:cs="Calibri"/>
          <w:color w:val="000000" w:themeColor="text1"/>
          <w:sz w:val="20"/>
          <w:szCs w:val="20"/>
        </w:rPr>
        <w:t xml:space="preserve"> cognitive process theory of writing by embedding contextual and systemic influences</w:t>
      </w:r>
      <w:r w:rsidR="00503917" w:rsidRPr="00235FB2">
        <w:rPr>
          <w:rFonts w:ascii="Calibri" w:hAnsi="Calibri" w:cs="Calibri"/>
          <w:color w:val="000000" w:themeColor="text1"/>
          <w:sz w:val="20"/>
          <w:szCs w:val="20"/>
        </w:rPr>
        <w:t xml:space="preserve"> </w:t>
      </w:r>
      <w:r w:rsidR="00FD64A6" w:rsidRPr="00235FB2">
        <w:rPr>
          <w:rFonts w:ascii="Calibri" w:hAnsi="Calibri" w:cs="Calibri"/>
          <w:color w:val="000000" w:themeColor="text1"/>
          <w:sz w:val="20"/>
          <w:szCs w:val="20"/>
        </w:rPr>
        <w:t>including examination pressures, class size constraints, and instructional time limitations</w:t>
      </w:r>
      <w:r w:rsidR="00503917" w:rsidRPr="00235FB2">
        <w:rPr>
          <w:rFonts w:ascii="Calibri" w:hAnsi="Calibri" w:cs="Calibri"/>
          <w:color w:val="000000" w:themeColor="text1"/>
          <w:sz w:val="20"/>
          <w:szCs w:val="20"/>
        </w:rPr>
        <w:t xml:space="preserve"> </w:t>
      </w:r>
      <w:r w:rsidR="00FD64A6" w:rsidRPr="00235FB2">
        <w:rPr>
          <w:rFonts w:ascii="Calibri" w:hAnsi="Calibri" w:cs="Calibri"/>
          <w:color w:val="000000" w:themeColor="text1"/>
          <w:sz w:val="20"/>
          <w:szCs w:val="20"/>
        </w:rPr>
        <w:t xml:space="preserve">within the model. This extension theorises writing development as a </w:t>
      </w:r>
      <w:r w:rsidR="00FD64A6" w:rsidRPr="00235FB2">
        <w:rPr>
          <w:rFonts w:ascii="Calibri" w:hAnsi="Calibri" w:cs="Calibri"/>
          <w:color w:val="000000" w:themeColor="text1"/>
          <w:sz w:val="20"/>
          <w:szCs w:val="20"/>
        </w:rPr>
        <w:lastRenderedPageBreak/>
        <w:t>situated cognitive activity shaped by institutional structures, thereby moving beyond decontextualised cognitive accounts of composing</w:t>
      </w:r>
      <w:r w:rsidR="00794DE7" w:rsidRPr="00235FB2">
        <w:rPr>
          <w:rFonts w:ascii="Calibri" w:hAnsi="Calibri" w:cs="Calibri"/>
          <w:color w:val="000000" w:themeColor="text1"/>
          <w:sz w:val="20"/>
          <w:szCs w:val="20"/>
        </w:rPr>
        <w:t xml:space="preserve"> </w:t>
      </w:r>
      <w:r w:rsidR="00CE14FD" w:rsidRPr="00235FB2">
        <w:rPr>
          <w:rFonts w:ascii="Calibri" w:hAnsi="Calibri" w:cs="Calibri"/>
          <w:b/>
          <w:bCs/>
          <w:color w:val="000000" w:themeColor="text1"/>
          <w:sz w:val="20"/>
          <w:szCs w:val="20"/>
        </w:rPr>
        <w:t>(</w:t>
      </w:r>
      <w:r w:rsidR="00662A24" w:rsidRPr="00235FB2">
        <w:rPr>
          <w:rFonts w:ascii="Calibri" w:hAnsi="Calibri" w:cs="Calibri"/>
          <w:b/>
          <w:bCs/>
          <w:color w:val="000000" w:themeColor="text1"/>
          <w:sz w:val="20"/>
          <w:szCs w:val="20"/>
        </w:rPr>
        <w:t>Hyland, 2019)</w:t>
      </w:r>
      <w:r w:rsidR="00FD64A6" w:rsidRPr="00235FB2">
        <w:rPr>
          <w:rFonts w:ascii="Calibri" w:hAnsi="Calibri" w:cs="Calibri"/>
          <w:b/>
          <w:bCs/>
          <w:color w:val="000000" w:themeColor="text1"/>
          <w:sz w:val="20"/>
          <w:szCs w:val="20"/>
        </w:rPr>
        <w:t>.</w:t>
      </w:r>
      <w:r w:rsidR="00BD7669" w:rsidRPr="00235FB2">
        <w:rPr>
          <w:rFonts w:ascii="Calibri" w:hAnsi="Calibri" w:cs="Calibri"/>
          <w:color w:val="000000" w:themeColor="text1"/>
          <w:sz w:val="20"/>
          <w:szCs w:val="20"/>
        </w:rPr>
        <w:t xml:space="preserve"> </w:t>
      </w:r>
    </w:p>
    <w:p w14:paraId="702DD76C" w14:textId="573D4EA3" w:rsidR="003752BE" w:rsidRPr="00235FB2" w:rsidRDefault="007D55E8" w:rsidP="003752BE">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 revised framework integrates affective dimensions, particularly writing anxiety and confidence development, as central theoretical constructs rather than peripheral outcomes</w:t>
      </w:r>
      <w:r w:rsidR="00E041C5" w:rsidRPr="00235FB2">
        <w:rPr>
          <w:rFonts w:ascii="Calibri" w:hAnsi="Calibri" w:cs="Calibri"/>
          <w:color w:val="000000" w:themeColor="text1"/>
          <w:sz w:val="20"/>
          <w:szCs w:val="20"/>
        </w:rPr>
        <w:t xml:space="preserve"> </w:t>
      </w:r>
      <w:r w:rsidR="00E041C5" w:rsidRPr="00235FB2">
        <w:rPr>
          <w:rFonts w:ascii="Calibri" w:hAnsi="Calibri" w:cs="Calibri"/>
          <w:b/>
          <w:bCs/>
          <w:color w:val="000000" w:themeColor="text1"/>
          <w:sz w:val="20"/>
          <w:szCs w:val="20"/>
        </w:rPr>
        <w:t>(</w:t>
      </w:r>
      <w:proofErr w:type="spellStart"/>
      <w:r w:rsidR="0080111F" w:rsidRPr="00235FB2">
        <w:rPr>
          <w:rFonts w:ascii="Calibri" w:hAnsi="Calibri" w:cs="Calibri"/>
          <w:b/>
          <w:bCs/>
          <w:color w:val="000000" w:themeColor="text1"/>
          <w:sz w:val="20"/>
          <w:szCs w:val="20"/>
        </w:rPr>
        <w:t>Pekrun</w:t>
      </w:r>
      <w:proofErr w:type="spellEnd"/>
      <w:r w:rsidR="0080111F" w:rsidRPr="00235FB2">
        <w:rPr>
          <w:rFonts w:ascii="Calibri" w:hAnsi="Calibri" w:cs="Calibri"/>
          <w:b/>
          <w:bCs/>
          <w:color w:val="000000" w:themeColor="text1"/>
          <w:sz w:val="20"/>
          <w:szCs w:val="20"/>
        </w:rPr>
        <w:t>, 2006)</w:t>
      </w:r>
      <w:r w:rsidR="00FD64A6" w:rsidRPr="00235FB2">
        <w:rPr>
          <w:rFonts w:ascii="Calibri" w:hAnsi="Calibri" w:cs="Calibri"/>
          <w:color w:val="000000" w:themeColor="text1"/>
          <w:sz w:val="20"/>
          <w:szCs w:val="20"/>
        </w:rPr>
        <w:t>. This contribution reconceptualises writing development as an emotionally mediated process, aligning cognitive models with affective learning theory</w:t>
      </w:r>
      <w:r w:rsidR="0080111F" w:rsidRPr="00235FB2">
        <w:rPr>
          <w:rFonts w:ascii="Calibri" w:hAnsi="Calibri" w:cs="Calibri"/>
          <w:color w:val="000000" w:themeColor="text1"/>
          <w:sz w:val="20"/>
          <w:szCs w:val="20"/>
        </w:rPr>
        <w:t xml:space="preserve"> </w:t>
      </w:r>
      <w:r w:rsidR="0080111F" w:rsidRPr="00235FB2">
        <w:rPr>
          <w:rFonts w:ascii="Calibri" w:hAnsi="Calibri" w:cs="Calibri"/>
          <w:b/>
          <w:bCs/>
          <w:color w:val="000000" w:themeColor="text1"/>
          <w:sz w:val="20"/>
          <w:szCs w:val="20"/>
        </w:rPr>
        <w:t>(</w:t>
      </w:r>
      <w:r w:rsidR="00343F58" w:rsidRPr="00235FB2">
        <w:rPr>
          <w:rFonts w:ascii="Calibri" w:hAnsi="Calibri" w:cs="Calibri"/>
          <w:b/>
          <w:bCs/>
          <w:color w:val="000000" w:themeColor="text1"/>
          <w:sz w:val="20"/>
          <w:szCs w:val="20"/>
        </w:rPr>
        <w:t>Bigelow &amp; Engman,</w:t>
      </w:r>
      <w:r w:rsidR="008126A8" w:rsidRPr="00235FB2">
        <w:rPr>
          <w:rFonts w:ascii="Calibri" w:hAnsi="Calibri" w:cs="Calibri"/>
          <w:b/>
          <w:bCs/>
          <w:color w:val="000000" w:themeColor="text1"/>
          <w:sz w:val="20"/>
          <w:szCs w:val="20"/>
        </w:rPr>
        <w:t xml:space="preserve"> 2020)</w:t>
      </w:r>
      <w:r w:rsidR="00FD64A6" w:rsidRPr="00235FB2">
        <w:rPr>
          <w:rFonts w:ascii="Calibri" w:hAnsi="Calibri" w:cs="Calibri"/>
          <w:color w:val="000000" w:themeColor="text1"/>
          <w:sz w:val="20"/>
          <w:szCs w:val="20"/>
        </w:rPr>
        <w:t>.</w:t>
      </w:r>
      <w:r w:rsidR="0001469C" w:rsidRPr="00235FB2">
        <w:rPr>
          <w:rFonts w:ascii="Calibri" w:hAnsi="Calibri" w:cs="Calibri"/>
          <w:color w:val="000000" w:themeColor="text1"/>
          <w:sz w:val="20"/>
          <w:szCs w:val="20"/>
        </w:rPr>
        <w:t xml:space="preserve"> </w:t>
      </w:r>
    </w:p>
    <w:p w14:paraId="3FBC79D3" w14:textId="56BBD9DC" w:rsidR="003752BE" w:rsidRPr="00235FB2" w:rsidRDefault="007D55E8" w:rsidP="003752BE">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 study re-theorises writing as a socially mediated practice by positioning peer feedback and collaborative interaction as core recursive components of the composing process</w:t>
      </w:r>
      <w:r w:rsidR="00220F4C" w:rsidRPr="00235FB2">
        <w:rPr>
          <w:rFonts w:ascii="Calibri" w:hAnsi="Calibri" w:cs="Calibri"/>
          <w:color w:val="000000" w:themeColor="text1"/>
          <w:sz w:val="20"/>
          <w:szCs w:val="20"/>
        </w:rPr>
        <w:t xml:space="preserve"> </w:t>
      </w:r>
      <w:r w:rsidR="0031362D" w:rsidRPr="00235FB2">
        <w:rPr>
          <w:rFonts w:ascii="Calibri" w:hAnsi="Calibri" w:cs="Calibri"/>
          <w:b/>
          <w:bCs/>
          <w:color w:val="000000" w:themeColor="text1"/>
          <w:sz w:val="20"/>
          <w:szCs w:val="20"/>
        </w:rPr>
        <w:t>(Hyland</w:t>
      </w:r>
      <w:r w:rsidR="00B2687B" w:rsidRPr="00235FB2">
        <w:rPr>
          <w:rFonts w:ascii="Calibri" w:hAnsi="Calibri" w:cs="Calibri"/>
          <w:b/>
          <w:bCs/>
          <w:color w:val="000000" w:themeColor="text1"/>
          <w:sz w:val="20"/>
          <w:szCs w:val="20"/>
        </w:rPr>
        <w:t xml:space="preserve"> &amp; Hyland, 2019)</w:t>
      </w:r>
      <w:r w:rsidR="00FD64A6" w:rsidRPr="00235FB2">
        <w:rPr>
          <w:rFonts w:ascii="Calibri" w:hAnsi="Calibri" w:cs="Calibri"/>
          <w:color w:val="000000" w:themeColor="text1"/>
          <w:sz w:val="20"/>
          <w:szCs w:val="20"/>
        </w:rPr>
        <w:t>. This extends individualistic cognitive models and aligns with sociocultural perspectives on learning</w:t>
      </w:r>
      <w:r w:rsidR="00B2687B" w:rsidRPr="00235FB2">
        <w:rPr>
          <w:rFonts w:ascii="Calibri" w:hAnsi="Calibri" w:cs="Calibri"/>
          <w:color w:val="000000" w:themeColor="text1"/>
          <w:sz w:val="20"/>
          <w:szCs w:val="20"/>
        </w:rPr>
        <w:t xml:space="preserve"> </w:t>
      </w:r>
      <w:r w:rsidR="00B2687B" w:rsidRPr="00235FB2">
        <w:rPr>
          <w:rFonts w:ascii="Calibri" w:hAnsi="Calibri" w:cs="Calibri"/>
          <w:b/>
          <w:bCs/>
          <w:color w:val="000000" w:themeColor="text1"/>
          <w:sz w:val="20"/>
          <w:szCs w:val="20"/>
        </w:rPr>
        <w:t>(</w:t>
      </w:r>
      <w:r w:rsidR="009A18CB" w:rsidRPr="00235FB2">
        <w:rPr>
          <w:rFonts w:ascii="Calibri" w:hAnsi="Calibri" w:cs="Calibri"/>
          <w:b/>
          <w:bCs/>
          <w:color w:val="000000" w:themeColor="text1"/>
          <w:sz w:val="20"/>
          <w:szCs w:val="20"/>
        </w:rPr>
        <w:t>Yu &amp; Lee, 2016)</w:t>
      </w:r>
      <w:r w:rsidR="00FD64A6" w:rsidRPr="00235FB2">
        <w:rPr>
          <w:rFonts w:ascii="Calibri" w:hAnsi="Calibri" w:cs="Calibri"/>
          <w:b/>
          <w:bCs/>
          <w:color w:val="000000" w:themeColor="text1"/>
          <w:sz w:val="20"/>
          <w:szCs w:val="20"/>
        </w:rPr>
        <w:t>.</w:t>
      </w:r>
      <w:r w:rsidR="0001469C" w:rsidRPr="00235FB2">
        <w:rPr>
          <w:rFonts w:ascii="Calibri" w:hAnsi="Calibri" w:cs="Calibri"/>
          <w:color w:val="000000" w:themeColor="text1"/>
          <w:sz w:val="20"/>
          <w:szCs w:val="20"/>
        </w:rPr>
        <w:t xml:space="preserve"> </w:t>
      </w:r>
    </w:p>
    <w:p w14:paraId="13FAFD76" w14:textId="726305AE" w:rsidR="003752BE" w:rsidRPr="00235FB2" w:rsidRDefault="007D55E8" w:rsidP="0001469C">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 research reframes revision from a surface-level corrective activity to a meaning-focused, higher-order cognitive process involving discourse restructuring, argument refinement, and audience awareness. This theoretical shift strengthens understanding of revision as a core site of learning rather than a final technical step</w:t>
      </w:r>
      <w:r w:rsidR="00F0633A" w:rsidRPr="00235FB2">
        <w:rPr>
          <w:rFonts w:ascii="Calibri" w:hAnsi="Calibri" w:cs="Calibri"/>
          <w:color w:val="000000" w:themeColor="text1"/>
          <w:sz w:val="20"/>
          <w:szCs w:val="20"/>
        </w:rPr>
        <w:t xml:space="preserve"> </w:t>
      </w:r>
      <w:r w:rsidR="00F0633A" w:rsidRPr="00235FB2">
        <w:rPr>
          <w:rFonts w:ascii="Calibri" w:hAnsi="Calibri" w:cs="Calibri"/>
          <w:b/>
          <w:bCs/>
          <w:color w:val="000000" w:themeColor="text1"/>
          <w:sz w:val="20"/>
          <w:szCs w:val="20"/>
        </w:rPr>
        <w:t xml:space="preserve">(Graham and </w:t>
      </w:r>
      <w:proofErr w:type="spellStart"/>
      <w:r w:rsidR="00F0633A" w:rsidRPr="00235FB2">
        <w:rPr>
          <w:rFonts w:ascii="Calibri" w:hAnsi="Calibri" w:cs="Calibri"/>
          <w:b/>
          <w:bCs/>
          <w:color w:val="000000" w:themeColor="text1"/>
          <w:sz w:val="20"/>
          <w:szCs w:val="20"/>
        </w:rPr>
        <w:t>Sandmel</w:t>
      </w:r>
      <w:proofErr w:type="spellEnd"/>
      <w:r w:rsidR="00F0633A" w:rsidRPr="00235FB2">
        <w:rPr>
          <w:rFonts w:ascii="Calibri" w:hAnsi="Calibri" w:cs="Calibri"/>
          <w:b/>
          <w:bCs/>
          <w:color w:val="000000" w:themeColor="text1"/>
          <w:sz w:val="20"/>
          <w:szCs w:val="20"/>
        </w:rPr>
        <w:t>, 2011)</w:t>
      </w:r>
      <w:r w:rsidR="00FD64A6" w:rsidRPr="00235FB2">
        <w:rPr>
          <w:rFonts w:ascii="Calibri" w:hAnsi="Calibri" w:cs="Calibri"/>
          <w:color w:val="000000" w:themeColor="text1"/>
          <w:sz w:val="20"/>
          <w:szCs w:val="20"/>
        </w:rPr>
        <w:t>.</w:t>
      </w:r>
    </w:p>
    <w:p w14:paraId="1F07C65D" w14:textId="78B8C7D7" w:rsidR="003752BE" w:rsidRPr="00235FB2" w:rsidRDefault="007D55E8" w:rsidP="0001469C">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 xml:space="preserve">he </w:t>
      </w:r>
      <w:r w:rsidR="003752BE" w:rsidRPr="00235FB2">
        <w:rPr>
          <w:rFonts w:ascii="Calibri" w:hAnsi="Calibri" w:cs="Calibri"/>
          <w:color w:val="000000" w:themeColor="text1"/>
          <w:sz w:val="20"/>
          <w:szCs w:val="20"/>
        </w:rPr>
        <w:t xml:space="preserve">revised </w:t>
      </w:r>
      <w:r w:rsidR="00FD64A6" w:rsidRPr="00235FB2">
        <w:rPr>
          <w:rFonts w:ascii="Calibri" w:hAnsi="Calibri" w:cs="Calibri"/>
          <w:color w:val="000000" w:themeColor="text1"/>
          <w:sz w:val="20"/>
          <w:szCs w:val="20"/>
        </w:rPr>
        <w:t>model introduces learner resistance as a theoretically significant construct, demonstrating how exam-driven rationality mediates engagement with innovative pedagogy. This contribution adds nuance to existing theories of learner agency and motivation in high-stakes educational environments</w:t>
      </w:r>
      <w:r w:rsidR="00C4785A" w:rsidRPr="00235FB2">
        <w:rPr>
          <w:rFonts w:ascii="Calibri" w:hAnsi="Calibri" w:cs="Calibri"/>
          <w:color w:val="000000" w:themeColor="text1"/>
          <w:sz w:val="20"/>
          <w:szCs w:val="20"/>
        </w:rPr>
        <w:t xml:space="preserve"> </w:t>
      </w:r>
      <w:r w:rsidR="00C4785A" w:rsidRPr="00235FB2">
        <w:rPr>
          <w:rFonts w:ascii="Calibri" w:hAnsi="Calibri" w:cs="Calibri"/>
          <w:b/>
          <w:bCs/>
          <w:color w:val="000000" w:themeColor="text1"/>
          <w:sz w:val="20"/>
          <w:szCs w:val="20"/>
        </w:rPr>
        <w:t xml:space="preserve">(Breen, 2001; Biggs, 2014). </w:t>
      </w:r>
    </w:p>
    <w:p w14:paraId="7E9BF065" w14:textId="0C6A4A9C" w:rsidR="003752BE" w:rsidRPr="00235FB2" w:rsidRDefault="007D55E8" w:rsidP="0001469C">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 study theorises assessment culture as a structural moderator shaping writing behaviour and strategy adoption. By integrating assessment regimes into the model, it bridges writing development theory with assessment and washback literature</w:t>
      </w:r>
      <w:r w:rsidR="00CE3082" w:rsidRPr="00235FB2">
        <w:rPr>
          <w:rFonts w:ascii="Calibri" w:hAnsi="Calibri" w:cs="Calibri"/>
          <w:color w:val="000000" w:themeColor="text1"/>
          <w:sz w:val="20"/>
          <w:szCs w:val="20"/>
        </w:rPr>
        <w:t xml:space="preserve"> </w:t>
      </w:r>
      <w:r w:rsidR="00CE3082" w:rsidRPr="00235FB2">
        <w:rPr>
          <w:rFonts w:ascii="Calibri" w:hAnsi="Calibri" w:cs="Calibri"/>
          <w:b/>
          <w:bCs/>
          <w:color w:val="000000" w:themeColor="text1"/>
          <w:sz w:val="20"/>
          <w:szCs w:val="20"/>
        </w:rPr>
        <w:t>(Cheng, 2014; Green 2013)</w:t>
      </w:r>
      <w:r w:rsidR="00FD64A6" w:rsidRPr="00235FB2">
        <w:rPr>
          <w:rFonts w:ascii="Calibri" w:hAnsi="Calibri" w:cs="Calibri"/>
          <w:color w:val="000000" w:themeColor="text1"/>
          <w:sz w:val="20"/>
          <w:szCs w:val="20"/>
        </w:rPr>
        <w:t>.</w:t>
      </w:r>
      <w:r w:rsidR="0001469C" w:rsidRPr="00235FB2">
        <w:rPr>
          <w:rFonts w:ascii="Calibri" w:hAnsi="Calibri" w:cs="Calibri"/>
          <w:color w:val="000000" w:themeColor="text1"/>
          <w:sz w:val="20"/>
          <w:szCs w:val="20"/>
        </w:rPr>
        <w:t xml:space="preserve"> </w:t>
      </w:r>
    </w:p>
    <w:p w14:paraId="4FB3982C" w14:textId="08985277" w:rsidR="003752BE" w:rsidRPr="00235FB2" w:rsidRDefault="007D55E8" w:rsidP="0001469C">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 revised framework conceptualises writing development as a hybrid cognitive–sociocultural process, synthesising internal mental processes with external mediation through feedback and interaction. This integrative perspective advances theory beyond mono-paradigmatic explanations</w:t>
      </w:r>
      <w:r w:rsidR="008D01D3" w:rsidRPr="00235FB2">
        <w:rPr>
          <w:rFonts w:ascii="Calibri" w:hAnsi="Calibri" w:cs="Calibri"/>
          <w:color w:val="000000" w:themeColor="text1"/>
          <w:sz w:val="20"/>
          <w:szCs w:val="20"/>
        </w:rPr>
        <w:t xml:space="preserve"> </w:t>
      </w:r>
      <w:r w:rsidR="008D01D3" w:rsidRPr="00235FB2">
        <w:rPr>
          <w:rFonts w:ascii="Calibri" w:hAnsi="Calibri" w:cs="Calibri"/>
          <w:b/>
          <w:bCs/>
          <w:color w:val="000000" w:themeColor="text1"/>
          <w:sz w:val="20"/>
          <w:szCs w:val="20"/>
        </w:rPr>
        <w:t>(Hyland, 2019; Cumming, 2013)</w:t>
      </w:r>
      <w:r w:rsidR="00FD64A6" w:rsidRPr="00235FB2">
        <w:rPr>
          <w:rFonts w:ascii="Calibri" w:hAnsi="Calibri" w:cs="Calibri"/>
          <w:color w:val="000000" w:themeColor="text1"/>
          <w:sz w:val="20"/>
          <w:szCs w:val="20"/>
        </w:rPr>
        <w:t>.</w:t>
      </w:r>
      <w:r w:rsidR="0001469C" w:rsidRPr="00235FB2">
        <w:rPr>
          <w:rFonts w:ascii="Calibri" w:hAnsi="Calibri" w:cs="Calibri"/>
          <w:color w:val="000000" w:themeColor="text1"/>
          <w:sz w:val="20"/>
          <w:szCs w:val="20"/>
        </w:rPr>
        <w:t xml:space="preserve"> </w:t>
      </w:r>
    </w:p>
    <w:p w14:paraId="0A058BDA" w14:textId="77777777" w:rsidR="00D06C9F" w:rsidRPr="00235FB2" w:rsidRDefault="007D55E8" w:rsidP="0001469C">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w:t>
      </w:r>
      <w:r w:rsidR="003752BE" w:rsidRPr="00235FB2">
        <w:rPr>
          <w:rFonts w:ascii="Calibri" w:hAnsi="Calibri" w:cs="Calibri"/>
          <w:color w:val="000000" w:themeColor="text1"/>
          <w:sz w:val="20"/>
          <w:szCs w:val="20"/>
        </w:rPr>
        <w:t xml:space="preserve"> revised</w:t>
      </w:r>
      <w:r w:rsidR="00FD64A6" w:rsidRPr="00235FB2">
        <w:rPr>
          <w:rFonts w:ascii="Calibri" w:hAnsi="Calibri" w:cs="Calibri"/>
          <w:color w:val="000000" w:themeColor="text1"/>
          <w:sz w:val="20"/>
          <w:szCs w:val="20"/>
        </w:rPr>
        <w:t xml:space="preserve"> model positions teacher capacity</w:t>
      </w:r>
      <w:r w:rsidR="003752BE" w:rsidRPr="00235FB2">
        <w:rPr>
          <w:rFonts w:ascii="Calibri" w:hAnsi="Calibri" w:cs="Calibri"/>
          <w:color w:val="000000" w:themeColor="text1"/>
          <w:sz w:val="20"/>
          <w:szCs w:val="20"/>
        </w:rPr>
        <w:t xml:space="preserve"> </w:t>
      </w:r>
      <w:r w:rsidR="00FD64A6" w:rsidRPr="00235FB2">
        <w:rPr>
          <w:rFonts w:ascii="Calibri" w:hAnsi="Calibri" w:cs="Calibri"/>
          <w:color w:val="000000" w:themeColor="text1"/>
          <w:sz w:val="20"/>
          <w:szCs w:val="20"/>
        </w:rPr>
        <w:t>including training, feedback literacy, and workload</w:t>
      </w:r>
      <w:r w:rsidR="003752BE" w:rsidRPr="00235FB2">
        <w:rPr>
          <w:rFonts w:ascii="Calibri" w:hAnsi="Calibri" w:cs="Calibri"/>
          <w:color w:val="000000" w:themeColor="text1"/>
          <w:sz w:val="20"/>
          <w:szCs w:val="20"/>
        </w:rPr>
        <w:t xml:space="preserve"> </w:t>
      </w:r>
      <w:r w:rsidR="00FD64A6" w:rsidRPr="00235FB2">
        <w:rPr>
          <w:rFonts w:ascii="Calibri" w:hAnsi="Calibri" w:cs="Calibri"/>
          <w:color w:val="000000" w:themeColor="text1"/>
          <w:sz w:val="20"/>
          <w:szCs w:val="20"/>
        </w:rPr>
        <w:t>as a theoretical enabler of writing development, extending writing theory into organisational and professional practice dimensions</w:t>
      </w:r>
      <w:r w:rsidR="009C2C63" w:rsidRPr="00235FB2">
        <w:rPr>
          <w:rFonts w:ascii="Calibri" w:hAnsi="Calibri" w:cs="Calibri"/>
          <w:color w:val="000000" w:themeColor="text1"/>
          <w:sz w:val="20"/>
          <w:szCs w:val="20"/>
        </w:rPr>
        <w:t xml:space="preserve"> </w:t>
      </w:r>
      <w:r w:rsidR="009C2C63" w:rsidRPr="00235FB2">
        <w:rPr>
          <w:rFonts w:ascii="Calibri" w:hAnsi="Calibri" w:cs="Calibri"/>
          <w:b/>
          <w:bCs/>
          <w:color w:val="000000" w:themeColor="text1"/>
          <w:sz w:val="20"/>
          <w:szCs w:val="20"/>
        </w:rPr>
        <w:t>(Borg, 2015)</w:t>
      </w:r>
      <w:r w:rsidR="00FD64A6" w:rsidRPr="00235FB2">
        <w:rPr>
          <w:rFonts w:ascii="Calibri" w:hAnsi="Calibri" w:cs="Calibri"/>
          <w:color w:val="000000" w:themeColor="text1"/>
          <w:sz w:val="20"/>
          <w:szCs w:val="20"/>
        </w:rPr>
        <w:t>.</w:t>
      </w:r>
      <w:r w:rsidR="0001469C" w:rsidRPr="00235FB2">
        <w:rPr>
          <w:rFonts w:ascii="Calibri" w:hAnsi="Calibri" w:cs="Calibri"/>
          <w:color w:val="000000" w:themeColor="text1"/>
          <w:sz w:val="20"/>
          <w:szCs w:val="20"/>
        </w:rPr>
        <w:t xml:space="preserve"> </w:t>
      </w:r>
    </w:p>
    <w:p w14:paraId="59696879" w14:textId="0D442329" w:rsidR="003752BE" w:rsidRPr="00235FB2" w:rsidRDefault="007D55E8" w:rsidP="0001469C">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w:t>
      </w:r>
      <w:r w:rsidR="00FD64A6" w:rsidRPr="00235FB2">
        <w:rPr>
          <w:rFonts w:ascii="Calibri" w:hAnsi="Calibri" w:cs="Calibri"/>
          <w:color w:val="000000" w:themeColor="text1"/>
          <w:sz w:val="20"/>
          <w:szCs w:val="20"/>
        </w:rPr>
        <w:t>he iterative loops within the framework theorise writing development as a longitudinal process, highlighting cumulative skill development rather than one-off instructional effects</w:t>
      </w:r>
      <w:r w:rsidR="009C2C63" w:rsidRPr="00235FB2">
        <w:rPr>
          <w:rFonts w:ascii="Calibri" w:hAnsi="Calibri" w:cs="Calibri"/>
          <w:color w:val="000000" w:themeColor="text1"/>
          <w:sz w:val="20"/>
          <w:szCs w:val="20"/>
        </w:rPr>
        <w:t xml:space="preserve"> </w:t>
      </w:r>
      <w:r w:rsidR="009C2C63" w:rsidRPr="00235FB2">
        <w:rPr>
          <w:rFonts w:ascii="Calibri" w:hAnsi="Calibri" w:cs="Calibri"/>
          <w:b/>
          <w:bCs/>
          <w:color w:val="000000" w:themeColor="text1"/>
          <w:sz w:val="20"/>
          <w:szCs w:val="20"/>
        </w:rPr>
        <w:t>(</w:t>
      </w:r>
      <w:r w:rsidR="00825FEF" w:rsidRPr="00235FB2">
        <w:rPr>
          <w:rFonts w:ascii="Calibri" w:hAnsi="Calibri" w:cs="Calibri"/>
          <w:b/>
          <w:bCs/>
          <w:color w:val="000000" w:themeColor="text1"/>
          <w:sz w:val="20"/>
          <w:szCs w:val="20"/>
        </w:rPr>
        <w:t>Larsen-Freeman &amp; Cameron, 2008)</w:t>
      </w:r>
      <w:r w:rsidR="00FD64A6" w:rsidRPr="00235FB2">
        <w:rPr>
          <w:rFonts w:ascii="Calibri" w:hAnsi="Calibri" w:cs="Calibri"/>
          <w:color w:val="000000" w:themeColor="text1"/>
          <w:sz w:val="20"/>
          <w:szCs w:val="20"/>
        </w:rPr>
        <w:t>.</w:t>
      </w:r>
      <w:r w:rsidR="00A94CEE" w:rsidRPr="00235FB2">
        <w:rPr>
          <w:rFonts w:ascii="Calibri" w:hAnsi="Calibri" w:cs="Calibri"/>
          <w:color w:val="000000" w:themeColor="text1"/>
          <w:sz w:val="20"/>
          <w:szCs w:val="20"/>
        </w:rPr>
        <w:t xml:space="preserve"> </w:t>
      </w:r>
    </w:p>
    <w:p w14:paraId="3D87225F" w14:textId="77D2B4A8" w:rsidR="00CA0768" w:rsidRPr="00235FB2" w:rsidRDefault="007D55E8" w:rsidP="00C82C37">
      <w:pPr>
        <w:pStyle w:val="ListParagraph"/>
        <w:numPr>
          <w:ilvl w:val="0"/>
          <w:numId w:val="25"/>
        </w:num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F</w:t>
      </w:r>
      <w:r w:rsidR="00FD64A6" w:rsidRPr="00235FB2">
        <w:rPr>
          <w:rFonts w:ascii="Calibri" w:hAnsi="Calibri" w:cs="Calibri"/>
          <w:color w:val="000000" w:themeColor="text1"/>
          <w:sz w:val="20"/>
          <w:szCs w:val="20"/>
        </w:rPr>
        <w:t>inally, this study contributes to context-sensitive theory building by localising process writing theory to the Bangladeshi HSC context, offering a transferable analytical lens for comparable Global South educational settings</w:t>
      </w:r>
      <w:r w:rsidR="00825FEF" w:rsidRPr="00235FB2">
        <w:rPr>
          <w:rFonts w:ascii="Calibri" w:hAnsi="Calibri" w:cs="Calibri"/>
          <w:color w:val="000000" w:themeColor="text1"/>
          <w:sz w:val="20"/>
          <w:szCs w:val="20"/>
        </w:rPr>
        <w:t xml:space="preserve"> </w:t>
      </w:r>
      <w:r w:rsidR="00825FEF" w:rsidRPr="00235FB2">
        <w:rPr>
          <w:rFonts w:ascii="Calibri" w:hAnsi="Calibri" w:cs="Calibri"/>
          <w:b/>
          <w:bCs/>
          <w:color w:val="000000" w:themeColor="text1"/>
          <w:sz w:val="20"/>
          <w:szCs w:val="20"/>
        </w:rPr>
        <w:t>(</w:t>
      </w:r>
      <w:proofErr w:type="spellStart"/>
      <w:r w:rsidR="00D758F5" w:rsidRPr="00235FB2">
        <w:rPr>
          <w:rFonts w:ascii="Calibri" w:hAnsi="Calibri" w:cs="Calibri"/>
          <w:b/>
          <w:bCs/>
          <w:color w:val="000000" w:themeColor="text1"/>
          <w:sz w:val="20"/>
          <w:szCs w:val="20"/>
        </w:rPr>
        <w:t>Canagarajah</w:t>
      </w:r>
      <w:proofErr w:type="spellEnd"/>
      <w:r w:rsidR="00D758F5" w:rsidRPr="00235FB2">
        <w:rPr>
          <w:rFonts w:ascii="Calibri" w:hAnsi="Calibri" w:cs="Calibri"/>
          <w:b/>
          <w:bCs/>
          <w:color w:val="000000" w:themeColor="text1"/>
          <w:sz w:val="20"/>
          <w:szCs w:val="20"/>
        </w:rPr>
        <w:t>, 2013)</w:t>
      </w:r>
      <w:r w:rsidR="00FD64A6" w:rsidRPr="00235FB2">
        <w:rPr>
          <w:rFonts w:ascii="Calibri" w:hAnsi="Calibri" w:cs="Calibri"/>
          <w:color w:val="000000" w:themeColor="text1"/>
          <w:sz w:val="20"/>
          <w:szCs w:val="20"/>
        </w:rPr>
        <w:t>. The resulting framework moves beyond universalist assumptions and foregrounds sociocultural specificity in writing development theory</w:t>
      </w:r>
      <w:r w:rsidR="00D758F5" w:rsidRPr="00235FB2">
        <w:rPr>
          <w:rFonts w:ascii="Calibri" w:hAnsi="Calibri" w:cs="Calibri"/>
          <w:color w:val="000000" w:themeColor="text1"/>
          <w:sz w:val="20"/>
          <w:szCs w:val="20"/>
        </w:rPr>
        <w:t xml:space="preserve"> </w:t>
      </w:r>
      <w:r w:rsidR="00D758F5" w:rsidRPr="00235FB2">
        <w:rPr>
          <w:rFonts w:ascii="Calibri" w:hAnsi="Calibri" w:cs="Calibri"/>
          <w:b/>
          <w:bCs/>
          <w:color w:val="000000" w:themeColor="text1"/>
          <w:sz w:val="20"/>
          <w:szCs w:val="20"/>
        </w:rPr>
        <w:t>(Kubota, 2020)</w:t>
      </w:r>
      <w:r w:rsidR="00FD64A6" w:rsidRPr="00235FB2">
        <w:rPr>
          <w:rFonts w:ascii="Calibri" w:hAnsi="Calibri" w:cs="Calibri"/>
          <w:color w:val="000000" w:themeColor="text1"/>
          <w:sz w:val="20"/>
          <w:szCs w:val="20"/>
        </w:rPr>
        <w:t>.</w:t>
      </w:r>
    </w:p>
    <w:p w14:paraId="12B05411" w14:textId="77777777" w:rsidR="003A0A25" w:rsidRPr="00235FB2" w:rsidRDefault="003A0A25" w:rsidP="00D06C9F">
      <w:pPr>
        <w:pStyle w:val="ListParagraph"/>
        <w:spacing w:after="0" w:line="360" w:lineRule="auto"/>
        <w:jc w:val="both"/>
        <w:rPr>
          <w:rFonts w:ascii="Calibri" w:hAnsi="Calibri" w:cs="Calibri"/>
          <w:color w:val="000000" w:themeColor="text1"/>
          <w:sz w:val="20"/>
          <w:szCs w:val="20"/>
        </w:rPr>
      </w:pPr>
    </w:p>
    <w:p w14:paraId="09F7153B" w14:textId="14127D99" w:rsidR="00A2185D" w:rsidRPr="00235FB2" w:rsidRDefault="00A2185D" w:rsidP="00E5611F">
      <w:pPr>
        <w:spacing w:after="0" w:line="360" w:lineRule="auto"/>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Limitations: </w:t>
      </w:r>
    </w:p>
    <w:p w14:paraId="76FAC7F6" w14:textId="77777777" w:rsidR="00AD2C5B" w:rsidRPr="00235FB2" w:rsidRDefault="00AD2C5B" w:rsidP="00E5611F">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lastRenderedPageBreak/>
        <w:t>While this exploratory qualitative study offers valuable insights into the effectiveness of the Process Writing Approach (PWA) among HSC students in Bangladesh, several limitations should be acknowledged.</w:t>
      </w:r>
    </w:p>
    <w:p w14:paraId="2F616FC9" w14:textId="44136C32" w:rsidR="00BE17CC" w:rsidRPr="00235FB2" w:rsidRDefault="00B1494E" w:rsidP="00BE17CC">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Limited Sample Size and Contextual Scope</w:t>
      </w:r>
      <w:r w:rsidR="00E5611F" w:rsidRPr="00235FB2">
        <w:rPr>
          <w:rFonts w:ascii="Calibri" w:hAnsi="Calibri" w:cs="Calibri"/>
          <w:b/>
          <w:bCs/>
          <w:color w:val="000000" w:themeColor="text1"/>
          <w:sz w:val="20"/>
          <w:szCs w:val="20"/>
        </w:rPr>
        <w:t xml:space="preserve">: </w:t>
      </w:r>
      <w:r w:rsidR="00DA71C3" w:rsidRPr="00235FB2">
        <w:rPr>
          <w:rFonts w:ascii="Calibri" w:hAnsi="Calibri" w:cs="Calibri"/>
          <w:color w:val="000000" w:themeColor="text1"/>
          <w:sz w:val="20"/>
          <w:szCs w:val="20"/>
        </w:rPr>
        <w:t>This study drew on a small purposive sample of ten students and five teachers from selected institutions. While suitable for exploratory qualitative inquiry, the limited sample constrains the transferability of findings across the diverse HSC landscape in Bangladesh, where institutional type, geographic location, and board affiliation may shape writing pedagogy differently.</w:t>
      </w:r>
    </w:p>
    <w:p w14:paraId="6ED3344C" w14:textId="2803A86F" w:rsidR="00F402AE" w:rsidRPr="00235FB2" w:rsidRDefault="00DD21AE" w:rsidP="00BE17CC">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R</w:t>
      </w:r>
      <w:r w:rsidR="00AD2C5B" w:rsidRPr="00235FB2">
        <w:rPr>
          <w:rFonts w:ascii="Calibri" w:hAnsi="Calibri" w:cs="Calibri"/>
          <w:b/>
          <w:bCs/>
          <w:color w:val="000000" w:themeColor="text1"/>
          <w:sz w:val="20"/>
          <w:szCs w:val="20"/>
        </w:rPr>
        <w:t>eliance on self-reported data</w:t>
      </w:r>
      <w:r w:rsidRPr="00235FB2">
        <w:rPr>
          <w:rFonts w:ascii="Calibri" w:hAnsi="Calibri" w:cs="Calibri"/>
          <w:b/>
          <w:bCs/>
          <w:color w:val="000000" w:themeColor="text1"/>
          <w:sz w:val="20"/>
          <w:szCs w:val="20"/>
        </w:rPr>
        <w:t xml:space="preserve">: </w:t>
      </w:r>
      <w:r w:rsidR="00AD2C5B" w:rsidRPr="00235FB2">
        <w:rPr>
          <w:rFonts w:ascii="Calibri" w:hAnsi="Calibri" w:cs="Calibri"/>
          <w:color w:val="000000" w:themeColor="text1"/>
          <w:sz w:val="20"/>
          <w:szCs w:val="20"/>
        </w:rPr>
        <w:t>Data were collected through semi-structured interviews, which depend on participants’ perceptions, memories, and willingness to share experiences. Such data may be subject to social desirability bias and retrospective interpretation. Observational or performance-based data (e.g., writing samples) were not included, limiting triangulation.</w:t>
      </w:r>
    </w:p>
    <w:p w14:paraId="472D0E31" w14:textId="46677C8B" w:rsidR="00AD2C5B" w:rsidRPr="00235FB2" w:rsidRDefault="00447983" w:rsidP="00E5611F">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Reliance of self-reported perceptions without observational or performance data: </w:t>
      </w:r>
      <w:r w:rsidR="007F50A7" w:rsidRPr="00235FB2">
        <w:rPr>
          <w:rFonts w:ascii="Calibri" w:hAnsi="Calibri" w:cs="Calibri"/>
          <w:color w:val="000000" w:themeColor="text1"/>
          <w:sz w:val="20"/>
          <w:szCs w:val="20"/>
        </w:rPr>
        <w:t>Data were generated exclusively through semi-structured interviews, relying on participants’ retrospective accounts of writing practices. The absence of classroom observations or analysis of student writing samples restricts triangulation and limits insight into how reported pedagogical practices translate into actual instructional behaviour and writing performance.</w:t>
      </w:r>
    </w:p>
    <w:p w14:paraId="491BCA93" w14:textId="71100D86" w:rsidR="007F50A7" w:rsidRPr="00235FB2" w:rsidRDefault="007F50A7" w:rsidP="00E5611F">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Short-term exposure and lack of assessment-level analysis: </w:t>
      </w:r>
      <w:r w:rsidR="00C26AC2" w:rsidRPr="00235FB2">
        <w:rPr>
          <w:rFonts w:ascii="Calibri" w:hAnsi="Calibri" w:cs="Calibri"/>
          <w:color w:val="000000" w:themeColor="text1"/>
          <w:sz w:val="20"/>
          <w:szCs w:val="20"/>
        </w:rPr>
        <w:t>Participants’ engagement with the Process Writing Approach was limited in duration, preventing examination of its long-term impact on sustained writing development. In addition, assessment washback was explored perceptually rather than through analysis of examination scripts or marking criteria, limiting empirical claims about alignment between writing pedagogy and high-stakes assessment demands.</w:t>
      </w:r>
    </w:p>
    <w:p w14:paraId="12B8B293" w14:textId="77777777" w:rsidR="003F3DD5" w:rsidRDefault="003F3DD5" w:rsidP="00483351">
      <w:pPr>
        <w:spacing w:after="0" w:line="360" w:lineRule="auto"/>
        <w:jc w:val="both"/>
        <w:rPr>
          <w:rFonts w:ascii="Calibri" w:hAnsi="Calibri" w:cs="Calibri"/>
          <w:b/>
          <w:bCs/>
          <w:color w:val="000000" w:themeColor="text1"/>
          <w:sz w:val="20"/>
          <w:szCs w:val="20"/>
        </w:rPr>
      </w:pPr>
    </w:p>
    <w:p w14:paraId="204055E1" w14:textId="1AAA4F80" w:rsidR="00A2185D" w:rsidRPr="00235FB2" w:rsidRDefault="00A2185D" w:rsidP="00483351">
      <w:pPr>
        <w:spacing w:after="0" w:line="360" w:lineRule="auto"/>
        <w:jc w:val="both"/>
        <w:rPr>
          <w:rFonts w:ascii="Calibri" w:hAnsi="Calibri" w:cs="Calibri"/>
          <w:b/>
          <w:bCs/>
          <w:color w:val="000000" w:themeColor="text1"/>
          <w:sz w:val="20"/>
          <w:szCs w:val="20"/>
        </w:rPr>
      </w:pPr>
      <w:r w:rsidRPr="00235FB2">
        <w:rPr>
          <w:rFonts w:ascii="Calibri" w:hAnsi="Calibri" w:cs="Calibri"/>
          <w:b/>
          <w:bCs/>
          <w:color w:val="000000" w:themeColor="text1"/>
          <w:sz w:val="20"/>
          <w:szCs w:val="20"/>
        </w:rPr>
        <w:t>Suggestions for Future Researchers</w:t>
      </w:r>
    </w:p>
    <w:p w14:paraId="34D0EDD2" w14:textId="77777777" w:rsidR="00F130D1" w:rsidRPr="00235FB2" w:rsidRDefault="00F130D1" w:rsidP="00483351">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Building on the findings and limitations of this study, several directions for future research are recommended.</w:t>
      </w:r>
    </w:p>
    <w:p w14:paraId="019A7986" w14:textId="1F150E06" w:rsidR="00A2185D" w:rsidRPr="00235FB2" w:rsidRDefault="00A73999" w:rsidP="001D56FD">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Employ large-scale and longitudinal research designs: </w:t>
      </w:r>
      <w:r w:rsidR="00933DFA" w:rsidRPr="00235FB2">
        <w:rPr>
          <w:rFonts w:ascii="Calibri" w:hAnsi="Calibri" w:cs="Calibri"/>
          <w:color w:val="000000" w:themeColor="text1"/>
          <w:sz w:val="20"/>
          <w:szCs w:val="20"/>
        </w:rPr>
        <w:t>Future studies should adopt mixed-methods or longitudinal designs with larger and more diverse samples to examine the sustained impact of the Process Writing Approach on writing proficiency, motivation, and academic outcomes across different HSC contexts.</w:t>
      </w:r>
    </w:p>
    <w:p w14:paraId="42FE872C" w14:textId="04E20C49" w:rsidR="00933DFA" w:rsidRPr="00235FB2" w:rsidRDefault="00933DFA" w:rsidP="001D56FD">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 xml:space="preserve">Conduct experimental and classroom-based investigations: </w:t>
      </w:r>
      <w:r w:rsidR="004B2C42" w:rsidRPr="00235FB2">
        <w:rPr>
          <w:rFonts w:ascii="Calibri" w:hAnsi="Calibri" w:cs="Calibri"/>
          <w:color w:val="000000" w:themeColor="text1"/>
          <w:sz w:val="20"/>
          <w:szCs w:val="20"/>
        </w:rPr>
        <w:t>Experimental or quasi-experimental studies incorporating classroom observation and analysis of student writing samples would provide stronger causal evidence of PWA effectiveness and improve understanding of how process-based pedagogy operates in real instructional settings.</w:t>
      </w:r>
    </w:p>
    <w:p w14:paraId="74C84DF8" w14:textId="5C7C6FDC" w:rsidR="004B2C42" w:rsidRPr="00235FB2" w:rsidRDefault="004B2C42" w:rsidP="001D56FD">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Examine assessment alignment and teacher professional development:</w:t>
      </w:r>
      <w:r w:rsidRPr="00235FB2">
        <w:rPr>
          <w:rFonts w:ascii="Calibri" w:hAnsi="Calibri" w:cs="Calibri"/>
          <w:color w:val="000000" w:themeColor="text1"/>
          <w:sz w:val="20"/>
          <w:szCs w:val="20"/>
        </w:rPr>
        <w:t xml:space="preserve"> </w:t>
      </w:r>
      <w:r w:rsidR="00F81DA2" w:rsidRPr="00235FB2">
        <w:rPr>
          <w:rFonts w:ascii="Calibri" w:hAnsi="Calibri" w:cs="Calibri"/>
          <w:color w:val="000000" w:themeColor="text1"/>
          <w:sz w:val="20"/>
          <w:szCs w:val="20"/>
        </w:rPr>
        <w:t>Further research should investigate how examination structures, marking criteria, and teacher training influence the feasibility and effectiveness of PWA implementation, particularly in high-stakes, exam-driven environments such as the HSC system.</w:t>
      </w:r>
    </w:p>
    <w:p w14:paraId="0F45A4C7" w14:textId="111B865F" w:rsidR="001D56FD" w:rsidRPr="00235FB2" w:rsidRDefault="00F81DA2" w:rsidP="00C82C37">
      <w:pPr>
        <w:pStyle w:val="ListParagraph"/>
        <w:numPr>
          <w:ilvl w:val="0"/>
          <w:numId w:val="27"/>
        </w:numPr>
        <w:spacing w:after="0" w:line="360" w:lineRule="auto"/>
        <w:jc w:val="both"/>
        <w:rPr>
          <w:rFonts w:ascii="Calibri" w:hAnsi="Calibri" w:cs="Calibri"/>
          <w:color w:val="000000" w:themeColor="text1"/>
          <w:sz w:val="20"/>
          <w:szCs w:val="20"/>
        </w:rPr>
      </w:pPr>
      <w:r w:rsidRPr="00235FB2">
        <w:rPr>
          <w:rFonts w:ascii="Calibri" w:hAnsi="Calibri" w:cs="Calibri"/>
          <w:b/>
          <w:bCs/>
          <w:color w:val="000000" w:themeColor="text1"/>
          <w:sz w:val="20"/>
          <w:szCs w:val="20"/>
        </w:rPr>
        <w:t>Explore contextual and technology-</w:t>
      </w:r>
      <w:r w:rsidRPr="00235FB2">
        <w:rPr>
          <w:rFonts w:ascii="Calibri" w:hAnsi="Calibri" w:cs="Calibri"/>
          <w:color w:val="000000" w:themeColor="text1"/>
          <w:sz w:val="20"/>
          <w:szCs w:val="20"/>
        </w:rPr>
        <w:t xml:space="preserve">mediated variations of PWA: </w:t>
      </w:r>
      <w:r w:rsidR="001D56FD" w:rsidRPr="00235FB2">
        <w:rPr>
          <w:rFonts w:ascii="Calibri" w:hAnsi="Calibri" w:cs="Calibri"/>
          <w:color w:val="000000" w:themeColor="text1"/>
          <w:sz w:val="20"/>
          <w:szCs w:val="20"/>
        </w:rPr>
        <w:t xml:space="preserve">Comparative studies across rural and urban institutions, as well as investigations into technology-enhanced process writing (e.g. collaborative </w:t>
      </w:r>
      <w:r w:rsidR="001D56FD" w:rsidRPr="00235FB2">
        <w:rPr>
          <w:rFonts w:ascii="Calibri" w:hAnsi="Calibri" w:cs="Calibri"/>
          <w:color w:val="000000" w:themeColor="text1"/>
          <w:sz w:val="20"/>
          <w:szCs w:val="20"/>
        </w:rPr>
        <w:lastRenderedPageBreak/>
        <w:t>platforms or AI-supported feedback), would extend understanding of how contextual and digital factors shape process-oriented writing pedagogy.</w:t>
      </w:r>
    </w:p>
    <w:p w14:paraId="7DE979F9" w14:textId="77777777" w:rsidR="003F3DD5" w:rsidRDefault="003F3DD5" w:rsidP="00C82C37">
      <w:pPr>
        <w:spacing w:after="0" w:line="360" w:lineRule="auto"/>
        <w:rPr>
          <w:rFonts w:ascii="Calibri" w:hAnsi="Calibri" w:cs="Calibri"/>
          <w:b/>
          <w:bCs/>
          <w:color w:val="000000" w:themeColor="text1"/>
          <w:sz w:val="20"/>
          <w:szCs w:val="20"/>
        </w:rPr>
      </w:pPr>
    </w:p>
    <w:p w14:paraId="66A8ABF4" w14:textId="52A77968" w:rsidR="00A2185D" w:rsidRPr="00235FB2" w:rsidRDefault="00A2185D" w:rsidP="00C82C37">
      <w:pPr>
        <w:spacing w:after="0"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Conclusion: </w:t>
      </w:r>
    </w:p>
    <w:p w14:paraId="7EA3417D" w14:textId="23BA4940" w:rsidR="008E6739" w:rsidRPr="00235FB2" w:rsidRDefault="008E6739" w:rsidP="008E6739">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This exploratory qualitative study investigated the effectiveness of the Process Writing Approach (PWA) in developing English writing skills among Higher Secondary Certificate (HSC) students in Bangladesh. The findings reveal that writing pedagogy at this level remains largely dominated by product-oriented practices driven by examination demands, rote memorisation, and guidebook dependency. These practices restrict learners’ engagement with the core cognitive processes essential for effective writing, including planning, idea generation, drafting, and revision. Drawing explicitly on Flower and Hayes’ (1981) Cognitive Process Theory of Writing, the study demonstrates that PWA serves as a powerful pedagogical mechanism for activating recursive writing processes. Students exposed to PWA reported a conceptual shift from copying to composing, enhanced metacognitive awareness, improved organisation and coherence, and greater confidence in expressing ideas independently. These developments indicate that PWA successfully operationalises the cognitive stages of planning, translating, and reviewing in classroom contexts.</w:t>
      </w:r>
    </w:p>
    <w:p w14:paraId="1806D50E" w14:textId="77777777" w:rsidR="008E6739" w:rsidRPr="00235FB2" w:rsidRDefault="008E6739" w:rsidP="008E6739">
      <w:pPr>
        <w:spacing w:after="0" w:line="360" w:lineRule="auto"/>
        <w:jc w:val="both"/>
        <w:rPr>
          <w:rFonts w:ascii="Calibri" w:hAnsi="Calibri" w:cs="Calibri"/>
          <w:color w:val="000000" w:themeColor="text1"/>
          <w:sz w:val="20"/>
          <w:szCs w:val="20"/>
        </w:rPr>
      </w:pPr>
    </w:p>
    <w:p w14:paraId="1EAF7B56" w14:textId="3C5806BA" w:rsidR="008E6739" w:rsidRPr="00235FB2" w:rsidRDefault="008E6739" w:rsidP="008E6739">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However, the findings also reveal significant systemic constraints. Large class sizes, limited instructional time, assessment-driven curricula, and lack of teacher training continue to restrict the sustainable implementation of PWA. Importantly, student resistance to PWA emerged not as ideological opposition but as a rational response to examination culture, where memorisation is perceived as a safer and more efficient strategy for achieving grades. This insight extends existing theory by positioning resistance as a strategic cognitive decision shaped by institutional reward structures. The study further highlights the importance of affective and sociocultural dimensions in writing development. Reduced anxiety, increased confidence, and positive learner identity formation demonstrate that writing improvement is not purely cognitive but emotionally mediated. Peer feedback emerged as a powerful social scaffold, enriching the task environment and facilitating collaborative learning, thereby extending Flower and Hayes’ model into a sociocultural domain.</w:t>
      </w:r>
    </w:p>
    <w:p w14:paraId="20ECED4A" w14:textId="77777777" w:rsidR="008E6739" w:rsidRPr="00235FB2" w:rsidRDefault="008E6739" w:rsidP="008E6739">
      <w:pPr>
        <w:spacing w:after="0" w:line="360" w:lineRule="auto"/>
        <w:jc w:val="both"/>
        <w:rPr>
          <w:rFonts w:ascii="Calibri" w:hAnsi="Calibri" w:cs="Calibri"/>
          <w:color w:val="000000" w:themeColor="text1"/>
          <w:sz w:val="20"/>
          <w:szCs w:val="20"/>
        </w:rPr>
      </w:pPr>
    </w:p>
    <w:p w14:paraId="07F3665D" w14:textId="7487102E" w:rsidR="00EC4A74" w:rsidRDefault="008E6739" w:rsidP="00EC4A74">
      <w:pPr>
        <w:spacing w:after="0" w:line="360" w:lineRule="auto"/>
        <w:jc w:val="both"/>
        <w:rPr>
          <w:rFonts w:ascii="Calibri" w:hAnsi="Calibri" w:cs="Calibri"/>
          <w:color w:val="000000" w:themeColor="text1"/>
          <w:sz w:val="20"/>
          <w:szCs w:val="20"/>
        </w:rPr>
      </w:pPr>
      <w:r w:rsidRPr="00235FB2">
        <w:rPr>
          <w:rFonts w:ascii="Calibri" w:hAnsi="Calibri" w:cs="Calibri"/>
          <w:color w:val="000000" w:themeColor="text1"/>
          <w:sz w:val="20"/>
          <w:szCs w:val="20"/>
        </w:rPr>
        <w:t>Theoretically, this study advances a hybrid cognitive–sociocultural framework of writing development, integrating cognitive processes with emotional, social, and institutional influences. Methodologically, it demonstrates the value of qualitative thematic analysis for theory refinement in under-researched Global South contexts.</w:t>
      </w:r>
    </w:p>
    <w:p w14:paraId="067430EB" w14:textId="77777777" w:rsidR="00EC4A74" w:rsidRPr="00EC4A74" w:rsidRDefault="00EC4A74" w:rsidP="00EC4A74">
      <w:pPr>
        <w:spacing w:after="0" w:line="360" w:lineRule="auto"/>
        <w:jc w:val="both"/>
        <w:rPr>
          <w:rFonts w:ascii="Calibri" w:hAnsi="Calibri" w:cs="Calibri"/>
          <w:color w:val="000000" w:themeColor="text1"/>
          <w:sz w:val="20"/>
          <w:szCs w:val="20"/>
        </w:rPr>
      </w:pPr>
    </w:p>
    <w:p w14:paraId="4E23C1E6" w14:textId="1FAABFA6" w:rsidR="00563F28" w:rsidRPr="00235FB2" w:rsidRDefault="00EC4A74" w:rsidP="00EC4A74">
      <w:pPr>
        <w:spacing w:after="0" w:line="360" w:lineRule="auto"/>
        <w:jc w:val="both"/>
        <w:rPr>
          <w:rFonts w:ascii="Calibri" w:hAnsi="Calibri" w:cs="Calibri"/>
          <w:color w:val="000000" w:themeColor="text1"/>
          <w:sz w:val="20"/>
          <w:szCs w:val="20"/>
        </w:rPr>
      </w:pPr>
      <w:r w:rsidRPr="00EC4A74">
        <w:rPr>
          <w:rFonts w:ascii="Calibri" w:hAnsi="Calibri" w:cs="Calibri"/>
          <w:color w:val="000000" w:themeColor="text1"/>
          <w:sz w:val="20"/>
          <w:szCs w:val="20"/>
          <w:highlight w:val="yellow"/>
        </w:rPr>
        <w:t>This study advances writing pedagogy by offering empirically grounded insights into process-oriented instruction within a resource-limited, high-stakes Global South context. It integrates cognitive, sociocultural, affective, and institutional factors into a framework that extends process writing theory and emphasises aligning pedagogy, assessment, and teacher capacity to foster sustainable development. These findings provide a solid, practical foundation for future research and policy reform in similar examination-driven education systems.</w:t>
      </w:r>
    </w:p>
    <w:p w14:paraId="35D86FFE" w14:textId="77777777" w:rsidR="00D06C9F" w:rsidRPr="00235FB2" w:rsidRDefault="00D06C9F" w:rsidP="008E6739">
      <w:pPr>
        <w:spacing w:after="0" w:line="360" w:lineRule="auto"/>
        <w:jc w:val="both"/>
        <w:rPr>
          <w:rFonts w:ascii="Calibri" w:hAnsi="Calibri" w:cs="Calibri"/>
          <w:color w:val="000000" w:themeColor="text1"/>
          <w:sz w:val="20"/>
          <w:szCs w:val="20"/>
        </w:rPr>
      </w:pPr>
    </w:p>
    <w:p w14:paraId="18BF0B9F" w14:textId="77777777" w:rsidR="00D06C9F" w:rsidRPr="00235FB2" w:rsidRDefault="00D06C9F" w:rsidP="008E6739">
      <w:pPr>
        <w:spacing w:after="0" w:line="360" w:lineRule="auto"/>
        <w:jc w:val="both"/>
        <w:rPr>
          <w:rFonts w:ascii="Calibri" w:hAnsi="Calibri" w:cs="Calibri"/>
          <w:color w:val="000000" w:themeColor="text1"/>
          <w:sz w:val="20"/>
          <w:szCs w:val="20"/>
        </w:rPr>
      </w:pPr>
    </w:p>
    <w:p w14:paraId="437F80B8" w14:textId="2C1DE25E" w:rsidR="00563F28" w:rsidRPr="00235FB2" w:rsidRDefault="00563F28" w:rsidP="00563F28">
      <w:pPr>
        <w:spacing w:after="0" w:line="360" w:lineRule="auto"/>
        <w:rPr>
          <w:rFonts w:ascii="Calibri" w:hAnsi="Calibri" w:cs="Calibri"/>
          <w:b/>
          <w:bCs/>
          <w:color w:val="000000" w:themeColor="text1"/>
          <w:sz w:val="20"/>
          <w:szCs w:val="20"/>
        </w:rPr>
      </w:pPr>
      <w:r w:rsidRPr="00235FB2">
        <w:rPr>
          <w:rFonts w:ascii="Calibri" w:hAnsi="Calibri" w:cs="Calibri"/>
          <w:b/>
          <w:bCs/>
          <w:color w:val="000000" w:themeColor="text1"/>
          <w:sz w:val="20"/>
          <w:szCs w:val="20"/>
        </w:rPr>
        <w:t xml:space="preserve">References: </w:t>
      </w:r>
    </w:p>
    <w:p w14:paraId="07958664" w14:textId="50634A88" w:rsidR="00AA4821" w:rsidRPr="00235FB2" w:rsidRDefault="00AA4821"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Ahmad, F. (2025) </w:t>
      </w:r>
      <w:r w:rsidRPr="00235FB2">
        <w:rPr>
          <w:rFonts w:ascii="Calibri" w:hAnsi="Calibri" w:cs="Calibri"/>
          <w:i/>
          <w:iCs/>
          <w:color w:val="000000" w:themeColor="text1"/>
          <w:sz w:val="20"/>
          <w:szCs w:val="20"/>
        </w:rPr>
        <w:t>Enhancing EFL writing proficiency through peer feedback: mixed-method analysis</w:t>
      </w:r>
      <w:r w:rsidRPr="00235FB2">
        <w:rPr>
          <w:rFonts w:ascii="Calibri" w:hAnsi="Calibri" w:cs="Calibri"/>
          <w:color w:val="000000" w:themeColor="text1"/>
          <w:sz w:val="20"/>
          <w:szCs w:val="20"/>
        </w:rPr>
        <w:t xml:space="preserve">, Journal of Education and Culture Studies, 8(2). Available at: </w:t>
      </w:r>
      <w:hyperlink r:id="rId9" w:tgtFrame="_new" w:history="1">
        <w:r w:rsidRPr="00235FB2">
          <w:rPr>
            <w:rStyle w:val="Hyperlink"/>
            <w:rFonts w:ascii="Calibri" w:hAnsi="Calibri" w:cs="Calibri"/>
            <w:color w:val="000000" w:themeColor="text1"/>
            <w:sz w:val="20"/>
            <w:szCs w:val="20"/>
          </w:rPr>
          <w:t>https://jecs.pl/index.php/jecs/article/view/1827/1515</w:t>
        </w:r>
      </w:hyperlink>
      <w:r w:rsidRPr="00235FB2">
        <w:rPr>
          <w:rFonts w:ascii="Calibri" w:hAnsi="Calibri" w:cs="Calibri"/>
          <w:color w:val="000000" w:themeColor="text1"/>
          <w:sz w:val="20"/>
          <w:szCs w:val="20"/>
        </w:rPr>
        <w:t xml:space="preserve"> (Accessed: </w:t>
      </w:r>
      <w:r w:rsidR="00EA35E6" w:rsidRPr="00235FB2">
        <w:rPr>
          <w:rFonts w:ascii="Calibri" w:hAnsi="Calibri" w:cs="Calibri"/>
          <w:color w:val="000000" w:themeColor="text1"/>
          <w:sz w:val="20"/>
          <w:szCs w:val="20"/>
        </w:rPr>
        <w:t>20/12/2025</w:t>
      </w:r>
      <w:r w:rsidRPr="00235FB2">
        <w:rPr>
          <w:rFonts w:ascii="Calibri" w:hAnsi="Calibri" w:cs="Calibri"/>
          <w:color w:val="000000" w:themeColor="text1"/>
          <w:sz w:val="20"/>
          <w:szCs w:val="20"/>
        </w:rPr>
        <w:t xml:space="preserve">). </w:t>
      </w:r>
    </w:p>
    <w:p w14:paraId="3CD3B28D" w14:textId="77777777" w:rsidR="008C2321" w:rsidRPr="00235FB2" w:rsidRDefault="008C2321"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Ahmed, M.  (2025) ‘HSC results: Lowest pass rate in 21 years’ (reports candidate and pass figures). Available at: </w:t>
      </w:r>
      <w:hyperlink r:id="rId10" w:history="1">
        <w:r w:rsidRPr="00235FB2">
          <w:rPr>
            <w:rStyle w:val="Hyperlink"/>
            <w:rFonts w:ascii="Calibri" w:hAnsi="Calibri" w:cs="Calibri"/>
            <w:color w:val="000000" w:themeColor="text1"/>
            <w:sz w:val="20"/>
            <w:szCs w:val="20"/>
          </w:rPr>
          <w:t>HSC results: Lowest pass rate in 21 years | Prothom Alo</w:t>
        </w:r>
      </w:hyperlink>
      <w:r w:rsidRPr="00235FB2">
        <w:rPr>
          <w:rFonts w:ascii="Calibri" w:hAnsi="Calibri" w:cs="Calibri"/>
          <w:color w:val="000000" w:themeColor="text1"/>
          <w:sz w:val="20"/>
          <w:szCs w:val="20"/>
        </w:rPr>
        <w:t xml:space="preserve"> (Accessed on: 05/01/2026). </w:t>
      </w:r>
    </w:p>
    <w:p w14:paraId="3632FA84" w14:textId="4D7E7684" w:rsidR="00563F28" w:rsidRPr="00235FB2" w:rsidRDefault="00563F28"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Akter, F. (2024) </w:t>
      </w:r>
      <w:r w:rsidRPr="00235FB2">
        <w:rPr>
          <w:rFonts w:ascii="Calibri" w:hAnsi="Calibri" w:cs="Calibri"/>
          <w:i/>
          <w:iCs/>
          <w:color w:val="000000" w:themeColor="text1"/>
          <w:sz w:val="20"/>
          <w:szCs w:val="20"/>
        </w:rPr>
        <w:t>Writing as a skill of learning English in Bangladesh education system perspective</w:t>
      </w:r>
      <w:r w:rsidRPr="00235FB2">
        <w:rPr>
          <w:rFonts w:ascii="Calibri" w:hAnsi="Calibri" w:cs="Calibri"/>
          <w:color w:val="000000" w:themeColor="text1"/>
          <w:sz w:val="20"/>
          <w:szCs w:val="20"/>
        </w:rPr>
        <w:t>, International Journal of Applied and Scientific Research, 2(3), pp. 343–352. Available at:</w:t>
      </w:r>
      <w:r w:rsidR="0067087A" w:rsidRPr="00235FB2">
        <w:rPr>
          <w:rFonts w:ascii="Calibri" w:hAnsi="Calibri" w:cs="Calibri"/>
          <w:color w:val="000000" w:themeColor="text1"/>
          <w:sz w:val="20"/>
          <w:szCs w:val="20"/>
        </w:rPr>
        <w:t xml:space="preserve"> </w:t>
      </w:r>
      <w:hyperlink r:id="rId11" w:history="1">
        <w:r w:rsidR="00946B42" w:rsidRPr="00235FB2">
          <w:rPr>
            <w:rStyle w:val="Hyperlink"/>
            <w:rFonts w:ascii="Calibri" w:hAnsi="Calibri" w:cs="Calibri"/>
            <w:color w:val="000000" w:themeColor="text1"/>
            <w:sz w:val="20"/>
            <w:szCs w:val="20"/>
          </w:rPr>
          <w:t>https://journal.multitechpublisher.com/index.php/ijasr/article/view/1557</w:t>
        </w:r>
      </w:hyperlink>
      <w:r w:rsidRPr="00235FB2">
        <w:rPr>
          <w:rFonts w:ascii="Calibri" w:hAnsi="Calibri" w:cs="Calibri"/>
          <w:color w:val="000000" w:themeColor="text1"/>
          <w:sz w:val="20"/>
          <w:szCs w:val="20"/>
        </w:rPr>
        <w:t xml:space="preserve"> (Accessed: </w:t>
      </w:r>
      <w:r w:rsidR="00D324E6" w:rsidRPr="00235FB2">
        <w:rPr>
          <w:rFonts w:ascii="Calibri" w:hAnsi="Calibri" w:cs="Calibri"/>
          <w:color w:val="000000" w:themeColor="text1"/>
          <w:sz w:val="20"/>
          <w:szCs w:val="20"/>
        </w:rPr>
        <w:t>10/12/2025</w:t>
      </w:r>
      <w:r w:rsidRPr="00235FB2">
        <w:rPr>
          <w:rFonts w:ascii="Calibri" w:hAnsi="Calibri" w:cs="Calibri"/>
          <w:color w:val="000000" w:themeColor="text1"/>
          <w:sz w:val="20"/>
          <w:szCs w:val="20"/>
        </w:rPr>
        <w:t xml:space="preserve">). </w:t>
      </w:r>
    </w:p>
    <w:p w14:paraId="6834E191" w14:textId="5E5391B0" w:rsidR="00A82A85" w:rsidRPr="00235FB2" w:rsidRDefault="00A82A85"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Bangladesh Bureau of Statistics (BBS) (2023) </w:t>
      </w:r>
      <w:r w:rsidRPr="00235FB2">
        <w:rPr>
          <w:rFonts w:ascii="Calibri" w:hAnsi="Calibri" w:cs="Calibri"/>
          <w:i/>
          <w:iCs/>
          <w:color w:val="000000" w:themeColor="text1"/>
          <w:sz w:val="20"/>
          <w:szCs w:val="20"/>
        </w:rPr>
        <w:t>Population and Housing Census 2022: National Report</w:t>
      </w:r>
      <w:r w:rsidRPr="00235FB2">
        <w:rPr>
          <w:rFonts w:ascii="Calibri" w:hAnsi="Calibri" w:cs="Calibri"/>
          <w:color w:val="000000" w:themeColor="text1"/>
          <w:sz w:val="20"/>
          <w:szCs w:val="20"/>
        </w:rPr>
        <w:t>. Dhaka: Statistics and Informatics Division. Available at:</w:t>
      </w:r>
      <w:r w:rsidRPr="00235FB2">
        <w:rPr>
          <w:rFonts w:ascii="Calibri" w:hAnsi="Calibri" w:cs="Calibri"/>
          <w:color w:val="000000" w:themeColor="text1"/>
          <w:sz w:val="20"/>
          <w:szCs w:val="20"/>
        </w:rPr>
        <w:br/>
      </w:r>
      <w:hyperlink r:id="rId12" w:history="1">
        <w:r w:rsidRPr="00235FB2">
          <w:rPr>
            <w:rStyle w:val="Hyperlink"/>
            <w:rFonts w:ascii="Calibri" w:hAnsi="Calibri" w:cs="Calibri"/>
            <w:color w:val="000000" w:themeColor="text1"/>
            <w:sz w:val="20"/>
            <w:szCs w:val="20"/>
          </w:rPr>
          <w:t>https://bbs.gov.bd/site/page/47856ad6-7e1c-4a7e-bb68-1f94b6bafc23</w:t>
        </w:r>
      </w:hyperlink>
      <w:r w:rsidRPr="00235FB2">
        <w:rPr>
          <w:rFonts w:ascii="Calibri" w:hAnsi="Calibri" w:cs="Calibri"/>
          <w:color w:val="000000" w:themeColor="text1"/>
          <w:sz w:val="20"/>
          <w:szCs w:val="20"/>
        </w:rPr>
        <w:t xml:space="preserve"> (Accessed on: 02/02/2026). </w:t>
      </w:r>
    </w:p>
    <w:p w14:paraId="66F9903A" w14:textId="4D281F82" w:rsidR="00FE1C62" w:rsidRPr="00235FB2" w:rsidRDefault="001A0D64"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BERA (2023) </w:t>
      </w:r>
      <w:r w:rsidRPr="00235FB2">
        <w:rPr>
          <w:rFonts w:ascii="Calibri" w:hAnsi="Calibri" w:cs="Calibri"/>
          <w:i/>
          <w:iCs/>
          <w:color w:val="000000" w:themeColor="text1"/>
          <w:sz w:val="20"/>
          <w:szCs w:val="20"/>
        </w:rPr>
        <w:t>Ethical guidelines for educational research</w:t>
      </w:r>
      <w:r w:rsidRPr="00235FB2">
        <w:rPr>
          <w:rFonts w:ascii="Calibri" w:hAnsi="Calibri" w:cs="Calibri"/>
          <w:color w:val="000000" w:themeColor="text1"/>
          <w:sz w:val="20"/>
          <w:szCs w:val="20"/>
        </w:rPr>
        <w:t xml:space="preserve">. 5th </w:t>
      </w:r>
      <w:proofErr w:type="spellStart"/>
      <w:r w:rsidRPr="00235FB2">
        <w:rPr>
          <w:rFonts w:ascii="Calibri" w:hAnsi="Calibri" w:cs="Calibri"/>
          <w:color w:val="000000" w:themeColor="text1"/>
          <w:sz w:val="20"/>
          <w:szCs w:val="20"/>
        </w:rPr>
        <w:t>edn</w:t>
      </w:r>
      <w:proofErr w:type="spellEnd"/>
      <w:r w:rsidRPr="00235FB2">
        <w:rPr>
          <w:rFonts w:ascii="Calibri" w:hAnsi="Calibri" w:cs="Calibri"/>
          <w:color w:val="000000" w:themeColor="text1"/>
          <w:sz w:val="20"/>
          <w:szCs w:val="20"/>
        </w:rPr>
        <w:t xml:space="preserve">. London: British Educational Research Association. Available at: </w:t>
      </w:r>
      <w:hyperlink r:id="rId13" w:history="1">
        <w:r w:rsidRPr="00235FB2">
          <w:rPr>
            <w:rStyle w:val="Hyperlink"/>
            <w:rFonts w:ascii="Calibri" w:hAnsi="Calibri" w:cs="Calibri"/>
            <w:color w:val="000000" w:themeColor="text1"/>
            <w:sz w:val="20"/>
            <w:szCs w:val="20"/>
          </w:rPr>
          <w:t>https://www.bera.ac.uk/publication/ethical-guidelines-for-educational-research-2023</w:t>
        </w:r>
      </w:hyperlink>
      <w:r w:rsidRPr="00235FB2">
        <w:rPr>
          <w:rFonts w:ascii="Calibri" w:hAnsi="Calibri" w:cs="Calibri"/>
          <w:color w:val="000000" w:themeColor="text1"/>
          <w:sz w:val="20"/>
          <w:szCs w:val="20"/>
        </w:rPr>
        <w:t xml:space="preserve"> (Accessed on: 03/02/2026). </w:t>
      </w:r>
    </w:p>
    <w:p w14:paraId="2E292BBB" w14:textId="6697592F" w:rsidR="006D3C1C" w:rsidRPr="00235FB2" w:rsidRDefault="006D3C1C" w:rsidP="006D3C1C">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Bigelow, M. &amp; Engman, M. (2020). Language anxiety. </w:t>
      </w:r>
      <w:r w:rsidRPr="00235FB2">
        <w:rPr>
          <w:rFonts w:ascii="Calibri" w:hAnsi="Calibri" w:cs="Calibri"/>
          <w:i/>
          <w:iCs/>
          <w:color w:val="000000" w:themeColor="text1"/>
          <w:sz w:val="20"/>
          <w:szCs w:val="20"/>
        </w:rPr>
        <w:t>The Modern Language Journal</w:t>
      </w:r>
      <w:r w:rsidRPr="00235FB2">
        <w:rPr>
          <w:rFonts w:ascii="Calibri" w:hAnsi="Calibri" w:cs="Calibri"/>
          <w:color w:val="000000" w:themeColor="text1"/>
          <w:sz w:val="20"/>
          <w:szCs w:val="20"/>
        </w:rPr>
        <w:t>, 104(3), 586–604.</w:t>
      </w:r>
      <w:r w:rsidRPr="00235FB2">
        <w:rPr>
          <w:rFonts w:ascii="Calibri" w:hAnsi="Calibri" w:cs="Calibri"/>
          <w:color w:val="000000" w:themeColor="text1"/>
          <w:sz w:val="20"/>
          <w:szCs w:val="20"/>
        </w:rPr>
        <w:br/>
        <w:t xml:space="preserve">Available at: </w:t>
      </w:r>
      <w:hyperlink r:id="rId14" w:history="1">
        <w:r w:rsidRPr="00235FB2">
          <w:rPr>
            <w:rStyle w:val="Hyperlink"/>
            <w:rFonts w:ascii="Calibri" w:hAnsi="Calibri" w:cs="Calibri"/>
            <w:color w:val="000000" w:themeColor="text1"/>
            <w:sz w:val="20"/>
            <w:szCs w:val="20"/>
          </w:rPr>
          <w:t>https://onlinelibrary.wiley.com/doi/10.1111/modl.12654</w:t>
        </w:r>
      </w:hyperlink>
      <w:r w:rsidRPr="00235FB2">
        <w:rPr>
          <w:rFonts w:ascii="Calibri" w:hAnsi="Calibri" w:cs="Calibri"/>
          <w:color w:val="000000" w:themeColor="text1"/>
          <w:sz w:val="20"/>
          <w:szCs w:val="20"/>
        </w:rPr>
        <w:t xml:space="preserve"> (Accessed on: 25/01/2026). </w:t>
      </w:r>
    </w:p>
    <w:p w14:paraId="068D399E" w14:textId="43B9C0CD" w:rsidR="006B5CD4" w:rsidRPr="00235FB2" w:rsidRDefault="006B5CD4" w:rsidP="006D3C1C">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Biggs, J. (2014). </w:t>
      </w:r>
      <w:r w:rsidRPr="00235FB2">
        <w:rPr>
          <w:rFonts w:ascii="Calibri" w:hAnsi="Calibri" w:cs="Calibri"/>
          <w:i/>
          <w:iCs/>
          <w:color w:val="000000" w:themeColor="text1"/>
          <w:sz w:val="20"/>
          <w:szCs w:val="20"/>
        </w:rPr>
        <w:t>Constructive alignment in university teaching</w:t>
      </w:r>
      <w:r w:rsidRPr="00235FB2">
        <w:rPr>
          <w:rFonts w:ascii="Calibri" w:hAnsi="Calibri" w:cs="Calibri"/>
          <w:color w:val="000000" w:themeColor="text1"/>
          <w:sz w:val="20"/>
          <w:szCs w:val="20"/>
        </w:rPr>
        <w:t xml:space="preserve">. HERDSA Review of Higher Education, 1, 5–22. Available at: </w:t>
      </w:r>
      <w:hyperlink r:id="rId15" w:history="1">
        <w:r w:rsidRPr="00235FB2">
          <w:rPr>
            <w:rStyle w:val="Hyperlink"/>
            <w:rFonts w:ascii="Calibri" w:hAnsi="Calibri" w:cs="Calibri"/>
            <w:color w:val="000000" w:themeColor="text1"/>
            <w:sz w:val="20"/>
            <w:szCs w:val="20"/>
          </w:rPr>
          <w:t>https://www.herdsa.org.au/herdsa-review-higher-education-vol-1/5-22</w:t>
        </w:r>
      </w:hyperlink>
      <w:r w:rsidRPr="00235FB2">
        <w:rPr>
          <w:rFonts w:ascii="Calibri" w:hAnsi="Calibri" w:cs="Calibri"/>
          <w:color w:val="000000" w:themeColor="text1"/>
          <w:sz w:val="20"/>
          <w:szCs w:val="20"/>
        </w:rPr>
        <w:t xml:space="preserve"> (Accessed on </w:t>
      </w:r>
      <w:r w:rsidR="007551BC" w:rsidRPr="00235FB2">
        <w:rPr>
          <w:rFonts w:ascii="Calibri" w:hAnsi="Calibri" w:cs="Calibri"/>
          <w:color w:val="000000" w:themeColor="text1"/>
          <w:sz w:val="20"/>
          <w:szCs w:val="20"/>
        </w:rPr>
        <w:t>27/01/2026).</w:t>
      </w:r>
    </w:p>
    <w:p w14:paraId="2253CEF5" w14:textId="539943B5" w:rsidR="00D60343" w:rsidRPr="00235FB2" w:rsidRDefault="00D60343"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Bilkis, R.</w:t>
      </w:r>
      <w:r w:rsidR="00EB0FA0" w:rsidRPr="00235FB2">
        <w:rPr>
          <w:rFonts w:ascii="Calibri" w:hAnsi="Calibri" w:cs="Calibri"/>
          <w:color w:val="000000" w:themeColor="text1"/>
          <w:sz w:val="20"/>
          <w:szCs w:val="20"/>
        </w:rPr>
        <w:t xml:space="preserve">, Podder, R. &amp; Riad, S. S. (2022) </w:t>
      </w:r>
      <w:r w:rsidR="00EB0FA0" w:rsidRPr="00235FB2">
        <w:rPr>
          <w:rFonts w:ascii="Calibri" w:hAnsi="Calibri" w:cs="Calibri"/>
          <w:i/>
          <w:iCs/>
          <w:color w:val="000000" w:themeColor="text1"/>
          <w:sz w:val="20"/>
          <w:szCs w:val="20"/>
        </w:rPr>
        <w:t xml:space="preserve">Process Approach to Teaching English Writing Skill in </w:t>
      </w:r>
      <w:r w:rsidR="002E3EE6" w:rsidRPr="00235FB2">
        <w:rPr>
          <w:rFonts w:ascii="Calibri" w:hAnsi="Calibri" w:cs="Calibri"/>
          <w:i/>
          <w:iCs/>
          <w:color w:val="000000" w:themeColor="text1"/>
          <w:sz w:val="20"/>
          <w:szCs w:val="20"/>
        </w:rPr>
        <w:t xml:space="preserve">Secondary Schools. </w:t>
      </w:r>
      <w:r w:rsidR="002E3EE6" w:rsidRPr="00235FB2">
        <w:rPr>
          <w:rFonts w:ascii="Calibri" w:hAnsi="Calibri" w:cs="Calibri"/>
          <w:color w:val="000000" w:themeColor="text1"/>
          <w:sz w:val="20"/>
          <w:szCs w:val="20"/>
        </w:rPr>
        <w:t>Available at:</w:t>
      </w:r>
      <w:r w:rsidR="002E3EE6" w:rsidRPr="00235FB2">
        <w:rPr>
          <w:rFonts w:ascii="Calibri" w:hAnsi="Calibri" w:cs="Calibri"/>
          <w:i/>
          <w:iCs/>
          <w:color w:val="000000" w:themeColor="text1"/>
          <w:sz w:val="20"/>
          <w:szCs w:val="20"/>
        </w:rPr>
        <w:t xml:space="preserve"> </w:t>
      </w:r>
      <w:hyperlink r:id="rId16" w:history="1">
        <w:r w:rsidR="002E3EE6" w:rsidRPr="00235FB2">
          <w:rPr>
            <w:rStyle w:val="Hyperlink"/>
            <w:rFonts w:ascii="Calibri" w:hAnsi="Calibri" w:cs="Calibri"/>
            <w:color w:val="000000" w:themeColor="text1"/>
            <w:sz w:val="20"/>
            <w:szCs w:val="20"/>
          </w:rPr>
          <w:t>(PDF) Process Approach to Teaching English Writing Skill in Secondary Schools</w:t>
        </w:r>
      </w:hyperlink>
      <w:r w:rsidR="002E3EE6" w:rsidRPr="00235FB2">
        <w:rPr>
          <w:rFonts w:ascii="Calibri" w:hAnsi="Calibri" w:cs="Calibri"/>
          <w:i/>
          <w:iCs/>
          <w:color w:val="000000" w:themeColor="text1"/>
          <w:sz w:val="20"/>
          <w:szCs w:val="20"/>
        </w:rPr>
        <w:t xml:space="preserve"> </w:t>
      </w:r>
      <w:r w:rsidR="006F7365" w:rsidRPr="00235FB2">
        <w:rPr>
          <w:rFonts w:ascii="Calibri" w:hAnsi="Calibri" w:cs="Calibri"/>
          <w:color w:val="000000" w:themeColor="text1"/>
          <w:sz w:val="20"/>
          <w:szCs w:val="20"/>
        </w:rPr>
        <w:t xml:space="preserve">(Accessed on: 15/01/2026). </w:t>
      </w:r>
    </w:p>
    <w:p w14:paraId="7E287BA6" w14:textId="4762E505" w:rsidR="007551BC" w:rsidRPr="00235FB2" w:rsidRDefault="007551BC"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Borg, S. (2015). </w:t>
      </w:r>
      <w:r w:rsidRPr="00235FB2">
        <w:rPr>
          <w:rFonts w:ascii="Calibri" w:hAnsi="Calibri" w:cs="Calibri"/>
          <w:i/>
          <w:iCs/>
          <w:color w:val="000000" w:themeColor="text1"/>
          <w:sz w:val="20"/>
          <w:szCs w:val="20"/>
        </w:rPr>
        <w:t>Teacher cognition and language education</w:t>
      </w:r>
      <w:r w:rsidRPr="00235FB2">
        <w:rPr>
          <w:rFonts w:ascii="Calibri" w:hAnsi="Calibri" w:cs="Calibri"/>
          <w:color w:val="000000" w:themeColor="text1"/>
          <w:sz w:val="20"/>
          <w:szCs w:val="20"/>
        </w:rPr>
        <w:t xml:space="preserve">. Bloomsbury. Available at: </w:t>
      </w:r>
      <w:hyperlink r:id="rId17" w:history="1">
        <w:r w:rsidRPr="00235FB2">
          <w:rPr>
            <w:rStyle w:val="Hyperlink"/>
            <w:rFonts w:ascii="Calibri" w:hAnsi="Calibri" w:cs="Calibri"/>
            <w:color w:val="000000" w:themeColor="text1"/>
            <w:sz w:val="20"/>
            <w:szCs w:val="20"/>
          </w:rPr>
          <w:t>https://www.bloomsbury.com/uk/teacher-cognition-and-language-education-9781472513084/</w:t>
        </w:r>
      </w:hyperlink>
      <w:r w:rsidRPr="00235FB2">
        <w:rPr>
          <w:rFonts w:ascii="Calibri" w:hAnsi="Calibri" w:cs="Calibri"/>
          <w:color w:val="000000" w:themeColor="text1"/>
          <w:sz w:val="20"/>
          <w:szCs w:val="20"/>
        </w:rPr>
        <w:t xml:space="preserve"> (Accessed on: </w:t>
      </w:r>
      <w:r w:rsidR="003E318E" w:rsidRPr="00235FB2">
        <w:rPr>
          <w:rFonts w:ascii="Calibri" w:hAnsi="Calibri" w:cs="Calibri"/>
          <w:color w:val="000000" w:themeColor="text1"/>
          <w:sz w:val="20"/>
          <w:szCs w:val="20"/>
        </w:rPr>
        <w:t>23/01/2026)</w:t>
      </w:r>
    </w:p>
    <w:p w14:paraId="53F8513A" w14:textId="4A5A9CCD" w:rsidR="008C2E60" w:rsidRPr="00235FB2" w:rsidRDefault="008C2E60"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Braun, V. and Clarke, V. (2006) ‘Using thematic analysis in psychology’, </w:t>
      </w:r>
      <w:r w:rsidRPr="00235FB2">
        <w:rPr>
          <w:rFonts w:ascii="Calibri" w:hAnsi="Calibri" w:cs="Calibri"/>
          <w:i/>
          <w:iCs/>
          <w:color w:val="000000" w:themeColor="text1"/>
          <w:sz w:val="20"/>
          <w:szCs w:val="20"/>
        </w:rPr>
        <w:t>Qualitative Research in Psychology</w:t>
      </w:r>
      <w:r w:rsidRPr="00235FB2">
        <w:rPr>
          <w:rFonts w:ascii="Calibri" w:hAnsi="Calibri" w:cs="Calibri"/>
          <w:color w:val="000000" w:themeColor="text1"/>
          <w:sz w:val="20"/>
          <w:szCs w:val="20"/>
        </w:rPr>
        <w:t xml:space="preserve">, 3(2), pp. 77–101. Available at: </w:t>
      </w:r>
      <w:hyperlink r:id="rId18" w:history="1">
        <w:r w:rsidRPr="00235FB2">
          <w:rPr>
            <w:rStyle w:val="Hyperlink"/>
            <w:rFonts w:ascii="Calibri" w:hAnsi="Calibri" w:cs="Calibri"/>
            <w:color w:val="000000" w:themeColor="text1"/>
            <w:sz w:val="20"/>
            <w:szCs w:val="20"/>
          </w:rPr>
          <w:t>https://www.tandfonline.com/doi/10.1191/1478088706qp063oa</w:t>
        </w:r>
      </w:hyperlink>
      <w:r w:rsidRPr="00235FB2">
        <w:rPr>
          <w:rFonts w:ascii="Calibri" w:hAnsi="Calibri" w:cs="Calibri"/>
          <w:color w:val="000000" w:themeColor="text1"/>
          <w:sz w:val="20"/>
          <w:szCs w:val="20"/>
        </w:rPr>
        <w:t xml:space="preserve"> (Accessed on: 03/01/2026). </w:t>
      </w:r>
    </w:p>
    <w:p w14:paraId="3602BBF2" w14:textId="3A20B34B" w:rsidR="00D812D3" w:rsidRPr="00235FB2" w:rsidRDefault="00D812D3"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Braun, V. and Clarke, V. (2022) </w:t>
      </w:r>
      <w:r w:rsidRPr="00235FB2">
        <w:rPr>
          <w:rFonts w:ascii="Calibri" w:hAnsi="Calibri" w:cs="Calibri"/>
          <w:i/>
          <w:iCs/>
          <w:color w:val="000000" w:themeColor="text1"/>
          <w:sz w:val="20"/>
          <w:szCs w:val="20"/>
        </w:rPr>
        <w:t>Thematic analysis: A practical guide</w:t>
      </w:r>
      <w:r w:rsidRPr="00235FB2">
        <w:rPr>
          <w:rFonts w:ascii="Calibri" w:hAnsi="Calibri" w:cs="Calibri"/>
          <w:color w:val="000000" w:themeColor="text1"/>
          <w:sz w:val="20"/>
          <w:szCs w:val="20"/>
        </w:rPr>
        <w:t>. London: SAGE. Available at:</w:t>
      </w:r>
      <w:r w:rsidRPr="00235FB2">
        <w:rPr>
          <w:rFonts w:ascii="Calibri" w:hAnsi="Calibri" w:cs="Calibri"/>
          <w:color w:val="000000" w:themeColor="text1"/>
          <w:sz w:val="20"/>
          <w:szCs w:val="20"/>
        </w:rPr>
        <w:br/>
      </w:r>
      <w:hyperlink r:id="rId19" w:tgtFrame="_new" w:history="1">
        <w:r w:rsidRPr="00235FB2">
          <w:rPr>
            <w:rStyle w:val="Hyperlink"/>
            <w:rFonts w:ascii="Calibri" w:hAnsi="Calibri" w:cs="Calibri"/>
            <w:color w:val="000000" w:themeColor="text1"/>
            <w:sz w:val="20"/>
            <w:szCs w:val="20"/>
          </w:rPr>
          <w:t>https://uk.sagepub.com/en-gb/eur/thematic-analysis/book248481</w:t>
        </w:r>
      </w:hyperlink>
      <w:r w:rsidRPr="00235FB2">
        <w:rPr>
          <w:rFonts w:ascii="Calibri" w:hAnsi="Calibri" w:cs="Calibri"/>
          <w:color w:val="000000" w:themeColor="text1"/>
          <w:sz w:val="20"/>
          <w:szCs w:val="20"/>
        </w:rPr>
        <w:t xml:space="preserve"> (Accessed on: 03/01/2026) </w:t>
      </w:r>
    </w:p>
    <w:p w14:paraId="607D49F1" w14:textId="63F14FE5" w:rsidR="003E318E" w:rsidRPr="00235FB2" w:rsidRDefault="003E318E"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Breen, M. (2001). </w:t>
      </w:r>
      <w:r w:rsidRPr="00235FB2">
        <w:rPr>
          <w:rFonts w:ascii="Calibri" w:hAnsi="Calibri" w:cs="Calibri"/>
          <w:i/>
          <w:iCs/>
          <w:color w:val="000000" w:themeColor="text1"/>
          <w:sz w:val="20"/>
          <w:szCs w:val="20"/>
        </w:rPr>
        <w:t>Learner contributions to language learning</w:t>
      </w:r>
      <w:r w:rsidRPr="00235FB2">
        <w:rPr>
          <w:rFonts w:ascii="Calibri" w:hAnsi="Calibri" w:cs="Calibri"/>
          <w:color w:val="000000" w:themeColor="text1"/>
          <w:sz w:val="20"/>
          <w:szCs w:val="20"/>
        </w:rPr>
        <w:t xml:space="preserve">. Longman. Available at: </w:t>
      </w:r>
      <w:hyperlink r:id="rId20" w:history="1">
        <w:r w:rsidRPr="00235FB2">
          <w:rPr>
            <w:rStyle w:val="Hyperlink"/>
            <w:rFonts w:ascii="Calibri" w:hAnsi="Calibri" w:cs="Calibri"/>
            <w:color w:val="000000" w:themeColor="text1"/>
            <w:sz w:val="20"/>
            <w:szCs w:val="20"/>
          </w:rPr>
          <w:t>https://www.routledge.com/Learner-Contributions-to-Language-Learning/Breen/p/book/9780582297125</w:t>
        </w:r>
      </w:hyperlink>
      <w:r w:rsidRPr="00235FB2">
        <w:rPr>
          <w:rFonts w:ascii="Calibri" w:hAnsi="Calibri" w:cs="Calibri"/>
          <w:color w:val="000000" w:themeColor="text1"/>
          <w:sz w:val="20"/>
          <w:szCs w:val="20"/>
        </w:rPr>
        <w:t xml:space="preserve"> (Accessed on: </w:t>
      </w:r>
      <w:r w:rsidR="00A07ADB" w:rsidRPr="00235FB2">
        <w:rPr>
          <w:rFonts w:ascii="Calibri" w:hAnsi="Calibri" w:cs="Calibri"/>
          <w:color w:val="000000" w:themeColor="text1"/>
          <w:sz w:val="20"/>
          <w:szCs w:val="20"/>
        </w:rPr>
        <w:t xml:space="preserve">23/01/2026). </w:t>
      </w:r>
    </w:p>
    <w:p w14:paraId="31FE9B40" w14:textId="4B0605CE" w:rsidR="00081036" w:rsidRPr="00235FB2" w:rsidRDefault="00081036" w:rsidP="006F23C5">
      <w:pPr>
        <w:pStyle w:val="ListParagraph"/>
        <w:numPr>
          <w:ilvl w:val="0"/>
          <w:numId w:val="29"/>
        </w:numPr>
        <w:spacing w:after="0" w:line="360" w:lineRule="auto"/>
        <w:rPr>
          <w:rFonts w:ascii="Calibri" w:hAnsi="Calibri" w:cs="Calibri"/>
          <w:color w:val="000000" w:themeColor="text1"/>
          <w:sz w:val="20"/>
          <w:szCs w:val="20"/>
        </w:rPr>
      </w:pPr>
      <w:proofErr w:type="spellStart"/>
      <w:r w:rsidRPr="00235FB2">
        <w:rPr>
          <w:rFonts w:ascii="Calibri" w:hAnsi="Calibri" w:cs="Calibri"/>
          <w:color w:val="000000" w:themeColor="text1"/>
          <w:sz w:val="20"/>
          <w:szCs w:val="20"/>
        </w:rPr>
        <w:t>Canagarajah</w:t>
      </w:r>
      <w:proofErr w:type="spellEnd"/>
      <w:r w:rsidRPr="00235FB2">
        <w:rPr>
          <w:rFonts w:ascii="Calibri" w:hAnsi="Calibri" w:cs="Calibri"/>
          <w:color w:val="000000" w:themeColor="text1"/>
          <w:sz w:val="20"/>
          <w:szCs w:val="20"/>
        </w:rPr>
        <w:t xml:space="preserve">, S. (2013). </w:t>
      </w:r>
      <w:r w:rsidRPr="00235FB2">
        <w:rPr>
          <w:rFonts w:ascii="Calibri" w:hAnsi="Calibri" w:cs="Calibri"/>
          <w:i/>
          <w:iCs/>
          <w:color w:val="000000" w:themeColor="text1"/>
          <w:sz w:val="20"/>
          <w:szCs w:val="20"/>
        </w:rPr>
        <w:t>Translingual practice</w:t>
      </w:r>
      <w:r w:rsidRPr="00235FB2">
        <w:rPr>
          <w:rFonts w:ascii="Calibri" w:hAnsi="Calibri" w:cs="Calibri"/>
          <w:color w:val="000000" w:themeColor="text1"/>
          <w:sz w:val="20"/>
          <w:szCs w:val="20"/>
        </w:rPr>
        <w:t>. Routledge.</w:t>
      </w:r>
      <w:r w:rsidRPr="00235FB2">
        <w:rPr>
          <w:rFonts w:ascii="Calibri" w:hAnsi="Calibri" w:cs="Calibri"/>
          <w:color w:val="000000" w:themeColor="text1"/>
          <w:sz w:val="20"/>
          <w:szCs w:val="20"/>
        </w:rPr>
        <w:br/>
        <w:t xml:space="preserve">Available at: </w:t>
      </w:r>
      <w:hyperlink r:id="rId21" w:history="1">
        <w:r w:rsidRPr="00235FB2">
          <w:rPr>
            <w:rStyle w:val="Hyperlink"/>
            <w:rFonts w:ascii="Calibri" w:hAnsi="Calibri" w:cs="Calibri"/>
            <w:color w:val="000000" w:themeColor="text1"/>
            <w:sz w:val="20"/>
            <w:szCs w:val="20"/>
          </w:rPr>
          <w:t>https://www.routledge.com/Translingual-Practice-Global-Englishes-and-Cosmopolitan-Relations/Canagarajah/p/book/9780415894434</w:t>
        </w:r>
      </w:hyperlink>
      <w:r w:rsidRPr="00235FB2">
        <w:rPr>
          <w:rFonts w:ascii="Calibri" w:hAnsi="Calibri" w:cs="Calibri"/>
          <w:color w:val="000000" w:themeColor="text1"/>
          <w:sz w:val="20"/>
          <w:szCs w:val="20"/>
        </w:rPr>
        <w:t xml:space="preserve"> (Accessed on: 18/01/2026). </w:t>
      </w:r>
    </w:p>
    <w:p w14:paraId="7F320878" w14:textId="50D1E7E6" w:rsidR="00C812AA" w:rsidRPr="00235FB2" w:rsidRDefault="00C812AA"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lastRenderedPageBreak/>
        <w:t xml:space="preserve">Cheng, L. (2014). </w:t>
      </w:r>
      <w:r w:rsidRPr="00235FB2">
        <w:rPr>
          <w:rFonts w:ascii="Calibri" w:hAnsi="Calibri" w:cs="Calibri"/>
          <w:i/>
          <w:iCs/>
          <w:color w:val="000000" w:themeColor="text1"/>
          <w:sz w:val="20"/>
          <w:szCs w:val="20"/>
        </w:rPr>
        <w:t>Consequences, impact, and washback</w:t>
      </w:r>
      <w:r w:rsidRPr="00235FB2">
        <w:rPr>
          <w:rFonts w:ascii="Calibri" w:hAnsi="Calibri" w:cs="Calibri"/>
          <w:color w:val="000000" w:themeColor="text1"/>
          <w:sz w:val="20"/>
          <w:szCs w:val="20"/>
        </w:rPr>
        <w:t xml:space="preserve">. In A. </w:t>
      </w:r>
      <w:proofErr w:type="spellStart"/>
      <w:r w:rsidRPr="00235FB2">
        <w:rPr>
          <w:rFonts w:ascii="Calibri" w:hAnsi="Calibri" w:cs="Calibri"/>
          <w:color w:val="000000" w:themeColor="text1"/>
          <w:sz w:val="20"/>
          <w:szCs w:val="20"/>
        </w:rPr>
        <w:t>Kunnan</w:t>
      </w:r>
      <w:proofErr w:type="spellEnd"/>
      <w:r w:rsidRPr="00235FB2">
        <w:rPr>
          <w:rFonts w:ascii="Calibri" w:hAnsi="Calibri" w:cs="Calibri"/>
          <w:color w:val="000000" w:themeColor="text1"/>
          <w:sz w:val="20"/>
          <w:szCs w:val="20"/>
        </w:rPr>
        <w:t xml:space="preserve"> (Ed.), </w:t>
      </w:r>
      <w:r w:rsidRPr="00235FB2">
        <w:rPr>
          <w:rFonts w:ascii="Calibri" w:hAnsi="Calibri" w:cs="Calibri"/>
          <w:i/>
          <w:iCs/>
          <w:color w:val="000000" w:themeColor="text1"/>
          <w:sz w:val="20"/>
          <w:szCs w:val="20"/>
        </w:rPr>
        <w:t>The Companion to Language Assessment</w:t>
      </w:r>
      <w:r w:rsidRPr="00235FB2">
        <w:rPr>
          <w:rFonts w:ascii="Calibri" w:hAnsi="Calibri" w:cs="Calibri"/>
          <w:color w:val="000000" w:themeColor="text1"/>
          <w:sz w:val="20"/>
          <w:szCs w:val="20"/>
        </w:rPr>
        <w:t xml:space="preserve">. Wiley. Available at: </w:t>
      </w:r>
      <w:hyperlink r:id="rId22" w:history="1">
        <w:r w:rsidRPr="00235FB2">
          <w:rPr>
            <w:rStyle w:val="Hyperlink"/>
            <w:rFonts w:ascii="Calibri" w:hAnsi="Calibri" w:cs="Calibri"/>
            <w:color w:val="000000" w:themeColor="text1"/>
            <w:sz w:val="20"/>
            <w:szCs w:val="20"/>
          </w:rPr>
          <w:t>https://onlinelibrary.wiley.com/doi/10.1002/9781118411360.wbcla034</w:t>
        </w:r>
      </w:hyperlink>
      <w:r w:rsidRPr="00235FB2">
        <w:rPr>
          <w:rFonts w:ascii="Calibri" w:hAnsi="Calibri" w:cs="Calibri"/>
          <w:color w:val="000000" w:themeColor="text1"/>
          <w:sz w:val="20"/>
          <w:szCs w:val="20"/>
        </w:rPr>
        <w:t xml:space="preserve"> (Accessed on: 15/01/2026).</w:t>
      </w:r>
    </w:p>
    <w:p w14:paraId="5A238732" w14:textId="10E80A1A" w:rsidR="00267B23" w:rsidRPr="00235FB2" w:rsidRDefault="00267B23"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Chowdhury, R. and Kabir, M.H. (2023) ‘Assessment culture and rote learning in Bangladeshi secondary education’, </w:t>
      </w:r>
      <w:r w:rsidRPr="00235FB2">
        <w:rPr>
          <w:rFonts w:ascii="Calibri" w:hAnsi="Calibri" w:cs="Calibri"/>
          <w:i/>
          <w:iCs/>
          <w:color w:val="000000" w:themeColor="text1"/>
          <w:sz w:val="20"/>
          <w:szCs w:val="20"/>
        </w:rPr>
        <w:t>Journal of Education and Learning</w:t>
      </w:r>
      <w:r w:rsidRPr="00235FB2">
        <w:rPr>
          <w:rFonts w:ascii="Calibri" w:hAnsi="Calibri" w:cs="Calibri"/>
          <w:color w:val="000000" w:themeColor="text1"/>
          <w:sz w:val="20"/>
          <w:szCs w:val="20"/>
        </w:rPr>
        <w:t>, 12(4), pp. 85–96. Available at:</w:t>
      </w:r>
      <w:r w:rsidRPr="00235FB2">
        <w:rPr>
          <w:rFonts w:ascii="Calibri" w:hAnsi="Calibri" w:cs="Calibri"/>
          <w:color w:val="000000" w:themeColor="text1"/>
          <w:sz w:val="20"/>
          <w:szCs w:val="20"/>
        </w:rPr>
        <w:br/>
      </w:r>
      <w:hyperlink r:id="rId23" w:history="1">
        <w:r w:rsidRPr="00235FB2">
          <w:rPr>
            <w:rStyle w:val="Hyperlink"/>
            <w:rFonts w:ascii="Calibri" w:hAnsi="Calibri" w:cs="Calibri"/>
            <w:color w:val="000000" w:themeColor="text1"/>
            <w:sz w:val="20"/>
            <w:szCs w:val="20"/>
          </w:rPr>
          <w:t>https://doi.org/10.5539/jel.v12n4p85</w:t>
        </w:r>
      </w:hyperlink>
      <w:r w:rsidRPr="00235FB2">
        <w:rPr>
          <w:rFonts w:ascii="Calibri" w:hAnsi="Calibri" w:cs="Calibri"/>
          <w:color w:val="000000" w:themeColor="text1"/>
          <w:sz w:val="20"/>
          <w:szCs w:val="20"/>
        </w:rPr>
        <w:t xml:space="preserve"> (Accessed on: 01/02/2026). </w:t>
      </w:r>
    </w:p>
    <w:p w14:paraId="7AD1E27D" w14:textId="789FDA80" w:rsidR="003C32FA" w:rsidRPr="00235FB2" w:rsidRDefault="003C32FA"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Creswell, J.W. and </w:t>
      </w:r>
      <w:proofErr w:type="spellStart"/>
      <w:r w:rsidRPr="00235FB2">
        <w:rPr>
          <w:rFonts w:ascii="Calibri" w:hAnsi="Calibri" w:cs="Calibri"/>
          <w:color w:val="000000" w:themeColor="text1"/>
          <w:sz w:val="20"/>
          <w:szCs w:val="20"/>
        </w:rPr>
        <w:t>Poth</w:t>
      </w:r>
      <w:proofErr w:type="spellEnd"/>
      <w:r w:rsidRPr="00235FB2">
        <w:rPr>
          <w:rFonts w:ascii="Calibri" w:hAnsi="Calibri" w:cs="Calibri"/>
          <w:color w:val="000000" w:themeColor="text1"/>
          <w:sz w:val="20"/>
          <w:szCs w:val="20"/>
        </w:rPr>
        <w:t xml:space="preserve">, C.N. (2023) </w:t>
      </w:r>
      <w:r w:rsidRPr="00235FB2">
        <w:rPr>
          <w:rFonts w:ascii="Calibri" w:hAnsi="Calibri" w:cs="Calibri"/>
          <w:i/>
          <w:iCs/>
          <w:color w:val="000000" w:themeColor="text1"/>
          <w:sz w:val="20"/>
          <w:szCs w:val="20"/>
        </w:rPr>
        <w:t>Qualitative inquiry and research design: Choosing among five approaches</w:t>
      </w:r>
      <w:r w:rsidRPr="00235FB2">
        <w:rPr>
          <w:rFonts w:ascii="Calibri" w:hAnsi="Calibri" w:cs="Calibri"/>
          <w:color w:val="000000" w:themeColor="text1"/>
          <w:sz w:val="20"/>
          <w:szCs w:val="20"/>
        </w:rPr>
        <w:t xml:space="preserve">. 5th </w:t>
      </w:r>
      <w:proofErr w:type="spellStart"/>
      <w:r w:rsidRPr="00235FB2">
        <w:rPr>
          <w:rFonts w:ascii="Calibri" w:hAnsi="Calibri" w:cs="Calibri"/>
          <w:color w:val="000000" w:themeColor="text1"/>
          <w:sz w:val="20"/>
          <w:szCs w:val="20"/>
        </w:rPr>
        <w:t>edn</w:t>
      </w:r>
      <w:proofErr w:type="spellEnd"/>
      <w:r w:rsidRPr="00235FB2">
        <w:rPr>
          <w:rFonts w:ascii="Calibri" w:hAnsi="Calibri" w:cs="Calibri"/>
          <w:color w:val="000000" w:themeColor="text1"/>
          <w:sz w:val="20"/>
          <w:szCs w:val="20"/>
        </w:rPr>
        <w:t>. Thousand Oaks, CA: SAGE. Available at:</w:t>
      </w:r>
      <w:r w:rsidRPr="00235FB2">
        <w:rPr>
          <w:rFonts w:ascii="Calibri" w:hAnsi="Calibri" w:cs="Calibri"/>
          <w:color w:val="000000" w:themeColor="text1"/>
          <w:sz w:val="20"/>
          <w:szCs w:val="20"/>
        </w:rPr>
        <w:br/>
      </w:r>
      <w:hyperlink r:id="rId24" w:history="1">
        <w:r w:rsidRPr="00235FB2">
          <w:rPr>
            <w:rStyle w:val="Hyperlink"/>
            <w:rFonts w:ascii="Calibri" w:hAnsi="Calibri" w:cs="Calibri"/>
            <w:color w:val="000000" w:themeColor="text1"/>
            <w:sz w:val="20"/>
            <w:szCs w:val="20"/>
          </w:rPr>
          <w:t>https://us.sagepub.com/en-us/nam/qualitative-inquiry-and-research-design/book275774</w:t>
        </w:r>
      </w:hyperlink>
      <w:r w:rsidRPr="00235FB2">
        <w:rPr>
          <w:rFonts w:ascii="Calibri" w:hAnsi="Calibri" w:cs="Calibri"/>
          <w:color w:val="000000" w:themeColor="text1"/>
          <w:sz w:val="20"/>
          <w:szCs w:val="20"/>
        </w:rPr>
        <w:t xml:space="preserve"> (Accessed on: </w:t>
      </w:r>
      <w:r w:rsidR="00A202A0" w:rsidRPr="00235FB2">
        <w:rPr>
          <w:rFonts w:ascii="Calibri" w:hAnsi="Calibri" w:cs="Calibri"/>
          <w:color w:val="000000" w:themeColor="text1"/>
          <w:sz w:val="20"/>
          <w:szCs w:val="20"/>
        </w:rPr>
        <w:t xml:space="preserve">01/02/2026). </w:t>
      </w:r>
    </w:p>
    <w:p w14:paraId="467DC26F" w14:textId="64CD4CA3" w:rsidR="00C812AA" w:rsidRPr="00235FB2" w:rsidRDefault="00361DB4"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Cumming, A. (2013). </w:t>
      </w:r>
      <w:r w:rsidRPr="00235FB2">
        <w:rPr>
          <w:rFonts w:ascii="Calibri" w:hAnsi="Calibri" w:cs="Calibri"/>
          <w:i/>
          <w:iCs/>
          <w:color w:val="000000" w:themeColor="text1"/>
          <w:sz w:val="20"/>
          <w:szCs w:val="20"/>
        </w:rPr>
        <w:t>Multiple dimensions of academic language and literacy development</w:t>
      </w:r>
      <w:r w:rsidRPr="00235FB2">
        <w:rPr>
          <w:rFonts w:ascii="Calibri" w:hAnsi="Calibri" w:cs="Calibri"/>
          <w:color w:val="000000" w:themeColor="text1"/>
          <w:sz w:val="20"/>
          <w:szCs w:val="20"/>
        </w:rPr>
        <w:t xml:space="preserve">. Language Learning, 63, 130–152. Available at: </w:t>
      </w:r>
      <w:hyperlink r:id="rId25" w:history="1">
        <w:r w:rsidRPr="00235FB2">
          <w:rPr>
            <w:rStyle w:val="Hyperlink"/>
            <w:rFonts w:ascii="Calibri" w:hAnsi="Calibri" w:cs="Calibri"/>
            <w:color w:val="000000" w:themeColor="text1"/>
            <w:sz w:val="20"/>
            <w:szCs w:val="20"/>
          </w:rPr>
          <w:t>https://onlinelibrary.wiley.com/doi/10.1111/lang.12028</w:t>
        </w:r>
      </w:hyperlink>
      <w:r w:rsidRPr="00235FB2">
        <w:rPr>
          <w:rFonts w:ascii="Calibri" w:hAnsi="Calibri" w:cs="Calibri"/>
          <w:color w:val="000000" w:themeColor="text1"/>
          <w:sz w:val="20"/>
          <w:szCs w:val="20"/>
        </w:rPr>
        <w:t xml:space="preserve"> (Accessed on: 21/01/2026).</w:t>
      </w:r>
    </w:p>
    <w:p w14:paraId="56D5C352" w14:textId="574F8FFD" w:rsidR="00F60F3A" w:rsidRPr="00235FB2" w:rsidRDefault="007D5C70"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lang w:val="sv-SE"/>
        </w:rPr>
        <w:t xml:space="preserve">Hunter, H. &amp; Zaman, T. </w:t>
      </w:r>
      <w:r w:rsidR="00F60F3A" w:rsidRPr="00235FB2">
        <w:rPr>
          <w:rFonts w:ascii="Calibri" w:hAnsi="Calibri" w:cs="Calibri"/>
          <w:color w:val="000000" w:themeColor="text1"/>
          <w:sz w:val="20"/>
          <w:szCs w:val="20"/>
          <w:lang w:val="sv-SE"/>
        </w:rPr>
        <w:t xml:space="preserve"> </w:t>
      </w:r>
      <w:r w:rsidR="00F60F3A" w:rsidRPr="00235FB2">
        <w:rPr>
          <w:rFonts w:ascii="Calibri" w:hAnsi="Calibri" w:cs="Calibri"/>
          <w:color w:val="000000" w:themeColor="text1"/>
          <w:sz w:val="20"/>
          <w:szCs w:val="20"/>
        </w:rPr>
        <w:t>(2022)</w:t>
      </w:r>
      <w:r w:rsidR="00DB5420" w:rsidRPr="00235FB2">
        <w:rPr>
          <w:rFonts w:ascii="Calibri" w:hAnsi="Calibri" w:cs="Calibri"/>
          <w:color w:val="000000" w:themeColor="text1"/>
          <w:sz w:val="20"/>
          <w:szCs w:val="20"/>
        </w:rPr>
        <w:t xml:space="preserve"> </w:t>
      </w:r>
      <w:r w:rsidR="00DB5420" w:rsidRPr="00235FB2">
        <w:rPr>
          <w:rFonts w:ascii="Calibri" w:hAnsi="Calibri" w:cs="Calibri"/>
          <w:i/>
          <w:iCs/>
          <w:color w:val="000000" w:themeColor="text1"/>
          <w:sz w:val="20"/>
          <w:szCs w:val="20"/>
        </w:rPr>
        <w:t xml:space="preserve">ELT learning assessment: Bangladesh </w:t>
      </w:r>
      <w:r w:rsidR="00DB5420" w:rsidRPr="00235FB2">
        <w:rPr>
          <w:rFonts w:ascii="Calibri" w:hAnsi="Calibri" w:cs="Calibri"/>
          <w:color w:val="000000" w:themeColor="text1"/>
          <w:sz w:val="20"/>
          <w:szCs w:val="20"/>
        </w:rPr>
        <w:t>(policy/practice overview relevant to classroom implementation)</w:t>
      </w:r>
      <w:r w:rsidR="009771CB" w:rsidRPr="00235FB2">
        <w:rPr>
          <w:rFonts w:ascii="Calibri" w:hAnsi="Calibri" w:cs="Calibri"/>
          <w:color w:val="000000" w:themeColor="text1"/>
          <w:sz w:val="20"/>
          <w:szCs w:val="20"/>
        </w:rPr>
        <w:t xml:space="preserve">. Available at: </w:t>
      </w:r>
      <w:hyperlink r:id="rId26" w:history="1">
        <w:r w:rsidR="007B0B57" w:rsidRPr="00235FB2">
          <w:rPr>
            <w:rStyle w:val="Hyperlink"/>
            <w:rFonts w:ascii="Calibri" w:hAnsi="Calibri" w:cs="Calibri"/>
            <w:color w:val="000000" w:themeColor="text1"/>
            <w:sz w:val="20"/>
            <w:szCs w:val="20"/>
          </w:rPr>
          <w:t>ELT_learning_assessment_Bangladesh_June_2022.pdf</w:t>
        </w:r>
      </w:hyperlink>
      <w:r w:rsidR="007B0B57" w:rsidRPr="00235FB2">
        <w:rPr>
          <w:rFonts w:ascii="Calibri" w:hAnsi="Calibri" w:cs="Calibri"/>
          <w:color w:val="000000" w:themeColor="text1"/>
          <w:sz w:val="20"/>
          <w:szCs w:val="20"/>
        </w:rPr>
        <w:t xml:space="preserve"> (Accessed on: 10/01/2026). </w:t>
      </w:r>
    </w:p>
    <w:p w14:paraId="5CC175D0" w14:textId="3E67CD61" w:rsidR="00563F28" w:rsidRPr="00235FB2" w:rsidRDefault="00563F28"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Datta, S. (2025) </w:t>
      </w:r>
      <w:r w:rsidRPr="00235FB2">
        <w:rPr>
          <w:rFonts w:ascii="Calibri" w:hAnsi="Calibri" w:cs="Calibri"/>
          <w:i/>
          <w:iCs/>
          <w:color w:val="000000" w:themeColor="text1"/>
          <w:sz w:val="20"/>
          <w:szCs w:val="20"/>
        </w:rPr>
        <w:t>Utility and essentiality of the process approach to English writing at tertiary-level education in Bangladesh</w:t>
      </w:r>
      <w:r w:rsidRPr="00235FB2">
        <w:rPr>
          <w:rFonts w:ascii="Calibri" w:hAnsi="Calibri" w:cs="Calibri"/>
          <w:color w:val="000000" w:themeColor="text1"/>
          <w:sz w:val="20"/>
          <w:szCs w:val="20"/>
        </w:rPr>
        <w:t>, International Journal of TESOL &amp; Education, 5(3), pp. 112–134. Available at: https://ijte.org/index.php/journal/article/view/563 (Accessed:</w:t>
      </w:r>
      <w:r w:rsidR="00D324E6" w:rsidRPr="00235FB2">
        <w:rPr>
          <w:rFonts w:ascii="Calibri" w:hAnsi="Calibri" w:cs="Calibri"/>
          <w:color w:val="000000" w:themeColor="text1"/>
          <w:sz w:val="20"/>
          <w:szCs w:val="20"/>
        </w:rPr>
        <w:t xml:space="preserve"> 10/12/2025</w:t>
      </w:r>
      <w:r w:rsidRPr="00235FB2">
        <w:rPr>
          <w:rFonts w:ascii="Calibri" w:hAnsi="Calibri" w:cs="Calibri"/>
          <w:color w:val="000000" w:themeColor="text1"/>
          <w:sz w:val="20"/>
          <w:szCs w:val="20"/>
        </w:rPr>
        <w:t xml:space="preserve">). </w:t>
      </w:r>
    </w:p>
    <w:p w14:paraId="03A0A094" w14:textId="237BCC49" w:rsidR="00DD1802" w:rsidRDefault="00DD1802"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Flower, L. and Hayes, J.R. (1981) ‘A Cognitive Process Theory of Writing’, </w:t>
      </w:r>
      <w:r w:rsidRPr="00235FB2">
        <w:rPr>
          <w:rFonts w:ascii="Calibri" w:hAnsi="Calibri" w:cs="Calibri"/>
          <w:i/>
          <w:iCs/>
          <w:color w:val="000000" w:themeColor="text1"/>
          <w:sz w:val="20"/>
          <w:szCs w:val="20"/>
        </w:rPr>
        <w:t>College Composition and Communication</w:t>
      </w:r>
      <w:r w:rsidRPr="00235FB2">
        <w:rPr>
          <w:rFonts w:ascii="Calibri" w:hAnsi="Calibri" w:cs="Calibri"/>
          <w:color w:val="000000" w:themeColor="text1"/>
          <w:sz w:val="20"/>
          <w:szCs w:val="20"/>
        </w:rPr>
        <w:t>, 32(4), pp. 365–387.</w:t>
      </w:r>
      <w:r w:rsidR="00842C16" w:rsidRPr="00235FB2">
        <w:rPr>
          <w:rFonts w:ascii="Calibri" w:hAnsi="Calibri" w:cs="Calibri"/>
          <w:color w:val="000000" w:themeColor="text1"/>
          <w:sz w:val="20"/>
          <w:szCs w:val="20"/>
        </w:rPr>
        <w:t xml:space="preserve"> Available at: </w:t>
      </w:r>
      <w:hyperlink r:id="rId27" w:history="1">
        <w:r w:rsidR="00842C16" w:rsidRPr="00235FB2">
          <w:rPr>
            <w:rStyle w:val="Hyperlink"/>
            <w:rFonts w:ascii="Calibri" w:hAnsi="Calibri" w:cs="Calibri"/>
            <w:color w:val="000000" w:themeColor="text1"/>
            <w:sz w:val="20"/>
            <w:szCs w:val="20"/>
          </w:rPr>
          <w:t>A Cognitive Process Theory of Writing | ncte.org</w:t>
        </w:r>
      </w:hyperlink>
      <w:r w:rsidR="00036FCA" w:rsidRPr="00235FB2">
        <w:rPr>
          <w:rFonts w:ascii="Calibri" w:hAnsi="Calibri" w:cs="Calibri"/>
          <w:color w:val="000000" w:themeColor="text1"/>
          <w:sz w:val="20"/>
          <w:szCs w:val="20"/>
        </w:rPr>
        <w:t xml:space="preserve"> (Accessed on: 05/01/2026).</w:t>
      </w:r>
    </w:p>
    <w:p w14:paraId="0C562F21" w14:textId="262003CF" w:rsidR="00EC4A74" w:rsidRDefault="00EC4A74" w:rsidP="00EC4A74">
      <w:pPr>
        <w:pStyle w:val="NormalWeb"/>
        <w:numPr>
          <w:ilvl w:val="0"/>
          <w:numId w:val="29"/>
        </w:numPr>
        <w:rPr>
          <w:rFonts w:ascii="Calibri" w:hAnsi="Calibri" w:cs="Calibri"/>
          <w:sz w:val="20"/>
          <w:szCs w:val="20"/>
          <w:highlight w:val="yellow"/>
        </w:rPr>
      </w:pPr>
      <w:r w:rsidRPr="00D473E1">
        <w:rPr>
          <w:rFonts w:ascii="Calibri" w:hAnsi="Calibri" w:cs="Calibri"/>
          <w:sz w:val="20"/>
          <w:szCs w:val="20"/>
          <w:highlight w:val="yellow"/>
        </w:rPr>
        <w:t xml:space="preserve">Gao, X., Noroozi, O., Gulikers, J.T.M., Biemans, H.J.A. and </w:t>
      </w:r>
      <w:proofErr w:type="spellStart"/>
      <w:r w:rsidRPr="00D473E1">
        <w:rPr>
          <w:rFonts w:ascii="Calibri" w:hAnsi="Calibri" w:cs="Calibri"/>
          <w:sz w:val="20"/>
          <w:szCs w:val="20"/>
          <w:highlight w:val="yellow"/>
        </w:rPr>
        <w:t>Banihashem</w:t>
      </w:r>
      <w:proofErr w:type="spellEnd"/>
      <w:r w:rsidRPr="00D473E1">
        <w:rPr>
          <w:rFonts w:ascii="Calibri" w:hAnsi="Calibri" w:cs="Calibri"/>
          <w:sz w:val="20"/>
          <w:szCs w:val="20"/>
          <w:highlight w:val="yellow"/>
        </w:rPr>
        <w:t xml:space="preserve">, S.K. (2024). A systematic review of the key components of online peer feedback practices in higher education, </w:t>
      </w:r>
      <w:r w:rsidRPr="00D473E1">
        <w:rPr>
          <w:rStyle w:val="Emphasis"/>
          <w:rFonts w:ascii="Calibri" w:eastAsiaTheme="majorEastAsia" w:hAnsi="Calibri" w:cs="Calibri"/>
          <w:sz w:val="20"/>
          <w:szCs w:val="20"/>
          <w:highlight w:val="yellow"/>
        </w:rPr>
        <w:t>Educational Research Review</w:t>
      </w:r>
      <w:r w:rsidRPr="00D473E1">
        <w:rPr>
          <w:rFonts w:ascii="Calibri" w:hAnsi="Calibri" w:cs="Calibri"/>
          <w:sz w:val="20"/>
          <w:szCs w:val="20"/>
          <w:highlight w:val="yellow"/>
        </w:rPr>
        <w:t>, 42, 100588.</w:t>
      </w:r>
    </w:p>
    <w:p w14:paraId="22D820B2" w14:textId="3083BFE2" w:rsidR="00F4536F" w:rsidRPr="00F4536F" w:rsidRDefault="00F4536F" w:rsidP="00F4536F">
      <w:pPr>
        <w:pStyle w:val="NormalWeb"/>
        <w:numPr>
          <w:ilvl w:val="0"/>
          <w:numId w:val="29"/>
        </w:numPr>
        <w:rPr>
          <w:rFonts w:ascii="Calibri" w:hAnsi="Calibri" w:cs="Calibri"/>
          <w:sz w:val="20"/>
          <w:szCs w:val="20"/>
          <w:highlight w:val="yellow"/>
        </w:rPr>
      </w:pPr>
      <w:r w:rsidRPr="00D473E1">
        <w:rPr>
          <w:rFonts w:ascii="Calibri" w:hAnsi="Calibri" w:cs="Calibri"/>
          <w:sz w:val="20"/>
          <w:szCs w:val="20"/>
          <w:highlight w:val="yellow"/>
        </w:rPr>
        <w:t xml:space="preserve">Graham, S., Kim, Y.S., Cao, Y., Lee, J., Tate, T., Collins, P., Cho, M., Moon, Y., Chung, H.Q. and Olson, C.B. (2023) A meta-analysis of writing treatments for students in grades 6–12, </w:t>
      </w:r>
      <w:r w:rsidRPr="00D473E1">
        <w:rPr>
          <w:rStyle w:val="Emphasis"/>
          <w:rFonts w:ascii="Calibri" w:eastAsiaTheme="majorEastAsia" w:hAnsi="Calibri" w:cs="Calibri"/>
          <w:sz w:val="20"/>
          <w:szCs w:val="20"/>
          <w:highlight w:val="yellow"/>
        </w:rPr>
        <w:t>Journal of Educational Psychology</w:t>
      </w:r>
      <w:r w:rsidRPr="00D473E1">
        <w:rPr>
          <w:rFonts w:ascii="Calibri" w:hAnsi="Calibri" w:cs="Calibri"/>
          <w:sz w:val="20"/>
          <w:szCs w:val="20"/>
          <w:highlight w:val="yellow"/>
        </w:rPr>
        <w:t>, 115(7), pp. 1004–1027.</w:t>
      </w:r>
    </w:p>
    <w:p w14:paraId="480ABBE5" w14:textId="7A5005F0" w:rsidR="005B0032" w:rsidRPr="00235FB2" w:rsidRDefault="005B0032"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Graham, S. and </w:t>
      </w:r>
      <w:proofErr w:type="spellStart"/>
      <w:r w:rsidRPr="00235FB2">
        <w:rPr>
          <w:rFonts w:ascii="Calibri" w:hAnsi="Calibri" w:cs="Calibri"/>
          <w:color w:val="000000" w:themeColor="text1"/>
          <w:sz w:val="20"/>
          <w:szCs w:val="20"/>
        </w:rPr>
        <w:t>Sandmel</w:t>
      </w:r>
      <w:proofErr w:type="spellEnd"/>
      <w:r w:rsidRPr="00235FB2">
        <w:rPr>
          <w:rFonts w:ascii="Calibri" w:hAnsi="Calibri" w:cs="Calibri"/>
          <w:color w:val="000000" w:themeColor="text1"/>
          <w:sz w:val="20"/>
          <w:szCs w:val="20"/>
        </w:rPr>
        <w:t xml:space="preserve">, K. (2011) ‘The Process Writing Approach: A Meta-analysis’, </w:t>
      </w:r>
      <w:r w:rsidRPr="00235FB2">
        <w:rPr>
          <w:rFonts w:ascii="Calibri" w:hAnsi="Calibri" w:cs="Calibri"/>
          <w:i/>
          <w:iCs/>
          <w:color w:val="000000" w:themeColor="text1"/>
          <w:sz w:val="20"/>
          <w:szCs w:val="20"/>
        </w:rPr>
        <w:t>The Journal of Educational Research</w:t>
      </w:r>
      <w:r w:rsidRPr="00235FB2">
        <w:rPr>
          <w:rFonts w:ascii="Calibri" w:hAnsi="Calibri" w:cs="Calibri"/>
          <w:color w:val="000000" w:themeColor="text1"/>
          <w:sz w:val="20"/>
          <w:szCs w:val="20"/>
        </w:rPr>
        <w:t>, 104(6), pp. 396–407.</w:t>
      </w:r>
      <w:r w:rsidR="009A117B" w:rsidRPr="00235FB2">
        <w:rPr>
          <w:rFonts w:ascii="Calibri" w:hAnsi="Calibri" w:cs="Calibri"/>
          <w:color w:val="000000" w:themeColor="text1"/>
          <w:sz w:val="20"/>
          <w:szCs w:val="20"/>
        </w:rPr>
        <w:t xml:space="preserve"> Available at: </w:t>
      </w:r>
      <w:hyperlink r:id="rId28" w:history="1">
        <w:r w:rsidR="009A117B" w:rsidRPr="00235FB2">
          <w:rPr>
            <w:rStyle w:val="Hyperlink"/>
            <w:rFonts w:ascii="Calibri" w:hAnsi="Calibri" w:cs="Calibri"/>
            <w:color w:val="000000" w:themeColor="text1"/>
            <w:sz w:val="20"/>
            <w:szCs w:val="20"/>
          </w:rPr>
          <w:t>The Process Writing Approach: A Meta-analysis: The Journal of Educational Research: Vol 104, No 6</w:t>
        </w:r>
      </w:hyperlink>
      <w:r w:rsidR="00922DE8" w:rsidRPr="00235FB2">
        <w:rPr>
          <w:rFonts w:ascii="Calibri" w:hAnsi="Calibri" w:cs="Calibri"/>
          <w:color w:val="000000" w:themeColor="text1"/>
          <w:sz w:val="20"/>
          <w:szCs w:val="20"/>
        </w:rPr>
        <w:t xml:space="preserve"> (Accessed on: 05/01/2026). </w:t>
      </w:r>
    </w:p>
    <w:p w14:paraId="0DEA76FF" w14:textId="6EBEEB10" w:rsidR="005964E3" w:rsidRPr="00235FB2" w:rsidRDefault="005964E3"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Green, A. (2013). Washback in language assessment. </w:t>
      </w:r>
      <w:r w:rsidRPr="00235FB2">
        <w:rPr>
          <w:rFonts w:ascii="Calibri" w:hAnsi="Calibri" w:cs="Calibri"/>
          <w:i/>
          <w:iCs/>
          <w:color w:val="000000" w:themeColor="text1"/>
          <w:sz w:val="20"/>
          <w:szCs w:val="20"/>
        </w:rPr>
        <w:t>International Journal of English Studies</w:t>
      </w:r>
      <w:r w:rsidRPr="00235FB2">
        <w:rPr>
          <w:rFonts w:ascii="Calibri" w:hAnsi="Calibri" w:cs="Calibri"/>
          <w:color w:val="000000" w:themeColor="text1"/>
          <w:sz w:val="20"/>
          <w:szCs w:val="20"/>
        </w:rPr>
        <w:t xml:space="preserve">, 13(2), 39–51. Available at: </w:t>
      </w:r>
      <w:hyperlink r:id="rId29" w:history="1">
        <w:r w:rsidRPr="00235FB2">
          <w:rPr>
            <w:rStyle w:val="Hyperlink"/>
            <w:rFonts w:ascii="Calibri" w:hAnsi="Calibri" w:cs="Calibri"/>
            <w:color w:val="000000" w:themeColor="text1"/>
            <w:sz w:val="20"/>
            <w:szCs w:val="20"/>
          </w:rPr>
          <w:t>https://revistas.um.es/ijes/article/view/185891</w:t>
        </w:r>
      </w:hyperlink>
      <w:r w:rsidRPr="00235FB2">
        <w:rPr>
          <w:rFonts w:ascii="Calibri" w:hAnsi="Calibri" w:cs="Calibri"/>
          <w:color w:val="000000" w:themeColor="text1"/>
          <w:sz w:val="20"/>
          <w:szCs w:val="20"/>
        </w:rPr>
        <w:t xml:space="preserve"> (Accessed on: 27/01/2026). </w:t>
      </w:r>
    </w:p>
    <w:p w14:paraId="6183FEF7" w14:textId="2AFB7257" w:rsidR="0089176F" w:rsidRPr="00235FB2" w:rsidRDefault="0089176F"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Guest, G., Namey, E. and Mitchell, M. (2024) </w:t>
      </w:r>
      <w:r w:rsidRPr="00235FB2">
        <w:rPr>
          <w:rFonts w:ascii="Calibri" w:hAnsi="Calibri" w:cs="Calibri"/>
          <w:i/>
          <w:iCs/>
          <w:color w:val="000000" w:themeColor="text1"/>
          <w:sz w:val="20"/>
          <w:szCs w:val="20"/>
        </w:rPr>
        <w:t>Collecting and analysing qualitative data at scale</w:t>
      </w:r>
      <w:r w:rsidRPr="00235FB2">
        <w:rPr>
          <w:rFonts w:ascii="Calibri" w:hAnsi="Calibri" w:cs="Calibri"/>
          <w:color w:val="000000" w:themeColor="text1"/>
          <w:sz w:val="20"/>
          <w:szCs w:val="20"/>
        </w:rPr>
        <w:t>. London: SAGE. Available at:</w:t>
      </w:r>
      <w:r w:rsidRPr="00235FB2">
        <w:rPr>
          <w:rFonts w:ascii="Calibri" w:hAnsi="Calibri" w:cs="Calibri"/>
          <w:color w:val="000000" w:themeColor="text1"/>
          <w:sz w:val="20"/>
          <w:szCs w:val="20"/>
        </w:rPr>
        <w:br/>
      </w:r>
      <w:hyperlink r:id="rId30" w:history="1">
        <w:r w:rsidRPr="00235FB2">
          <w:rPr>
            <w:rStyle w:val="Hyperlink"/>
            <w:rFonts w:ascii="Calibri" w:hAnsi="Calibri" w:cs="Calibri"/>
            <w:color w:val="000000" w:themeColor="text1"/>
            <w:sz w:val="20"/>
            <w:szCs w:val="20"/>
          </w:rPr>
          <w:t>https://uk.sagepub.com/en-gb/eur/collecting-and-analyzing-qualitative-data-at-scale/book275956</w:t>
        </w:r>
      </w:hyperlink>
      <w:r w:rsidRPr="00235FB2">
        <w:rPr>
          <w:rFonts w:ascii="Calibri" w:hAnsi="Calibri" w:cs="Calibri"/>
          <w:color w:val="000000" w:themeColor="text1"/>
          <w:sz w:val="20"/>
          <w:szCs w:val="20"/>
        </w:rPr>
        <w:t xml:space="preserve"> (Accessed on </w:t>
      </w:r>
      <w:r w:rsidR="00E57AE8" w:rsidRPr="00235FB2">
        <w:rPr>
          <w:rFonts w:ascii="Calibri" w:hAnsi="Calibri" w:cs="Calibri"/>
          <w:color w:val="000000" w:themeColor="text1"/>
          <w:sz w:val="20"/>
          <w:szCs w:val="20"/>
        </w:rPr>
        <w:t xml:space="preserve">04/02/2026). </w:t>
      </w:r>
    </w:p>
    <w:p w14:paraId="487D64DD" w14:textId="331D5C09" w:rsidR="00487C00" w:rsidRPr="00235FB2" w:rsidRDefault="00876F27"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Hyland, K. (2019). </w:t>
      </w:r>
      <w:r w:rsidRPr="00235FB2">
        <w:rPr>
          <w:rFonts w:ascii="Calibri" w:hAnsi="Calibri" w:cs="Calibri"/>
          <w:i/>
          <w:iCs/>
          <w:color w:val="000000" w:themeColor="text1"/>
          <w:sz w:val="20"/>
          <w:szCs w:val="20"/>
        </w:rPr>
        <w:t>Second language writing</w:t>
      </w:r>
      <w:r w:rsidRPr="00235FB2">
        <w:rPr>
          <w:rFonts w:ascii="Calibri" w:hAnsi="Calibri" w:cs="Calibri"/>
          <w:color w:val="000000" w:themeColor="text1"/>
          <w:sz w:val="20"/>
          <w:szCs w:val="20"/>
        </w:rPr>
        <w:t xml:space="preserve"> (3rd ed.). Cambridge University Press. Available at: </w:t>
      </w:r>
      <w:r w:rsidRPr="00235FB2">
        <w:rPr>
          <w:rFonts w:ascii="Calibri" w:hAnsi="Calibri" w:cs="Calibri"/>
          <w:color w:val="000000" w:themeColor="text1"/>
          <w:sz w:val="20"/>
          <w:szCs w:val="20"/>
        </w:rPr>
        <w:br/>
      </w:r>
      <w:hyperlink r:id="rId31" w:history="1">
        <w:r w:rsidRPr="00235FB2">
          <w:rPr>
            <w:rStyle w:val="Hyperlink"/>
            <w:rFonts w:ascii="Calibri" w:hAnsi="Calibri" w:cs="Calibri"/>
            <w:color w:val="000000" w:themeColor="text1"/>
            <w:sz w:val="20"/>
            <w:szCs w:val="20"/>
          </w:rPr>
          <w:t>https://www.cambridge.org/core/books/second-language-writing/BD5C0ED54E8B2D3A99B847A72642FCD8</w:t>
        </w:r>
      </w:hyperlink>
      <w:r w:rsidRPr="00235FB2">
        <w:rPr>
          <w:rFonts w:ascii="Calibri" w:hAnsi="Calibri" w:cs="Calibri"/>
          <w:color w:val="000000" w:themeColor="text1"/>
          <w:sz w:val="20"/>
          <w:szCs w:val="20"/>
        </w:rPr>
        <w:t xml:space="preserve"> (Accessed on: 20/01/2026). </w:t>
      </w:r>
    </w:p>
    <w:p w14:paraId="5CB03A3C" w14:textId="77777777" w:rsidR="00742E39" w:rsidRPr="00235FB2" w:rsidRDefault="00594417"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lastRenderedPageBreak/>
        <w:t xml:space="preserve">Hyland, K. &amp; Hyland, F. (2019). Feedback in second language writing. </w:t>
      </w:r>
      <w:r w:rsidRPr="00235FB2">
        <w:rPr>
          <w:rFonts w:ascii="Calibri" w:hAnsi="Calibri" w:cs="Calibri"/>
          <w:i/>
          <w:iCs/>
          <w:color w:val="000000" w:themeColor="text1"/>
          <w:sz w:val="20"/>
          <w:szCs w:val="20"/>
        </w:rPr>
        <w:t>Language Teaching</w:t>
      </w:r>
      <w:r w:rsidRPr="00235FB2">
        <w:rPr>
          <w:rFonts w:ascii="Calibri" w:hAnsi="Calibri" w:cs="Calibri"/>
          <w:color w:val="000000" w:themeColor="text1"/>
          <w:sz w:val="20"/>
          <w:szCs w:val="20"/>
        </w:rPr>
        <w:t xml:space="preserve">, 52(4), 529–541. Available at: </w:t>
      </w:r>
      <w:hyperlink r:id="rId32" w:history="1">
        <w:r w:rsidRPr="00235FB2">
          <w:rPr>
            <w:rStyle w:val="Hyperlink"/>
            <w:rFonts w:ascii="Calibri" w:hAnsi="Calibri" w:cs="Calibri"/>
            <w:color w:val="000000" w:themeColor="text1"/>
            <w:sz w:val="20"/>
            <w:szCs w:val="20"/>
          </w:rPr>
          <w:t>https://www.cambridge.org/core/journals/language-teaching/article/feedback-in-second-language-writing/7F2C2F7A7F4C4C97D2C6D9A2BB7D16C2</w:t>
        </w:r>
      </w:hyperlink>
      <w:r w:rsidRPr="00235FB2">
        <w:rPr>
          <w:rFonts w:ascii="Calibri" w:hAnsi="Calibri" w:cs="Calibri"/>
          <w:color w:val="000000" w:themeColor="text1"/>
          <w:sz w:val="20"/>
          <w:szCs w:val="20"/>
        </w:rPr>
        <w:t xml:space="preserve"> (</w:t>
      </w:r>
      <w:r w:rsidR="00865862" w:rsidRPr="00235FB2">
        <w:rPr>
          <w:rFonts w:ascii="Calibri" w:hAnsi="Calibri" w:cs="Calibri"/>
          <w:color w:val="000000" w:themeColor="text1"/>
          <w:sz w:val="20"/>
          <w:szCs w:val="20"/>
        </w:rPr>
        <w:t xml:space="preserve">Accessed on: 22/01/2026). </w:t>
      </w:r>
    </w:p>
    <w:p w14:paraId="58C61185" w14:textId="5D3EA922" w:rsidR="00742E39" w:rsidRPr="00235FB2" w:rsidRDefault="00742E39"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Kallio, H., Pietilä, A.M., Johnson, M. and Kangasniemi, M. (2023) ‘Systematic methodological review: developing a framework for semi-structured interview guides’, </w:t>
      </w:r>
      <w:r w:rsidRPr="00235FB2">
        <w:rPr>
          <w:rFonts w:ascii="Calibri" w:hAnsi="Calibri" w:cs="Calibri"/>
          <w:i/>
          <w:iCs/>
          <w:color w:val="000000" w:themeColor="text1"/>
          <w:sz w:val="20"/>
          <w:szCs w:val="20"/>
        </w:rPr>
        <w:t>Journal of Advanced Nursing</w:t>
      </w:r>
      <w:r w:rsidRPr="00235FB2">
        <w:rPr>
          <w:rFonts w:ascii="Calibri" w:hAnsi="Calibri" w:cs="Calibri"/>
          <w:color w:val="000000" w:themeColor="text1"/>
          <w:sz w:val="20"/>
          <w:szCs w:val="20"/>
        </w:rPr>
        <w:t xml:space="preserve">, 79(1), pp. 1–15. Available at: </w:t>
      </w:r>
      <w:hyperlink r:id="rId33" w:history="1">
        <w:r w:rsidRPr="00235FB2">
          <w:rPr>
            <w:rStyle w:val="Hyperlink"/>
            <w:rFonts w:ascii="Calibri" w:hAnsi="Calibri" w:cs="Calibri"/>
            <w:color w:val="000000" w:themeColor="text1"/>
            <w:sz w:val="20"/>
            <w:szCs w:val="20"/>
          </w:rPr>
          <w:t>https://onlinelibrary.wiley.com/doi/10.1111/jan.15443</w:t>
        </w:r>
      </w:hyperlink>
      <w:r w:rsidRPr="00235FB2">
        <w:rPr>
          <w:rFonts w:ascii="Calibri" w:hAnsi="Calibri" w:cs="Calibri"/>
          <w:color w:val="000000" w:themeColor="text1"/>
          <w:sz w:val="20"/>
          <w:szCs w:val="20"/>
        </w:rPr>
        <w:t xml:space="preserve"> (Accessed on: 04/02/2026). </w:t>
      </w:r>
    </w:p>
    <w:p w14:paraId="1EBDBD7D" w14:textId="4D76ABF8" w:rsidR="006B4E6D" w:rsidRPr="00235FB2" w:rsidRDefault="006B4E6D"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Kubota, R. (2020). Confronting epistemological racism. </w:t>
      </w:r>
      <w:r w:rsidRPr="00235FB2">
        <w:rPr>
          <w:rFonts w:ascii="Calibri" w:hAnsi="Calibri" w:cs="Calibri"/>
          <w:i/>
          <w:iCs/>
          <w:color w:val="000000" w:themeColor="text1"/>
          <w:sz w:val="20"/>
          <w:szCs w:val="20"/>
        </w:rPr>
        <w:t>Applied Linguistics</w:t>
      </w:r>
      <w:r w:rsidRPr="00235FB2">
        <w:rPr>
          <w:rFonts w:ascii="Calibri" w:hAnsi="Calibri" w:cs="Calibri"/>
          <w:color w:val="000000" w:themeColor="text1"/>
          <w:sz w:val="20"/>
          <w:szCs w:val="20"/>
        </w:rPr>
        <w:t xml:space="preserve">, 41(5), 712–720. Available at: </w:t>
      </w:r>
      <w:hyperlink r:id="rId34" w:history="1">
        <w:r w:rsidRPr="00235FB2">
          <w:rPr>
            <w:rStyle w:val="Hyperlink"/>
            <w:rFonts w:ascii="Calibri" w:hAnsi="Calibri" w:cs="Calibri"/>
            <w:color w:val="000000" w:themeColor="text1"/>
            <w:sz w:val="20"/>
            <w:szCs w:val="20"/>
          </w:rPr>
          <w:t>https://academic.oup.com/applij/article/41/5/712/5708144</w:t>
        </w:r>
      </w:hyperlink>
      <w:r w:rsidRPr="00235FB2">
        <w:rPr>
          <w:rFonts w:ascii="Calibri" w:hAnsi="Calibri" w:cs="Calibri"/>
          <w:color w:val="000000" w:themeColor="text1"/>
          <w:sz w:val="20"/>
          <w:szCs w:val="20"/>
        </w:rPr>
        <w:t xml:space="preserve"> (Accessed on: </w:t>
      </w:r>
      <w:r w:rsidR="007827F8" w:rsidRPr="00235FB2">
        <w:rPr>
          <w:rFonts w:ascii="Calibri" w:hAnsi="Calibri" w:cs="Calibri"/>
          <w:color w:val="000000" w:themeColor="text1"/>
          <w:sz w:val="20"/>
          <w:szCs w:val="20"/>
        </w:rPr>
        <w:t xml:space="preserve">28/12/2025). </w:t>
      </w:r>
    </w:p>
    <w:p w14:paraId="063578CE" w14:textId="281F2944" w:rsidR="007827F8" w:rsidRPr="00235FB2" w:rsidRDefault="007827F8"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Larsen-Freeman, D. &amp; Cameron, L. (2008). </w:t>
      </w:r>
      <w:r w:rsidRPr="00235FB2">
        <w:rPr>
          <w:rFonts w:ascii="Calibri" w:hAnsi="Calibri" w:cs="Calibri"/>
          <w:i/>
          <w:iCs/>
          <w:color w:val="000000" w:themeColor="text1"/>
          <w:sz w:val="20"/>
          <w:szCs w:val="20"/>
        </w:rPr>
        <w:t>Complex systems and applied linguistics</w:t>
      </w:r>
      <w:r w:rsidRPr="00235FB2">
        <w:rPr>
          <w:rFonts w:ascii="Calibri" w:hAnsi="Calibri" w:cs="Calibri"/>
          <w:color w:val="000000" w:themeColor="text1"/>
          <w:sz w:val="20"/>
          <w:szCs w:val="20"/>
        </w:rPr>
        <w:t xml:space="preserve">. Oxford University Press. Available at: </w:t>
      </w:r>
      <w:hyperlink r:id="rId35" w:history="1">
        <w:r w:rsidRPr="00235FB2">
          <w:rPr>
            <w:rStyle w:val="Hyperlink"/>
            <w:rFonts w:ascii="Calibri" w:hAnsi="Calibri" w:cs="Calibri"/>
            <w:color w:val="000000" w:themeColor="text1"/>
            <w:sz w:val="20"/>
            <w:szCs w:val="20"/>
          </w:rPr>
          <w:t>https://global.oup.com/academic/product/complex-systems-and-applied-linguistics-9780194422465</w:t>
        </w:r>
      </w:hyperlink>
      <w:r w:rsidRPr="00235FB2">
        <w:rPr>
          <w:rFonts w:ascii="Calibri" w:hAnsi="Calibri" w:cs="Calibri"/>
          <w:color w:val="000000" w:themeColor="text1"/>
          <w:sz w:val="20"/>
          <w:szCs w:val="20"/>
        </w:rPr>
        <w:t xml:space="preserve"> (Accessed on: 29/12/2025). </w:t>
      </w:r>
    </w:p>
    <w:p w14:paraId="774DC184" w14:textId="17EBEE36" w:rsidR="00652604" w:rsidRPr="00235FB2" w:rsidRDefault="00652604"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Lincoln, Y.S. and Guba, E.G. (2023) ‘Trustworthiness in qualitative research’, </w:t>
      </w:r>
      <w:r w:rsidRPr="00235FB2">
        <w:rPr>
          <w:rFonts w:ascii="Calibri" w:hAnsi="Calibri" w:cs="Calibri"/>
          <w:i/>
          <w:iCs/>
          <w:color w:val="000000" w:themeColor="text1"/>
          <w:sz w:val="20"/>
          <w:szCs w:val="20"/>
        </w:rPr>
        <w:t>Qualitative Inquiry</w:t>
      </w:r>
      <w:r w:rsidRPr="00235FB2">
        <w:rPr>
          <w:rFonts w:ascii="Calibri" w:hAnsi="Calibri" w:cs="Calibri"/>
          <w:color w:val="000000" w:themeColor="text1"/>
          <w:sz w:val="20"/>
          <w:szCs w:val="20"/>
        </w:rPr>
        <w:t xml:space="preserve">, 29(2), pp. 159–170. Available at: </w:t>
      </w:r>
      <w:hyperlink r:id="rId36" w:history="1">
        <w:r w:rsidRPr="00235FB2">
          <w:rPr>
            <w:rStyle w:val="Hyperlink"/>
            <w:rFonts w:ascii="Calibri" w:hAnsi="Calibri" w:cs="Calibri"/>
            <w:color w:val="000000" w:themeColor="text1"/>
            <w:sz w:val="20"/>
            <w:szCs w:val="20"/>
          </w:rPr>
          <w:t>https://journals.sagepub.com/doi/10.1177/10778004221140163</w:t>
        </w:r>
      </w:hyperlink>
      <w:r w:rsidRPr="00235FB2">
        <w:rPr>
          <w:rFonts w:ascii="Calibri" w:hAnsi="Calibri" w:cs="Calibri"/>
          <w:color w:val="000000" w:themeColor="text1"/>
          <w:sz w:val="20"/>
          <w:szCs w:val="20"/>
        </w:rPr>
        <w:t xml:space="preserve"> (Accessed on: 04/02/2026). </w:t>
      </w:r>
    </w:p>
    <w:p w14:paraId="04D1A0EE" w14:textId="5B6880A6" w:rsidR="00563F28" w:rsidRDefault="00563F28" w:rsidP="006F23C5">
      <w:pPr>
        <w:pStyle w:val="ListParagraph"/>
        <w:numPr>
          <w:ilvl w:val="0"/>
          <w:numId w:val="29"/>
        </w:numPr>
        <w:spacing w:after="0" w:line="360" w:lineRule="auto"/>
        <w:rPr>
          <w:rFonts w:ascii="Calibri" w:hAnsi="Calibri" w:cs="Calibri"/>
          <w:color w:val="000000" w:themeColor="text1"/>
          <w:sz w:val="20"/>
          <w:szCs w:val="20"/>
        </w:rPr>
      </w:pPr>
      <w:proofErr w:type="spellStart"/>
      <w:r w:rsidRPr="00235FB2">
        <w:rPr>
          <w:rFonts w:ascii="Calibri" w:hAnsi="Calibri" w:cs="Calibri"/>
          <w:color w:val="000000" w:themeColor="text1"/>
          <w:sz w:val="20"/>
          <w:szCs w:val="20"/>
        </w:rPr>
        <w:t>Macrothink</w:t>
      </w:r>
      <w:proofErr w:type="spellEnd"/>
      <w:r w:rsidRPr="00235FB2">
        <w:rPr>
          <w:rFonts w:ascii="Calibri" w:hAnsi="Calibri" w:cs="Calibri"/>
          <w:color w:val="000000" w:themeColor="text1"/>
          <w:sz w:val="20"/>
          <w:szCs w:val="20"/>
        </w:rPr>
        <w:t xml:space="preserve"> Institute (2025) </w:t>
      </w:r>
      <w:r w:rsidRPr="00235FB2">
        <w:rPr>
          <w:rFonts w:ascii="Calibri" w:hAnsi="Calibri" w:cs="Calibri"/>
          <w:i/>
          <w:iCs/>
          <w:color w:val="000000" w:themeColor="text1"/>
          <w:sz w:val="20"/>
          <w:szCs w:val="20"/>
        </w:rPr>
        <w:t>Improving writing skills in academic English through the process writing approach</w:t>
      </w:r>
      <w:r w:rsidRPr="00235FB2">
        <w:rPr>
          <w:rFonts w:ascii="Calibri" w:hAnsi="Calibri" w:cs="Calibri"/>
          <w:color w:val="000000" w:themeColor="text1"/>
          <w:sz w:val="20"/>
          <w:szCs w:val="20"/>
        </w:rPr>
        <w:t xml:space="preserve">, International Journal of Linguistics, 17(2). Available at: </w:t>
      </w:r>
      <w:hyperlink r:id="rId37" w:tgtFrame="_new" w:history="1">
        <w:r w:rsidRPr="00235FB2">
          <w:rPr>
            <w:rStyle w:val="Hyperlink"/>
            <w:rFonts w:ascii="Calibri" w:hAnsi="Calibri" w:cs="Calibri"/>
            <w:color w:val="000000" w:themeColor="text1"/>
            <w:sz w:val="20"/>
            <w:szCs w:val="20"/>
          </w:rPr>
          <w:t>https://www.macrothink.org/journal/index.php/ijl/article/view/22811</w:t>
        </w:r>
      </w:hyperlink>
      <w:r w:rsidRPr="00235FB2">
        <w:rPr>
          <w:rFonts w:ascii="Calibri" w:hAnsi="Calibri" w:cs="Calibri"/>
          <w:color w:val="000000" w:themeColor="text1"/>
          <w:sz w:val="20"/>
          <w:szCs w:val="20"/>
        </w:rPr>
        <w:t xml:space="preserve"> (Accessed: </w:t>
      </w:r>
      <w:r w:rsidR="00D324E6" w:rsidRPr="00235FB2">
        <w:rPr>
          <w:rFonts w:ascii="Calibri" w:hAnsi="Calibri" w:cs="Calibri"/>
          <w:color w:val="000000" w:themeColor="text1"/>
          <w:sz w:val="20"/>
          <w:szCs w:val="20"/>
        </w:rPr>
        <w:t>12/12/2025</w:t>
      </w:r>
      <w:r w:rsidRPr="00235FB2">
        <w:rPr>
          <w:rFonts w:ascii="Calibri" w:hAnsi="Calibri" w:cs="Calibri"/>
          <w:color w:val="000000" w:themeColor="text1"/>
          <w:sz w:val="20"/>
          <w:szCs w:val="20"/>
        </w:rPr>
        <w:t xml:space="preserve">). </w:t>
      </w:r>
    </w:p>
    <w:p w14:paraId="5147BAEF" w14:textId="4DE52AE5" w:rsidR="00F4536F" w:rsidRPr="00F4536F" w:rsidRDefault="00F4536F" w:rsidP="00F4536F">
      <w:pPr>
        <w:pStyle w:val="NormalWeb"/>
        <w:numPr>
          <w:ilvl w:val="0"/>
          <w:numId w:val="29"/>
        </w:numPr>
        <w:rPr>
          <w:rFonts w:ascii="Calibri" w:hAnsi="Calibri" w:cs="Calibri"/>
          <w:sz w:val="20"/>
          <w:szCs w:val="20"/>
        </w:rPr>
      </w:pPr>
      <w:r w:rsidRPr="00D473E1">
        <w:rPr>
          <w:rFonts w:ascii="Calibri" w:hAnsi="Calibri" w:cs="Calibri"/>
          <w:sz w:val="20"/>
          <w:szCs w:val="20"/>
          <w:highlight w:val="yellow"/>
        </w:rPr>
        <w:t xml:space="preserve">Mao, Z., Lee, I. and Li, S. (2024). Written corrective feedback in second language writing: A synthesis of naturalistic classroom studies, </w:t>
      </w:r>
      <w:r w:rsidRPr="00D473E1">
        <w:rPr>
          <w:rStyle w:val="Emphasis"/>
          <w:rFonts w:ascii="Calibri" w:eastAsiaTheme="majorEastAsia" w:hAnsi="Calibri" w:cs="Calibri"/>
          <w:sz w:val="20"/>
          <w:szCs w:val="20"/>
          <w:highlight w:val="yellow"/>
        </w:rPr>
        <w:t>Language Teaching</w:t>
      </w:r>
      <w:r w:rsidRPr="00D473E1">
        <w:rPr>
          <w:rFonts w:ascii="Calibri" w:hAnsi="Calibri" w:cs="Calibri"/>
          <w:sz w:val="20"/>
          <w:szCs w:val="20"/>
          <w:highlight w:val="yellow"/>
        </w:rPr>
        <w:t>.</w:t>
      </w:r>
    </w:p>
    <w:p w14:paraId="212C5B4B" w14:textId="6CCE94EC" w:rsidR="00606A28" w:rsidRPr="00235FB2" w:rsidRDefault="00606A28"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Palinkas, L.A., Horwitz, S.M., Green, C.A., Wisdom, J.P., Duan, N. and Hoagwood, K. (2023) ‘Purposeful sampling for qualitative data collection and analysis in mixed method implementation research’, </w:t>
      </w:r>
      <w:r w:rsidRPr="00235FB2">
        <w:rPr>
          <w:rFonts w:ascii="Calibri" w:hAnsi="Calibri" w:cs="Calibri"/>
          <w:i/>
          <w:iCs/>
          <w:color w:val="000000" w:themeColor="text1"/>
          <w:sz w:val="20"/>
          <w:szCs w:val="20"/>
        </w:rPr>
        <w:t>Administration and Policy in Mental Health</w:t>
      </w:r>
      <w:r w:rsidRPr="00235FB2">
        <w:rPr>
          <w:rFonts w:ascii="Calibri" w:hAnsi="Calibri" w:cs="Calibri"/>
          <w:color w:val="000000" w:themeColor="text1"/>
          <w:sz w:val="20"/>
          <w:szCs w:val="20"/>
        </w:rPr>
        <w:t>, 50(1), pp. 1–13. Available at:</w:t>
      </w:r>
      <w:r w:rsidRPr="00235FB2">
        <w:rPr>
          <w:rFonts w:ascii="Calibri" w:hAnsi="Calibri" w:cs="Calibri"/>
          <w:color w:val="000000" w:themeColor="text1"/>
          <w:sz w:val="20"/>
          <w:szCs w:val="20"/>
        </w:rPr>
        <w:br/>
      </w:r>
      <w:hyperlink r:id="rId38" w:history="1">
        <w:r w:rsidRPr="00235FB2">
          <w:rPr>
            <w:rStyle w:val="Hyperlink"/>
            <w:rFonts w:ascii="Calibri" w:hAnsi="Calibri" w:cs="Calibri"/>
            <w:color w:val="000000" w:themeColor="text1"/>
            <w:sz w:val="20"/>
            <w:szCs w:val="20"/>
          </w:rPr>
          <w:t>https://link.springer.com/article/10.1007/s10488-022-01159-6</w:t>
        </w:r>
      </w:hyperlink>
      <w:r w:rsidRPr="00235FB2">
        <w:rPr>
          <w:rFonts w:ascii="Calibri" w:hAnsi="Calibri" w:cs="Calibri"/>
          <w:color w:val="000000" w:themeColor="text1"/>
          <w:sz w:val="20"/>
          <w:szCs w:val="20"/>
        </w:rPr>
        <w:t xml:space="preserve"> (Accessed on: 03/02/2026). </w:t>
      </w:r>
    </w:p>
    <w:p w14:paraId="1D230E59" w14:textId="1069D98D" w:rsidR="00A40F41" w:rsidRDefault="00A40F41" w:rsidP="006F23C5">
      <w:pPr>
        <w:pStyle w:val="ListParagraph"/>
        <w:numPr>
          <w:ilvl w:val="0"/>
          <w:numId w:val="29"/>
        </w:numPr>
        <w:spacing w:after="0" w:line="360" w:lineRule="auto"/>
        <w:rPr>
          <w:rFonts w:ascii="Calibri" w:hAnsi="Calibri" w:cs="Calibri"/>
          <w:color w:val="000000" w:themeColor="text1"/>
          <w:sz w:val="20"/>
          <w:szCs w:val="20"/>
        </w:rPr>
      </w:pPr>
      <w:proofErr w:type="spellStart"/>
      <w:r w:rsidRPr="00235FB2">
        <w:rPr>
          <w:rFonts w:ascii="Calibri" w:hAnsi="Calibri" w:cs="Calibri"/>
          <w:color w:val="000000" w:themeColor="text1"/>
          <w:sz w:val="20"/>
          <w:szCs w:val="20"/>
        </w:rPr>
        <w:t>Pekrun</w:t>
      </w:r>
      <w:proofErr w:type="spellEnd"/>
      <w:r w:rsidRPr="00235FB2">
        <w:rPr>
          <w:rFonts w:ascii="Calibri" w:hAnsi="Calibri" w:cs="Calibri"/>
          <w:color w:val="000000" w:themeColor="text1"/>
          <w:sz w:val="20"/>
          <w:szCs w:val="20"/>
        </w:rPr>
        <w:t xml:space="preserve">, R. (2006). The control-value theory of achievement emotions. </w:t>
      </w:r>
      <w:r w:rsidRPr="00235FB2">
        <w:rPr>
          <w:rFonts w:ascii="Calibri" w:hAnsi="Calibri" w:cs="Calibri"/>
          <w:i/>
          <w:iCs/>
          <w:color w:val="000000" w:themeColor="text1"/>
          <w:sz w:val="20"/>
          <w:szCs w:val="20"/>
        </w:rPr>
        <w:t>Educational Psychology Review</w:t>
      </w:r>
      <w:r w:rsidRPr="00235FB2">
        <w:rPr>
          <w:rFonts w:ascii="Calibri" w:hAnsi="Calibri" w:cs="Calibri"/>
          <w:color w:val="000000" w:themeColor="text1"/>
          <w:sz w:val="20"/>
          <w:szCs w:val="20"/>
        </w:rPr>
        <w:t xml:space="preserve">, 18(4), 315–341. Available at: </w:t>
      </w:r>
      <w:hyperlink r:id="rId39" w:history="1">
        <w:r w:rsidRPr="00235FB2">
          <w:rPr>
            <w:rStyle w:val="Hyperlink"/>
            <w:rFonts w:ascii="Calibri" w:hAnsi="Calibri" w:cs="Calibri"/>
            <w:color w:val="000000" w:themeColor="text1"/>
            <w:sz w:val="20"/>
            <w:szCs w:val="20"/>
          </w:rPr>
          <w:t>https://link.springer.com/article/10.1007/s10648-006-9029-9</w:t>
        </w:r>
      </w:hyperlink>
      <w:r w:rsidRPr="00235FB2">
        <w:rPr>
          <w:rFonts w:ascii="Calibri" w:hAnsi="Calibri" w:cs="Calibri"/>
          <w:color w:val="000000" w:themeColor="text1"/>
          <w:sz w:val="20"/>
          <w:szCs w:val="20"/>
        </w:rPr>
        <w:t xml:space="preserve"> (Accessed on: </w:t>
      </w:r>
      <w:r w:rsidR="00900166" w:rsidRPr="00235FB2">
        <w:rPr>
          <w:rFonts w:ascii="Calibri" w:hAnsi="Calibri" w:cs="Calibri"/>
          <w:color w:val="000000" w:themeColor="text1"/>
          <w:sz w:val="20"/>
          <w:szCs w:val="20"/>
        </w:rPr>
        <w:t xml:space="preserve">22/01/2026). </w:t>
      </w:r>
    </w:p>
    <w:p w14:paraId="48078A59" w14:textId="27D71E30" w:rsidR="00F4536F" w:rsidRPr="00F4536F" w:rsidRDefault="00F4536F" w:rsidP="00F4536F">
      <w:pPr>
        <w:pStyle w:val="NormalWeb"/>
        <w:numPr>
          <w:ilvl w:val="0"/>
          <w:numId w:val="29"/>
        </w:numPr>
        <w:rPr>
          <w:rFonts w:ascii="Calibri" w:hAnsi="Calibri" w:cs="Calibri"/>
          <w:sz w:val="20"/>
          <w:szCs w:val="20"/>
          <w:highlight w:val="yellow"/>
        </w:rPr>
      </w:pPr>
      <w:r w:rsidRPr="00D473E1">
        <w:rPr>
          <w:rFonts w:ascii="Calibri" w:hAnsi="Calibri" w:cs="Calibri"/>
          <w:sz w:val="20"/>
          <w:szCs w:val="20"/>
          <w:highlight w:val="yellow"/>
        </w:rPr>
        <w:t xml:space="preserve">Rahman, K.A., Seraj, P.M.I., Hasan, M.K., </w:t>
      </w:r>
      <w:proofErr w:type="spellStart"/>
      <w:r w:rsidRPr="00D473E1">
        <w:rPr>
          <w:rFonts w:ascii="Calibri" w:hAnsi="Calibri" w:cs="Calibri"/>
          <w:sz w:val="20"/>
          <w:szCs w:val="20"/>
          <w:highlight w:val="yellow"/>
        </w:rPr>
        <w:t>Namaziandost</w:t>
      </w:r>
      <w:proofErr w:type="spellEnd"/>
      <w:r w:rsidRPr="00D473E1">
        <w:rPr>
          <w:rFonts w:ascii="Calibri" w:hAnsi="Calibri" w:cs="Calibri"/>
          <w:sz w:val="20"/>
          <w:szCs w:val="20"/>
          <w:highlight w:val="yellow"/>
        </w:rPr>
        <w:t xml:space="preserve">, E. and </w:t>
      </w:r>
      <w:proofErr w:type="spellStart"/>
      <w:r w:rsidRPr="00D473E1">
        <w:rPr>
          <w:rFonts w:ascii="Calibri" w:hAnsi="Calibri" w:cs="Calibri"/>
          <w:sz w:val="20"/>
          <w:szCs w:val="20"/>
          <w:highlight w:val="yellow"/>
        </w:rPr>
        <w:t>Tilwani</w:t>
      </w:r>
      <w:proofErr w:type="spellEnd"/>
      <w:r w:rsidRPr="00D473E1">
        <w:rPr>
          <w:rFonts w:ascii="Calibri" w:hAnsi="Calibri" w:cs="Calibri"/>
          <w:sz w:val="20"/>
          <w:szCs w:val="20"/>
          <w:highlight w:val="yellow"/>
        </w:rPr>
        <w:t xml:space="preserve">, S.A. (2021) Washback of assessment on English teaching-learning practice at secondary schools, </w:t>
      </w:r>
      <w:r w:rsidRPr="00D473E1">
        <w:rPr>
          <w:rStyle w:val="Emphasis"/>
          <w:rFonts w:ascii="Calibri" w:eastAsiaTheme="majorEastAsia" w:hAnsi="Calibri" w:cs="Calibri"/>
          <w:sz w:val="20"/>
          <w:szCs w:val="20"/>
          <w:highlight w:val="yellow"/>
        </w:rPr>
        <w:t>Language Testing in Asia</w:t>
      </w:r>
      <w:r w:rsidRPr="00D473E1">
        <w:rPr>
          <w:rFonts w:ascii="Calibri" w:hAnsi="Calibri" w:cs="Calibri"/>
          <w:sz w:val="20"/>
          <w:szCs w:val="20"/>
          <w:highlight w:val="yellow"/>
        </w:rPr>
        <w:t>, 11, Article 29.</w:t>
      </w:r>
    </w:p>
    <w:p w14:paraId="7917814E" w14:textId="6194352E" w:rsidR="00563F28" w:rsidRPr="00235FB2" w:rsidRDefault="00563F28"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Rana, M. M., Rashid, A. and Khalifa, O. (2025) </w:t>
      </w:r>
      <w:r w:rsidRPr="00235FB2">
        <w:rPr>
          <w:rFonts w:ascii="Calibri" w:hAnsi="Calibri" w:cs="Calibri"/>
          <w:i/>
          <w:iCs/>
          <w:color w:val="000000" w:themeColor="text1"/>
          <w:sz w:val="20"/>
          <w:szCs w:val="20"/>
        </w:rPr>
        <w:t>Challenges and opportunities of teaching English writing at the higher secondary level in Bangladesh</w:t>
      </w:r>
      <w:r w:rsidRPr="00235FB2">
        <w:rPr>
          <w:rFonts w:ascii="Calibri" w:hAnsi="Calibri" w:cs="Calibri"/>
          <w:color w:val="000000" w:themeColor="text1"/>
          <w:sz w:val="20"/>
          <w:szCs w:val="20"/>
        </w:rPr>
        <w:t xml:space="preserve">, International Journal of Social Learning, 6(1), pp. 1–15. Available at: https://doi.org/10.47134/ijsl.v6i1.444 (Accessed: </w:t>
      </w:r>
      <w:r w:rsidR="00BC2C3F" w:rsidRPr="00235FB2">
        <w:rPr>
          <w:rFonts w:ascii="Calibri" w:hAnsi="Calibri" w:cs="Calibri"/>
          <w:color w:val="000000" w:themeColor="text1"/>
          <w:sz w:val="20"/>
          <w:szCs w:val="20"/>
        </w:rPr>
        <w:t>11/12/2025</w:t>
      </w:r>
      <w:r w:rsidRPr="00235FB2">
        <w:rPr>
          <w:rFonts w:ascii="Calibri" w:hAnsi="Calibri" w:cs="Calibri"/>
          <w:color w:val="000000" w:themeColor="text1"/>
          <w:sz w:val="20"/>
          <w:szCs w:val="20"/>
        </w:rPr>
        <w:t xml:space="preserve">). </w:t>
      </w:r>
    </w:p>
    <w:p w14:paraId="3E241D26" w14:textId="497E6747" w:rsidR="001F5E0B" w:rsidRPr="00235FB2" w:rsidRDefault="001F5E0B" w:rsidP="006F23C5">
      <w:pPr>
        <w:pStyle w:val="ListParagraph"/>
        <w:numPr>
          <w:ilvl w:val="0"/>
          <w:numId w:val="29"/>
        </w:numPr>
        <w:spacing w:after="0" w:line="360" w:lineRule="auto"/>
        <w:rPr>
          <w:rFonts w:ascii="Calibri" w:hAnsi="Calibri" w:cs="Calibri"/>
          <w:color w:val="000000" w:themeColor="text1"/>
          <w:sz w:val="20"/>
          <w:szCs w:val="20"/>
        </w:rPr>
      </w:pPr>
      <w:proofErr w:type="spellStart"/>
      <w:r w:rsidRPr="00235FB2">
        <w:rPr>
          <w:rFonts w:ascii="Calibri" w:hAnsi="Calibri" w:cs="Calibri"/>
          <w:color w:val="000000" w:themeColor="text1"/>
          <w:sz w:val="20"/>
          <w:szCs w:val="20"/>
        </w:rPr>
        <w:t>Sciedu</w:t>
      </w:r>
      <w:proofErr w:type="spellEnd"/>
      <w:r w:rsidRPr="00235FB2">
        <w:rPr>
          <w:rFonts w:ascii="Calibri" w:hAnsi="Calibri" w:cs="Calibri"/>
          <w:color w:val="000000" w:themeColor="text1"/>
          <w:sz w:val="20"/>
          <w:szCs w:val="20"/>
        </w:rPr>
        <w:t xml:space="preserve"> Press (2025) </w:t>
      </w:r>
      <w:r w:rsidRPr="00235FB2">
        <w:rPr>
          <w:rFonts w:ascii="Calibri" w:hAnsi="Calibri" w:cs="Calibri"/>
          <w:i/>
          <w:iCs/>
          <w:color w:val="000000" w:themeColor="text1"/>
          <w:sz w:val="20"/>
          <w:szCs w:val="20"/>
        </w:rPr>
        <w:t>Enhancing EFL writing through online peer feedback: a systematic review of higher education studies</w:t>
      </w:r>
      <w:r w:rsidRPr="00235FB2">
        <w:rPr>
          <w:rFonts w:ascii="Calibri" w:hAnsi="Calibri" w:cs="Calibri"/>
          <w:color w:val="000000" w:themeColor="text1"/>
          <w:sz w:val="20"/>
          <w:szCs w:val="20"/>
        </w:rPr>
        <w:t xml:space="preserve">, </w:t>
      </w:r>
      <w:r w:rsidRPr="00235FB2">
        <w:rPr>
          <w:rFonts w:ascii="Calibri" w:hAnsi="Calibri" w:cs="Calibri"/>
          <w:i/>
          <w:iCs/>
          <w:color w:val="000000" w:themeColor="text1"/>
          <w:sz w:val="20"/>
          <w:szCs w:val="20"/>
        </w:rPr>
        <w:t>Journal of Curriculum and Teaching</w:t>
      </w:r>
      <w:r w:rsidRPr="00235FB2">
        <w:rPr>
          <w:rFonts w:ascii="Calibri" w:hAnsi="Calibri" w:cs="Calibri"/>
          <w:color w:val="000000" w:themeColor="text1"/>
          <w:sz w:val="20"/>
          <w:szCs w:val="20"/>
        </w:rPr>
        <w:t xml:space="preserve">, 14(1). Available at: https://doi.org/10.5430/jct.v14n1p184 (Accessed: </w:t>
      </w:r>
      <w:r w:rsidR="00CB5A82" w:rsidRPr="00235FB2">
        <w:rPr>
          <w:rFonts w:ascii="Calibri" w:hAnsi="Calibri" w:cs="Calibri"/>
          <w:color w:val="000000" w:themeColor="text1"/>
          <w:sz w:val="20"/>
          <w:szCs w:val="20"/>
        </w:rPr>
        <w:t>20/12/2025</w:t>
      </w:r>
      <w:r w:rsidRPr="00235FB2">
        <w:rPr>
          <w:rFonts w:ascii="Calibri" w:hAnsi="Calibri" w:cs="Calibri"/>
          <w:color w:val="000000" w:themeColor="text1"/>
          <w:sz w:val="20"/>
          <w:szCs w:val="20"/>
        </w:rPr>
        <w:t>).</w:t>
      </w:r>
    </w:p>
    <w:p w14:paraId="37BFCD93" w14:textId="5756B7A8" w:rsidR="00903F92" w:rsidRPr="00235FB2" w:rsidRDefault="00903F92"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Sultana, N. and Rahman, M. (2023) ‘Feasibility of process writing approach in secondary EFL classrooms in Bangladesh’, </w:t>
      </w:r>
      <w:r w:rsidRPr="00235FB2">
        <w:rPr>
          <w:rFonts w:ascii="Calibri" w:hAnsi="Calibri" w:cs="Calibri"/>
          <w:i/>
          <w:iCs/>
          <w:color w:val="000000" w:themeColor="text1"/>
          <w:sz w:val="20"/>
          <w:szCs w:val="20"/>
        </w:rPr>
        <w:t>Journal of Language and Education</w:t>
      </w:r>
      <w:r w:rsidRPr="00235FB2">
        <w:rPr>
          <w:rFonts w:ascii="Calibri" w:hAnsi="Calibri" w:cs="Calibri"/>
          <w:color w:val="000000" w:themeColor="text1"/>
          <w:sz w:val="20"/>
          <w:szCs w:val="20"/>
        </w:rPr>
        <w:t>, 9(2), pp. 66–79. Available at:</w:t>
      </w:r>
      <w:r w:rsidRPr="00235FB2">
        <w:rPr>
          <w:rFonts w:ascii="Calibri" w:hAnsi="Calibri" w:cs="Calibri"/>
          <w:color w:val="000000" w:themeColor="text1"/>
          <w:sz w:val="20"/>
          <w:szCs w:val="20"/>
        </w:rPr>
        <w:br/>
      </w:r>
      <w:hyperlink r:id="rId40" w:history="1">
        <w:r w:rsidRPr="00235FB2">
          <w:rPr>
            <w:rStyle w:val="Hyperlink"/>
            <w:rFonts w:ascii="Calibri" w:hAnsi="Calibri" w:cs="Calibri"/>
            <w:color w:val="000000" w:themeColor="text1"/>
            <w:sz w:val="20"/>
            <w:szCs w:val="20"/>
          </w:rPr>
          <w:t>https://jle.hse.ru/article/view/15726</w:t>
        </w:r>
      </w:hyperlink>
      <w:r w:rsidRPr="00235FB2">
        <w:rPr>
          <w:rFonts w:ascii="Calibri" w:hAnsi="Calibri" w:cs="Calibri"/>
          <w:color w:val="000000" w:themeColor="text1"/>
          <w:sz w:val="20"/>
          <w:szCs w:val="20"/>
        </w:rPr>
        <w:t xml:space="preserve"> (Accessed: 02/02/2026). </w:t>
      </w:r>
    </w:p>
    <w:p w14:paraId="664AEB6E" w14:textId="6E843D1D" w:rsidR="00822E33" w:rsidRPr="00235FB2" w:rsidRDefault="00822E33"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lastRenderedPageBreak/>
        <w:t xml:space="preserve">Vygotsky, L. (1978). </w:t>
      </w:r>
      <w:r w:rsidRPr="00235FB2">
        <w:rPr>
          <w:rFonts w:ascii="Calibri" w:hAnsi="Calibri" w:cs="Calibri"/>
          <w:i/>
          <w:iCs/>
          <w:color w:val="000000" w:themeColor="text1"/>
          <w:sz w:val="20"/>
          <w:szCs w:val="20"/>
        </w:rPr>
        <w:t>Mind in society</w:t>
      </w:r>
      <w:r w:rsidRPr="00235FB2">
        <w:rPr>
          <w:rFonts w:ascii="Calibri" w:hAnsi="Calibri" w:cs="Calibri"/>
          <w:color w:val="000000" w:themeColor="text1"/>
          <w:sz w:val="20"/>
          <w:szCs w:val="20"/>
        </w:rPr>
        <w:t xml:space="preserve">. Harvard University Press. Available at: </w:t>
      </w:r>
      <w:hyperlink r:id="rId41" w:history="1">
        <w:r w:rsidRPr="00235FB2">
          <w:rPr>
            <w:rStyle w:val="Hyperlink"/>
            <w:rFonts w:ascii="Calibri" w:hAnsi="Calibri" w:cs="Calibri"/>
            <w:color w:val="000000" w:themeColor="text1"/>
            <w:sz w:val="20"/>
            <w:szCs w:val="20"/>
          </w:rPr>
          <w:t>https://www.hup.harvard.edu/catalog.php?isbn=9780674576292</w:t>
        </w:r>
      </w:hyperlink>
      <w:r w:rsidRPr="00235FB2">
        <w:rPr>
          <w:rFonts w:ascii="Calibri" w:hAnsi="Calibri" w:cs="Calibri"/>
          <w:color w:val="000000" w:themeColor="text1"/>
          <w:sz w:val="20"/>
          <w:szCs w:val="20"/>
        </w:rPr>
        <w:t xml:space="preserve"> (Accessed on </w:t>
      </w:r>
      <w:r w:rsidR="005A3BE2" w:rsidRPr="00235FB2">
        <w:rPr>
          <w:rFonts w:ascii="Calibri" w:hAnsi="Calibri" w:cs="Calibri"/>
          <w:color w:val="000000" w:themeColor="text1"/>
          <w:sz w:val="20"/>
          <w:szCs w:val="20"/>
        </w:rPr>
        <w:t>20/11/1015)</w:t>
      </w:r>
    </w:p>
    <w:p w14:paraId="641D7BE5" w14:textId="3BA9CD05" w:rsidR="004845A1" w:rsidRPr="00235FB2" w:rsidRDefault="004845A1"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Weng, J. (2025) </w:t>
      </w:r>
      <w:r w:rsidRPr="00235FB2">
        <w:rPr>
          <w:rFonts w:ascii="Calibri" w:hAnsi="Calibri" w:cs="Calibri"/>
          <w:i/>
          <w:iCs/>
          <w:color w:val="000000" w:themeColor="text1"/>
          <w:sz w:val="20"/>
          <w:szCs w:val="20"/>
        </w:rPr>
        <w:t>A systematic review of mobile-assisted peer feedback in EFL writing</w:t>
      </w:r>
      <w:r w:rsidRPr="00235FB2">
        <w:rPr>
          <w:rFonts w:ascii="Calibri" w:hAnsi="Calibri" w:cs="Calibri"/>
          <w:color w:val="000000" w:themeColor="text1"/>
          <w:sz w:val="20"/>
          <w:szCs w:val="20"/>
        </w:rPr>
        <w:t xml:space="preserve">, </w:t>
      </w:r>
      <w:r w:rsidRPr="00235FB2">
        <w:rPr>
          <w:rFonts w:ascii="Calibri" w:hAnsi="Calibri" w:cs="Calibri"/>
          <w:i/>
          <w:iCs/>
          <w:color w:val="000000" w:themeColor="text1"/>
          <w:sz w:val="20"/>
          <w:szCs w:val="20"/>
        </w:rPr>
        <w:t>Teaching English with Technology</w:t>
      </w:r>
      <w:r w:rsidRPr="00235FB2">
        <w:rPr>
          <w:rFonts w:ascii="Calibri" w:hAnsi="Calibri" w:cs="Calibri"/>
          <w:color w:val="000000" w:themeColor="text1"/>
          <w:sz w:val="20"/>
          <w:szCs w:val="20"/>
        </w:rPr>
        <w:t xml:space="preserve">, published online. Available at: </w:t>
      </w:r>
      <w:hyperlink r:id="rId42" w:tgtFrame="_new" w:history="1">
        <w:r w:rsidRPr="00235FB2">
          <w:rPr>
            <w:rStyle w:val="Hyperlink"/>
            <w:rFonts w:ascii="Calibri" w:hAnsi="Calibri" w:cs="Calibri"/>
            <w:color w:val="000000" w:themeColor="text1"/>
            <w:sz w:val="20"/>
            <w:szCs w:val="20"/>
          </w:rPr>
          <w:t>https://www.tandfonline.com/doi/full/10.1080/2331186X.2025.2504228</w:t>
        </w:r>
      </w:hyperlink>
      <w:r w:rsidRPr="00235FB2">
        <w:rPr>
          <w:rFonts w:ascii="Calibri" w:hAnsi="Calibri" w:cs="Calibri"/>
          <w:color w:val="000000" w:themeColor="text1"/>
          <w:sz w:val="20"/>
          <w:szCs w:val="20"/>
        </w:rPr>
        <w:t xml:space="preserve"> (Accessed: </w:t>
      </w:r>
      <w:r w:rsidR="00CB5A82" w:rsidRPr="00235FB2">
        <w:rPr>
          <w:rFonts w:ascii="Calibri" w:hAnsi="Calibri" w:cs="Calibri"/>
          <w:color w:val="000000" w:themeColor="text1"/>
          <w:sz w:val="20"/>
          <w:szCs w:val="20"/>
        </w:rPr>
        <w:t>20/12/2025</w:t>
      </w:r>
      <w:r w:rsidRPr="00235FB2">
        <w:rPr>
          <w:rFonts w:ascii="Calibri" w:hAnsi="Calibri" w:cs="Calibri"/>
          <w:color w:val="000000" w:themeColor="text1"/>
          <w:sz w:val="20"/>
          <w:szCs w:val="20"/>
        </w:rPr>
        <w:t xml:space="preserve">). </w:t>
      </w:r>
    </w:p>
    <w:p w14:paraId="71B64584" w14:textId="488FFD61" w:rsidR="00A06DD4" w:rsidRPr="00235FB2" w:rsidRDefault="00A06DD4"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Wei</w:t>
      </w:r>
      <w:r w:rsidR="008C5AC9" w:rsidRPr="00235FB2">
        <w:rPr>
          <w:rFonts w:ascii="Calibri" w:hAnsi="Calibri" w:cs="Calibri"/>
          <w:color w:val="000000" w:themeColor="text1"/>
          <w:sz w:val="20"/>
          <w:szCs w:val="20"/>
        </w:rPr>
        <w:t xml:space="preserve">, Y. &amp; Liu, D. (2024) </w:t>
      </w:r>
      <w:r w:rsidR="008C5AC9" w:rsidRPr="00235FB2">
        <w:rPr>
          <w:rFonts w:ascii="Calibri" w:hAnsi="Calibri" w:cs="Calibri"/>
          <w:i/>
          <w:iCs/>
          <w:color w:val="000000" w:themeColor="text1"/>
          <w:sz w:val="20"/>
          <w:szCs w:val="20"/>
        </w:rPr>
        <w:t>Incorporating peer feedback in academic writing: a systematic review of ben</w:t>
      </w:r>
      <w:r w:rsidR="0001026D" w:rsidRPr="00235FB2">
        <w:rPr>
          <w:rFonts w:ascii="Calibri" w:hAnsi="Calibri" w:cs="Calibri"/>
          <w:i/>
          <w:iCs/>
          <w:color w:val="000000" w:themeColor="text1"/>
          <w:sz w:val="20"/>
          <w:szCs w:val="20"/>
        </w:rPr>
        <w:t xml:space="preserve">efits and challenges. </w:t>
      </w:r>
      <w:r w:rsidR="0001026D" w:rsidRPr="00235FB2">
        <w:rPr>
          <w:rFonts w:ascii="Calibri" w:hAnsi="Calibri" w:cs="Calibri"/>
          <w:color w:val="000000" w:themeColor="text1"/>
          <w:sz w:val="20"/>
          <w:szCs w:val="20"/>
        </w:rPr>
        <w:t xml:space="preserve">Available at: </w:t>
      </w:r>
      <w:hyperlink r:id="rId43" w:history="1">
        <w:r w:rsidR="0001026D" w:rsidRPr="00235FB2">
          <w:rPr>
            <w:rStyle w:val="Hyperlink"/>
            <w:rFonts w:ascii="Calibri" w:hAnsi="Calibri" w:cs="Calibri"/>
            <w:color w:val="000000" w:themeColor="text1"/>
            <w:sz w:val="20"/>
            <w:szCs w:val="20"/>
          </w:rPr>
          <w:t>Incorporating peer feedback in academic writing: a systematic review of benefits and challenges - PMC</w:t>
        </w:r>
      </w:hyperlink>
      <w:r w:rsidR="0001026D" w:rsidRPr="00235FB2">
        <w:rPr>
          <w:rFonts w:ascii="Calibri" w:hAnsi="Calibri" w:cs="Calibri"/>
          <w:color w:val="000000" w:themeColor="text1"/>
          <w:sz w:val="20"/>
          <w:szCs w:val="20"/>
        </w:rPr>
        <w:t xml:space="preserve"> (Accessed on: 10/01/2026). </w:t>
      </w:r>
    </w:p>
    <w:p w14:paraId="5A26F648" w14:textId="3A6C8EFD" w:rsidR="004845A1" w:rsidRPr="00235FB2" w:rsidRDefault="004845A1"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Wei, Y. (2024) </w:t>
      </w:r>
      <w:r w:rsidRPr="00235FB2">
        <w:rPr>
          <w:rFonts w:ascii="Calibri" w:hAnsi="Calibri" w:cs="Calibri"/>
          <w:i/>
          <w:iCs/>
          <w:color w:val="000000" w:themeColor="text1"/>
          <w:sz w:val="20"/>
          <w:szCs w:val="20"/>
        </w:rPr>
        <w:t>Incorporating peer feedback in academic writing: a systematic review</w:t>
      </w:r>
      <w:r w:rsidRPr="00235FB2">
        <w:rPr>
          <w:rFonts w:ascii="Calibri" w:hAnsi="Calibri" w:cs="Calibri"/>
          <w:color w:val="000000" w:themeColor="text1"/>
          <w:sz w:val="20"/>
          <w:szCs w:val="20"/>
        </w:rPr>
        <w:t xml:space="preserve">, </w:t>
      </w:r>
      <w:r w:rsidRPr="00235FB2">
        <w:rPr>
          <w:rFonts w:ascii="Calibri" w:hAnsi="Calibri" w:cs="Calibri"/>
          <w:i/>
          <w:iCs/>
          <w:color w:val="000000" w:themeColor="text1"/>
          <w:sz w:val="20"/>
          <w:szCs w:val="20"/>
        </w:rPr>
        <w:t xml:space="preserve">Frontier in Psychology. Available at: </w:t>
      </w:r>
      <w:hyperlink r:id="rId44" w:tgtFrame="_new" w:history="1">
        <w:r w:rsidRPr="00235FB2">
          <w:rPr>
            <w:rStyle w:val="Hyperlink"/>
            <w:rFonts w:ascii="Calibri" w:hAnsi="Calibri" w:cs="Calibri"/>
            <w:i/>
            <w:iCs/>
            <w:color w:val="000000" w:themeColor="text1"/>
            <w:sz w:val="20"/>
            <w:szCs w:val="20"/>
          </w:rPr>
          <w:t>https://www.frontiersin.org/journals/psychology/articles/10.3389/fpsyg.2024.1506725/full</w:t>
        </w:r>
      </w:hyperlink>
      <w:r w:rsidRPr="00235FB2">
        <w:rPr>
          <w:rFonts w:ascii="Calibri" w:hAnsi="Calibri" w:cs="Calibri"/>
          <w:i/>
          <w:iCs/>
          <w:color w:val="000000" w:themeColor="text1"/>
          <w:sz w:val="20"/>
          <w:szCs w:val="20"/>
        </w:rPr>
        <w:t xml:space="preserve"> (Accessed: </w:t>
      </w:r>
      <w:r w:rsidR="00CB5A82" w:rsidRPr="00235FB2">
        <w:rPr>
          <w:rFonts w:ascii="Calibri" w:hAnsi="Calibri" w:cs="Calibri"/>
          <w:color w:val="000000" w:themeColor="text1"/>
          <w:sz w:val="20"/>
          <w:szCs w:val="20"/>
        </w:rPr>
        <w:t>20/12/2025</w:t>
      </w:r>
      <w:r w:rsidRPr="00235FB2">
        <w:rPr>
          <w:rFonts w:ascii="Calibri" w:hAnsi="Calibri" w:cs="Calibri"/>
          <w:i/>
          <w:iCs/>
          <w:color w:val="000000" w:themeColor="text1"/>
          <w:sz w:val="20"/>
          <w:szCs w:val="20"/>
        </w:rPr>
        <w:t>).</w:t>
      </w:r>
    </w:p>
    <w:p w14:paraId="3A967D43" w14:textId="59336298" w:rsidR="00861F6F" w:rsidRPr="00235FB2" w:rsidRDefault="00861F6F"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World Bank (2023) </w:t>
      </w:r>
      <w:r w:rsidRPr="00235FB2">
        <w:rPr>
          <w:rFonts w:ascii="Calibri" w:hAnsi="Calibri" w:cs="Calibri"/>
          <w:i/>
          <w:iCs/>
          <w:color w:val="000000" w:themeColor="text1"/>
          <w:sz w:val="20"/>
          <w:szCs w:val="20"/>
        </w:rPr>
        <w:t>Bangladesh Education Sector Review: Learning Outcomes and Equity</w:t>
      </w:r>
      <w:r w:rsidRPr="00235FB2">
        <w:rPr>
          <w:rFonts w:ascii="Calibri" w:hAnsi="Calibri" w:cs="Calibri"/>
          <w:color w:val="000000" w:themeColor="text1"/>
          <w:sz w:val="20"/>
          <w:szCs w:val="20"/>
        </w:rPr>
        <w:t xml:space="preserve">. Washington, DC: World Bank. Available at: </w:t>
      </w:r>
      <w:hyperlink r:id="rId45" w:history="1">
        <w:r w:rsidRPr="00235FB2">
          <w:rPr>
            <w:rStyle w:val="Hyperlink"/>
            <w:rFonts w:ascii="Calibri" w:hAnsi="Calibri" w:cs="Calibri"/>
            <w:color w:val="000000" w:themeColor="text1"/>
            <w:sz w:val="20"/>
            <w:szCs w:val="20"/>
          </w:rPr>
          <w:t>https://www.worldbank.org/en/country/bangladesh/publication/bangladesh-education-sector-review</w:t>
        </w:r>
      </w:hyperlink>
      <w:r w:rsidRPr="00235FB2">
        <w:rPr>
          <w:rFonts w:ascii="Calibri" w:hAnsi="Calibri" w:cs="Calibri"/>
          <w:color w:val="000000" w:themeColor="text1"/>
          <w:sz w:val="20"/>
          <w:szCs w:val="20"/>
        </w:rPr>
        <w:t xml:space="preserve"> (Accessed: 03/02/2026). </w:t>
      </w:r>
    </w:p>
    <w:p w14:paraId="13F6BCE6" w14:textId="2C47C192" w:rsidR="009C5326" w:rsidRPr="00235FB2" w:rsidRDefault="009C5326"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Yu, S. &amp; Lee, I. (2016). Peer feedback in L2 writing. </w:t>
      </w:r>
      <w:r w:rsidRPr="00235FB2">
        <w:rPr>
          <w:rFonts w:ascii="Calibri" w:hAnsi="Calibri" w:cs="Calibri"/>
          <w:i/>
          <w:iCs/>
          <w:color w:val="000000" w:themeColor="text1"/>
          <w:sz w:val="20"/>
          <w:szCs w:val="20"/>
        </w:rPr>
        <w:t>Language Teaching</w:t>
      </w:r>
      <w:r w:rsidRPr="00235FB2">
        <w:rPr>
          <w:rFonts w:ascii="Calibri" w:hAnsi="Calibri" w:cs="Calibri"/>
          <w:color w:val="000000" w:themeColor="text1"/>
          <w:sz w:val="20"/>
          <w:szCs w:val="20"/>
        </w:rPr>
        <w:t>, 49(4), 461–493.</w:t>
      </w:r>
      <w:r w:rsidRPr="00235FB2">
        <w:rPr>
          <w:rFonts w:ascii="Calibri" w:hAnsi="Calibri" w:cs="Calibri"/>
          <w:color w:val="000000" w:themeColor="text1"/>
          <w:sz w:val="20"/>
          <w:szCs w:val="20"/>
        </w:rPr>
        <w:br/>
        <w:t xml:space="preserve">Available at: </w:t>
      </w:r>
      <w:hyperlink r:id="rId46" w:history="1">
        <w:r w:rsidRPr="00235FB2">
          <w:rPr>
            <w:rStyle w:val="Hyperlink"/>
            <w:rFonts w:ascii="Calibri" w:hAnsi="Calibri" w:cs="Calibri"/>
            <w:color w:val="000000" w:themeColor="text1"/>
            <w:sz w:val="20"/>
            <w:szCs w:val="20"/>
          </w:rPr>
          <w:t>https://www.cambridge.org/core/journals/language-teaching/article/peer-feedback-in-second-language-writing/0E5A0A33C09A5C94D0D09BFD53F1BB3B</w:t>
        </w:r>
      </w:hyperlink>
      <w:r w:rsidRPr="00235FB2">
        <w:rPr>
          <w:rFonts w:ascii="Calibri" w:hAnsi="Calibri" w:cs="Calibri"/>
          <w:color w:val="000000" w:themeColor="text1"/>
          <w:sz w:val="20"/>
          <w:szCs w:val="20"/>
        </w:rPr>
        <w:t xml:space="preserve"> (Accessed on: 18/01/2026). </w:t>
      </w:r>
    </w:p>
    <w:p w14:paraId="581C3EB5" w14:textId="6C1DBF0E" w:rsidR="00D30D82" w:rsidRPr="00235FB2" w:rsidRDefault="00D30D82" w:rsidP="006F23C5">
      <w:pPr>
        <w:pStyle w:val="ListParagraph"/>
        <w:numPr>
          <w:ilvl w:val="0"/>
          <w:numId w:val="29"/>
        </w:numPr>
        <w:spacing w:after="0" w:line="360" w:lineRule="auto"/>
        <w:rPr>
          <w:rFonts w:ascii="Calibri" w:hAnsi="Calibri" w:cs="Calibri"/>
          <w:color w:val="000000" w:themeColor="text1"/>
          <w:sz w:val="20"/>
          <w:szCs w:val="20"/>
        </w:rPr>
      </w:pPr>
      <w:r w:rsidRPr="00235FB2">
        <w:rPr>
          <w:rFonts w:ascii="Calibri" w:hAnsi="Calibri" w:cs="Calibri"/>
          <w:color w:val="000000" w:themeColor="text1"/>
          <w:sz w:val="20"/>
          <w:szCs w:val="20"/>
        </w:rPr>
        <w:t xml:space="preserve">Zimmerman, B.J. (2002) </w:t>
      </w:r>
      <w:r w:rsidRPr="00235FB2">
        <w:rPr>
          <w:rFonts w:ascii="Calibri" w:hAnsi="Calibri" w:cs="Calibri"/>
          <w:i/>
          <w:iCs/>
          <w:color w:val="000000" w:themeColor="text1"/>
          <w:sz w:val="20"/>
          <w:szCs w:val="20"/>
        </w:rPr>
        <w:t>Becoming a self-regulated learner: An overview</w:t>
      </w:r>
      <w:r w:rsidRPr="00235FB2">
        <w:rPr>
          <w:rFonts w:ascii="Calibri" w:hAnsi="Calibri" w:cs="Calibri"/>
          <w:color w:val="000000" w:themeColor="text1"/>
          <w:sz w:val="20"/>
          <w:szCs w:val="20"/>
        </w:rPr>
        <w:t xml:space="preserve">, </w:t>
      </w:r>
      <w:r w:rsidRPr="00235FB2">
        <w:rPr>
          <w:rFonts w:ascii="Calibri" w:hAnsi="Calibri" w:cs="Calibri"/>
          <w:i/>
          <w:iCs/>
          <w:color w:val="000000" w:themeColor="text1"/>
          <w:sz w:val="20"/>
          <w:szCs w:val="20"/>
        </w:rPr>
        <w:t>Theory Into Practice</w:t>
      </w:r>
      <w:r w:rsidRPr="00235FB2">
        <w:rPr>
          <w:rFonts w:ascii="Calibri" w:hAnsi="Calibri" w:cs="Calibri"/>
          <w:color w:val="000000" w:themeColor="text1"/>
          <w:sz w:val="20"/>
          <w:szCs w:val="20"/>
        </w:rPr>
        <w:t xml:space="preserve">, 41(2), pp. 64–70. Available at: https://www.tandfonline.com/doi/10.1207/s15430421tip4102_2 (Accessed on </w:t>
      </w:r>
      <w:r w:rsidR="00837233" w:rsidRPr="00235FB2">
        <w:rPr>
          <w:rFonts w:ascii="Calibri" w:hAnsi="Calibri" w:cs="Calibri"/>
          <w:color w:val="000000" w:themeColor="text1"/>
          <w:sz w:val="20"/>
          <w:szCs w:val="20"/>
        </w:rPr>
        <w:t>04/02/2026</w:t>
      </w:r>
      <w:r w:rsidRPr="00235FB2">
        <w:rPr>
          <w:rFonts w:ascii="Calibri" w:hAnsi="Calibri" w:cs="Calibri"/>
          <w:color w:val="000000" w:themeColor="text1"/>
          <w:sz w:val="20"/>
          <w:szCs w:val="20"/>
        </w:rPr>
        <w:t>).</w:t>
      </w:r>
    </w:p>
    <w:p w14:paraId="314B4F64" w14:textId="77777777" w:rsidR="004845A1" w:rsidRPr="00563F28" w:rsidRDefault="004845A1" w:rsidP="00563F28">
      <w:pPr>
        <w:spacing w:after="0" w:line="360" w:lineRule="auto"/>
        <w:rPr>
          <w:rFonts w:ascii="Calibri" w:hAnsi="Calibri" w:cs="Calibri"/>
          <w:color w:val="000000" w:themeColor="text1"/>
          <w:sz w:val="20"/>
          <w:szCs w:val="20"/>
        </w:rPr>
      </w:pPr>
    </w:p>
    <w:p w14:paraId="439B0E08" w14:textId="77777777" w:rsidR="00563F28" w:rsidRPr="00235FB2" w:rsidRDefault="00563F28" w:rsidP="00563F28">
      <w:pPr>
        <w:spacing w:after="0" w:line="360" w:lineRule="auto"/>
        <w:rPr>
          <w:rFonts w:ascii="Calibri" w:hAnsi="Calibri" w:cs="Calibri"/>
          <w:color w:val="000000" w:themeColor="text1"/>
          <w:sz w:val="20"/>
          <w:szCs w:val="20"/>
        </w:rPr>
      </w:pPr>
    </w:p>
    <w:p w14:paraId="3C2E71A5" w14:textId="77777777" w:rsidR="008E6739" w:rsidRPr="00235FB2" w:rsidRDefault="008E6739" w:rsidP="00C82C37">
      <w:pPr>
        <w:spacing w:after="0" w:line="360" w:lineRule="auto"/>
        <w:rPr>
          <w:rFonts w:ascii="Calibri" w:hAnsi="Calibri" w:cs="Calibri"/>
          <w:color w:val="000000" w:themeColor="text1"/>
          <w:sz w:val="20"/>
          <w:szCs w:val="20"/>
        </w:rPr>
      </w:pPr>
    </w:p>
    <w:sectPr w:rsidR="008E6739" w:rsidRPr="00235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601D"/>
    <w:multiLevelType w:val="hybridMultilevel"/>
    <w:tmpl w:val="1C74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B1CCE"/>
    <w:multiLevelType w:val="multilevel"/>
    <w:tmpl w:val="9BC6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C779F"/>
    <w:multiLevelType w:val="multilevel"/>
    <w:tmpl w:val="B2B0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875C8"/>
    <w:multiLevelType w:val="multilevel"/>
    <w:tmpl w:val="895E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2243D"/>
    <w:multiLevelType w:val="multilevel"/>
    <w:tmpl w:val="F176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E1827"/>
    <w:multiLevelType w:val="hybridMultilevel"/>
    <w:tmpl w:val="C19622B6"/>
    <w:lvl w:ilvl="0" w:tplc="9A263E2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2A103B"/>
    <w:multiLevelType w:val="multilevel"/>
    <w:tmpl w:val="9A984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4A15BC"/>
    <w:multiLevelType w:val="multilevel"/>
    <w:tmpl w:val="1A0461D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1B4B3F6B"/>
    <w:multiLevelType w:val="hybridMultilevel"/>
    <w:tmpl w:val="A944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2F491D"/>
    <w:multiLevelType w:val="multilevel"/>
    <w:tmpl w:val="31A2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178CA"/>
    <w:multiLevelType w:val="multilevel"/>
    <w:tmpl w:val="6EC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35F4F"/>
    <w:multiLevelType w:val="multilevel"/>
    <w:tmpl w:val="34A0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B173AD"/>
    <w:multiLevelType w:val="hybridMultilevel"/>
    <w:tmpl w:val="1D6AD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70ED3"/>
    <w:multiLevelType w:val="hybridMultilevel"/>
    <w:tmpl w:val="BA56F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F5874"/>
    <w:multiLevelType w:val="multilevel"/>
    <w:tmpl w:val="64102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426CF0"/>
    <w:multiLevelType w:val="multilevel"/>
    <w:tmpl w:val="1840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125CCC"/>
    <w:multiLevelType w:val="multilevel"/>
    <w:tmpl w:val="960E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31827"/>
    <w:multiLevelType w:val="multilevel"/>
    <w:tmpl w:val="685A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7461F"/>
    <w:multiLevelType w:val="hybridMultilevel"/>
    <w:tmpl w:val="7B8063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94FDE"/>
    <w:multiLevelType w:val="multilevel"/>
    <w:tmpl w:val="915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A26BD3"/>
    <w:multiLevelType w:val="hybridMultilevel"/>
    <w:tmpl w:val="F7DEB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D52C60"/>
    <w:multiLevelType w:val="hybridMultilevel"/>
    <w:tmpl w:val="E962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22063F"/>
    <w:multiLevelType w:val="multilevel"/>
    <w:tmpl w:val="A950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004D31"/>
    <w:multiLevelType w:val="multilevel"/>
    <w:tmpl w:val="08BE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4281B"/>
    <w:multiLevelType w:val="multilevel"/>
    <w:tmpl w:val="B5A8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DE1E9D"/>
    <w:multiLevelType w:val="multilevel"/>
    <w:tmpl w:val="563C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1B553C"/>
    <w:multiLevelType w:val="multilevel"/>
    <w:tmpl w:val="4AE2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354A11"/>
    <w:multiLevelType w:val="multilevel"/>
    <w:tmpl w:val="764E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DA681B"/>
    <w:multiLevelType w:val="multilevel"/>
    <w:tmpl w:val="223A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C457DF"/>
    <w:multiLevelType w:val="multilevel"/>
    <w:tmpl w:val="8942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5448581">
    <w:abstractNumId w:val="7"/>
  </w:num>
  <w:num w:numId="2" w16cid:durableId="1161507754">
    <w:abstractNumId w:val="18"/>
  </w:num>
  <w:num w:numId="3" w16cid:durableId="2069721316">
    <w:abstractNumId w:val="25"/>
  </w:num>
  <w:num w:numId="4" w16cid:durableId="547451663">
    <w:abstractNumId w:val="4"/>
  </w:num>
  <w:num w:numId="5" w16cid:durableId="1273589495">
    <w:abstractNumId w:val="14"/>
  </w:num>
  <w:num w:numId="6" w16cid:durableId="1810049265">
    <w:abstractNumId w:val="3"/>
  </w:num>
  <w:num w:numId="7" w16cid:durableId="86535445">
    <w:abstractNumId w:val="29"/>
  </w:num>
  <w:num w:numId="8" w16cid:durableId="1262421721">
    <w:abstractNumId w:val="27"/>
  </w:num>
  <w:num w:numId="9" w16cid:durableId="639461198">
    <w:abstractNumId w:val="19"/>
  </w:num>
  <w:num w:numId="10" w16cid:durableId="377516689">
    <w:abstractNumId w:val="24"/>
  </w:num>
  <w:num w:numId="11" w16cid:durableId="689070795">
    <w:abstractNumId w:val="26"/>
  </w:num>
  <w:num w:numId="12" w16cid:durableId="1199775645">
    <w:abstractNumId w:val="17"/>
  </w:num>
  <w:num w:numId="13" w16cid:durableId="1056899499">
    <w:abstractNumId w:val="2"/>
  </w:num>
  <w:num w:numId="14" w16cid:durableId="34931684">
    <w:abstractNumId w:val="10"/>
  </w:num>
  <w:num w:numId="15" w16cid:durableId="1772044458">
    <w:abstractNumId w:val="28"/>
  </w:num>
  <w:num w:numId="16" w16cid:durableId="980304764">
    <w:abstractNumId w:val="22"/>
  </w:num>
  <w:num w:numId="17" w16cid:durableId="497229651">
    <w:abstractNumId w:val="11"/>
  </w:num>
  <w:num w:numId="18" w16cid:durableId="320472699">
    <w:abstractNumId w:val="23"/>
  </w:num>
  <w:num w:numId="19" w16cid:durableId="1617561891">
    <w:abstractNumId w:val="16"/>
  </w:num>
  <w:num w:numId="20" w16cid:durableId="1566722637">
    <w:abstractNumId w:val="15"/>
  </w:num>
  <w:num w:numId="21" w16cid:durableId="605305944">
    <w:abstractNumId w:val="9"/>
  </w:num>
  <w:num w:numId="22" w16cid:durableId="610668436">
    <w:abstractNumId w:val="1"/>
  </w:num>
  <w:num w:numId="23" w16cid:durableId="961575199">
    <w:abstractNumId w:val="6"/>
  </w:num>
  <w:num w:numId="24" w16cid:durableId="152912578">
    <w:abstractNumId w:val="5"/>
  </w:num>
  <w:num w:numId="25" w16cid:durableId="1704138187">
    <w:abstractNumId w:val="12"/>
  </w:num>
  <w:num w:numId="26" w16cid:durableId="1410033255">
    <w:abstractNumId w:val="13"/>
  </w:num>
  <w:num w:numId="27" w16cid:durableId="1651709802">
    <w:abstractNumId w:val="21"/>
  </w:num>
  <w:num w:numId="28" w16cid:durableId="1498115035">
    <w:abstractNumId w:val="0"/>
  </w:num>
  <w:num w:numId="29" w16cid:durableId="2087728722">
    <w:abstractNumId w:val="8"/>
  </w:num>
  <w:num w:numId="30" w16cid:durableId="801796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C5"/>
    <w:rsid w:val="00007E8C"/>
    <w:rsid w:val="0001026D"/>
    <w:rsid w:val="0001469C"/>
    <w:rsid w:val="00017C3D"/>
    <w:rsid w:val="00024339"/>
    <w:rsid w:val="000270B4"/>
    <w:rsid w:val="000362C0"/>
    <w:rsid w:val="00036FCA"/>
    <w:rsid w:val="00041FAC"/>
    <w:rsid w:val="00046D5F"/>
    <w:rsid w:val="000503AB"/>
    <w:rsid w:val="00051D51"/>
    <w:rsid w:val="00052828"/>
    <w:rsid w:val="00052A48"/>
    <w:rsid w:val="00071C35"/>
    <w:rsid w:val="00074C03"/>
    <w:rsid w:val="00081036"/>
    <w:rsid w:val="000810AE"/>
    <w:rsid w:val="000B02F2"/>
    <w:rsid w:val="000C2F9B"/>
    <w:rsid w:val="000D3557"/>
    <w:rsid w:val="000D5675"/>
    <w:rsid w:val="000E4A84"/>
    <w:rsid w:val="000F39F5"/>
    <w:rsid w:val="000F5126"/>
    <w:rsid w:val="000F7AB8"/>
    <w:rsid w:val="000F7D53"/>
    <w:rsid w:val="000F7E3C"/>
    <w:rsid w:val="00101913"/>
    <w:rsid w:val="0010437F"/>
    <w:rsid w:val="00107970"/>
    <w:rsid w:val="00110282"/>
    <w:rsid w:val="0012351D"/>
    <w:rsid w:val="00135948"/>
    <w:rsid w:val="00140889"/>
    <w:rsid w:val="001468A7"/>
    <w:rsid w:val="001546BE"/>
    <w:rsid w:val="00154A42"/>
    <w:rsid w:val="00156266"/>
    <w:rsid w:val="00160D81"/>
    <w:rsid w:val="00162D7B"/>
    <w:rsid w:val="001638B0"/>
    <w:rsid w:val="00166C61"/>
    <w:rsid w:val="00171256"/>
    <w:rsid w:val="00175249"/>
    <w:rsid w:val="00177FE7"/>
    <w:rsid w:val="001A0D64"/>
    <w:rsid w:val="001C1AEB"/>
    <w:rsid w:val="001C4E13"/>
    <w:rsid w:val="001C6A41"/>
    <w:rsid w:val="001D09E4"/>
    <w:rsid w:val="001D2BC6"/>
    <w:rsid w:val="001D56FD"/>
    <w:rsid w:val="001E2E3A"/>
    <w:rsid w:val="001F5E0B"/>
    <w:rsid w:val="00200ED3"/>
    <w:rsid w:val="002046FF"/>
    <w:rsid w:val="00211D7C"/>
    <w:rsid w:val="002129A2"/>
    <w:rsid w:val="00214B17"/>
    <w:rsid w:val="00217002"/>
    <w:rsid w:val="002173FE"/>
    <w:rsid w:val="00220F4C"/>
    <w:rsid w:val="0022738B"/>
    <w:rsid w:val="00230C7C"/>
    <w:rsid w:val="00235FB2"/>
    <w:rsid w:val="002416B0"/>
    <w:rsid w:val="00261186"/>
    <w:rsid w:val="00261B85"/>
    <w:rsid w:val="0026237D"/>
    <w:rsid w:val="00265C66"/>
    <w:rsid w:val="00266834"/>
    <w:rsid w:val="00267B23"/>
    <w:rsid w:val="00276985"/>
    <w:rsid w:val="002800BF"/>
    <w:rsid w:val="00282043"/>
    <w:rsid w:val="00286384"/>
    <w:rsid w:val="00292D59"/>
    <w:rsid w:val="002B35B1"/>
    <w:rsid w:val="002B40CE"/>
    <w:rsid w:val="002B6018"/>
    <w:rsid w:val="002C2803"/>
    <w:rsid w:val="002C4E87"/>
    <w:rsid w:val="002C5786"/>
    <w:rsid w:val="002C5F50"/>
    <w:rsid w:val="002E2F9D"/>
    <w:rsid w:val="002E3EE6"/>
    <w:rsid w:val="002E4C55"/>
    <w:rsid w:val="002E51A6"/>
    <w:rsid w:val="002E7E32"/>
    <w:rsid w:val="002F33C1"/>
    <w:rsid w:val="0031049B"/>
    <w:rsid w:val="00312172"/>
    <w:rsid w:val="0031362D"/>
    <w:rsid w:val="0032338D"/>
    <w:rsid w:val="00325136"/>
    <w:rsid w:val="00330EDD"/>
    <w:rsid w:val="0033494E"/>
    <w:rsid w:val="0034023B"/>
    <w:rsid w:val="003416BF"/>
    <w:rsid w:val="00343D19"/>
    <w:rsid w:val="00343F58"/>
    <w:rsid w:val="003441D5"/>
    <w:rsid w:val="00360BD8"/>
    <w:rsid w:val="00361DB4"/>
    <w:rsid w:val="00361EC3"/>
    <w:rsid w:val="003752BE"/>
    <w:rsid w:val="0038029C"/>
    <w:rsid w:val="003840AA"/>
    <w:rsid w:val="0039040B"/>
    <w:rsid w:val="003A0A25"/>
    <w:rsid w:val="003A60FA"/>
    <w:rsid w:val="003A61F2"/>
    <w:rsid w:val="003B1446"/>
    <w:rsid w:val="003C32FA"/>
    <w:rsid w:val="003C3958"/>
    <w:rsid w:val="003D2FD8"/>
    <w:rsid w:val="003E1B14"/>
    <w:rsid w:val="003E318E"/>
    <w:rsid w:val="003F3DD5"/>
    <w:rsid w:val="003F6DA4"/>
    <w:rsid w:val="0040707E"/>
    <w:rsid w:val="00417FD8"/>
    <w:rsid w:val="004220FD"/>
    <w:rsid w:val="004233A1"/>
    <w:rsid w:val="004364EF"/>
    <w:rsid w:val="004435A4"/>
    <w:rsid w:val="004462D7"/>
    <w:rsid w:val="00446A18"/>
    <w:rsid w:val="00447983"/>
    <w:rsid w:val="00451FE9"/>
    <w:rsid w:val="00454D62"/>
    <w:rsid w:val="00456E01"/>
    <w:rsid w:val="0046081A"/>
    <w:rsid w:val="00464A55"/>
    <w:rsid w:val="00465073"/>
    <w:rsid w:val="0047029C"/>
    <w:rsid w:val="004708F4"/>
    <w:rsid w:val="00474F3D"/>
    <w:rsid w:val="00481000"/>
    <w:rsid w:val="00481213"/>
    <w:rsid w:val="00482182"/>
    <w:rsid w:val="00482EEE"/>
    <w:rsid w:val="00483351"/>
    <w:rsid w:val="0048418D"/>
    <w:rsid w:val="004845A1"/>
    <w:rsid w:val="00487C00"/>
    <w:rsid w:val="0049233B"/>
    <w:rsid w:val="00492D87"/>
    <w:rsid w:val="00493C16"/>
    <w:rsid w:val="004953CF"/>
    <w:rsid w:val="00497712"/>
    <w:rsid w:val="00497937"/>
    <w:rsid w:val="004B0C76"/>
    <w:rsid w:val="004B2C42"/>
    <w:rsid w:val="004B3304"/>
    <w:rsid w:val="004B3EC8"/>
    <w:rsid w:val="004C216B"/>
    <w:rsid w:val="004C26A7"/>
    <w:rsid w:val="004C5C63"/>
    <w:rsid w:val="004D11F4"/>
    <w:rsid w:val="004D3619"/>
    <w:rsid w:val="004D452E"/>
    <w:rsid w:val="004D7CBE"/>
    <w:rsid w:val="004E018A"/>
    <w:rsid w:val="004F74F4"/>
    <w:rsid w:val="0050146B"/>
    <w:rsid w:val="005016E6"/>
    <w:rsid w:val="00502F64"/>
    <w:rsid w:val="00503917"/>
    <w:rsid w:val="00515754"/>
    <w:rsid w:val="0052581C"/>
    <w:rsid w:val="00526A16"/>
    <w:rsid w:val="00533849"/>
    <w:rsid w:val="0053667F"/>
    <w:rsid w:val="00536A02"/>
    <w:rsid w:val="00540CFD"/>
    <w:rsid w:val="00544303"/>
    <w:rsid w:val="0054670D"/>
    <w:rsid w:val="00557719"/>
    <w:rsid w:val="00563F28"/>
    <w:rsid w:val="00564BF8"/>
    <w:rsid w:val="00582977"/>
    <w:rsid w:val="00592F40"/>
    <w:rsid w:val="00594417"/>
    <w:rsid w:val="005964E3"/>
    <w:rsid w:val="005A00B4"/>
    <w:rsid w:val="005A0574"/>
    <w:rsid w:val="005A1F5D"/>
    <w:rsid w:val="005A3BE2"/>
    <w:rsid w:val="005A3C88"/>
    <w:rsid w:val="005B0032"/>
    <w:rsid w:val="005B1F09"/>
    <w:rsid w:val="005B2126"/>
    <w:rsid w:val="005B2FE4"/>
    <w:rsid w:val="005C09D7"/>
    <w:rsid w:val="005C313D"/>
    <w:rsid w:val="005D1B19"/>
    <w:rsid w:val="005D2AFC"/>
    <w:rsid w:val="005E2C55"/>
    <w:rsid w:val="005E3438"/>
    <w:rsid w:val="00602499"/>
    <w:rsid w:val="006038B7"/>
    <w:rsid w:val="0060521B"/>
    <w:rsid w:val="00606A28"/>
    <w:rsid w:val="00607E51"/>
    <w:rsid w:val="00622302"/>
    <w:rsid w:val="006234C9"/>
    <w:rsid w:val="00624A12"/>
    <w:rsid w:val="00627111"/>
    <w:rsid w:val="0063039A"/>
    <w:rsid w:val="0064472A"/>
    <w:rsid w:val="00652604"/>
    <w:rsid w:val="006531E8"/>
    <w:rsid w:val="00662A24"/>
    <w:rsid w:val="0067003A"/>
    <w:rsid w:val="0067087A"/>
    <w:rsid w:val="00671FD0"/>
    <w:rsid w:val="00690FBD"/>
    <w:rsid w:val="006928A4"/>
    <w:rsid w:val="00693ACE"/>
    <w:rsid w:val="006977CB"/>
    <w:rsid w:val="006A314D"/>
    <w:rsid w:val="006B4E6D"/>
    <w:rsid w:val="006B4EA8"/>
    <w:rsid w:val="006B5CD4"/>
    <w:rsid w:val="006D3C1C"/>
    <w:rsid w:val="006F23C5"/>
    <w:rsid w:val="006F4D04"/>
    <w:rsid w:val="006F7365"/>
    <w:rsid w:val="00703E4F"/>
    <w:rsid w:val="00705A32"/>
    <w:rsid w:val="00706545"/>
    <w:rsid w:val="00706D11"/>
    <w:rsid w:val="00713716"/>
    <w:rsid w:val="007165C7"/>
    <w:rsid w:val="007205EF"/>
    <w:rsid w:val="00722B8F"/>
    <w:rsid w:val="00725CC7"/>
    <w:rsid w:val="007279A1"/>
    <w:rsid w:val="0073523F"/>
    <w:rsid w:val="00735A15"/>
    <w:rsid w:val="00737DAD"/>
    <w:rsid w:val="00742165"/>
    <w:rsid w:val="00742E39"/>
    <w:rsid w:val="007470B8"/>
    <w:rsid w:val="007551BC"/>
    <w:rsid w:val="0076359C"/>
    <w:rsid w:val="007649A6"/>
    <w:rsid w:val="00764FF3"/>
    <w:rsid w:val="007722A7"/>
    <w:rsid w:val="00772B67"/>
    <w:rsid w:val="0077384C"/>
    <w:rsid w:val="007827F8"/>
    <w:rsid w:val="00785A03"/>
    <w:rsid w:val="00786D3C"/>
    <w:rsid w:val="007879CF"/>
    <w:rsid w:val="00794DE7"/>
    <w:rsid w:val="007A7CAB"/>
    <w:rsid w:val="007B0B57"/>
    <w:rsid w:val="007C6B6E"/>
    <w:rsid w:val="007D55E8"/>
    <w:rsid w:val="007D5C70"/>
    <w:rsid w:val="007D7540"/>
    <w:rsid w:val="007E233E"/>
    <w:rsid w:val="007E64A9"/>
    <w:rsid w:val="007E75B5"/>
    <w:rsid w:val="007F0F5D"/>
    <w:rsid w:val="007F1AB4"/>
    <w:rsid w:val="007F1B14"/>
    <w:rsid w:val="007F50A7"/>
    <w:rsid w:val="00800602"/>
    <w:rsid w:val="0080111F"/>
    <w:rsid w:val="00801C1B"/>
    <w:rsid w:val="00803DA3"/>
    <w:rsid w:val="008126A8"/>
    <w:rsid w:val="00812748"/>
    <w:rsid w:val="00821190"/>
    <w:rsid w:val="00822E33"/>
    <w:rsid w:val="00824E5A"/>
    <w:rsid w:val="00825FEF"/>
    <w:rsid w:val="00827F5C"/>
    <w:rsid w:val="00837233"/>
    <w:rsid w:val="00842C16"/>
    <w:rsid w:val="008575DC"/>
    <w:rsid w:val="00861F6F"/>
    <w:rsid w:val="00862F54"/>
    <w:rsid w:val="00863CD0"/>
    <w:rsid w:val="00865862"/>
    <w:rsid w:val="008672B7"/>
    <w:rsid w:val="00871A53"/>
    <w:rsid w:val="00876F27"/>
    <w:rsid w:val="00877C1E"/>
    <w:rsid w:val="00882831"/>
    <w:rsid w:val="00885437"/>
    <w:rsid w:val="00887AB7"/>
    <w:rsid w:val="0089176F"/>
    <w:rsid w:val="008960D6"/>
    <w:rsid w:val="008A483A"/>
    <w:rsid w:val="008C2321"/>
    <w:rsid w:val="008C2E60"/>
    <w:rsid w:val="008C5AC9"/>
    <w:rsid w:val="008D01D3"/>
    <w:rsid w:val="008D2D9D"/>
    <w:rsid w:val="008D4884"/>
    <w:rsid w:val="008E6739"/>
    <w:rsid w:val="008F3C34"/>
    <w:rsid w:val="00900166"/>
    <w:rsid w:val="00903F92"/>
    <w:rsid w:val="00910343"/>
    <w:rsid w:val="009145E1"/>
    <w:rsid w:val="00917B08"/>
    <w:rsid w:val="00922DE8"/>
    <w:rsid w:val="00924765"/>
    <w:rsid w:val="00926B7D"/>
    <w:rsid w:val="00927671"/>
    <w:rsid w:val="00933DFA"/>
    <w:rsid w:val="00936614"/>
    <w:rsid w:val="00945146"/>
    <w:rsid w:val="00946B42"/>
    <w:rsid w:val="00950D13"/>
    <w:rsid w:val="009533EE"/>
    <w:rsid w:val="00954BF0"/>
    <w:rsid w:val="009619B4"/>
    <w:rsid w:val="00965609"/>
    <w:rsid w:val="0097161C"/>
    <w:rsid w:val="009771CB"/>
    <w:rsid w:val="00990029"/>
    <w:rsid w:val="00990AB5"/>
    <w:rsid w:val="0099117A"/>
    <w:rsid w:val="0099532E"/>
    <w:rsid w:val="00996E90"/>
    <w:rsid w:val="009A07DA"/>
    <w:rsid w:val="009A117B"/>
    <w:rsid w:val="009A18CB"/>
    <w:rsid w:val="009A2CCF"/>
    <w:rsid w:val="009A3AF6"/>
    <w:rsid w:val="009B169D"/>
    <w:rsid w:val="009B2A7D"/>
    <w:rsid w:val="009B372C"/>
    <w:rsid w:val="009B4D62"/>
    <w:rsid w:val="009C2C63"/>
    <w:rsid w:val="009C3583"/>
    <w:rsid w:val="009C4E93"/>
    <w:rsid w:val="009C5326"/>
    <w:rsid w:val="009C64E5"/>
    <w:rsid w:val="009C738E"/>
    <w:rsid w:val="009D19C5"/>
    <w:rsid w:val="009D5951"/>
    <w:rsid w:val="009E144E"/>
    <w:rsid w:val="009E1E55"/>
    <w:rsid w:val="009E2068"/>
    <w:rsid w:val="009E4B33"/>
    <w:rsid w:val="009E59E7"/>
    <w:rsid w:val="009E6103"/>
    <w:rsid w:val="009F6B86"/>
    <w:rsid w:val="00A004E4"/>
    <w:rsid w:val="00A03270"/>
    <w:rsid w:val="00A04D3D"/>
    <w:rsid w:val="00A06DD4"/>
    <w:rsid w:val="00A07ADB"/>
    <w:rsid w:val="00A1468E"/>
    <w:rsid w:val="00A202A0"/>
    <w:rsid w:val="00A2185D"/>
    <w:rsid w:val="00A22227"/>
    <w:rsid w:val="00A22CA4"/>
    <w:rsid w:val="00A327FD"/>
    <w:rsid w:val="00A40F41"/>
    <w:rsid w:val="00A42591"/>
    <w:rsid w:val="00A47B20"/>
    <w:rsid w:val="00A5104A"/>
    <w:rsid w:val="00A5216A"/>
    <w:rsid w:val="00A67CFB"/>
    <w:rsid w:val="00A67F17"/>
    <w:rsid w:val="00A714EE"/>
    <w:rsid w:val="00A73999"/>
    <w:rsid w:val="00A82A85"/>
    <w:rsid w:val="00A83A4E"/>
    <w:rsid w:val="00A87E74"/>
    <w:rsid w:val="00A93E9A"/>
    <w:rsid w:val="00A9431C"/>
    <w:rsid w:val="00A94CEE"/>
    <w:rsid w:val="00A94E10"/>
    <w:rsid w:val="00AA4821"/>
    <w:rsid w:val="00AB2D34"/>
    <w:rsid w:val="00AB39C4"/>
    <w:rsid w:val="00AB773D"/>
    <w:rsid w:val="00AC16EC"/>
    <w:rsid w:val="00AC1BE8"/>
    <w:rsid w:val="00AC29B3"/>
    <w:rsid w:val="00AC6408"/>
    <w:rsid w:val="00AD0C44"/>
    <w:rsid w:val="00AD27C2"/>
    <w:rsid w:val="00AD2C5B"/>
    <w:rsid w:val="00AD3536"/>
    <w:rsid w:val="00AD3956"/>
    <w:rsid w:val="00AD42EB"/>
    <w:rsid w:val="00AD42FA"/>
    <w:rsid w:val="00AE148C"/>
    <w:rsid w:val="00AE4750"/>
    <w:rsid w:val="00AE5CA8"/>
    <w:rsid w:val="00AE65F9"/>
    <w:rsid w:val="00B023C0"/>
    <w:rsid w:val="00B02417"/>
    <w:rsid w:val="00B03636"/>
    <w:rsid w:val="00B143C1"/>
    <w:rsid w:val="00B1494E"/>
    <w:rsid w:val="00B242E6"/>
    <w:rsid w:val="00B2687B"/>
    <w:rsid w:val="00B3363D"/>
    <w:rsid w:val="00B367AF"/>
    <w:rsid w:val="00B36A94"/>
    <w:rsid w:val="00B376C7"/>
    <w:rsid w:val="00B41745"/>
    <w:rsid w:val="00B44F98"/>
    <w:rsid w:val="00B479ED"/>
    <w:rsid w:val="00B51B2F"/>
    <w:rsid w:val="00B54CCF"/>
    <w:rsid w:val="00B5686D"/>
    <w:rsid w:val="00B61529"/>
    <w:rsid w:val="00B64629"/>
    <w:rsid w:val="00B66BA8"/>
    <w:rsid w:val="00B8349A"/>
    <w:rsid w:val="00B85768"/>
    <w:rsid w:val="00B87FE9"/>
    <w:rsid w:val="00B92474"/>
    <w:rsid w:val="00BA7C0F"/>
    <w:rsid w:val="00BB3B3D"/>
    <w:rsid w:val="00BB5E73"/>
    <w:rsid w:val="00BC2C3F"/>
    <w:rsid w:val="00BD1916"/>
    <w:rsid w:val="00BD37B0"/>
    <w:rsid w:val="00BD3DD7"/>
    <w:rsid w:val="00BD628C"/>
    <w:rsid w:val="00BD7669"/>
    <w:rsid w:val="00BE17CC"/>
    <w:rsid w:val="00BE769D"/>
    <w:rsid w:val="00BF551C"/>
    <w:rsid w:val="00C0106D"/>
    <w:rsid w:val="00C129AA"/>
    <w:rsid w:val="00C17E68"/>
    <w:rsid w:val="00C20966"/>
    <w:rsid w:val="00C26AC2"/>
    <w:rsid w:val="00C32A25"/>
    <w:rsid w:val="00C35FDE"/>
    <w:rsid w:val="00C36019"/>
    <w:rsid w:val="00C44E81"/>
    <w:rsid w:val="00C45CDC"/>
    <w:rsid w:val="00C4785A"/>
    <w:rsid w:val="00C50864"/>
    <w:rsid w:val="00C54C91"/>
    <w:rsid w:val="00C5504D"/>
    <w:rsid w:val="00C63FDA"/>
    <w:rsid w:val="00C76F95"/>
    <w:rsid w:val="00C80049"/>
    <w:rsid w:val="00C812AA"/>
    <w:rsid w:val="00C82C37"/>
    <w:rsid w:val="00C8415B"/>
    <w:rsid w:val="00CA0768"/>
    <w:rsid w:val="00CA1DFC"/>
    <w:rsid w:val="00CB0D12"/>
    <w:rsid w:val="00CB2F99"/>
    <w:rsid w:val="00CB5A82"/>
    <w:rsid w:val="00CB67FF"/>
    <w:rsid w:val="00CC5E09"/>
    <w:rsid w:val="00CD194B"/>
    <w:rsid w:val="00CD2C4A"/>
    <w:rsid w:val="00CD6544"/>
    <w:rsid w:val="00CE08B1"/>
    <w:rsid w:val="00CE1444"/>
    <w:rsid w:val="00CE14FD"/>
    <w:rsid w:val="00CE3082"/>
    <w:rsid w:val="00CE41B9"/>
    <w:rsid w:val="00CE43C0"/>
    <w:rsid w:val="00CE4F48"/>
    <w:rsid w:val="00CF5FC7"/>
    <w:rsid w:val="00D00596"/>
    <w:rsid w:val="00D06C9F"/>
    <w:rsid w:val="00D101EE"/>
    <w:rsid w:val="00D13205"/>
    <w:rsid w:val="00D147C7"/>
    <w:rsid w:val="00D22FA3"/>
    <w:rsid w:val="00D244D6"/>
    <w:rsid w:val="00D30D82"/>
    <w:rsid w:val="00D324E6"/>
    <w:rsid w:val="00D3586D"/>
    <w:rsid w:val="00D408EE"/>
    <w:rsid w:val="00D41ABD"/>
    <w:rsid w:val="00D42F90"/>
    <w:rsid w:val="00D47C55"/>
    <w:rsid w:val="00D51993"/>
    <w:rsid w:val="00D56FAC"/>
    <w:rsid w:val="00D60343"/>
    <w:rsid w:val="00D73558"/>
    <w:rsid w:val="00D758F5"/>
    <w:rsid w:val="00D812D3"/>
    <w:rsid w:val="00D85411"/>
    <w:rsid w:val="00D90097"/>
    <w:rsid w:val="00D9561F"/>
    <w:rsid w:val="00DA01DE"/>
    <w:rsid w:val="00DA1EBC"/>
    <w:rsid w:val="00DA71C3"/>
    <w:rsid w:val="00DB264F"/>
    <w:rsid w:val="00DB5420"/>
    <w:rsid w:val="00DD1802"/>
    <w:rsid w:val="00DD21AE"/>
    <w:rsid w:val="00DD4D46"/>
    <w:rsid w:val="00DD6D49"/>
    <w:rsid w:val="00DE295A"/>
    <w:rsid w:val="00DE4E46"/>
    <w:rsid w:val="00DF0FC5"/>
    <w:rsid w:val="00DF248E"/>
    <w:rsid w:val="00DF6D41"/>
    <w:rsid w:val="00E010C3"/>
    <w:rsid w:val="00E041C5"/>
    <w:rsid w:val="00E04B27"/>
    <w:rsid w:val="00E07B75"/>
    <w:rsid w:val="00E17F91"/>
    <w:rsid w:val="00E223E4"/>
    <w:rsid w:val="00E25A94"/>
    <w:rsid w:val="00E266A6"/>
    <w:rsid w:val="00E55C47"/>
    <w:rsid w:val="00E5611F"/>
    <w:rsid w:val="00E57AE8"/>
    <w:rsid w:val="00E65CAD"/>
    <w:rsid w:val="00E662D6"/>
    <w:rsid w:val="00E7593B"/>
    <w:rsid w:val="00E778DE"/>
    <w:rsid w:val="00E86936"/>
    <w:rsid w:val="00E86B42"/>
    <w:rsid w:val="00E91555"/>
    <w:rsid w:val="00E96013"/>
    <w:rsid w:val="00E96ABF"/>
    <w:rsid w:val="00EA1A8D"/>
    <w:rsid w:val="00EA1B6E"/>
    <w:rsid w:val="00EA1F92"/>
    <w:rsid w:val="00EA243D"/>
    <w:rsid w:val="00EA354A"/>
    <w:rsid w:val="00EA35E6"/>
    <w:rsid w:val="00EB0FA0"/>
    <w:rsid w:val="00EB4AA0"/>
    <w:rsid w:val="00EB4E71"/>
    <w:rsid w:val="00EC0306"/>
    <w:rsid w:val="00EC1A16"/>
    <w:rsid w:val="00EC4A74"/>
    <w:rsid w:val="00EC5258"/>
    <w:rsid w:val="00EC6A66"/>
    <w:rsid w:val="00EC7A48"/>
    <w:rsid w:val="00ED6DB7"/>
    <w:rsid w:val="00ED6ED9"/>
    <w:rsid w:val="00EE0E5E"/>
    <w:rsid w:val="00EF18F5"/>
    <w:rsid w:val="00F0633A"/>
    <w:rsid w:val="00F130D1"/>
    <w:rsid w:val="00F16845"/>
    <w:rsid w:val="00F30FC8"/>
    <w:rsid w:val="00F312B9"/>
    <w:rsid w:val="00F402AE"/>
    <w:rsid w:val="00F40AB0"/>
    <w:rsid w:val="00F40BC7"/>
    <w:rsid w:val="00F4536F"/>
    <w:rsid w:val="00F479D0"/>
    <w:rsid w:val="00F53165"/>
    <w:rsid w:val="00F60F3A"/>
    <w:rsid w:val="00F75BD8"/>
    <w:rsid w:val="00F75F58"/>
    <w:rsid w:val="00F76656"/>
    <w:rsid w:val="00F81DA2"/>
    <w:rsid w:val="00F93B6C"/>
    <w:rsid w:val="00FA34C4"/>
    <w:rsid w:val="00FD64A6"/>
    <w:rsid w:val="00FD7F87"/>
    <w:rsid w:val="00FE1C62"/>
    <w:rsid w:val="00FF3321"/>
    <w:rsid w:val="00FF67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C1F4"/>
  <w15:chartTrackingRefBased/>
  <w15:docId w15:val="{43A8AA37-5635-49BB-8D93-A57784968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1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1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D1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9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1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1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D1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9C5"/>
    <w:rPr>
      <w:rFonts w:eastAsiaTheme="majorEastAsia" w:cstheme="majorBidi"/>
      <w:color w:val="272727" w:themeColor="text1" w:themeTint="D8"/>
    </w:rPr>
  </w:style>
  <w:style w:type="paragraph" w:styleId="Title">
    <w:name w:val="Title"/>
    <w:basedOn w:val="Normal"/>
    <w:next w:val="Normal"/>
    <w:link w:val="TitleChar"/>
    <w:uiPriority w:val="10"/>
    <w:qFormat/>
    <w:rsid w:val="009D1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9C5"/>
    <w:pPr>
      <w:spacing w:before="160"/>
      <w:jc w:val="center"/>
    </w:pPr>
    <w:rPr>
      <w:i/>
      <w:iCs/>
      <w:color w:val="404040" w:themeColor="text1" w:themeTint="BF"/>
    </w:rPr>
  </w:style>
  <w:style w:type="character" w:customStyle="1" w:styleId="QuoteChar">
    <w:name w:val="Quote Char"/>
    <w:basedOn w:val="DefaultParagraphFont"/>
    <w:link w:val="Quote"/>
    <w:uiPriority w:val="29"/>
    <w:rsid w:val="009D19C5"/>
    <w:rPr>
      <w:i/>
      <w:iCs/>
      <w:color w:val="404040" w:themeColor="text1" w:themeTint="BF"/>
    </w:rPr>
  </w:style>
  <w:style w:type="paragraph" w:styleId="ListParagraph">
    <w:name w:val="List Paragraph"/>
    <w:basedOn w:val="Normal"/>
    <w:uiPriority w:val="34"/>
    <w:qFormat/>
    <w:rsid w:val="009D19C5"/>
    <w:pPr>
      <w:ind w:left="720"/>
      <w:contextualSpacing/>
    </w:pPr>
  </w:style>
  <w:style w:type="character" w:styleId="IntenseEmphasis">
    <w:name w:val="Intense Emphasis"/>
    <w:basedOn w:val="DefaultParagraphFont"/>
    <w:uiPriority w:val="21"/>
    <w:qFormat/>
    <w:rsid w:val="009D19C5"/>
    <w:rPr>
      <w:i/>
      <w:iCs/>
      <w:color w:val="0F4761" w:themeColor="accent1" w:themeShade="BF"/>
    </w:rPr>
  </w:style>
  <w:style w:type="paragraph" w:styleId="IntenseQuote">
    <w:name w:val="Intense Quote"/>
    <w:basedOn w:val="Normal"/>
    <w:next w:val="Normal"/>
    <w:link w:val="IntenseQuoteChar"/>
    <w:uiPriority w:val="30"/>
    <w:qFormat/>
    <w:rsid w:val="009D1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9C5"/>
    <w:rPr>
      <w:i/>
      <w:iCs/>
      <w:color w:val="0F4761" w:themeColor="accent1" w:themeShade="BF"/>
    </w:rPr>
  </w:style>
  <w:style w:type="character" w:styleId="IntenseReference">
    <w:name w:val="Intense Reference"/>
    <w:basedOn w:val="DefaultParagraphFont"/>
    <w:uiPriority w:val="32"/>
    <w:qFormat/>
    <w:rsid w:val="009D19C5"/>
    <w:rPr>
      <w:b/>
      <w:bCs/>
      <w:smallCaps/>
      <w:color w:val="0F4761" w:themeColor="accent1" w:themeShade="BF"/>
      <w:spacing w:val="5"/>
    </w:rPr>
  </w:style>
  <w:style w:type="paragraph" w:styleId="NormalWeb">
    <w:name w:val="Normal (Web)"/>
    <w:basedOn w:val="Normal"/>
    <w:uiPriority w:val="99"/>
    <w:unhideWhenUsed/>
    <w:rsid w:val="00996E9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96E90"/>
    <w:rPr>
      <w:b/>
      <w:bCs/>
    </w:rPr>
  </w:style>
  <w:style w:type="character" w:styleId="Emphasis">
    <w:name w:val="Emphasis"/>
    <w:basedOn w:val="DefaultParagraphFont"/>
    <w:uiPriority w:val="20"/>
    <w:qFormat/>
    <w:rsid w:val="00D408EE"/>
    <w:rPr>
      <w:i/>
      <w:iCs/>
    </w:rPr>
  </w:style>
  <w:style w:type="table" w:styleId="TableGrid">
    <w:name w:val="Table Grid"/>
    <w:basedOn w:val="TableNormal"/>
    <w:uiPriority w:val="39"/>
    <w:rsid w:val="00622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3F28"/>
    <w:rPr>
      <w:color w:val="467886" w:themeColor="hyperlink"/>
      <w:u w:val="single"/>
    </w:rPr>
  </w:style>
  <w:style w:type="character" w:styleId="UnresolvedMention">
    <w:name w:val="Unresolved Mention"/>
    <w:basedOn w:val="DefaultParagraphFont"/>
    <w:uiPriority w:val="99"/>
    <w:semiHidden/>
    <w:unhideWhenUsed/>
    <w:rsid w:val="00563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23" TargetMode="External"/><Relationship Id="rId18" Type="http://schemas.openxmlformats.org/officeDocument/2006/relationships/hyperlink" Target="https://www.tandfonline.com/doi/10.1191/1478088706qp063oa" TargetMode="External"/><Relationship Id="rId26" Type="http://schemas.openxmlformats.org/officeDocument/2006/relationships/hyperlink" Target="https://www.teachingenglish.org.uk/sites/teacheng/files/2022-06/ELT_learning_assessment_Bangladesh_June_2022.pdf?utm_source=chatgpt.com" TargetMode="External"/><Relationship Id="rId39" Type="http://schemas.openxmlformats.org/officeDocument/2006/relationships/hyperlink" Target="https://link.springer.com/article/10.1007/s10648-006-9029-9" TargetMode="External"/><Relationship Id="rId21" Type="http://schemas.openxmlformats.org/officeDocument/2006/relationships/hyperlink" Target="https://www.routledge.com/Translingual-Practice-Global-Englishes-and-Cosmopolitan-Relations/Canagarajah/p/book/9780415894434" TargetMode="External"/><Relationship Id="rId34" Type="http://schemas.openxmlformats.org/officeDocument/2006/relationships/hyperlink" Target="https://academic.oup.com/applij/article/41/5/712/5708144" TargetMode="External"/><Relationship Id="rId42" Type="http://schemas.openxmlformats.org/officeDocument/2006/relationships/hyperlink" Target="https://www.tandfonline.com/doi/full/10.1080/2331186X.2025.2504228?utm_source=chatgpt.com" TargetMode="External"/><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researchgate.net/publication/372410330_Process_Approach_to_Teaching_English_Writing_Skill_in_Secondary_Schools" TargetMode="External"/><Relationship Id="rId29" Type="http://schemas.openxmlformats.org/officeDocument/2006/relationships/hyperlink" Target="https://revistas.um.es/ijes/article/view/18589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ournal.multitechpublisher.com/index.php/ijasr/article/view/1557" TargetMode="External"/><Relationship Id="rId24" Type="http://schemas.openxmlformats.org/officeDocument/2006/relationships/hyperlink" Target="https://us.sagepub.com/en-us/nam/qualitative-inquiry-and-research-design/book275774" TargetMode="External"/><Relationship Id="rId32" Type="http://schemas.openxmlformats.org/officeDocument/2006/relationships/hyperlink" Target="https://www.cambridge.org/core/journals/language-teaching/article/feedback-in-second-language-writing/7F2C2F7A7F4C4C97D2C6D9A2BB7D16C2" TargetMode="External"/><Relationship Id="rId37" Type="http://schemas.openxmlformats.org/officeDocument/2006/relationships/hyperlink" Target="https://www.macrothink.org/journal/index.php/ijl/article/view/22811" TargetMode="External"/><Relationship Id="rId40" Type="http://schemas.openxmlformats.org/officeDocument/2006/relationships/hyperlink" Target="https://jle.hse.ru/article/view/15726" TargetMode="External"/><Relationship Id="rId45" Type="http://schemas.openxmlformats.org/officeDocument/2006/relationships/hyperlink" Target="https://www.worldbank.org/en/country/bangladesh/publication/bangladesh-education-sector-review" TargetMode="External"/><Relationship Id="rId5" Type="http://schemas.openxmlformats.org/officeDocument/2006/relationships/webSettings" Target="webSettings.xml"/><Relationship Id="rId15" Type="http://schemas.openxmlformats.org/officeDocument/2006/relationships/hyperlink" Target="https://www.herdsa.org.au/herdsa-review-higher-education-vol-1/5-22" TargetMode="External"/><Relationship Id="rId23" Type="http://schemas.openxmlformats.org/officeDocument/2006/relationships/hyperlink" Target="https://doi.org/10.5539/jel.v12n4p85" TargetMode="External"/><Relationship Id="rId28" Type="http://schemas.openxmlformats.org/officeDocument/2006/relationships/hyperlink" Target="https://www.tandfonline.com/doi/abs/10.1080/00220671.2010.488703?utm_source=chatgpt.com" TargetMode="External"/><Relationship Id="rId36" Type="http://schemas.openxmlformats.org/officeDocument/2006/relationships/hyperlink" Target="https://journals.sagepub.com/doi/10.1177/10778004221140163" TargetMode="External"/><Relationship Id="rId10" Type="http://schemas.openxmlformats.org/officeDocument/2006/relationships/hyperlink" Target="https://en.prothomalo.com/youth/education/1r36pq7bfn?utm_source=chatgpt.com" TargetMode="External"/><Relationship Id="rId19" Type="http://schemas.openxmlformats.org/officeDocument/2006/relationships/hyperlink" Target="https://uk.sagepub.com/en-gb/eur/thematic-analysis/book248481?utm_source=chatgpt.com" TargetMode="External"/><Relationship Id="rId31" Type="http://schemas.openxmlformats.org/officeDocument/2006/relationships/hyperlink" Target="https://www.cambridge.org/core/books/second-language-writing/BD5C0ED54E8B2D3A99B847A72642FCD8" TargetMode="External"/><Relationship Id="rId44" Type="http://schemas.openxmlformats.org/officeDocument/2006/relationships/hyperlink" Target="https://www.frontiersin.org/journals/psychology/articles/10.3389/fpsyg.2024.1506725/full?utm_source=chatgpt.com" TargetMode="External"/><Relationship Id="rId4" Type="http://schemas.openxmlformats.org/officeDocument/2006/relationships/settings" Target="settings.xml"/><Relationship Id="rId9" Type="http://schemas.openxmlformats.org/officeDocument/2006/relationships/hyperlink" Target="https://jecs.pl/index.php/jecs/article/view/1827/1515?utm_source=chatgpt.com" TargetMode="External"/><Relationship Id="rId14" Type="http://schemas.openxmlformats.org/officeDocument/2006/relationships/hyperlink" Target="https://onlinelibrary.wiley.com/doi/10.1111/modl.12654" TargetMode="External"/><Relationship Id="rId22" Type="http://schemas.openxmlformats.org/officeDocument/2006/relationships/hyperlink" Target="https://onlinelibrary.wiley.com/doi/10.1002/9781118411360.wbcla034" TargetMode="External"/><Relationship Id="rId27" Type="http://schemas.openxmlformats.org/officeDocument/2006/relationships/hyperlink" Target="https://publicationsncte.org/content/journals/10.58680/ccc198115885?utm_source=chatgpt.com" TargetMode="External"/><Relationship Id="rId30" Type="http://schemas.openxmlformats.org/officeDocument/2006/relationships/hyperlink" Target="https://uk.sagepub.com/en-gb/eur/collecting-and-analyzing-qualitative-data-at-scale/book275956" TargetMode="External"/><Relationship Id="rId35" Type="http://schemas.openxmlformats.org/officeDocument/2006/relationships/hyperlink" Target="https://global.oup.com/academic/product/complex-systems-and-applied-linguistics-9780194422465" TargetMode="External"/><Relationship Id="rId43" Type="http://schemas.openxmlformats.org/officeDocument/2006/relationships/hyperlink" Target="https://pmc.ncbi.nlm.nih.gov/articles/PMC11628301/?utm_source=chatgpt.com" TargetMode="Externa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bbs.gov.bd/site/page/47856ad6-7e1c-4a7e-bb68-1f94b6bafc23" TargetMode="External"/><Relationship Id="rId17" Type="http://schemas.openxmlformats.org/officeDocument/2006/relationships/hyperlink" Target="https://www.bloomsbury.com/uk/teacher-cognition-and-language-education-9781472513084/" TargetMode="External"/><Relationship Id="rId25" Type="http://schemas.openxmlformats.org/officeDocument/2006/relationships/hyperlink" Target="https://onlinelibrary.wiley.com/doi/10.1111/lang.12028" TargetMode="External"/><Relationship Id="rId33" Type="http://schemas.openxmlformats.org/officeDocument/2006/relationships/hyperlink" Target="https://onlinelibrary.wiley.com/doi/10.1111/jan.15443" TargetMode="External"/><Relationship Id="rId38" Type="http://schemas.openxmlformats.org/officeDocument/2006/relationships/hyperlink" Target="https://link.springer.com/article/10.1007/s10488-022-01159-6" TargetMode="External"/><Relationship Id="rId46" Type="http://schemas.openxmlformats.org/officeDocument/2006/relationships/hyperlink" Target="https://www.cambridge.org/core/journals/language-teaching/article/peer-feedback-in-second-language-writing/0E5A0A33C09A5C94D0D09BFD53F1BB3B" TargetMode="External"/><Relationship Id="rId20" Type="http://schemas.openxmlformats.org/officeDocument/2006/relationships/hyperlink" Target="https://www.routledge.com/Learner-Contributions-to-Language-Learning/Breen/p/book/9780582297125" TargetMode="External"/><Relationship Id="rId41" Type="http://schemas.openxmlformats.org/officeDocument/2006/relationships/hyperlink" Target="https://www.hup.harvard.edu/catalog.php?isbn=97806745762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E1E384-7106-42CE-B187-D3194F51B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8760</Words>
  <Characters>58965</Characters>
  <Application>Microsoft Office Word</Application>
  <DocSecurity>0</DocSecurity>
  <Lines>884</Lines>
  <Paragraphs>231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Anupam Mazumdar</cp:lastModifiedBy>
  <cp:revision>2</cp:revision>
  <dcterms:created xsi:type="dcterms:W3CDTF">2026-02-18T13:21:00Z</dcterms:created>
  <dcterms:modified xsi:type="dcterms:W3CDTF">2026-02-18T13:21:00Z</dcterms:modified>
</cp:coreProperties>
</file>