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7035B" w14:textId="77777777" w:rsidR="00446D1D" w:rsidRDefault="0088076D" w:rsidP="0088076D">
      <w:pPr>
        <w:pStyle w:val="BodyText"/>
        <w:ind w:left="154"/>
        <w:rPr>
          <w:rFonts w:ascii="Times New Roman"/>
          <w:sz w:val="20"/>
        </w:rPr>
      </w:pPr>
      <w:r>
        <w:rPr>
          <w:rFonts w:ascii="Times New Roman"/>
          <w:noProof/>
          <w:sz w:val="20"/>
        </w:rPr>
        <w:drawing>
          <wp:anchor distT="0" distB="0" distL="114300" distR="114300" simplePos="0" relativeHeight="251660288" behindDoc="0" locked="0" layoutInCell="1" allowOverlap="1" wp14:anchorId="5B18B113" wp14:editId="6C48D810">
            <wp:simplePos x="1013460" y="914400"/>
            <wp:positionH relativeFrom="column">
              <wp:align>left</wp:align>
            </wp:positionH>
            <wp:positionV relativeFrom="paragraph">
              <wp:align>top</wp:align>
            </wp:positionV>
            <wp:extent cx="1876425" cy="609600"/>
            <wp:effectExtent l="0" t="0" r="9525" b="0"/>
            <wp:wrapSquare wrapText="bothSides"/>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76425" cy="609600"/>
                    </a:xfrm>
                    <a:prstGeom prst="rect">
                      <a:avLst/>
                    </a:prstGeom>
                  </pic:spPr>
                </pic:pic>
              </a:graphicData>
            </a:graphic>
          </wp:anchor>
        </w:drawing>
      </w:r>
    </w:p>
    <w:p w14:paraId="52646BB7" w14:textId="77777777" w:rsidR="00446D1D" w:rsidRDefault="00446D1D" w:rsidP="0088076D">
      <w:pPr>
        <w:pStyle w:val="BodyText"/>
        <w:ind w:left="154"/>
        <w:rPr>
          <w:rFonts w:ascii="Times New Roman"/>
          <w:sz w:val="20"/>
        </w:rPr>
      </w:pPr>
    </w:p>
    <w:p w14:paraId="08DDEAB6" w14:textId="1E45B1D2" w:rsidR="0088076D" w:rsidRDefault="00446D1D" w:rsidP="00446D1D">
      <w:pPr>
        <w:pStyle w:val="BodyText"/>
        <w:tabs>
          <w:tab w:val="left" w:pos="4824"/>
        </w:tabs>
        <w:ind w:left="154"/>
        <w:rPr>
          <w:rFonts w:ascii="Times New Roman"/>
          <w:sz w:val="20"/>
        </w:rPr>
      </w:pPr>
      <w:r>
        <w:rPr>
          <w:rFonts w:ascii="Times New Roman"/>
          <w:sz w:val="20"/>
        </w:rPr>
        <w:br w:type="textWrapping" w:clear="all"/>
      </w:r>
    </w:p>
    <w:p w14:paraId="49EE4445" w14:textId="02502C72" w:rsidR="0088076D" w:rsidRDefault="0088076D" w:rsidP="0088076D">
      <w:pPr>
        <w:pStyle w:val="BodyText"/>
        <w:rPr>
          <w:rFonts w:ascii="Arial"/>
          <w:b/>
          <w:sz w:val="18"/>
        </w:rPr>
      </w:pPr>
    </w:p>
    <w:p w14:paraId="1832787A" w14:textId="77777777" w:rsidR="00446D1D" w:rsidRDefault="00446D1D">
      <w:pPr>
        <w:spacing w:line="259" w:lineRule="auto"/>
        <w:jc w:val="left"/>
      </w:pPr>
    </w:p>
    <w:p w14:paraId="57CFF753" w14:textId="77777777" w:rsidR="00446D1D" w:rsidRDefault="00446D1D">
      <w:pPr>
        <w:spacing w:line="259" w:lineRule="auto"/>
        <w:jc w:val="left"/>
      </w:pPr>
    </w:p>
    <w:p w14:paraId="7B351AEA" w14:textId="77777777" w:rsidR="00446D1D" w:rsidRDefault="00446D1D">
      <w:pPr>
        <w:spacing w:line="259" w:lineRule="auto"/>
        <w:jc w:val="left"/>
      </w:pPr>
    </w:p>
    <w:p w14:paraId="38C1D2AF" w14:textId="77777777" w:rsidR="00446D1D" w:rsidRDefault="00446D1D">
      <w:pPr>
        <w:spacing w:line="259" w:lineRule="auto"/>
        <w:jc w:val="left"/>
      </w:pPr>
    </w:p>
    <w:p w14:paraId="18955CFF" w14:textId="77777777" w:rsidR="00446D1D" w:rsidRDefault="00446D1D">
      <w:pPr>
        <w:spacing w:line="259" w:lineRule="auto"/>
        <w:jc w:val="left"/>
      </w:pPr>
    </w:p>
    <w:p w14:paraId="43DECCCA" w14:textId="77777777" w:rsidR="00446D1D" w:rsidRDefault="00446D1D">
      <w:pPr>
        <w:spacing w:line="259" w:lineRule="auto"/>
        <w:jc w:val="left"/>
      </w:pPr>
    </w:p>
    <w:p w14:paraId="5C1FFD27" w14:textId="77777777" w:rsidR="00446D1D" w:rsidRDefault="00446D1D">
      <w:pPr>
        <w:spacing w:line="259" w:lineRule="auto"/>
        <w:jc w:val="left"/>
      </w:pPr>
    </w:p>
    <w:p w14:paraId="6E276204" w14:textId="77777777" w:rsidR="00446D1D" w:rsidRDefault="00446D1D">
      <w:pPr>
        <w:spacing w:line="259" w:lineRule="auto"/>
        <w:jc w:val="left"/>
      </w:pPr>
    </w:p>
    <w:p w14:paraId="1F66648F" w14:textId="77777777" w:rsidR="00446D1D" w:rsidRDefault="00446D1D">
      <w:pPr>
        <w:spacing w:line="259" w:lineRule="auto"/>
        <w:jc w:val="left"/>
      </w:pPr>
    </w:p>
    <w:p w14:paraId="1BB1F780" w14:textId="77777777" w:rsidR="00446D1D" w:rsidRDefault="00446D1D">
      <w:pPr>
        <w:spacing w:line="259" w:lineRule="auto"/>
        <w:jc w:val="left"/>
      </w:pPr>
      <w:r>
        <w:t xml:space="preserve">                                                </w:t>
      </w:r>
    </w:p>
    <w:p w14:paraId="14C86637" w14:textId="77777777" w:rsidR="00446D1D" w:rsidRDefault="00446D1D" w:rsidP="00446D1D">
      <w:pPr>
        <w:jc w:val="center"/>
        <w:rPr>
          <w:b/>
          <w:bCs/>
          <w:sz w:val="26"/>
          <w:szCs w:val="26"/>
        </w:rPr>
      </w:pPr>
      <w:proofErr w:type="spellStart"/>
      <w:r>
        <w:rPr>
          <w:b/>
          <w:bCs/>
          <w:sz w:val="26"/>
          <w:szCs w:val="26"/>
        </w:rPr>
        <w:t>Programme</w:t>
      </w:r>
      <w:proofErr w:type="spellEnd"/>
      <w:r>
        <w:rPr>
          <w:b/>
          <w:bCs/>
          <w:sz w:val="26"/>
          <w:szCs w:val="26"/>
        </w:rPr>
        <w:t xml:space="preserve">: Master of Business Administration </w:t>
      </w:r>
    </w:p>
    <w:p w14:paraId="6705F6C3" w14:textId="6F0024C3" w:rsidR="00446D1D" w:rsidRPr="00446D1D" w:rsidRDefault="00446D1D" w:rsidP="00446D1D">
      <w:pPr>
        <w:rPr>
          <w:sz w:val="26"/>
          <w:szCs w:val="26"/>
        </w:rPr>
      </w:pPr>
      <w:r>
        <w:rPr>
          <w:b/>
          <w:bCs/>
          <w:sz w:val="26"/>
          <w:szCs w:val="26"/>
        </w:rPr>
        <w:t xml:space="preserve">                                             </w:t>
      </w:r>
      <w:r>
        <w:rPr>
          <w:b/>
          <w:bCs/>
          <w:sz w:val="26"/>
          <w:szCs w:val="26"/>
        </w:rPr>
        <w:t xml:space="preserve">Module: </w:t>
      </w:r>
      <w:r>
        <w:rPr>
          <w:sz w:val="26"/>
          <w:szCs w:val="26"/>
        </w:rPr>
        <w:t>Financial management</w:t>
      </w:r>
    </w:p>
    <w:p w14:paraId="6AD88C2D" w14:textId="77777777" w:rsidR="00446D1D" w:rsidRPr="00E13804" w:rsidRDefault="00446D1D" w:rsidP="00446D1D">
      <w:pPr>
        <w:ind w:hanging="284"/>
        <w:rPr>
          <w:sz w:val="22"/>
          <w:lang w:eastAsia="en-GB"/>
        </w:rPr>
      </w:pPr>
      <w:r w:rsidRPr="00E13804">
        <w:rPr>
          <w:b/>
          <w:bCs/>
          <w:sz w:val="22"/>
          <w:lang w:eastAsia="en-GB"/>
        </w:rPr>
        <w:t xml:space="preserve">                                                 </w:t>
      </w:r>
      <w:r>
        <w:rPr>
          <w:b/>
          <w:bCs/>
          <w:sz w:val="22"/>
          <w:lang w:eastAsia="en-GB"/>
        </w:rPr>
        <w:t xml:space="preserve">           </w:t>
      </w:r>
      <w:r w:rsidRPr="00E13804">
        <w:rPr>
          <w:b/>
          <w:bCs/>
          <w:sz w:val="22"/>
          <w:lang w:eastAsia="en-GB"/>
        </w:rPr>
        <w:t xml:space="preserve">    Student name: </w:t>
      </w:r>
      <w:r>
        <w:rPr>
          <w:sz w:val="22"/>
          <w:lang w:eastAsia="en-GB"/>
        </w:rPr>
        <w:t>Chandru subbaiah</w:t>
      </w:r>
    </w:p>
    <w:p w14:paraId="1086856C" w14:textId="77777777" w:rsidR="00446D1D" w:rsidRPr="00E13804" w:rsidRDefault="00446D1D" w:rsidP="00446D1D">
      <w:pPr>
        <w:ind w:hanging="284"/>
        <w:rPr>
          <w:sz w:val="22"/>
          <w:lang w:eastAsia="en-GB"/>
        </w:rPr>
      </w:pPr>
      <w:r>
        <w:rPr>
          <w:sz w:val="22"/>
          <w:lang w:eastAsia="en-GB"/>
        </w:rPr>
        <w:t xml:space="preserve">                                                                         </w:t>
      </w:r>
      <w:r>
        <w:rPr>
          <w:b/>
          <w:bCs/>
          <w:sz w:val="22"/>
          <w:lang w:eastAsia="en-GB"/>
        </w:rPr>
        <w:t>Student ID:</w:t>
      </w:r>
      <w:r>
        <w:rPr>
          <w:sz w:val="22"/>
          <w:lang w:eastAsia="en-GB"/>
        </w:rPr>
        <w:t>2507406</w:t>
      </w:r>
    </w:p>
    <w:p w14:paraId="13B94971" w14:textId="6B14652E" w:rsidR="00446D1D" w:rsidRPr="00BF589B" w:rsidRDefault="00446D1D" w:rsidP="00446D1D">
      <w:pPr>
        <w:ind w:hanging="284"/>
        <w:rPr>
          <w:sz w:val="22"/>
          <w:lang w:eastAsia="en-GB"/>
        </w:rPr>
      </w:pPr>
      <w:r>
        <w:rPr>
          <w:b/>
          <w:bCs/>
          <w:sz w:val="22"/>
          <w:lang w:eastAsia="en-GB"/>
        </w:rPr>
        <w:t xml:space="preserve">                                                         </w:t>
      </w:r>
      <w:r>
        <w:rPr>
          <w:b/>
          <w:bCs/>
          <w:sz w:val="22"/>
          <w:lang w:eastAsia="en-GB"/>
        </w:rPr>
        <w:t xml:space="preserve">       </w:t>
      </w:r>
      <w:r>
        <w:rPr>
          <w:b/>
          <w:bCs/>
          <w:sz w:val="22"/>
          <w:lang w:eastAsia="en-GB"/>
        </w:rPr>
        <w:t xml:space="preserve">   Lecturer Name: </w:t>
      </w:r>
      <w:r>
        <w:rPr>
          <w:sz w:val="22"/>
          <w:lang w:eastAsia="en-GB"/>
        </w:rPr>
        <w:t>Isaiah Oino</w:t>
      </w:r>
    </w:p>
    <w:p w14:paraId="46433949" w14:textId="77777777" w:rsidR="00446D1D" w:rsidRPr="00E30775" w:rsidRDefault="00446D1D" w:rsidP="00446D1D">
      <w:r>
        <w:rPr>
          <w:b/>
          <w:bCs/>
          <w:sz w:val="22"/>
          <w:lang w:eastAsia="en-GB"/>
        </w:rPr>
        <w:t xml:space="preserve">                                                                               </w:t>
      </w:r>
      <w:r>
        <w:rPr>
          <w:b/>
          <w:bCs/>
        </w:rPr>
        <w:t>Term:</w:t>
      </w:r>
      <w:r>
        <w:t>01</w:t>
      </w:r>
    </w:p>
    <w:p w14:paraId="52FE3B7D" w14:textId="1BF97911" w:rsidR="00F90248" w:rsidRPr="00446D1D" w:rsidRDefault="00F90248">
      <w:pPr>
        <w:spacing w:line="259" w:lineRule="auto"/>
        <w:jc w:val="left"/>
      </w:pPr>
      <w:r>
        <w:br w:type="page"/>
      </w:r>
    </w:p>
    <w:p w14:paraId="501A3AA3" w14:textId="77777777" w:rsidR="00B21245" w:rsidRDefault="00B21245" w:rsidP="00B21245">
      <w:pPr>
        <w:spacing w:before="240"/>
        <w:jc w:val="center"/>
        <w:rPr>
          <w:b/>
          <w:bCs/>
          <w:sz w:val="32"/>
          <w:szCs w:val="32"/>
        </w:rPr>
      </w:pPr>
    </w:p>
    <w:p w14:paraId="0A2541E3" w14:textId="77777777" w:rsidR="00B21245" w:rsidRDefault="00B21245" w:rsidP="00B21245">
      <w:pPr>
        <w:spacing w:before="240"/>
        <w:jc w:val="center"/>
        <w:rPr>
          <w:b/>
          <w:bCs/>
          <w:sz w:val="32"/>
          <w:szCs w:val="32"/>
        </w:rPr>
      </w:pPr>
    </w:p>
    <w:p w14:paraId="629047B6" w14:textId="77777777" w:rsidR="00B21245" w:rsidRDefault="00B21245" w:rsidP="00B21245">
      <w:pPr>
        <w:spacing w:before="240"/>
        <w:jc w:val="center"/>
        <w:rPr>
          <w:b/>
          <w:bCs/>
          <w:sz w:val="32"/>
          <w:szCs w:val="32"/>
        </w:rPr>
      </w:pPr>
    </w:p>
    <w:p w14:paraId="50870E5A" w14:textId="77777777" w:rsidR="00B21245" w:rsidRDefault="00B21245" w:rsidP="00B21245">
      <w:pPr>
        <w:spacing w:before="240"/>
        <w:jc w:val="center"/>
        <w:rPr>
          <w:b/>
          <w:bCs/>
          <w:sz w:val="32"/>
          <w:szCs w:val="32"/>
        </w:rPr>
      </w:pPr>
    </w:p>
    <w:p w14:paraId="407FD6CB" w14:textId="77777777" w:rsidR="00B21245" w:rsidRDefault="00B21245" w:rsidP="00B21245">
      <w:pPr>
        <w:spacing w:before="240"/>
        <w:jc w:val="center"/>
        <w:rPr>
          <w:b/>
          <w:bCs/>
          <w:sz w:val="32"/>
          <w:szCs w:val="32"/>
        </w:rPr>
      </w:pPr>
    </w:p>
    <w:p w14:paraId="12C1A256" w14:textId="77777777" w:rsidR="00B21245" w:rsidRDefault="00B21245" w:rsidP="00B21245">
      <w:pPr>
        <w:spacing w:before="240"/>
        <w:jc w:val="center"/>
        <w:rPr>
          <w:b/>
          <w:bCs/>
          <w:sz w:val="32"/>
          <w:szCs w:val="32"/>
        </w:rPr>
      </w:pPr>
    </w:p>
    <w:p w14:paraId="4BA4FCAA" w14:textId="77777777" w:rsidR="00B21245" w:rsidRDefault="00B21245" w:rsidP="00B21245">
      <w:pPr>
        <w:spacing w:before="240"/>
        <w:jc w:val="center"/>
        <w:rPr>
          <w:b/>
          <w:bCs/>
          <w:sz w:val="32"/>
          <w:szCs w:val="32"/>
        </w:rPr>
      </w:pPr>
    </w:p>
    <w:p w14:paraId="5D90726B" w14:textId="77777777" w:rsidR="00B21245" w:rsidRDefault="00B21245" w:rsidP="00B21245">
      <w:pPr>
        <w:spacing w:before="240"/>
        <w:jc w:val="center"/>
        <w:rPr>
          <w:b/>
          <w:bCs/>
          <w:sz w:val="32"/>
          <w:szCs w:val="32"/>
        </w:rPr>
      </w:pPr>
    </w:p>
    <w:p w14:paraId="091A776C" w14:textId="26D6B48B" w:rsidR="00F90248" w:rsidRPr="00B21245" w:rsidRDefault="00042B91" w:rsidP="00B21245">
      <w:pPr>
        <w:spacing w:before="240"/>
        <w:jc w:val="center"/>
        <w:rPr>
          <w:rFonts w:eastAsiaTheme="majorEastAsia" w:cstheme="majorBidi"/>
          <w:b/>
          <w:bCs/>
          <w:sz w:val="32"/>
          <w:szCs w:val="32"/>
        </w:rPr>
      </w:pPr>
      <w:r w:rsidRPr="00042B91">
        <w:rPr>
          <w:b/>
          <w:bCs/>
          <w:sz w:val="32"/>
          <w:szCs w:val="32"/>
        </w:rPr>
        <w:t>STRATEGIC CFO DILEMMA: TURNING AROUND A STRUGGLING GLOBAL CORPORATION FOR LONG-TERM SUCCESS</w:t>
      </w:r>
      <w:r w:rsidRPr="00B21245">
        <w:rPr>
          <w:b/>
          <w:bCs/>
          <w:sz w:val="32"/>
          <w:szCs w:val="32"/>
        </w:rPr>
        <w:t xml:space="preserve"> </w:t>
      </w:r>
      <w:r w:rsidR="00F90248" w:rsidRPr="00B21245">
        <w:rPr>
          <w:b/>
          <w:bCs/>
          <w:sz w:val="32"/>
          <w:szCs w:val="32"/>
        </w:rPr>
        <w:br w:type="page"/>
      </w:r>
    </w:p>
    <w:p w14:paraId="07EC64D5" w14:textId="64943E08" w:rsidR="00B21245" w:rsidRPr="00B21245" w:rsidRDefault="00B21245" w:rsidP="00B21245">
      <w:pPr>
        <w:spacing w:line="259" w:lineRule="auto"/>
        <w:jc w:val="center"/>
        <w:rPr>
          <w:b/>
          <w:bCs/>
        </w:rPr>
      </w:pPr>
      <w:r w:rsidRPr="00B21245">
        <w:rPr>
          <w:b/>
          <w:bCs/>
        </w:rPr>
        <w:lastRenderedPageBreak/>
        <w:t>Executive Summary</w:t>
      </w:r>
    </w:p>
    <w:p w14:paraId="66AAC8FE" w14:textId="57AA1D9F" w:rsidR="00B21245" w:rsidRPr="00B21245" w:rsidRDefault="00350D33" w:rsidP="00B21245">
      <w:pPr>
        <w:spacing w:before="240"/>
      </w:pPr>
      <w:r w:rsidRPr="00350D33">
        <w:t xml:space="preserve">This report gives an in-depth financial and strategic analysis of General Electronics, a multinational consumer electronics firm that is experiencing a severe financial downturn. In the last five years, the company has significantly declined, the sales have decreased to </w:t>
      </w:r>
      <w:r w:rsidRPr="00042B91">
        <w:t>£614,680 million in 2020 to £394,879 million in 2024</w:t>
      </w:r>
      <w:r w:rsidRPr="00350D33">
        <w:t xml:space="preserve">, and the net loss has decreased to </w:t>
      </w:r>
      <w:r w:rsidRPr="00042B91">
        <w:t>£</w:t>
      </w:r>
      <w:r w:rsidRPr="00350D33">
        <w:t xml:space="preserve">98,238 million in 2023, and </w:t>
      </w:r>
      <w:r w:rsidRPr="00042B91">
        <w:t>£</w:t>
      </w:r>
      <w:r w:rsidRPr="00350D33">
        <w:t xml:space="preserve">24,029 million in 2024. Liquidity has also been a factor; this is illustrated by the fact that the current ratio has decreased to 1.53 and the operating cash flow is down to </w:t>
      </w:r>
      <w:r w:rsidRPr="00042B91">
        <w:t>£</w:t>
      </w:r>
      <w:r w:rsidRPr="00350D33">
        <w:t xml:space="preserve">14,822 million. Increased leverage (debt-to-equity ratio of 1.11, 2024) and negative interest coverage have posed a high risk of insolvency. The study identifies: the decrease in profitability, the inefficiency of working capital management, and the rising risk of default, which are indicated by the decrease in the Altman Z-Score to 2.24 in 2023. The strategic restructuring plan is suggested and includes asset divestitures, equity injection, debt renegotiation, and cost restructuring. Other global considerations are currency risks, tax disparities and inflation pressures, as well as ethical and sustainable practices. NPV, IRR, ARR, PI, and payback were used to analyze three investment projects. Project C, which needs a capital limit of at least </w:t>
      </w:r>
      <w:r w:rsidR="006900DA" w:rsidRPr="00042B91">
        <w:t>£</w:t>
      </w:r>
      <w:r w:rsidRPr="00350D33">
        <w:t xml:space="preserve">60 million, provides the best financial performance, as the NPV is </w:t>
      </w:r>
      <w:r w:rsidR="006900DA" w:rsidRPr="00042B91">
        <w:t>£</w:t>
      </w:r>
      <w:r w:rsidRPr="00350D33">
        <w:t>4.225 million, IRR is 12.72 percent, and the profitability index is 1.085. This report advises prioritization of Project C and adoption of the proposed restructuring to recover the solvency, recreate shareholder value, as well as position General Electronics to remain competitive in the long term.</w:t>
      </w:r>
    </w:p>
    <w:p w14:paraId="35E32BA7" w14:textId="77777777" w:rsidR="00F90248" w:rsidRDefault="00F90248">
      <w:pPr>
        <w:spacing w:line="259" w:lineRule="auto"/>
        <w:jc w:val="left"/>
        <w:rPr>
          <w:rFonts w:eastAsiaTheme="majorEastAsia" w:cstheme="majorBidi"/>
          <w:b/>
          <w:szCs w:val="40"/>
        </w:rPr>
      </w:pPr>
      <w:r>
        <w:br w:type="page"/>
      </w:r>
    </w:p>
    <w:sdt>
      <w:sdtPr>
        <w:rPr>
          <w:rFonts w:ascii="Times New Roman" w:eastAsiaTheme="minorHAnsi" w:hAnsi="Times New Roman" w:cstheme="minorBidi"/>
          <w:color w:val="000000" w:themeColor="text1"/>
          <w:kern w:val="2"/>
          <w:sz w:val="24"/>
          <w:szCs w:val="22"/>
          <w14:ligatures w14:val="standardContextual"/>
        </w:rPr>
        <w:id w:val="474259167"/>
        <w:docPartObj>
          <w:docPartGallery w:val="Table of Contents"/>
          <w:docPartUnique/>
        </w:docPartObj>
      </w:sdtPr>
      <w:sdtEndPr>
        <w:rPr>
          <w:b/>
          <w:bCs/>
          <w:noProof/>
        </w:rPr>
      </w:sdtEndPr>
      <w:sdtContent>
        <w:p w14:paraId="703AAFFC" w14:textId="71048265" w:rsidR="00F400D5" w:rsidRPr="00F400D5" w:rsidRDefault="00F400D5" w:rsidP="00CE40AE">
          <w:pPr>
            <w:pStyle w:val="TOCHeading"/>
            <w:spacing w:after="240" w:line="360" w:lineRule="auto"/>
            <w:jc w:val="center"/>
            <w:rPr>
              <w:rFonts w:ascii="Times New Roman" w:hAnsi="Times New Roman" w:cs="Times New Roman"/>
              <w:b/>
              <w:bCs/>
              <w:color w:val="000000" w:themeColor="text1"/>
              <w:sz w:val="24"/>
              <w:szCs w:val="24"/>
            </w:rPr>
          </w:pPr>
          <w:r w:rsidRPr="00F400D5">
            <w:rPr>
              <w:rFonts w:ascii="Times New Roman" w:hAnsi="Times New Roman" w:cs="Times New Roman"/>
              <w:b/>
              <w:bCs/>
              <w:color w:val="000000" w:themeColor="text1"/>
              <w:sz w:val="24"/>
              <w:szCs w:val="24"/>
            </w:rPr>
            <w:t>Table of Contents</w:t>
          </w:r>
        </w:p>
        <w:p w14:paraId="1675E6BE" w14:textId="5CF9B4F5" w:rsidR="000C01F6" w:rsidRDefault="00F400D5">
          <w:pPr>
            <w:pStyle w:val="TOC1"/>
            <w:tabs>
              <w:tab w:val="right" w:leader="dot" w:pos="9350"/>
            </w:tabs>
            <w:rPr>
              <w:rFonts w:asciiTheme="minorHAnsi" w:eastAsiaTheme="minorEastAsia" w:hAnsiTheme="minorHAnsi"/>
              <w:noProof/>
              <w:color w:val="auto"/>
              <w:szCs w:val="24"/>
            </w:rPr>
          </w:pPr>
          <w:r w:rsidRPr="00F400D5">
            <w:rPr>
              <w:rFonts w:cs="Times New Roman"/>
              <w:szCs w:val="24"/>
            </w:rPr>
            <w:fldChar w:fldCharType="begin"/>
          </w:r>
          <w:r w:rsidRPr="00F400D5">
            <w:rPr>
              <w:rFonts w:cs="Times New Roman"/>
              <w:szCs w:val="24"/>
            </w:rPr>
            <w:instrText xml:space="preserve"> TOC \o "1-3" \h \z \u </w:instrText>
          </w:r>
          <w:r w:rsidRPr="00F400D5">
            <w:rPr>
              <w:rFonts w:cs="Times New Roman"/>
              <w:szCs w:val="24"/>
            </w:rPr>
            <w:fldChar w:fldCharType="separate"/>
          </w:r>
          <w:hyperlink w:anchor="_Toc216361471" w:history="1">
            <w:r w:rsidR="000C01F6" w:rsidRPr="00220E1F">
              <w:rPr>
                <w:rStyle w:val="Hyperlink"/>
                <w:noProof/>
              </w:rPr>
              <w:t>1. Financial Health Check</w:t>
            </w:r>
            <w:r w:rsidR="000C01F6">
              <w:rPr>
                <w:noProof/>
                <w:webHidden/>
              </w:rPr>
              <w:tab/>
            </w:r>
            <w:r w:rsidR="000C01F6">
              <w:rPr>
                <w:noProof/>
                <w:webHidden/>
              </w:rPr>
              <w:fldChar w:fldCharType="begin"/>
            </w:r>
            <w:r w:rsidR="000C01F6">
              <w:rPr>
                <w:noProof/>
                <w:webHidden/>
              </w:rPr>
              <w:instrText xml:space="preserve"> PAGEREF _Toc216361471 \h </w:instrText>
            </w:r>
            <w:r w:rsidR="000C01F6">
              <w:rPr>
                <w:noProof/>
                <w:webHidden/>
              </w:rPr>
            </w:r>
            <w:r w:rsidR="000C01F6">
              <w:rPr>
                <w:noProof/>
                <w:webHidden/>
              </w:rPr>
              <w:fldChar w:fldCharType="separate"/>
            </w:r>
            <w:r w:rsidR="00C60925">
              <w:rPr>
                <w:noProof/>
                <w:webHidden/>
              </w:rPr>
              <w:t>6</w:t>
            </w:r>
            <w:r w:rsidR="000C01F6">
              <w:rPr>
                <w:noProof/>
                <w:webHidden/>
              </w:rPr>
              <w:fldChar w:fldCharType="end"/>
            </w:r>
          </w:hyperlink>
        </w:p>
        <w:p w14:paraId="4421C1D8" w14:textId="6342C133" w:rsidR="000C01F6" w:rsidRDefault="000C01F6">
          <w:pPr>
            <w:pStyle w:val="TOC2"/>
            <w:tabs>
              <w:tab w:val="right" w:leader="dot" w:pos="9350"/>
            </w:tabs>
            <w:rPr>
              <w:rFonts w:asciiTheme="minorHAnsi" w:eastAsiaTheme="minorEastAsia" w:hAnsiTheme="minorHAnsi"/>
              <w:noProof/>
              <w:color w:val="auto"/>
              <w:szCs w:val="24"/>
            </w:rPr>
          </w:pPr>
          <w:hyperlink w:anchor="_Toc216361472" w:history="1">
            <w:r w:rsidRPr="00220E1F">
              <w:rPr>
                <w:rStyle w:val="Hyperlink"/>
                <w:noProof/>
              </w:rPr>
              <w:t>Overview of Financial Assessment</w:t>
            </w:r>
            <w:r>
              <w:rPr>
                <w:noProof/>
                <w:webHidden/>
              </w:rPr>
              <w:tab/>
            </w:r>
            <w:r>
              <w:rPr>
                <w:noProof/>
                <w:webHidden/>
              </w:rPr>
              <w:fldChar w:fldCharType="begin"/>
            </w:r>
            <w:r>
              <w:rPr>
                <w:noProof/>
                <w:webHidden/>
              </w:rPr>
              <w:instrText xml:space="preserve"> PAGEREF _Toc216361472 \h </w:instrText>
            </w:r>
            <w:r>
              <w:rPr>
                <w:noProof/>
                <w:webHidden/>
              </w:rPr>
            </w:r>
            <w:r>
              <w:rPr>
                <w:noProof/>
                <w:webHidden/>
              </w:rPr>
              <w:fldChar w:fldCharType="separate"/>
            </w:r>
            <w:r w:rsidR="00C60925">
              <w:rPr>
                <w:noProof/>
                <w:webHidden/>
              </w:rPr>
              <w:t>6</w:t>
            </w:r>
            <w:r>
              <w:rPr>
                <w:noProof/>
                <w:webHidden/>
              </w:rPr>
              <w:fldChar w:fldCharType="end"/>
            </w:r>
          </w:hyperlink>
        </w:p>
        <w:p w14:paraId="5E16457F" w14:textId="4DA3B895" w:rsidR="000C01F6" w:rsidRDefault="000C01F6">
          <w:pPr>
            <w:pStyle w:val="TOC2"/>
            <w:tabs>
              <w:tab w:val="right" w:leader="dot" w:pos="9350"/>
            </w:tabs>
            <w:rPr>
              <w:rFonts w:asciiTheme="minorHAnsi" w:eastAsiaTheme="minorEastAsia" w:hAnsiTheme="minorHAnsi"/>
              <w:noProof/>
              <w:color w:val="auto"/>
              <w:szCs w:val="24"/>
            </w:rPr>
          </w:pPr>
          <w:hyperlink w:anchor="_Toc216361473" w:history="1">
            <w:r w:rsidRPr="00220E1F">
              <w:rPr>
                <w:rStyle w:val="Hyperlink"/>
                <w:noProof/>
              </w:rPr>
              <w:t>Analysis of Profitability</w:t>
            </w:r>
            <w:r>
              <w:rPr>
                <w:noProof/>
                <w:webHidden/>
              </w:rPr>
              <w:tab/>
            </w:r>
            <w:r>
              <w:rPr>
                <w:noProof/>
                <w:webHidden/>
              </w:rPr>
              <w:fldChar w:fldCharType="begin"/>
            </w:r>
            <w:r>
              <w:rPr>
                <w:noProof/>
                <w:webHidden/>
              </w:rPr>
              <w:instrText xml:space="preserve"> PAGEREF _Toc216361473 \h </w:instrText>
            </w:r>
            <w:r>
              <w:rPr>
                <w:noProof/>
                <w:webHidden/>
              </w:rPr>
            </w:r>
            <w:r>
              <w:rPr>
                <w:noProof/>
                <w:webHidden/>
              </w:rPr>
              <w:fldChar w:fldCharType="separate"/>
            </w:r>
            <w:r w:rsidR="00C60925">
              <w:rPr>
                <w:noProof/>
                <w:webHidden/>
              </w:rPr>
              <w:t>7</w:t>
            </w:r>
            <w:r>
              <w:rPr>
                <w:noProof/>
                <w:webHidden/>
              </w:rPr>
              <w:fldChar w:fldCharType="end"/>
            </w:r>
          </w:hyperlink>
        </w:p>
        <w:p w14:paraId="177504A9" w14:textId="29DA4135" w:rsidR="000C01F6" w:rsidRDefault="000C01F6">
          <w:pPr>
            <w:pStyle w:val="TOC2"/>
            <w:tabs>
              <w:tab w:val="right" w:leader="dot" w:pos="9350"/>
            </w:tabs>
            <w:rPr>
              <w:rFonts w:asciiTheme="minorHAnsi" w:eastAsiaTheme="minorEastAsia" w:hAnsiTheme="minorHAnsi"/>
              <w:noProof/>
              <w:color w:val="auto"/>
              <w:szCs w:val="24"/>
            </w:rPr>
          </w:pPr>
          <w:hyperlink w:anchor="_Toc216361474" w:history="1">
            <w:r w:rsidRPr="00220E1F">
              <w:rPr>
                <w:rStyle w:val="Hyperlink"/>
                <w:noProof/>
              </w:rPr>
              <w:t>Liquidity Assessment</w:t>
            </w:r>
            <w:r>
              <w:rPr>
                <w:noProof/>
                <w:webHidden/>
              </w:rPr>
              <w:tab/>
            </w:r>
            <w:r>
              <w:rPr>
                <w:noProof/>
                <w:webHidden/>
              </w:rPr>
              <w:fldChar w:fldCharType="begin"/>
            </w:r>
            <w:r>
              <w:rPr>
                <w:noProof/>
                <w:webHidden/>
              </w:rPr>
              <w:instrText xml:space="preserve"> PAGEREF _Toc216361474 \h </w:instrText>
            </w:r>
            <w:r>
              <w:rPr>
                <w:noProof/>
                <w:webHidden/>
              </w:rPr>
            </w:r>
            <w:r>
              <w:rPr>
                <w:noProof/>
                <w:webHidden/>
              </w:rPr>
              <w:fldChar w:fldCharType="separate"/>
            </w:r>
            <w:r w:rsidR="00C60925">
              <w:rPr>
                <w:noProof/>
                <w:webHidden/>
              </w:rPr>
              <w:t>7</w:t>
            </w:r>
            <w:r>
              <w:rPr>
                <w:noProof/>
                <w:webHidden/>
              </w:rPr>
              <w:fldChar w:fldCharType="end"/>
            </w:r>
          </w:hyperlink>
        </w:p>
        <w:p w14:paraId="7F4093F8" w14:textId="340FF49B" w:rsidR="000C01F6" w:rsidRDefault="000C01F6">
          <w:pPr>
            <w:pStyle w:val="TOC2"/>
            <w:tabs>
              <w:tab w:val="right" w:leader="dot" w:pos="9350"/>
            </w:tabs>
            <w:rPr>
              <w:rFonts w:asciiTheme="minorHAnsi" w:eastAsiaTheme="minorEastAsia" w:hAnsiTheme="minorHAnsi"/>
              <w:noProof/>
              <w:color w:val="auto"/>
              <w:szCs w:val="24"/>
            </w:rPr>
          </w:pPr>
          <w:hyperlink w:anchor="_Toc216361475" w:history="1">
            <w:r w:rsidRPr="00220E1F">
              <w:rPr>
                <w:rStyle w:val="Hyperlink"/>
                <w:noProof/>
              </w:rPr>
              <w:t>Financial Leverage and Solvency Assessment</w:t>
            </w:r>
            <w:r>
              <w:rPr>
                <w:noProof/>
                <w:webHidden/>
              </w:rPr>
              <w:tab/>
            </w:r>
            <w:r>
              <w:rPr>
                <w:noProof/>
                <w:webHidden/>
              </w:rPr>
              <w:fldChar w:fldCharType="begin"/>
            </w:r>
            <w:r>
              <w:rPr>
                <w:noProof/>
                <w:webHidden/>
              </w:rPr>
              <w:instrText xml:space="preserve"> PAGEREF _Toc216361475 \h </w:instrText>
            </w:r>
            <w:r>
              <w:rPr>
                <w:noProof/>
                <w:webHidden/>
              </w:rPr>
            </w:r>
            <w:r>
              <w:rPr>
                <w:noProof/>
                <w:webHidden/>
              </w:rPr>
              <w:fldChar w:fldCharType="separate"/>
            </w:r>
            <w:r w:rsidR="00C60925">
              <w:rPr>
                <w:noProof/>
                <w:webHidden/>
              </w:rPr>
              <w:t>7</w:t>
            </w:r>
            <w:r>
              <w:rPr>
                <w:noProof/>
                <w:webHidden/>
              </w:rPr>
              <w:fldChar w:fldCharType="end"/>
            </w:r>
          </w:hyperlink>
        </w:p>
        <w:p w14:paraId="6B79835B" w14:textId="6AA340A2" w:rsidR="000C01F6" w:rsidRDefault="000C01F6">
          <w:pPr>
            <w:pStyle w:val="TOC2"/>
            <w:tabs>
              <w:tab w:val="right" w:leader="dot" w:pos="9350"/>
            </w:tabs>
            <w:rPr>
              <w:rFonts w:asciiTheme="minorHAnsi" w:eastAsiaTheme="minorEastAsia" w:hAnsiTheme="minorHAnsi"/>
              <w:noProof/>
              <w:color w:val="auto"/>
              <w:szCs w:val="24"/>
            </w:rPr>
          </w:pPr>
          <w:hyperlink w:anchor="_Toc216361476" w:history="1">
            <w:r w:rsidRPr="00220E1F">
              <w:rPr>
                <w:rStyle w:val="Hyperlink"/>
                <w:noProof/>
              </w:rPr>
              <w:t>Operational Efficiency Review</w:t>
            </w:r>
            <w:r>
              <w:rPr>
                <w:noProof/>
                <w:webHidden/>
              </w:rPr>
              <w:tab/>
            </w:r>
            <w:r>
              <w:rPr>
                <w:noProof/>
                <w:webHidden/>
              </w:rPr>
              <w:fldChar w:fldCharType="begin"/>
            </w:r>
            <w:r>
              <w:rPr>
                <w:noProof/>
                <w:webHidden/>
              </w:rPr>
              <w:instrText xml:space="preserve"> PAGEREF _Toc216361476 \h </w:instrText>
            </w:r>
            <w:r>
              <w:rPr>
                <w:noProof/>
                <w:webHidden/>
              </w:rPr>
            </w:r>
            <w:r>
              <w:rPr>
                <w:noProof/>
                <w:webHidden/>
              </w:rPr>
              <w:fldChar w:fldCharType="separate"/>
            </w:r>
            <w:r w:rsidR="00C60925">
              <w:rPr>
                <w:noProof/>
                <w:webHidden/>
              </w:rPr>
              <w:t>8</w:t>
            </w:r>
            <w:r>
              <w:rPr>
                <w:noProof/>
                <w:webHidden/>
              </w:rPr>
              <w:fldChar w:fldCharType="end"/>
            </w:r>
          </w:hyperlink>
        </w:p>
        <w:p w14:paraId="2FB13A69" w14:textId="4E73ECD4" w:rsidR="000C01F6" w:rsidRDefault="000C01F6">
          <w:pPr>
            <w:pStyle w:val="TOC2"/>
            <w:tabs>
              <w:tab w:val="right" w:leader="dot" w:pos="9350"/>
            </w:tabs>
            <w:rPr>
              <w:rFonts w:asciiTheme="minorHAnsi" w:eastAsiaTheme="minorEastAsia" w:hAnsiTheme="minorHAnsi"/>
              <w:noProof/>
              <w:color w:val="auto"/>
              <w:szCs w:val="24"/>
            </w:rPr>
          </w:pPr>
          <w:hyperlink w:anchor="_Toc216361477" w:history="1">
            <w:r w:rsidRPr="00220E1F">
              <w:rPr>
                <w:rStyle w:val="Hyperlink"/>
                <w:noProof/>
              </w:rPr>
              <w:t>Cash Flow Performance Review</w:t>
            </w:r>
            <w:r>
              <w:rPr>
                <w:noProof/>
                <w:webHidden/>
              </w:rPr>
              <w:tab/>
            </w:r>
            <w:r>
              <w:rPr>
                <w:noProof/>
                <w:webHidden/>
              </w:rPr>
              <w:fldChar w:fldCharType="begin"/>
            </w:r>
            <w:r>
              <w:rPr>
                <w:noProof/>
                <w:webHidden/>
              </w:rPr>
              <w:instrText xml:space="preserve"> PAGEREF _Toc216361477 \h </w:instrText>
            </w:r>
            <w:r>
              <w:rPr>
                <w:noProof/>
                <w:webHidden/>
              </w:rPr>
            </w:r>
            <w:r>
              <w:rPr>
                <w:noProof/>
                <w:webHidden/>
              </w:rPr>
              <w:fldChar w:fldCharType="separate"/>
            </w:r>
            <w:r w:rsidR="00C60925">
              <w:rPr>
                <w:noProof/>
                <w:webHidden/>
              </w:rPr>
              <w:t>8</w:t>
            </w:r>
            <w:r>
              <w:rPr>
                <w:noProof/>
                <w:webHidden/>
              </w:rPr>
              <w:fldChar w:fldCharType="end"/>
            </w:r>
          </w:hyperlink>
        </w:p>
        <w:p w14:paraId="3D1AADD4" w14:textId="5370C59A" w:rsidR="000C01F6" w:rsidRDefault="000C01F6">
          <w:pPr>
            <w:pStyle w:val="TOC2"/>
            <w:tabs>
              <w:tab w:val="right" w:leader="dot" w:pos="9350"/>
            </w:tabs>
            <w:rPr>
              <w:rFonts w:asciiTheme="minorHAnsi" w:eastAsiaTheme="minorEastAsia" w:hAnsiTheme="minorHAnsi"/>
              <w:noProof/>
              <w:color w:val="auto"/>
              <w:szCs w:val="24"/>
            </w:rPr>
          </w:pPr>
          <w:hyperlink w:anchor="_Toc216361478" w:history="1">
            <w:r w:rsidRPr="00220E1F">
              <w:rPr>
                <w:rStyle w:val="Hyperlink"/>
                <w:noProof/>
              </w:rPr>
              <w:t>Altman Z-Score</w:t>
            </w:r>
            <w:r>
              <w:rPr>
                <w:noProof/>
                <w:webHidden/>
              </w:rPr>
              <w:tab/>
            </w:r>
            <w:r>
              <w:rPr>
                <w:noProof/>
                <w:webHidden/>
              </w:rPr>
              <w:fldChar w:fldCharType="begin"/>
            </w:r>
            <w:r>
              <w:rPr>
                <w:noProof/>
                <w:webHidden/>
              </w:rPr>
              <w:instrText xml:space="preserve"> PAGEREF _Toc216361478 \h </w:instrText>
            </w:r>
            <w:r>
              <w:rPr>
                <w:noProof/>
                <w:webHidden/>
              </w:rPr>
            </w:r>
            <w:r>
              <w:rPr>
                <w:noProof/>
                <w:webHidden/>
              </w:rPr>
              <w:fldChar w:fldCharType="separate"/>
            </w:r>
            <w:r w:rsidR="00C60925">
              <w:rPr>
                <w:noProof/>
                <w:webHidden/>
              </w:rPr>
              <w:t>9</w:t>
            </w:r>
            <w:r>
              <w:rPr>
                <w:noProof/>
                <w:webHidden/>
              </w:rPr>
              <w:fldChar w:fldCharType="end"/>
            </w:r>
          </w:hyperlink>
        </w:p>
        <w:p w14:paraId="438B7622" w14:textId="3A06AA10" w:rsidR="000C01F6" w:rsidRDefault="000C01F6">
          <w:pPr>
            <w:pStyle w:val="TOC2"/>
            <w:tabs>
              <w:tab w:val="right" w:leader="dot" w:pos="9350"/>
            </w:tabs>
            <w:rPr>
              <w:rFonts w:asciiTheme="minorHAnsi" w:eastAsiaTheme="minorEastAsia" w:hAnsiTheme="minorHAnsi"/>
              <w:noProof/>
              <w:color w:val="auto"/>
              <w:szCs w:val="24"/>
            </w:rPr>
          </w:pPr>
          <w:hyperlink w:anchor="_Toc216361479" w:history="1">
            <w:r w:rsidRPr="00220E1F">
              <w:rPr>
                <w:rStyle w:val="Hyperlink"/>
                <w:noProof/>
              </w:rPr>
              <w:t>Key Financial Issues Diagnosis</w:t>
            </w:r>
            <w:r>
              <w:rPr>
                <w:noProof/>
                <w:webHidden/>
              </w:rPr>
              <w:tab/>
            </w:r>
            <w:r>
              <w:rPr>
                <w:noProof/>
                <w:webHidden/>
              </w:rPr>
              <w:fldChar w:fldCharType="begin"/>
            </w:r>
            <w:r>
              <w:rPr>
                <w:noProof/>
                <w:webHidden/>
              </w:rPr>
              <w:instrText xml:space="preserve"> PAGEREF _Toc216361479 \h </w:instrText>
            </w:r>
            <w:r>
              <w:rPr>
                <w:noProof/>
                <w:webHidden/>
              </w:rPr>
            </w:r>
            <w:r>
              <w:rPr>
                <w:noProof/>
                <w:webHidden/>
              </w:rPr>
              <w:fldChar w:fldCharType="separate"/>
            </w:r>
            <w:r w:rsidR="00C60925">
              <w:rPr>
                <w:noProof/>
                <w:webHidden/>
              </w:rPr>
              <w:t>9</w:t>
            </w:r>
            <w:r>
              <w:rPr>
                <w:noProof/>
                <w:webHidden/>
              </w:rPr>
              <w:fldChar w:fldCharType="end"/>
            </w:r>
          </w:hyperlink>
        </w:p>
        <w:p w14:paraId="583FC134" w14:textId="3706C247" w:rsidR="000C01F6" w:rsidRDefault="000C01F6">
          <w:pPr>
            <w:pStyle w:val="TOC1"/>
            <w:tabs>
              <w:tab w:val="right" w:leader="dot" w:pos="9350"/>
            </w:tabs>
            <w:rPr>
              <w:rFonts w:asciiTheme="minorHAnsi" w:eastAsiaTheme="minorEastAsia" w:hAnsiTheme="minorHAnsi"/>
              <w:noProof/>
              <w:color w:val="auto"/>
              <w:szCs w:val="24"/>
            </w:rPr>
          </w:pPr>
          <w:hyperlink w:anchor="_Toc216361480" w:history="1">
            <w:r w:rsidRPr="00220E1F">
              <w:rPr>
                <w:rStyle w:val="Hyperlink"/>
                <w:noProof/>
              </w:rPr>
              <w:t>2. Working Capital Management Analysis</w:t>
            </w:r>
            <w:r>
              <w:rPr>
                <w:noProof/>
                <w:webHidden/>
              </w:rPr>
              <w:tab/>
            </w:r>
            <w:r>
              <w:rPr>
                <w:noProof/>
                <w:webHidden/>
              </w:rPr>
              <w:fldChar w:fldCharType="begin"/>
            </w:r>
            <w:r>
              <w:rPr>
                <w:noProof/>
                <w:webHidden/>
              </w:rPr>
              <w:instrText xml:space="preserve"> PAGEREF _Toc216361480 \h </w:instrText>
            </w:r>
            <w:r>
              <w:rPr>
                <w:noProof/>
                <w:webHidden/>
              </w:rPr>
            </w:r>
            <w:r>
              <w:rPr>
                <w:noProof/>
                <w:webHidden/>
              </w:rPr>
              <w:fldChar w:fldCharType="separate"/>
            </w:r>
            <w:r w:rsidR="00C60925">
              <w:rPr>
                <w:noProof/>
                <w:webHidden/>
              </w:rPr>
              <w:t>10</w:t>
            </w:r>
            <w:r>
              <w:rPr>
                <w:noProof/>
                <w:webHidden/>
              </w:rPr>
              <w:fldChar w:fldCharType="end"/>
            </w:r>
          </w:hyperlink>
        </w:p>
        <w:p w14:paraId="20E3D357" w14:textId="442DF1F8" w:rsidR="000C01F6" w:rsidRDefault="000C01F6">
          <w:pPr>
            <w:pStyle w:val="TOC2"/>
            <w:tabs>
              <w:tab w:val="right" w:leader="dot" w:pos="9350"/>
            </w:tabs>
            <w:rPr>
              <w:rFonts w:asciiTheme="minorHAnsi" w:eastAsiaTheme="minorEastAsia" w:hAnsiTheme="minorHAnsi"/>
              <w:noProof/>
              <w:color w:val="auto"/>
              <w:szCs w:val="24"/>
            </w:rPr>
          </w:pPr>
          <w:hyperlink w:anchor="_Toc216361481" w:history="1">
            <w:r w:rsidRPr="00220E1F">
              <w:rPr>
                <w:rStyle w:val="Hyperlink"/>
                <w:noProof/>
              </w:rPr>
              <w:t>Working Capital Management Overview</w:t>
            </w:r>
            <w:r>
              <w:rPr>
                <w:noProof/>
                <w:webHidden/>
              </w:rPr>
              <w:tab/>
            </w:r>
            <w:r>
              <w:rPr>
                <w:noProof/>
                <w:webHidden/>
              </w:rPr>
              <w:fldChar w:fldCharType="begin"/>
            </w:r>
            <w:r>
              <w:rPr>
                <w:noProof/>
                <w:webHidden/>
              </w:rPr>
              <w:instrText xml:space="preserve"> PAGEREF _Toc216361481 \h </w:instrText>
            </w:r>
            <w:r>
              <w:rPr>
                <w:noProof/>
                <w:webHidden/>
              </w:rPr>
            </w:r>
            <w:r>
              <w:rPr>
                <w:noProof/>
                <w:webHidden/>
              </w:rPr>
              <w:fldChar w:fldCharType="separate"/>
            </w:r>
            <w:r w:rsidR="00C60925">
              <w:rPr>
                <w:noProof/>
                <w:webHidden/>
              </w:rPr>
              <w:t>10</w:t>
            </w:r>
            <w:r>
              <w:rPr>
                <w:noProof/>
                <w:webHidden/>
              </w:rPr>
              <w:fldChar w:fldCharType="end"/>
            </w:r>
          </w:hyperlink>
        </w:p>
        <w:p w14:paraId="5F2F7636" w14:textId="21A2289F" w:rsidR="000C01F6" w:rsidRDefault="000C01F6">
          <w:pPr>
            <w:pStyle w:val="TOC2"/>
            <w:tabs>
              <w:tab w:val="right" w:leader="dot" w:pos="9350"/>
            </w:tabs>
            <w:rPr>
              <w:rFonts w:asciiTheme="minorHAnsi" w:eastAsiaTheme="minorEastAsia" w:hAnsiTheme="minorHAnsi"/>
              <w:noProof/>
              <w:color w:val="auto"/>
              <w:szCs w:val="24"/>
            </w:rPr>
          </w:pPr>
          <w:hyperlink w:anchor="_Toc216361482" w:history="1">
            <w:r w:rsidRPr="00220E1F">
              <w:rPr>
                <w:rStyle w:val="Hyperlink"/>
                <w:noProof/>
              </w:rPr>
              <w:t>Strategies for Enhancing Liquidity</w:t>
            </w:r>
            <w:r>
              <w:rPr>
                <w:noProof/>
                <w:webHidden/>
              </w:rPr>
              <w:tab/>
            </w:r>
            <w:r>
              <w:rPr>
                <w:noProof/>
                <w:webHidden/>
              </w:rPr>
              <w:fldChar w:fldCharType="begin"/>
            </w:r>
            <w:r>
              <w:rPr>
                <w:noProof/>
                <w:webHidden/>
              </w:rPr>
              <w:instrText xml:space="preserve"> PAGEREF _Toc216361482 \h </w:instrText>
            </w:r>
            <w:r>
              <w:rPr>
                <w:noProof/>
                <w:webHidden/>
              </w:rPr>
            </w:r>
            <w:r>
              <w:rPr>
                <w:noProof/>
                <w:webHidden/>
              </w:rPr>
              <w:fldChar w:fldCharType="separate"/>
            </w:r>
            <w:r w:rsidR="00C60925">
              <w:rPr>
                <w:noProof/>
                <w:webHidden/>
              </w:rPr>
              <w:t>11</w:t>
            </w:r>
            <w:r>
              <w:rPr>
                <w:noProof/>
                <w:webHidden/>
              </w:rPr>
              <w:fldChar w:fldCharType="end"/>
            </w:r>
          </w:hyperlink>
        </w:p>
        <w:p w14:paraId="3AD6EC01" w14:textId="489A1515" w:rsidR="000C01F6" w:rsidRDefault="000C01F6">
          <w:pPr>
            <w:pStyle w:val="TOC2"/>
            <w:tabs>
              <w:tab w:val="right" w:leader="dot" w:pos="9350"/>
            </w:tabs>
            <w:rPr>
              <w:rFonts w:asciiTheme="minorHAnsi" w:eastAsiaTheme="minorEastAsia" w:hAnsiTheme="minorHAnsi"/>
              <w:noProof/>
              <w:color w:val="auto"/>
              <w:szCs w:val="24"/>
            </w:rPr>
          </w:pPr>
          <w:hyperlink w:anchor="_Toc216361483" w:history="1">
            <w:r w:rsidRPr="00220E1F">
              <w:rPr>
                <w:rStyle w:val="Hyperlink"/>
                <w:noProof/>
              </w:rPr>
              <w:t>Financing Strategy: Balancing Short-Term and Long-Term Funding</w:t>
            </w:r>
            <w:r>
              <w:rPr>
                <w:noProof/>
                <w:webHidden/>
              </w:rPr>
              <w:tab/>
            </w:r>
            <w:r>
              <w:rPr>
                <w:noProof/>
                <w:webHidden/>
              </w:rPr>
              <w:fldChar w:fldCharType="begin"/>
            </w:r>
            <w:r>
              <w:rPr>
                <w:noProof/>
                <w:webHidden/>
              </w:rPr>
              <w:instrText xml:space="preserve"> PAGEREF _Toc216361483 \h </w:instrText>
            </w:r>
            <w:r>
              <w:rPr>
                <w:noProof/>
                <w:webHidden/>
              </w:rPr>
            </w:r>
            <w:r>
              <w:rPr>
                <w:noProof/>
                <w:webHidden/>
              </w:rPr>
              <w:fldChar w:fldCharType="separate"/>
            </w:r>
            <w:r w:rsidR="00C60925">
              <w:rPr>
                <w:noProof/>
                <w:webHidden/>
              </w:rPr>
              <w:t>11</w:t>
            </w:r>
            <w:r>
              <w:rPr>
                <w:noProof/>
                <w:webHidden/>
              </w:rPr>
              <w:fldChar w:fldCharType="end"/>
            </w:r>
          </w:hyperlink>
        </w:p>
        <w:p w14:paraId="6228BBE7" w14:textId="67542D55" w:rsidR="000C01F6" w:rsidRDefault="000C01F6">
          <w:pPr>
            <w:pStyle w:val="TOC2"/>
            <w:tabs>
              <w:tab w:val="right" w:leader="dot" w:pos="9350"/>
            </w:tabs>
            <w:rPr>
              <w:rFonts w:asciiTheme="minorHAnsi" w:eastAsiaTheme="minorEastAsia" w:hAnsiTheme="minorHAnsi"/>
              <w:noProof/>
              <w:color w:val="auto"/>
              <w:szCs w:val="24"/>
            </w:rPr>
          </w:pPr>
          <w:hyperlink w:anchor="_Toc216361484" w:history="1">
            <w:r w:rsidRPr="00220E1F">
              <w:rPr>
                <w:rStyle w:val="Hyperlink"/>
                <w:noProof/>
              </w:rPr>
              <w:t>Working Capital Overview</w:t>
            </w:r>
            <w:r>
              <w:rPr>
                <w:noProof/>
                <w:webHidden/>
              </w:rPr>
              <w:tab/>
            </w:r>
            <w:r>
              <w:rPr>
                <w:noProof/>
                <w:webHidden/>
              </w:rPr>
              <w:fldChar w:fldCharType="begin"/>
            </w:r>
            <w:r>
              <w:rPr>
                <w:noProof/>
                <w:webHidden/>
              </w:rPr>
              <w:instrText xml:space="preserve"> PAGEREF _Toc216361484 \h </w:instrText>
            </w:r>
            <w:r>
              <w:rPr>
                <w:noProof/>
                <w:webHidden/>
              </w:rPr>
            </w:r>
            <w:r>
              <w:rPr>
                <w:noProof/>
                <w:webHidden/>
              </w:rPr>
              <w:fldChar w:fldCharType="separate"/>
            </w:r>
            <w:r w:rsidR="00C60925">
              <w:rPr>
                <w:noProof/>
                <w:webHidden/>
              </w:rPr>
              <w:t>12</w:t>
            </w:r>
            <w:r>
              <w:rPr>
                <w:noProof/>
                <w:webHidden/>
              </w:rPr>
              <w:fldChar w:fldCharType="end"/>
            </w:r>
          </w:hyperlink>
        </w:p>
        <w:p w14:paraId="4FBD6914" w14:textId="0C86587C" w:rsidR="000C01F6" w:rsidRDefault="000C01F6">
          <w:pPr>
            <w:pStyle w:val="TOC1"/>
            <w:tabs>
              <w:tab w:val="right" w:leader="dot" w:pos="9350"/>
            </w:tabs>
            <w:rPr>
              <w:rFonts w:asciiTheme="minorHAnsi" w:eastAsiaTheme="minorEastAsia" w:hAnsiTheme="minorHAnsi"/>
              <w:noProof/>
              <w:color w:val="auto"/>
              <w:szCs w:val="24"/>
            </w:rPr>
          </w:pPr>
          <w:hyperlink w:anchor="_Toc216361485" w:history="1">
            <w:r w:rsidRPr="00220E1F">
              <w:rPr>
                <w:rStyle w:val="Hyperlink"/>
                <w:noProof/>
              </w:rPr>
              <w:t>3. Strategic Financial Restructuring Plan</w:t>
            </w:r>
            <w:r>
              <w:rPr>
                <w:noProof/>
                <w:webHidden/>
              </w:rPr>
              <w:tab/>
            </w:r>
            <w:r>
              <w:rPr>
                <w:noProof/>
                <w:webHidden/>
              </w:rPr>
              <w:fldChar w:fldCharType="begin"/>
            </w:r>
            <w:r>
              <w:rPr>
                <w:noProof/>
                <w:webHidden/>
              </w:rPr>
              <w:instrText xml:space="preserve"> PAGEREF _Toc216361485 \h </w:instrText>
            </w:r>
            <w:r>
              <w:rPr>
                <w:noProof/>
                <w:webHidden/>
              </w:rPr>
            </w:r>
            <w:r>
              <w:rPr>
                <w:noProof/>
                <w:webHidden/>
              </w:rPr>
              <w:fldChar w:fldCharType="separate"/>
            </w:r>
            <w:r w:rsidR="00C60925">
              <w:rPr>
                <w:noProof/>
                <w:webHidden/>
              </w:rPr>
              <w:t>13</w:t>
            </w:r>
            <w:r>
              <w:rPr>
                <w:noProof/>
                <w:webHidden/>
              </w:rPr>
              <w:fldChar w:fldCharType="end"/>
            </w:r>
          </w:hyperlink>
        </w:p>
        <w:p w14:paraId="30750E24" w14:textId="4AEDB8BE" w:rsidR="000C01F6" w:rsidRDefault="000C01F6">
          <w:pPr>
            <w:pStyle w:val="TOC2"/>
            <w:tabs>
              <w:tab w:val="right" w:leader="dot" w:pos="9350"/>
            </w:tabs>
            <w:rPr>
              <w:rFonts w:asciiTheme="minorHAnsi" w:eastAsiaTheme="minorEastAsia" w:hAnsiTheme="minorHAnsi"/>
              <w:noProof/>
              <w:color w:val="auto"/>
              <w:szCs w:val="24"/>
            </w:rPr>
          </w:pPr>
          <w:hyperlink w:anchor="_Toc216361486" w:history="1">
            <w:r w:rsidRPr="00220E1F">
              <w:rPr>
                <w:rStyle w:val="Hyperlink"/>
                <w:noProof/>
              </w:rPr>
              <w:t>Justification for Financial Restructuring</w:t>
            </w:r>
            <w:r>
              <w:rPr>
                <w:noProof/>
                <w:webHidden/>
              </w:rPr>
              <w:tab/>
            </w:r>
            <w:r>
              <w:rPr>
                <w:noProof/>
                <w:webHidden/>
              </w:rPr>
              <w:fldChar w:fldCharType="begin"/>
            </w:r>
            <w:r>
              <w:rPr>
                <w:noProof/>
                <w:webHidden/>
              </w:rPr>
              <w:instrText xml:space="preserve"> PAGEREF _Toc216361486 \h </w:instrText>
            </w:r>
            <w:r>
              <w:rPr>
                <w:noProof/>
                <w:webHidden/>
              </w:rPr>
            </w:r>
            <w:r>
              <w:rPr>
                <w:noProof/>
                <w:webHidden/>
              </w:rPr>
              <w:fldChar w:fldCharType="separate"/>
            </w:r>
            <w:r w:rsidR="00C60925">
              <w:rPr>
                <w:noProof/>
                <w:webHidden/>
              </w:rPr>
              <w:t>13</w:t>
            </w:r>
            <w:r>
              <w:rPr>
                <w:noProof/>
                <w:webHidden/>
              </w:rPr>
              <w:fldChar w:fldCharType="end"/>
            </w:r>
          </w:hyperlink>
        </w:p>
        <w:p w14:paraId="15AC47CF" w14:textId="5BF89579" w:rsidR="000C01F6" w:rsidRDefault="000C01F6">
          <w:pPr>
            <w:pStyle w:val="TOC2"/>
            <w:tabs>
              <w:tab w:val="right" w:leader="dot" w:pos="9350"/>
            </w:tabs>
            <w:rPr>
              <w:rFonts w:asciiTheme="minorHAnsi" w:eastAsiaTheme="minorEastAsia" w:hAnsiTheme="minorHAnsi"/>
              <w:noProof/>
              <w:color w:val="auto"/>
              <w:szCs w:val="24"/>
            </w:rPr>
          </w:pPr>
          <w:hyperlink w:anchor="_Toc216361487" w:history="1">
            <w:r w:rsidRPr="00220E1F">
              <w:rPr>
                <w:rStyle w:val="Hyperlink"/>
                <w:noProof/>
              </w:rPr>
              <w:t>Evaluation of Restructuring Alternatives</w:t>
            </w:r>
            <w:r>
              <w:rPr>
                <w:noProof/>
                <w:webHidden/>
              </w:rPr>
              <w:tab/>
            </w:r>
            <w:r>
              <w:rPr>
                <w:noProof/>
                <w:webHidden/>
              </w:rPr>
              <w:fldChar w:fldCharType="begin"/>
            </w:r>
            <w:r>
              <w:rPr>
                <w:noProof/>
                <w:webHidden/>
              </w:rPr>
              <w:instrText xml:space="preserve"> PAGEREF _Toc216361487 \h </w:instrText>
            </w:r>
            <w:r>
              <w:rPr>
                <w:noProof/>
                <w:webHidden/>
              </w:rPr>
            </w:r>
            <w:r>
              <w:rPr>
                <w:noProof/>
                <w:webHidden/>
              </w:rPr>
              <w:fldChar w:fldCharType="separate"/>
            </w:r>
            <w:r w:rsidR="00C60925">
              <w:rPr>
                <w:noProof/>
                <w:webHidden/>
              </w:rPr>
              <w:t>13</w:t>
            </w:r>
            <w:r>
              <w:rPr>
                <w:noProof/>
                <w:webHidden/>
              </w:rPr>
              <w:fldChar w:fldCharType="end"/>
            </w:r>
          </w:hyperlink>
        </w:p>
        <w:p w14:paraId="0D4B83AE" w14:textId="09A4654E" w:rsidR="000C01F6" w:rsidRDefault="000C01F6">
          <w:pPr>
            <w:pStyle w:val="TOC2"/>
            <w:tabs>
              <w:tab w:val="right" w:leader="dot" w:pos="9350"/>
            </w:tabs>
            <w:rPr>
              <w:rFonts w:asciiTheme="minorHAnsi" w:eastAsiaTheme="minorEastAsia" w:hAnsiTheme="minorHAnsi"/>
              <w:noProof/>
              <w:color w:val="auto"/>
              <w:szCs w:val="24"/>
            </w:rPr>
          </w:pPr>
          <w:hyperlink w:anchor="_Toc216361488" w:history="1">
            <w:r w:rsidRPr="00220E1F">
              <w:rPr>
                <w:rStyle w:val="Hyperlink"/>
                <w:noProof/>
              </w:rPr>
              <w:t>Impact on Shareholder Value</w:t>
            </w:r>
            <w:r>
              <w:rPr>
                <w:noProof/>
                <w:webHidden/>
              </w:rPr>
              <w:tab/>
            </w:r>
            <w:r>
              <w:rPr>
                <w:noProof/>
                <w:webHidden/>
              </w:rPr>
              <w:fldChar w:fldCharType="begin"/>
            </w:r>
            <w:r>
              <w:rPr>
                <w:noProof/>
                <w:webHidden/>
              </w:rPr>
              <w:instrText xml:space="preserve"> PAGEREF _Toc216361488 \h </w:instrText>
            </w:r>
            <w:r>
              <w:rPr>
                <w:noProof/>
                <w:webHidden/>
              </w:rPr>
            </w:r>
            <w:r>
              <w:rPr>
                <w:noProof/>
                <w:webHidden/>
              </w:rPr>
              <w:fldChar w:fldCharType="separate"/>
            </w:r>
            <w:r w:rsidR="00C60925">
              <w:rPr>
                <w:noProof/>
                <w:webHidden/>
              </w:rPr>
              <w:t>14</w:t>
            </w:r>
            <w:r>
              <w:rPr>
                <w:noProof/>
                <w:webHidden/>
              </w:rPr>
              <w:fldChar w:fldCharType="end"/>
            </w:r>
          </w:hyperlink>
        </w:p>
        <w:p w14:paraId="25075585" w14:textId="43580D52" w:rsidR="000C01F6" w:rsidRDefault="000C01F6">
          <w:pPr>
            <w:pStyle w:val="TOC2"/>
            <w:tabs>
              <w:tab w:val="right" w:leader="dot" w:pos="9350"/>
            </w:tabs>
            <w:rPr>
              <w:rFonts w:asciiTheme="minorHAnsi" w:eastAsiaTheme="minorEastAsia" w:hAnsiTheme="minorHAnsi"/>
              <w:noProof/>
              <w:color w:val="auto"/>
              <w:szCs w:val="24"/>
            </w:rPr>
          </w:pPr>
          <w:hyperlink w:anchor="_Toc216361489" w:history="1">
            <w:r w:rsidRPr="00220E1F">
              <w:rPr>
                <w:rStyle w:val="Hyperlink"/>
                <w:noProof/>
              </w:rPr>
              <w:t>Global Factors and Implications</w:t>
            </w:r>
            <w:r>
              <w:rPr>
                <w:noProof/>
                <w:webHidden/>
              </w:rPr>
              <w:tab/>
            </w:r>
            <w:r>
              <w:rPr>
                <w:noProof/>
                <w:webHidden/>
              </w:rPr>
              <w:fldChar w:fldCharType="begin"/>
            </w:r>
            <w:r>
              <w:rPr>
                <w:noProof/>
                <w:webHidden/>
              </w:rPr>
              <w:instrText xml:space="preserve"> PAGEREF _Toc216361489 \h </w:instrText>
            </w:r>
            <w:r>
              <w:rPr>
                <w:noProof/>
                <w:webHidden/>
              </w:rPr>
            </w:r>
            <w:r>
              <w:rPr>
                <w:noProof/>
                <w:webHidden/>
              </w:rPr>
              <w:fldChar w:fldCharType="separate"/>
            </w:r>
            <w:r w:rsidR="00C60925">
              <w:rPr>
                <w:noProof/>
                <w:webHidden/>
              </w:rPr>
              <w:t>15</w:t>
            </w:r>
            <w:r>
              <w:rPr>
                <w:noProof/>
                <w:webHidden/>
              </w:rPr>
              <w:fldChar w:fldCharType="end"/>
            </w:r>
          </w:hyperlink>
        </w:p>
        <w:p w14:paraId="2568A8B5" w14:textId="20DD7DAE" w:rsidR="000C01F6" w:rsidRDefault="000C01F6">
          <w:pPr>
            <w:pStyle w:val="TOC2"/>
            <w:tabs>
              <w:tab w:val="right" w:leader="dot" w:pos="9350"/>
            </w:tabs>
            <w:rPr>
              <w:rFonts w:asciiTheme="minorHAnsi" w:eastAsiaTheme="minorEastAsia" w:hAnsiTheme="minorHAnsi"/>
              <w:noProof/>
              <w:color w:val="auto"/>
              <w:szCs w:val="24"/>
            </w:rPr>
          </w:pPr>
          <w:hyperlink w:anchor="_Toc216361490" w:history="1">
            <w:r w:rsidRPr="00220E1F">
              <w:rPr>
                <w:rStyle w:val="Hyperlink"/>
                <w:noProof/>
              </w:rPr>
              <w:t>Social Responsibility and Ethical Framework</w:t>
            </w:r>
            <w:r>
              <w:rPr>
                <w:noProof/>
                <w:webHidden/>
              </w:rPr>
              <w:tab/>
            </w:r>
            <w:r>
              <w:rPr>
                <w:noProof/>
                <w:webHidden/>
              </w:rPr>
              <w:fldChar w:fldCharType="begin"/>
            </w:r>
            <w:r>
              <w:rPr>
                <w:noProof/>
                <w:webHidden/>
              </w:rPr>
              <w:instrText xml:space="preserve"> PAGEREF _Toc216361490 \h </w:instrText>
            </w:r>
            <w:r>
              <w:rPr>
                <w:noProof/>
                <w:webHidden/>
              </w:rPr>
            </w:r>
            <w:r>
              <w:rPr>
                <w:noProof/>
                <w:webHidden/>
              </w:rPr>
              <w:fldChar w:fldCharType="separate"/>
            </w:r>
            <w:r w:rsidR="00C60925">
              <w:rPr>
                <w:noProof/>
                <w:webHidden/>
              </w:rPr>
              <w:t>15</w:t>
            </w:r>
            <w:r>
              <w:rPr>
                <w:noProof/>
                <w:webHidden/>
              </w:rPr>
              <w:fldChar w:fldCharType="end"/>
            </w:r>
          </w:hyperlink>
        </w:p>
        <w:p w14:paraId="3B1CF5FB" w14:textId="47A1227B" w:rsidR="000C01F6" w:rsidRDefault="000C01F6">
          <w:pPr>
            <w:pStyle w:val="TOC2"/>
            <w:tabs>
              <w:tab w:val="right" w:leader="dot" w:pos="9350"/>
            </w:tabs>
            <w:rPr>
              <w:rFonts w:asciiTheme="minorHAnsi" w:eastAsiaTheme="minorEastAsia" w:hAnsiTheme="minorHAnsi"/>
              <w:noProof/>
              <w:color w:val="auto"/>
              <w:szCs w:val="24"/>
            </w:rPr>
          </w:pPr>
          <w:hyperlink w:anchor="_Toc216361491" w:history="1">
            <w:r w:rsidRPr="00220E1F">
              <w:rPr>
                <w:rStyle w:val="Hyperlink"/>
                <w:bCs/>
                <w:noProof/>
              </w:rPr>
              <w:t>Overview of Restructuring Approach</w:t>
            </w:r>
            <w:r>
              <w:rPr>
                <w:noProof/>
                <w:webHidden/>
              </w:rPr>
              <w:tab/>
            </w:r>
            <w:r>
              <w:rPr>
                <w:noProof/>
                <w:webHidden/>
              </w:rPr>
              <w:fldChar w:fldCharType="begin"/>
            </w:r>
            <w:r>
              <w:rPr>
                <w:noProof/>
                <w:webHidden/>
              </w:rPr>
              <w:instrText xml:space="preserve"> PAGEREF _Toc216361491 \h </w:instrText>
            </w:r>
            <w:r>
              <w:rPr>
                <w:noProof/>
                <w:webHidden/>
              </w:rPr>
            </w:r>
            <w:r>
              <w:rPr>
                <w:noProof/>
                <w:webHidden/>
              </w:rPr>
              <w:fldChar w:fldCharType="separate"/>
            </w:r>
            <w:r w:rsidR="00C60925">
              <w:rPr>
                <w:noProof/>
                <w:webHidden/>
              </w:rPr>
              <w:t>16</w:t>
            </w:r>
            <w:r>
              <w:rPr>
                <w:noProof/>
                <w:webHidden/>
              </w:rPr>
              <w:fldChar w:fldCharType="end"/>
            </w:r>
          </w:hyperlink>
        </w:p>
        <w:p w14:paraId="611569EF" w14:textId="17CA9B6D" w:rsidR="000C01F6" w:rsidRDefault="000C01F6">
          <w:pPr>
            <w:pStyle w:val="TOC1"/>
            <w:tabs>
              <w:tab w:val="right" w:leader="dot" w:pos="9350"/>
            </w:tabs>
            <w:rPr>
              <w:rFonts w:asciiTheme="minorHAnsi" w:eastAsiaTheme="minorEastAsia" w:hAnsiTheme="minorHAnsi"/>
              <w:noProof/>
              <w:color w:val="auto"/>
              <w:szCs w:val="24"/>
            </w:rPr>
          </w:pPr>
          <w:hyperlink w:anchor="_Toc216361492" w:history="1">
            <w:r w:rsidRPr="00220E1F">
              <w:rPr>
                <w:rStyle w:val="Hyperlink"/>
                <w:noProof/>
              </w:rPr>
              <w:t>4. Investment Appraisal and Capital Budgeting</w:t>
            </w:r>
            <w:r>
              <w:rPr>
                <w:noProof/>
                <w:webHidden/>
              </w:rPr>
              <w:tab/>
            </w:r>
            <w:r>
              <w:rPr>
                <w:noProof/>
                <w:webHidden/>
              </w:rPr>
              <w:fldChar w:fldCharType="begin"/>
            </w:r>
            <w:r>
              <w:rPr>
                <w:noProof/>
                <w:webHidden/>
              </w:rPr>
              <w:instrText xml:space="preserve"> PAGEREF _Toc216361492 \h </w:instrText>
            </w:r>
            <w:r>
              <w:rPr>
                <w:noProof/>
                <w:webHidden/>
              </w:rPr>
            </w:r>
            <w:r>
              <w:rPr>
                <w:noProof/>
                <w:webHidden/>
              </w:rPr>
              <w:fldChar w:fldCharType="separate"/>
            </w:r>
            <w:r w:rsidR="00C60925">
              <w:rPr>
                <w:noProof/>
                <w:webHidden/>
              </w:rPr>
              <w:t>16</w:t>
            </w:r>
            <w:r>
              <w:rPr>
                <w:noProof/>
                <w:webHidden/>
              </w:rPr>
              <w:fldChar w:fldCharType="end"/>
            </w:r>
          </w:hyperlink>
        </w:p>
        <w:p w14:paraId="0D8DE82B" w14:textId="2436F152" w:rsidR="000C01F6" w:rsidRDefault="000C01F6">
          <w:pPr>
            <w:pStyle w:val="TOC2"/>
            <w:tabs>
              <w:tab w:val="right" w:leader="dot" w:pos="9350"/>
            </w:tabs>
            <w:rPr>
              <w:rFonts w:asciiTheme="minorHAnsi" w:eastAsiaTheme="minorEastAsia" w:hAnsiTheme="minorHAnsi"/>
              <w:noProof/>
              <w:color w:val="auto"/>
              <w:szCs w:val="24"/>
            </w:rPr>
          </w:pPr>
          <w:hyperlink w:anchor="_Toc216361493" w:history="1">
            <w:r w:rsidRPr="00220E1F">
              <w:rPr>
                <w:rStyle w:val="Hyperlink"/>
                <w:noProof/>
              </w:rPr>
              <w:t>Investment Decision Framework</w:t>
            </w:r>
            <w:r>
              <w:rPr>
                <w:noProof/>
                <w:webHidden/>
              </w:rPr>
              <w:tab/>
            </w:r>
            <w:r>
              <w:rPr>
                <w:noProof/>
                <w:webHidden/>
              </w:rPr>
              <w:fldChar w:fldCharType="begin"/>
            </w:r>
            <w:r>
              <w:rPr>
                <w:noProof/>
                <w:webHidden/>
              </w:rPr>
              <w:instrText xml:space="preserve"> PAGEREF _Toc216361493 \h </w:instrText>
            </w:r>
            <w:r>
              <w:rPr>
                <w:noProof/>
                <w:webHidden/>
              </w:rPr>
            </w:r>
            <w:r>
              <w:rPr>
                <w:noProof/>
                <w:webHidden/>
              </w:rPr>
              <w:fldChar w:fldCharType="separate"/>
            </w:r>
            <w:r w:rsidR="00C60925">
              <w:rPr>
                <w:noProof/>
                <w:webHidden/>
              </w:rPr>
              <w:t>16</w:t>
            </w:r>
            <w:r>
              <w:rPr>
                <w:noProof/>
                <w:webHidden/>
              </w:rPr>
              <w:fldChar w:fldCharType="end"/>
            </w:r>
          </w:hyperlink>
        </w:p>
        <w:p w14:paraId="18107425" w14:textId="30C347BE" w:rsidR="000C01F6" w:rsidRDefault="000C01F6">
          <w:pPr>
            <w:pStyle w:val="TOC2"/>
            <w:tabs>
              <w:tab w:val="right" w:leader="dot" w:pos="9350"/>
            </w:tabs>
            <w:rPr>
              <w:rFonts w:asciiTheme="minorHAnsi" w:eastAsiaTheme="minorEastAsia" w:hAnsiTheme="minorHAnsi"/>
              <w:noProof/>
              <w:color w:val="auto"/>
              <w:szCs w:val="24"/>
            </w:rPr>
          </w:pPr>
          <w:hyperlink w:anchor="_Toc216361494" w:history="1">
            <w:r w:rsidRPr="00220E1F">
              <w:rPr>
                <w:rStyle w:val="Hyperlink"/>
                <w:noProof/>
              </w:rPr>
              <w:t>Project Assessment Using Five Evaluation Methods</w:t>
            </w:r>
            <w:r>
              <w:rPr>
                <w:noProof/>
                <w:webHidden/>
              </w:rPr>
              <w:tab/>
            </w:r>
            <w:r>
              <w:rPr>
                <w:noProof/>
                <w:webHidden/>
              </w:rPr>
              <w:fldChar w:fldCharType="begin"/>
            </w:r>
            <w:r>
              <w:rPr>
                <w:noProof/>
                <w:webHidden/>
              </w:rPr>
              <w:instrText xml:space="preserve"> PAGEREF _Toc216361494 \h </w:instrText>
            </w:r>
            <w:r>
              <w:rPr>
                <w:noProof/>
                <w:webHidden/>
              </w:rPr>
            </w:r>
            <w:r>
              <w:rPr>
                <w:noProof/>
                <w:webHidden/>
              </w:rPr>
              <w:fldChar w:fldCharType="separate"/>
            </w:r>
            <w:r w:rsidR="00C60925">
              <w:rPr>
                <w:noProof/>
                <w:webHidden/>
              </w:rPr>
              <w:t>17</w:t>
            </w:r>
            <w:r>
              <w:rPr>
                <w:noProof/>
                <w:webHidden/>
              </w:rPr>
              <w:fldChar w:fldCharType="end"/>
            </w:r>
          </w:hyperlink>
        </w:p>
        <w:p w14:paraId="4A445D99" w14:textId="0623C0FA" w:rsidR="000C01F6" w:rsidRDefault="000C01F6">
          <w:pPr>
            <w:pStyle w:val="TOC2"/>
            <w:tabs>
              <w:tab w:val="right" w:leader="dot" w:pos="9350"/>
            </w:tabs>
            <w:rPr>
              <w:rFonts w:asciiTheme="minorHAnsi" w:eastAsiaTheme="minorEastAsia" w:hAnsiTheme="minorHAnsi"/>
              <w:noProof/>
              <w:color w:val="auto"/>
              <w:szCs w:val="24"/>
            </w:rPr>
          </w:pPr>
          <w:hyperlink w:anchor="_Toc216361495" w:history="1">
            <w:r w:rsidRPr="00220E1F">
              <w:rPr>
                <w:rStyle w:val="Hyperlink"/>
                <w:noProof/>
              </w:rPr>
              <w:t>Financial Comparison of the Three Projects</w:t>
            </w:r>
            <w:r>
              <w:rPr>
                <w:noProof/>
                <w:webHidden/>
              </w:rPr>
              <w:tab/>
            </w:r>
            <w:r>
              <w:rPr>
                <w:noProof/>
                <w:webHidden/>
              </w:rPr>
              <w:fldChar w:fldCharType="begin"/>
            </w:r>
            <w:r>
              <w:rPr>
                <w:noProof/>
                <w:webHidden/>
              </w:rPr>
              <w:instrText xml:space="preserve"> PAGEREF _Toc216361495 \h </w:instrText>
            </w:r>
            <w:r>
              <w:rPr>
                <w:noProof/>
                <w:webHidden/>
              </w:rPr>
            </w:r>
            <w:r>
              <w:rPr>
                <w:noProof/>
                <w:webHidden/>
              </w:rPr>
              <w:fldChar w:fldCharType="separate"/>
            </w:r>
            <w:r w:rsidR="00C60925">
              <w:rPr>
                <w:noProof/>
                <w:webHidden/>
              </w:rPr>
              <w:t>18</w:t>
            </w:r>
            <w:r>
              <w:rPr>
                <w:noProof/>
                <w:webHidden/>
              </w:rPr>
              <w:fldChar w:fldCharType="end"/>
            </w:r>
          </w:hyperlink>
        </w:p>
        <w:p w14:paraId="3BC78C3A" w14:textId="065A11E4" w:rsidR="000C01F6" w:rsidRDefault="000C01F6">
          <w:pPr>
            <w:pStyle w:val="TOC2"/>
            <w:tabs>
              <w:tab w:val="right" w:leader="dot" w:pos="9350"/>
            </w:tabs>
            <w:rPr>
              <w:rFonts w:asciiTheme="minorHAnsi" w:eastAsiaTheme="minorEastAsia" w:hAnsiTheme="minorHAnsi"/>
              <w:noProof/>
              <w:color w:val="auto"/>
              <w:szCs w:val="24"/>
            </w:rPr>
          </w:pPr>
          <w:hyperlink w:anchor="_Toc216361496" w:history="1">
            <w:r w:rsidRPr="00220E1F">
              <w:rPr>
                <w:rStyle w:val="Hyperlink"/>
                <w:noProof/>
              </w:rPr>
              <w:t>Analysis of Capital Rationing Constraints</w:t>
            </w:r>
            <w:r>
              <w:rPr>
                <w:noProof/>
                <w:webHidden/>
              </w:rPr>
              <w:tab/>
            </w:r>
            <w:r>
              <w:rPr>
                <w:noProof/>
                <w:webHidden/>
              </w:rPr>
              <w:fldChar w:fldCharType="begin"/>
            </w:r>
            <w:r>
              <w:rPr>
                <w:noProof/>
                <w:webHidden/>
              </w:rPr>
              <w:instrText xml:space="preserve"> PAGEREF _Toc216361496 \h </w:instrText>
            </w:r>
            <w:r>
              <w:rPr>
                <w:noProof/>
                <w:webHidden/>
              </w:rPr>
            </w:r>
            <w:r>
              <w:rPr>
                <w:noProof/>
                <w:webHidden/>
              </w:rPr>
              <w:fldChar w:fldCharType="separate"/>
            </w:r>
            <w:r w:rsidR="00C60925">
              <w:rPr>
                <w:noProof/>
                <w:webHidden/>
              </w:rPr>
              <w:t>19</w:t>
            </w:r>
            <w:r>
              <w:rPr>
                <w:noProof/>
                <w:webHidden/>
              </w:rPr>
              <w:fldChar w:fldCharType="end"/>
            </w:r>
          </w:hyperlink>
        </w:p>
        <w:p w14:paraId="715B5825" w14:textId="6FC594B6" w:rsidR="000C01F6" w:rsidRDefault="000C01F6">
          <w:pPr>
            <w:pStyle w:val="TOC2"/>
            <w:tabs>
              <w:tab w:val="right" w:leader="dot" w:pos="9350"/>
            </w:tabs>
            <w:rPr>
              <w:rFonts w:asciiTheme="minorHAnsi" w:eastAsiaTheme="minorEastAsia" w:hAnsiTheme="minorHAnsi"/>
              <w:noProof/>
              <w:color w:val="auto"/>
              <w:szCs w:val="24"/>
            </w:rPr>
          </w:pPr>
          <w:hyperlink w:anchor="_Toc216361497" w:history="1">
            <w:r w:rsidRPr="00220E1F">
              <w:rPr>
                <w:rStyle w:val="Hyperlink"/>
                <w:noProof/>
              </w:rPr>
              <w:t>Justification for Selecting the Final Project</w:t>
            </w:r>
            <w:r>
              <w:rPr>
                <w:noProof/>
                <w:webHidden/>
              </w:rPr>
              <w:tab/>
            </w:r>
            <w:r>
              <w:rPr>
                <w:noProof/>
                <w:webHidden/>
              </w:rPr>
              <w:fldChar w:fldCharType="begin"/>
            </w:r>
            <w:r>
              <w:rPr>
                <w:noProof/>
                <w:webHidden/>
              </w:rPr>
              <w:instrText xml:space="preserve"> PAGEREF _Toc216361497 \h </w:instrText>
            </w:r>
            <w:r>
              <w:rPr>
                <w:noProof/>
                <w:webHidden/>
              </w:rPr>
            </w:r>
            <w:r>
              <w:rPr>
                <w:noProof/>
                <w:webHidden/>
              </w:rPr>
              <w:fldChar w:fldCharType="separate"/>
            </w:r>
            <w:r w:rsidR="00C60925">
              <w:rPr>
                <w:noProof/>
                <w:webHidden/>
              </w:rPr>
              <w:t>20</w:t>
            </w:r>
            <w:r>
              <w:rPr>
                <w:noProof/>
                <w:webHidden/>
              </w:rPr>
              <w:fldChar w:fldCharType="end"/>
            </w:r>
          </w:hyperlink>
        </w:p>
        <w:p w14:paraId="585183CB" w14:textId="3BFE40B1" w:rsidR="000C01F6" w:rsidRDefault="000C01F6">
          <w:pPr>
            <w:pStyle w:val="TOC2"/>
            <w:tabs>
              <w:tab w:val="right" w:leader="dot" w:pos="9350"/>
            </w:tabs>
            <w:rPr>
              <w:rFonts w:asciiTheme="minorHAnsi" w:eastAsiaTheme="minorEastAsia" w:hAnsiTheme="minorHAnsi"/>
              <w:noProof/>
              <w:color w:val="auto"/>
              <w:szCs w:val="24"/>
            </w:rPr>
          </w:pPr>
          <w:hyperlink w:anchor="_Toc216361498" w:history="1">
            <w:r w:rsidRPr="00220E1F">
              <w:rPr>
                <w:rStyle w:val="Hyperlink"/>
                <w:noProof/>
              </w:rPr>
              <w:t>Evaluation of Sensitivity and Risk</w:t>
            </w:r>
            <w:r>
              <w:rPr>
                <w:noProof/>
                <w:webHidden/>
              </w:rPr>
              <w:tab/>
            </w:r>
            <w:r>
              <w:rPr>
                <w:noProof/>
                <w:webHidden/>
              </w:rPr>
              <w:fldChar w:fldCharType="begin"/>
            </w:r>
            <w:r>
              <w:rPr>
                <w:noProof/>
                <w:webHidden/>
              </w:rPr>
              <w:instrText xml:space="preserve"> PAGEREF _Toc216361498 \h </w:instrText>
            </w:r>
            <w:r>
              <w:rPr>
                <w:noProof/>
                <w:webHidden/>
              </w:rPr>
            </w:r>
            <w:r>
              <w:rPr>
                <w:noProof/>
                <w:webHidden/>
              </w:rPr>
              <w:fldChar w:fldCharType="separate"/>
            </w:r>
            <w:r w:rsidR="00C60925">
              <w:rPr>
                <w:noProof/>
                <w:webHidden/>
              </w:rPr>
              <w:t>20</w:t>
            </w:r>
            <w:r>
              <w:rPr>
                <w:noProof/>
                <w:webHidden/>
              </w:rPr>
              <w:fldChar w:fldCharType="end"/>
            </w:r>
          </w:hyperlink>
        </w:p>
        <w:p w14:paraId="4A39E26E" w14:textId="252AAA68" w:rsidR="000C01F6" w:rsidRDefault="000C01F6">
          <w:pPr>
            <w:pStyle w:val="TOC2"/>
            <w:tabs>
              <w:tab w:val="right" w:leader="dot" w:pos="9350"/>
            </w:tabs>
            <w:rPr>
              <w:rFonts w:asciiTheme="minorHAnsi" w:eastAsiaTheme="minorEastAsia" w:hAnsiTheme="minorHAnsi"/>
              <w:noProof/>
              <w:color w:val="auto"/>
              <w:szCs w:val="24"/>
            </w:rPr>
          </w:pPr>
          <w:hyperlink w:anchor="_Toc216361499" w:history="1">
            <w:r w:rsidRPr="00220E1F">
              <w:rPr>
                <w:rStyle w:val="Hyperlink"/>
                <w:noProof/>
              </w:rPr>
              <w:t>Final Recommendation for Investment</w:t>
            </w:r>
            <w:r>
              <w:rPr>
                <w:noProof/>
                <w:webHidden/>
              </w:rPr>
              <w:tab/>
            </w:r>
            <w:r>
              <w:rPr>
                <w:noProof/>
                <w:webHidden/>
              </w:rPr>
              <w:fldChar w:fldCharType="begin"/>
            </w:r>
            <w:r>
              <w:rPr>
                <w:noProof/>
                <w:webHidden/>
              </w:rPr>
              <w:instrText xml:space="preserve"> PAGEREF _Toc216361499 \h </w:instrText>
            </w:r>
            <w:r>
              <w:rPr>
                <w:noProof/>
                <w:webHidden/>
              </w:rPr>
            </w:r>
            <w:r>
              <w:rPr>
                <w:noProof/>
                <w:webHidden/>
              </w:rPr>
              <w:fldChar w:fldCharType="separate"/>
            </w:r>
            <w:r w:rsidR="00C60925">
              <w:rPr>
                <w:noProof/>
                <w:webHidden/>
              </w:rPr>
              <w:t>21</w:t>
            </w:r>
            <w:r>
              <w:rPr>
                <w:noProof/>
                <w:webHidden/>
              </w:rPr>
              <w:fldChar w:fldCharType="end"/>
            </w:r>
          </w:hyperlink>
        </w:p>
        <w:p w14:paraId="29B06E14" w14:textId="46D8C439" w:rsidR="000C01F6" w:rsidRDefault="000C01F6">
          <w:pPr>
            <w:pStyle w:val="TOC1"/>
            <w:tabs>
              <w:tab w:val="right" w:leader="dot" w:pos="9350"/>
            </w:tabs>
            <w:rPr>
              <w:rFonts w:asciiTheme="minorHAnsi" w:eastAsiaTheme="minorEastAsia" w:hAnsiTheme="minorHAnsi"/>
              <w:noProof/>
              <w:color w:val="auto"/>
              <w:szCs w:val="24"/>
            </w:rPr>
          </w:pPr>
          <w:hyperlink w:anchor="_Toc216361500" w:history="1">
            <w:r w:rsidRPr="00220E1F">
              <w:rPr>
                <w:rStyle w:val="Hyperlink"/>
                <w:noProof/>
              </w:rPr>
              <w:t>References</w:t>
            </w:r>
            <w:r>
              <w:rPr>
                <w:noProof/>
                <w:webHidden/>
              </w:rPr>
              <w:tab/>
            </w:r>
            <w:r>
              <w:rPr>
                <w:noProof/>
                <w:webHidden/>
              </w:rPr>
              <w:fldChar w:fldCharType="begin"/>
            </w:r>
            <w:r>
              <w:rPr>
                <w:noProof/>
                <w:webHidden/>
              </w:rPr>
              <w:instrText xml:space="preserve"> PAGEREF _Toc216361500 \h </w:instrText>
            </w:r>
            <w:r>
              <w:rPr>
                <w:noProof/>
                <w:webHidden/>
              </w:rPr>
            </w:r>
            <w:r>
              <w:rPr>
                <w:noProof/>
                <w:webHidden/>
              </w:rPr>
              <w:fldChar w:fldCharType="separate"/>
            </w:r>
            <w:r w:rsidR="00C60925">
              <w:rPr>
                <w:noProof/>
                <w:webHidden/>
              </w:rPr>
              <w:t>22</w:t>
            </w:r>
            <w:r>
              <w:rPr>
                <w:noProof/>
                <w:webHidden/>
              </w:rPr>
              <w:fldChar w:fldCharType="end"/>
            </w:r>
          </w:hyperlink>
        </w:p>
        <w:p w14:paraId="707BC01E" w14:textId="562B2B59" w:rsidR="000C01F6" w:rsidRDefault="000C01F6">
          <w:pPr>
            <w:pStyle w:val="TOC1"/>
            <w:tabs>
              <w:tab w:val="right" w:leader="dot" w:pos="9350"/>
            </w:tabs>
            <w:rPr>
              <w:rFonts w:asciiTheme="minorHAnsi" w:eastAsiaTheme="minorEastAsia" w:hAnsiTheme="minorHAnsi"/>
              <w:noProof/>
              <w:color w:val="auto"/>
              <w:szCs w:val="24"/>
            </w:rPr>
          </w:pPr>
          <w:hyperlink w:anchor="_Toc216361501" w:history="1">
            <w:r w:rsidRPr="00220E1F">
              <w:rPr>
                <w:rStyle w:val="Hyperlink"/>
                <w:noProof/>
              </w:rPr>
              <w:t>Appendix</w:t>
            </w:r>
            <w:r>
              <w:rPr>
                <w:noProof/>
                <w:webHidden/>
              </w:rPr>
              <w:tab/>
            </w:r>
            <w:r>
              <w:rPr>
                <w:noProof/>
                <w:webHidden/>
              </w:rPr>
              <w:fldChar w:fldCharType="begin"/>
            </w:r>
            <w:r>
              <w:rPr>
                <w:noProof/>
                <w:webHidden/>
              </w:rPr>
              <w:instrText xml:space="preserve"> PAGEREF _Toc216361501 \h </w:instrText>
            </w:r>
            <w:r>
              <w:rPr>
                <w:noProof/>
                <w:webHidden/>
              </w:rPr>
            </w:r>
            <w:r>
              <w:rPr>
                <w:noProof/>
                <w:webHidden/>
              </w:rPr>
              <w:fldChar w:fldCharType="separate"/>
            </w:r>
            <w:r w:rsidR="00C60925">
              <w:rPr>
                <w:noProof/>
                <w:webHidden/>
              </w:rPr>
              <w:t>25</w:t>
            </w:r>
            <w:r>
              <w:rPr>
                <w:noProof/>
                <w:webHidden/>
              </w:rPr>
              <w:fldChar w:fldCharType="end"/>
            </w:r>
          </w:hyperlink>
        </w:p>
        <w:p w14:paraId="167E4E23" w14:textId="56862A58" w:rsidR="00F400D5" w:rsidRDefault="00F400D5" w:rsidP="00CE40AE">
          <w:pPr>
            <w:spacing w:before="240" w:after="240"/>
          </w:pPr>
          <w:r w:rsidRPr="00F400D5">
            <w:rPr>
              <w:rFonts w:cs="Times New Roman"/>
              <w:b/>
              <w:bCs/>
              <w:noProof/>
              <w:szCs w:val="24"/>
            </w:rPr>
            <w:fldChar w:fldCharType="end"/>
          </w:r>
        </w:p>
      </w:sdtContent>
    </w:sdt>
    <w:p w14:paraId="324FAF20" w14:textId="77777777" w:rsidR="00F90248" w:rsidRDefault="00F90248">
      <w:pPr>
        <w:spacing w:line="259" w:lineRule="auto"/>
        <w:jc w:val="left"/>
        <w:rPr>
          <w:rFonts w:eastAsiaTheme="majorEastAsia" w:cstheme="majorBidi"/>
          <w:b/>
          <w:szCs w:val="40"/>
        </w:rPr>
      </w:pPr>
      <w:r>
        <w:br w:type="page"/>
      </w:r>
    </w:p>
    <w:p w14:paraId="4A7AF530" w14:textId="670E7FF4" w:rsidR="006A4D10" w:rsidRPr="006A4D10" w:rsidRDefault="006A4D10" w:rsidP="00BD0A55">
      <w:pPr>
        <w:pStyle w:val="Heading1"/>
      </w:pPr>
      <w:bookmarkStart w:id="0" w:name="_Toc216361471"/>
      <w:bookmarkStart w:id="1" w:name="_Hlk216362492"/>
      <w:r w:rsidRPr="006A4D10">
        <w:lastRenderedPageBreak/>
        <w:t>1. Financial Health Check</w:t>
      </w:r>
      <w:bookmarkEnd w:id="0"/>
      <w:r w:rsidRPr="006A4D10">
        <w:t xml:space="preserve"> </w:t>
      </w:r>
    </w:p>
    <w:p w14:paraId="41D702E2" w14:textId="5AE99FD5" w:rsidR="00431BFC" w:rsidRPr="00431BFC" w:rsidRDefault="008E38C3" w:rsidP="00431BFC">
      <w:pPr>
        <w:pStyle w:val="Heading2"/>
      </w:pPr>
      <w:bookmarkStart w:id="2" w:name="_Toc216361472"/>
      <w:r w:rsidRPr="008E38C3">
        <w:t>Overview of Financial Assessment</w:t>
      </w:r>
      <w:bookmarkEnd w:id="2"/>
    </w:p>
    <w:p w14:paraId="5755F3F2" w14:textId="291887A2" w:rsidR="00431BFC" w:rsidRDefault="00121659" w:rsidP="00431BFC">
      <w:r w:rsidRPr="00121659">
        <w:t xml:space="preserve">Financial analysis is a detailed analysis of performance, stability and sustainability of a firm. Financial analysis plays an important role in this General Electronics case since the company has experienced diminishing revenues and incurred losses during the past five years. This analysis will offer a critical assessment of profitability, liquidity, efficiency, gearing, and the strength of cash flow and default risk in the firm, using benchmark financial interpretation tools. This will help determine the structural weakness that has caused the company to suffer and lay the factual basis to come up with a recovery plan. Financial analysis includes 2020-2024 financials (sales, operating income, net income, assets, liabilities, equity, 2020-2024 cash flows, working capital). This period saw net sales drop to </w:t>
      </w:r>
      <w:r w:rsidR="000A2FD5" w:rsidRPr="00B740E0">
        <w:t>£</w:t>
      </w:r>
      <w:r w:rsidRPr="00121659">
        <w:t xml:space="preserve">394,879 million in 2024, compared to </w:t>
      </w:r>
      <w:r w:rsidR="000A2FD5" w:rsidRPr="00B740E0">
        <w:t>£</w:t>
      </w:r>
      <w:r w:rsidRPr="00121659">
        <w:t xml:space="preserve">614,680 million in 2020. Net income dropped to </w:t>
      </w:r>
      <w:r w:rsidR="000A2FD5" w:rsidRPr="00B740E0">
        <w:t>£</w:t>
      </w:r>
      <w:r w:rsidRPr="00121659">
        <w:t xml:space="preserve">24,029 million in 2024 compared to </w:t>
      </w:r>
      <w:r w:rsidR="000A2FD5" w:rsidRPr="00B740E0">
        <w:t>£</w:t>
      </w:r>
      <w:r w:rsidRPr="00121659">
        <w:t xml:space="preserve">38,572 million in 2020. Total assets declined by year 2024 by </w:t>
      </w:r>
      <w:r w:rsidR="007347FD" w:rsidRPr="00B740E0">
        <w:t>£</w:t>
      </w:r>
      <w:r w:rsidRPr="00121659">
        <w:t xml:space="preserve">323,354 million compared to </w:t>
      </w:r>
      <w:r w:rsidR="007347FD" w:rsidRPr="00B740E0">
        <w:t>£</w:t>
      </w:r>
      <w:r w:rsidRPr="00121659">
        <w:t xml:space="preserve">510,290 million in 2020 and </w:t>
      </w:r>
      <w:proofErr w:type="spellStart"/>
      <w:r w:rsidRPr="00121659">
        <w:t>shareholders</w:t>
      </w:r>
      <w:proofErr w:type="spellEnd"/>
      <w:r w:rsidRPr="00121659">
        <w:t xml:space="preserve"> equity declined by the year 2024 and it stands at </w:t>
      </w:r>
      <w:r w:rsidR="007347FD" w:rsidRPr="00B740E0">
        <w:t>£</w:t>
      </w:r>
      <w:r w:rsidRPr="00121659">
        <w:t xml:space="preserve">153,105 million compared to </w:t>
      </w:r>
      <w:r w:rsidR="007347FD" w:rsidRPr="00B740E0">
        <w:t>£</w:t>
      </w:r>
      <w:r w:rsidRPr="00121659">
        <w:t>313,301 million</w:t>
      </w:r>
      <w:r w:rsidR="00B740E0" w:rsidRPr="00B740E0">
        <w:t xml:space="preserve">. </w:t>
      </w:r>
    </w:p>
    <w:p w14:paraId="43C1C7AB" w14:textId="7831AEC0" w:rsidR="00431BFC" w:rsidRDefault="00D47EE5" w:rsidP="00431BFC">
      <w:pPr>
        <w:jc w:val="center"/>
      </w:pPr>
      <w:r w:rsidRPr="00D47EE5">
        <w:rPr>
          <w:noProof/>
        </w:rPr>
        <w:drawing>
          <wp:inline distT="0" distB="0" distL="0" distR="0" wp14:anchorId="3C6670CC" wp14:editId="2256D4E2">
            <wp:extent cx="5276850" cy="3714750"/>
            <wp:effectExtent l="0" t="0" r="0" b="0"/>
            <wp:docPr id="3715372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6850" cy="3714750"/>
                    </a:xfrm>
                    <a:prstGeom prst="rect">
                      <a:avLst/>
                    </a:prstGeom>
                    <a:noFill/>
                    <a:ln>
                      <a:noFill/>
                    </a:ln>
                  </pic:spPr>
                </pic:pic>
              </a:graphicData>
            </a:graphic>
          </wp:inline>
        </w:drawing>
      </w:r>
    </w:p>
    <w:p w14:paraId="3AAEA5D8" w14:textId="281A7441" w:rsidR="00431BFC" w:rsidRPr="00431BFC" w:rsidRDefault="00431BFC" w:rsidP="00431BFC">
      <w:pPr>
        <w:jc w:val="center"/>
        <w:rPr>
          <w:b/>
          <w:bCs/>
        </w:rPr>
      </w:pPr>
      <w:r w:rsidRPr="00431BFC">
        <w:rPr>
          <w:b/>
          <w:bCs/>
        </w:rPr>
        <w:t>Figure 1: Ratio Analysis</w:t>
      </w:r>
    </w:p>
    <w:p w14:paraId="5CFB04C0" w14:textId="5A92B9FF" w:rsidR="00431BFC" w:rsidRPr="00431BFC" w:rsidRDefault="00431BFC" w:rsidP="00431BFC">
      <w:pPr>
        <w:jc w:val="center"/>
      </w:pPr>
      <w:r>
        <w:lastRenderedPageBreak/>
        <w:t>(Source: Excel)</w:t>
      </w:r>
    </w:p>
    <w:p w14:paraId="177C6940" w14:textId="455D0F84" w:rsidR="00431BFC" w:rsidRPr="00431BFC" w:rsidRDefault="00B740E0" w:rsidP="00431BFC">
      <w:pPr>
        <w:pStyle w:val="Heading2"/>
      </w:pPr>
      <w:bookmarkStart w:id="3" w:name="_Toc216361473"/>
      <w:r w:rsidRPr="00B740E0">
        <w:t>Analysis of Profitability</w:t>
      </w:r>
      <w:bookmarkEnd w:id="3"/>
    </w:p>
    <w:p w14:paraId="77BEB167" w14:textId="27881163" w:rsidR="00431BFC" w:rsidRPr="00431BFC" w:rsidRDefault="008311B3" w:rsidP="00431BFC">
      <w:r w:rsidRPr="008311B3">
        <w:t>General Electronics has been losing a lot of profitability, an index of inbuilt cost management, pricing and revenue increment difficulties. The gross profit margin has been fluctuating with a minor fluctuation of 28.67</w:t>
      </w:r>
      <w:r w:rsidR="007347FD">
        <w:t>%</w:t>
      </w:r>
      <w:r w:rsidRPr="008311B3">
        <w:t xml:space="preserve"> in 2020 and 28.87</w:t>
      </w:r>
      <w:r w:rsidR="007347FD">
        <w:t>%</w:t>
      </w:r>
      <w:r w:rsidRPr="008311B3">
        <w:t xml:space="preserve"> in 2024 that were formerly 28.75</w:t>
      </w:r>
      <w:r w:rsidR="007347FD">
        <w:t>%</w:t>
      </w:r>
      <w:r w:rsidRPr="008311B3">
        <w:t xml:space="preserve"> in 2021 to 23.20</w:t>
      </w:r>
      <w:r w:rsidR="007347FD">
        <w:t>%</w:t>
      </w:r>
      <w:r w:rsidRPr="008311B3">
        <w:t xml:space="preserve"> in 2023. </w:t>
      </w:r>
      <w:r w:rsidR="00121659" w:rsidRPr="00121659">
        <w:t>The 2024 figure is somewhat improved, yet the general trend reflects the strain of the dwindling sales and growing operating costs. More alarmingly is the net profit margin that started at 6.28% in 2020 but in 2021, the margin went to 0.88% and in 2023, it went to -23.36</w:t>
      </w:r>
      <w:r w:rsidR="007347FD">
        <w:t>%</w:t>
      </w:r>
      <w:r w:rsidR="00121659" w:rsidRPr="00121659">
        <w:t>, only to improve marginally in 2024, to -6.08</w:t>
      </w:r>
      <w:r w:rsidR="00D80D78">
        <w:t>%</w:t>
      </w:r>
      <w:r w:rsidR="00121659" w:rsidRPr="00121659">
        <w:t>. These losses may be considered an example of wasted activity and a failure to transform revenue into profitable gains. In the period of 2020, 2021, 2023, and 2024, the following downward trend was observed in the return on equity: 12.31</w:t>
      </w:r>
      <w:r w:rsidR="00D80D78">
        <w:t>%</w:t>
      </w:r>
      <w:r w:rsidR="00121659" w:rsidRPr="00121659">
        <w:t>, 1.92</w:t>
      </w:r>
      <w:r w:rsidR="00D80D78">
        <w:t>%</w:t>
      </w:r>
      <w:r w:rsidR="00121659" w:rsidRPr="00121659">
        <w:t>, and negative, respectively. Moreover, the uncertainty of earnings per share triggers a state of instability</w:t>
      </w:r>
      <w:r w:rsidR="00B740E0" w:rsidRPr="00B740E0">
        <w:t xml:space="preserve">. </w:t>
      </w:r>
    </w:p>
    <w:p w14:paraId="69A8A611" w14:textId="63053EC6" w:rsidR="00431BFC" w:rsidRPr="00431BFC" w:rsidRDefault="00B740E0" w:rsidP="00431BFC">
      <w:pPr>
        <w:pStyle w:val="Heading2"/>
      </w:pPr>
      <w:bookmarkStart w:id="4" w:name="_Toc216361474"/>
      <w:r w:rsidRPr="00B740E0">
        <w:t>Liquidity Assessment</w:t>
      </w:r>
      <w:bookmarkEnd w:id="4"/>
    </w:p>
    <w:p w14:paraId="75F1B463" w14:textId="118F88A3" w:rsidR="00121659" w:rsidRDefault="00121659" w:rsidP="00121659">
      <w:r>
        <w:t xml:space="preserve">Liquidity analysis reveals that the firm is able to meet short-term commitments. The current ratio has declined with the lowest of 1.82 in 2020 followed by 1.56 and 1.53 in 2022 and 2024 respectively. Despite the fact that current assets remain higher in comparison to current liabilities, the lower margin indicates a greater vulnerability to potential cash-flow disruptions. This liquidity </w:t>
      </w:r>
      <w:proofErr w:type="gramStart"/>
      <w:r>
        <w:t>decline</w:t>
      </w:r>
      <w:proofErr w:type="gramEnd"/>
      <w:r>
        <w:t xml:space="preserve"> correlates with the decline in total current assets that fell to </w:t>
      </w:r>
      <w:r w:rsidR="00D80D78" w:rsidRPr="00B740E0">
        <w:t>£</w:t>
      </w:r>
      <w:r>
        <w:t xml:space="preserve">242,494 million in 2024, compared to </w:t>
      </w:r>
      <w:r w:rsidR="00D80D78" w:rsidRPr="00B740E0">
        <w:t>£</w:t>
      </w:r>
      <w:r>
        <w:t>326,843 million in 2020, indicating a lower working-capital flexibility.</w:t>
      </w:r>
    </w:p>
    <w:p w14:paraId="4DD5ABD8" w14:textId="358C0CF6" w:rsidR="00431BFC" w:rsidRDefault="00121659" w:rsidP="00121659">
      <w:r>
        <w:t xml:space="preserve">The quick ratio shows this fall with 1.15 in 2020 dropping to 0.91 in 2022, and slightly improved to 1.06 in 2023, followed by another decrease to 1.03 in 2024. The inventory was high and low, and the high of </w:t>
      </w:r>
      <w:r w:rsidR="00D80D78" w:rsidRPr="00B740E0">
        <w:t>£</w:t>
      </w:r>
      <w:r>
        <w:t xml:space="preserve">140,181 million in 2022 and the low of </w:t>
      </w:r>
      <w:r w:rsidR="00D80D78" w:rsidRPr="00B740E0">
        <w:t>£</w:t>
      </w:r>
      <w:r>
        <w:t>79,355 million in 2024 indicates that the inventory was not managed in a uniform way, which affected the level of liquidity. The ratios below 1.0 in certain years reflect shortages of immediate liquidity, meaning that the reliance is on short-term borrowings or internal cash flows to finance liabilities</w:t>
      </w:r>
      <w:r w:rsidR="00B740E0" w:rsidRPr="00B740E0">
        <w:t>.</w:t>
      </w:r>
      <w:r w:rsidR="00B740E0">
        <w:t xml:space="preserve"> </w:t>
      </w:r>
    </w:p>
    <w:p w14:paraId="7016760D" w14:textId="77777777" w:rsidR="00D47EE5" w:rsidRPr="00431BFC" w:rsidRDefault="00D47EE5" w:rsidP="00D47EE5">
      <w:pPr>
        <w:pStyle w:val="Heading2"/>
      </w:pPr>
      <w:bookmarkStart w:id="5" w:name="_Toc216361475"/>
      <w:r w:rsidRPr="003534FF">
        <w:t>Financial Leverage and Solvency Assessment</w:t>
      </w:r>
      <w:bookmarkEnd w:id="5"/>
    </w:p>
    <w:p w14:paraId="73D29120" w14:textId="3F40E51E" w:rsidR="00D47EE5" w:rsidRPr="00431BFC" w:rsidRDefault="008311B3" w:rsidP="00431BFC">
      <w:r w:rsidRPr="008311B3">
        <w:t xml:space="preserve">Based on a gearing and solvency analysis, the risk of finances is increasing i.e., the debt-to-equity ratio in 2024 was 1.11, which implies that the company is utilizing a greater amount of debt </w:t>
      </w:r>
      <w:r w:rsidRPr="008311B3">
        <w:lastRenderedPageBreak/>
        <w:t xml:space="preserve">financing. 2020 equity was </w:t>
      </w:r>
      <w:r w:rsidR="00E57902" w:rsidRPr="00B740E0">
        <w:t>£</w:t>
      </w:r>
      <w:r w:rsidRPr="008311B3">
        <w:t xml:space="preserve">313,301 million and 2024 was </w:t>
      </w:r>
      <w:r w:rsidR="00E57902" w:rsidRPr="00B740E0">
        <w:t>£</w:t>
      </w:r>
      <w:r w:rsidRPr="008311B3">
        <w:t xml:space="preserve">153,105 million. The company possesses more credits than stockholders and through this fact, a great deal of financial flexibility is lost. Cover of interest has gone down also to negative values of -2023 and -2024 mainly because of operating losses of </w:t>
      </w:r>
      <w:r w:rsidR="00E57902" w:rsidRPr="00B740E0">
        <w:t>£</w:t>
      </w:r>
      <w:r w:rsidRPr="008311B3">
        <w:t xml:space="preserve">85,301million and </w:t>
      </w:r>
      <w:r w:rsidR="00E57902" w:rsidRPr="00B740E0">
        <w:t>£</w:t>
      </w:r>
      <w:r w:rsidRPr="008311B3">
        <w:t>15,297million in 2023 and 2024 respectively</w:t>
      </w:r>
      <w:r w:rsidR="00D47EE5" w:rsidRPr="003534FF">
        <w:t xml:space="preserve">. </w:t>
      </w:r>
    </w:p>
    <w:p w14:paraId="192E5C1B" w14:textId="26881122" w:rsidR="00431BFC" w:rsidRPr="00431BFC" w:rsidRDefault="00B740E0" w:rsidP="00431BFC">
      <w:pPr>
        <w:pStyle w:val="Heading2"/>
      </w:pPr>
      <w:bookmarkStart w:id="6" w:name="_Toc216361476"/>
      <w:r>
        <w:t>O</w:t>
      </w:r>
      <w:r w:rsidRPr="00B740E0">
        <w:t>perational Efficiency Review</w:t>
      </w:r>
      <w:bookmarkEnd w:id="6"/>
    </w:p>
    <w:p w14:paraId="54CE2001" w14:textId="4BB2509D" w:rsidR="00121659" w:rsidRDefault="00121659" w:rsidP="00121659">
      <w:r>
        <w:t xml:space="preserve">Efficiency ratios provide us with valuable data about how the company is using their operations as well as how the company is using its assets. Its inventory turnover also decreases, to 3.64 in 2020, and to 2.79 in 2022, 2023. The latest 3.54 in 2024 however, is a decrease in inventory turnover compared to previous, showing a poorer market demand and potential overstocking. This inventory turnover variance is linked with the variation in cost of sales, which in 2020-2024 was </w:t>
      </w:r>
      <w:r w:rsidR="00E57902" w:rsidRPr="00B740E0">
        <w:t>£</w:t>
      </w:r>
      <w:r>
        <w:t xml:space="preserve">438,424 million and </w:t>
      </w:r>
      <w:r w:rsidR="00E57902" w:rsidRPr="00B740E0">
        <w:t>£</w:t>
      </w:r>
      <w:r>
        <w:t>280,885 million, respectively.</w:t>
      </w:r>
    </w:p>
    <w:p w14:paraId="75E036CF" w14:textId="1A46336B" w:rsidR="00431BFC" w:rsidRPr="00431BFC" w:rsidRDefault="00491524" w:rsidP="00121659">
      <w:r w:rsidRPr="00491524">
        <w:t xml:space="preserve">Asset turnover has also been reduced. It was 1.20 in 2020, 1.18 in 2021 and 2022, and 1.22 in 2024. The 2024 ratio is better but overall decline is the decline in the efficiency of the assets as there was the increase of overall assets in 2020 of </w:t>
      </w:r>
      <w:r w:rsidR="00E57902" w:rsidRPr="00B740E0">
        <w:t>£</w:t>
      </w:r>
      <w:r w:rsidRPr="00491524">
        <w:t xml:space="preserve">510,290 million and in 2024 of </w:t>
      </w:r>
      <w:r w:rsidR="00E57902" w:rsidRPr="00B740E0">
        <w:t>£</w:t>
      </w:r>
      <w:r w:rsidRPr="00491524">
        <w:t>323,354 million. This implies that the capacity or sales of assets may reduce. The analysis of the efficiency metrics indicates that the company is reducing in its efficiency in its functioning and less effective in extracting the potential of its assets (</w:t>
      </w:r>
      <w:proofErr w:type="spellStart"/>
      <w:r w:rsidRPr="00491524">
        <w:t>McKingsley</w:t>
      </w:r>
      <w:proofErr w:type="spellEnd"/>
      <w:r w:rsidRPr="00491524">
        <w:t>, 2024).</w:t>
      </w:r>
      <w:r w:rsidR="003534FF" w:rsidRPr="003534FF">
        <w:t xml:space="preserve"> </w:t>
      </w:r>
    </w:p>
    <w:p w14:paraId="4DC69D15" w14:textId="103CA278" w:rsidR="00431BFC" w:rsidRPr="00431BFC" w:rsidRDefault="003534FF" w:rsidP="00431BFC">
      <w:pPr>
        <w:pStyle w:val="Heading2"/>
      </w:pPr>
      <w:bookmarkStart w:id="7" w:name="_Toc216361477"/>
      <w:r w:rsidRPr="003534FF">
        <w:t>Cash Flow Performance Review</w:t>
      </w:r>
      <w:bookmarkEnd w:id="7"/>
    </w:p>
    <w:p w14:paraId="5E5D3627" w14:textId="72E5CA2D" w:rsidR="00431BFC" w:rsidRPr="00431BFC" w:rsidRDefault="00491524" w:rsidP="00431BFC">
      <w:r w:rsidRPr="00491524">
        <w:t>It has a bad trend in terms of its financial health that is indicated by its cash flow. The operating cash flow to sales ratio decreased in 2020 to 11.94</w:t>
      </w:r>
      <w:r w:rsidR="00E57902">
        <w:t>%</w:t>
      </w:r>
      <w:r w:rsidRPr="00491524">
        <w:t xml:space="preserve"> and then in 2022 to 2.01</w:t>
      </w:r>
      <w:r w:rsidR="00E57902">
        <w:t>%</w:t>
      </w:r>
      <w:r w:rsidRPr="00491524">
        <w:t xml:space="preserve"> and hence indicates inefficient cash conversion, respectively. The operating cash flow-to-current liabilities ratio then dropped to 50.5% in 2022, 15.63% in 2023 and 9.36% in 2024. The connotation of these developments is that they reduce the ability to finance and repay debts. Liquidity issues were also aggravated and the cash flow operations dropped to </w:t>
      </w:r>
      <w:r w:rsidR="008850C3" w:rsidRPr="00B740E0">
        <w:t>£</w:t>
      </w:r>
      <w:r w:rsidRPr="00491524">
        <w:t xml:space="preserve">14,822 million in 2024 as opposed to </w:t>
      </w:r>
      <w:r w:rsidR="008850C3" w:rsidRPr="00B740E0">
        <w:t>£</w:t>
      </w:r>
      <w:r w:rsidRPr="00491524">
        <w:t>73,392 million in 2020</w:t>
      </w:r>
      <w:r w:rsidR="003534FF" w:rsidRPr="003534FF">
        <w:t>.</w:t>
      </w:r>
    </w:p>
    <w:p w14:paraId="38F36044" w14:textId="35469CA8" w:rsidR="00431BFC" w:rsidRDefault="003534FF" w:rsidP="00431BFC">
      <w:pPr>
        <w:pStyle w:val="Heading2"/>
      </w:pPr>
      <w:bookmarkStart w:id="8" w:name="_Toc216361478"/>
      <w:r w:rsidRPr="003534FF">
        <w:lastRenderedPageBreak/>
        <w:t>Altman Z</w:t>
      </w:r>
      <w:r>
        <w:t>-</w:t>
      </w:r>
      <w:r w:rsidRPr="003534FF">
        <w:t>Score</w:t>
      </w:r>
      <w:bookmarkEnd w:id="8"/>
    </w:p>
    <w:p w14:paraId="0C258D0B" w14:textId="051B1CBA" w:rsidR="00431BFC" w:rsidRDefault="00AF2A0C" w:rsidP="00431BFC">
      <w:pPr>
        <w:jc w:val="center"/>
        <w:rPr>
          <w:b/>
          <w:bCs/>
        </w:rPr>
      </w:pPr>
      <w:r w:rsidRPr="00AF2A0C">
        <w:rPr>
          <w:noProof/>
        </w:rPr>
        <w:drawing>
          <wp:inline distT="0" distB="0" distL="0" distR="0" wp14:anchorId="1F92935D" wp14:editId="7846DF7F">
            <wp:extent cx="5943600" cy="2668905"/>
            <wp:effectExtent l="0" t="0" r="0" b="0"/>
            <wp:docPr id="2463584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68905"/>
                    </a:xfrm>
                    <a:prstGeom prst="rect">
                      <a:avLst/>
                    </a:prstGeom>
                    <a:noFill/>
                    <a:ln>
                      <a:noFill/>
                    </a:ln>
                  </pic:spPr>
                </pic:pic>
              </a:graphicData>
            </a:graphic>
          </wp:inline>
        </w:drawing>
      </w:r>
    </w:p>
    <w:p w14:paraId="6B996B8F" w14:textId="55785A96" w:rsidR="00431BFC" w:rsidRPr="00431BFC" w:rsidRDefault="00431BFC" w:rsidP="00431BFC">
      <w:pPr>
        <w:jc w:val="center"/>
        <w:rPr>
          <w:b/>
          <w:bCs/>
        </w:rPr>
      </w:pPr>
      <w:r w:rsidRPr="00431BFC">
        <w:rPr>
          <w:b/>
          <w:bCs/>
        </w:rPr>
        <w:t xml:space="preserve">Figure </w:t>
      </w:r>
      <w:r>
        <w:rPr>
          <w:b/>
          <w:bCs/>
        </w:rPr>
        <w:t>2</w:t>
      </w:r>
      <w:r w:rsidRPr="00431BFC">
        <w:rPr>
          <w:b/>
          <w:bCs/>
        </w:rPr>
        <w:t xml:space="preserve">: </w:t>
      </w:r>
      <w:r w:rsidRPr="00431BFC">
        <w:rPr>
          <w:b/>
        </w:rPr>
        <w:t>Altman Z</w:t>
      </w:r>
      <w:r w:rsidR="003534FF">
        <w:rPr>
          <w:b/>
        </w:rPr>
        <w:t>-</w:t>
      </w:r>
      <w:r w:rsidRPr="00431BFC">
        <w:rPr>
          <w:b/>
        </w:rPr>
        <w:t>Score</w:t>
      </w:r>
    </w:p>
    <w:p w14:paraId="21022D88" w14:textId="2CEF8112" w:rsidR="00431BFC" w:rsidRPr="00431BFC" w:rsidRDefault="00431BFC" w:rsidP="00431BFC">
      <w:pPr>
        <w:jc w:val="center"/>
      </w:pPr>
      <w:r>
        <w:t>(Source: Excel)</w:t>
      </w:r>
    </w:p>
    <w:p w14:paraId="79F40394" w14:textId="77777777" w:rsidR="00491524" w:rsidRDefault="00491524" w:rsidP="00491524">
      <w:r>
        <w:t>Altman Z-Score is quantitative measure of default probability default in a corporative fashion. In 2020, General Electronics was formed with a Z-score of 3.64 (low risk of financial distress). Nevertheless, it dropped to a steady level of 3.22 in 2021 and 3.06 in 2022. In 2023, the score once again went down to 2.24, and the company remained a high-risk entity. The score slightly increased in 2024 to 2.82 but it was not within the safe range.</w:t>
      </w:r>
    </w:p>
    <w:p w14:paraId="5EC557CA" w14:textId="500AD728" w:rsidR="00431BFC" w:rsidRPr="00431BFC" w:rsidRDefault="00491524" w:rsidP="00491524">
      <w:r>
        <w:t xml:space="preserve">This negative trend is associated with the decreasing profitability, increasing debt and diminishing assets. In particular, the 2023 score indicates that the company had a higher risk of failure since it had a substantial operating loss and negative equity returns (Tunstall et al., 2025). There is still high risk of default and losses continue to be incurred and liquidity strains experienced in spite of a minor recovery in 2024. On the whole, Z-Score indicates serious weaknesses and the unpredictability of the business </w:t>
      </w:r>
      <w:r w:rsidR="00B9033A" w:rsidRPr="00B9033A">
        <w:t>(Friedman, 2025)</w:t>
      </w:r>
      <w:r w:rsidR="003534FF" w:rsidRPr="003534FF">
        <w:t>.</w:t>
      </w:r>
    </w:p>
    <w:p w14:paraId="53C5BD25" w14:textId="7A78655C" w:rsidR="00431BFC" w:rsidRPr="00431BFC" w:rsidRDefault="003534FF" w:rsidP="00431BFC">
      <w:pPr>
        <w:pStyle w:val="Heading2"/>
      </w:pPr>
      <w:bookmarkStart w:id="9" w:name="_Toc216361479"/>
      <w:r w:rsidRPr="003534FF">
        <w:t>Key Financial Issues Diagnosis</w:t>
      </w:r>
      <w:bookmarkEnd w:id="9"/>
    </w:p>
    <w:p w14:paraId="318215F9" w14:textId="01647E18" w:rsidR="008174E8" w:rsidRDefault="008174E8" w:rsidP="008174E8">
      <w:r>
        <w:t xml:space="preserve">The financial review indicates that General Electronics is facing severe chronic performance problems. Its profitability is crushed and the net loss experienced in the year 2023 and 2024 is </w:t>
      </w:r>
      <w:r w:rsidR="008850C3" w:rsidRPr="00B740E0">
        <w:t>£</w:t>
      </w:r>
      <w:r>
        <w:t xml:space="preserve">98,238.00 million and </w:t>
      </w:r>
      <w:r w:rsidR="008850C3" w:rsidRPr="00B740E0">
        <w:t>£</w:t>
      </w:r>
      <w:r>
        <w:t xml:space="preserve">24,029.00 million, respectively, </w:t>
      </w:r>
      <w:r w:rsidR="006221B6">
        <w:t>it</w:t>
      </w:r>
      <w:r>
        <w:t xml:space="preserve"> can see how the company is ineffective </w:t>
      </w:r>
      <w:r>
        <w:lastRenderedPageBreak/>
        <w:t>in terms of steady profitability. The second problem is reduced liquidity as a result of declining current assets and poor inventory management policies. These are exacerbated by a significant increase in leverage, where the debt-to-equity ratio is 1.11 in 2024, and negative interest coverage ratios as of 2024.</w:t>
      </w:r>
    </w:p>
    <w:p w14:paraId="6691BB7C" w14:textId="127F206B" w:rsidR="008174E8" w:rsidRDefault="008174E8" w:rsidP="008174E8">
      <w:r>
        <w:t xml:space="preserve">Further, there was a decrease in cash conversion as the operating cash flow decreased to </w:t>
      </w:r>
      <w:r w:rsidR="006221B6" w:rsidRPr="00B740E0">
        <w:t>£</w:t>
      </w:r>
      <w:r>
        <w:t>14,822 million in 2024, an indication of poor capital and cash management. A major sign of the likelihood of default, the Altman Z-Score is moving down, signaling a growing vulnerability to insolvency, particularly in 2023 and 2024.</w:t>
      </w:r>
    </w:p>
    <w:p w14:paraId="66CD6159" w14:textId="0CCEB0F8" w:rsidR="006A4D10" w:rsidRPr="006A4D10" w:rsidRDefault="00B07C64" w:rsidP="008174E8">
      <w:r w:rsidRPr="00B07C64">
        <w:t xml:space="preserve">All this gives a darker picture concerning the financial health of the firm. This is lost forever, heightened financial risk, and worsening liquidity is exacerbated by falling cash flows. The company is more likely to be insolvent and bankrupt, and therefore quick and strategic intervention measures are required to fight the financial hardships, level out the business and ensure long-term financial sustainability </w:t>
      </w:r>
      <w:r w:rsidR="00B9033A" w:rsidRPr="00B9033A">
        <w:t>(Krantz and Brusberg, 2024)</w:t>
      </w:r>
      <w:r w:rsidR="003534FF" w:rsidRPr="003534FF">
        <w:t>.</w:t>
      </w:r>
    </w:p>
    <w:p w14:paraId="701C7111" w14:textId="1DD55230" w:rsidR="006A4D10" w:rsidRPr="006A4D10" w:rsidRDefault="006A4D10" w:rsidP="00BD0A55">
      <w:pPr>
        <w:pStyle w:val="Heading1"/>
      </w:pPr>
      <w:bookmarkStart w:id="10" w:name="_Toc216361480"/>
      <w:r w:rsidRPr="006A4D10">
        <w:t>2. Working Capital Management Analysis</w:t>
      </w:r>
      <w:bookmarkEnd w:id="10"/>
      <w:r w:rsidRPr="006A4D10">
        <w:t xml:space="preserve"> </w:t>
      </w:r>
    </w:p>
    <w:p w14:paraId="2443E375" w14:textId="66E36CC4" w:rsidR="00431BFC" w:rsidRPr="00431BFC" w:rsidRDefault="003534FF" w:rsidP="00431BFC">
      <w:pPr>
        <w:pStyle w:val="Heading2"/>
      </w:pPr>
      <w:bookmarkStart w:id="11" w:name="_Toc216361481"/>
      <w:r w:rsidRPr="003534FF">
        <w:t>Working Capital Management Overview</w:t>
      </w:r>
      <w:bookmarkEnd w:id="11"/>
    </w:p>
    <w:p w14:paraId="70350FE4" w14:textId="4CEB3F94" w:rsidR="008174E8" w:rsidRDefault="00125456" w:rsidP="008174E8">
      <w:r w:rsidRPr="00125456">
        <w:t xml:space="preserve"> </w:t>
      </w:r>
      <w:r w:rsidR="008174E8">
        <w:t xml:space="preserve">The cash operating cycle indicates the effectiveness with which General Electronics utilizes its working capital to generate cash. Receivables and payables performance are mixed. Inventory also varied significantly, with </w:t>
      </w:r>
      <w:r w:rsidR="006221B6" w:rsidRPr="00B740E0">
        <w:t>£</w:t>
      </w:r>
      <w:r w:rsidR="008174E8">
        <w:t xml:space="preserve">120,430 million in 2020 and </w:t>
      </w:r>
      <w:r w:rsidR="006221B6" w:rsidRPr="00B740E0">
        <w:t>£</w:t>
      </w:r>
      <w:r w:rsidR="008174E8">
        <w:t xml:space="preserve">140,181 million in 2022, and in 2024, it only amounted to </w:t>
      </w:r>
      <w:r w:rsidR="006221B6" w:rsidRPr="00B740E0">
        <w:t>£</w:t>
      </w:r>
      <w:r w:rsidR="008174E8">
        <w:t xml:space="preserve">79,355 million. The volatility was an effect of bad demand forecasting and shifting production planning that led to too much holding time and wasted capital due to a high inventory. This overstocking exacerbated the liquidity issues, as revenue plummeted to </w:t>
      </w:r>
      <w:r w:rsidR="006221B6" w:rsidRPr="00B740E0">
        <w:t>£</w:t>
      </w:r>
      <w:r w:rsidR="008174E8">
        <w:t xml:space="preserve">394,879 million in 2024 and </w:t>
      </w:r>
      <w:r w:rsidR="006221B6" w:rsidRPr="00B740E0">
        <w:t>£</w:t>
      </w:r>
      <w:r w:rsidR="008174E8">
        <w:t>614,680 million in 2020.</w:t>
      </w:r>
    </w:p>
    <w:p w14:paraId="780C7F0D" w14:textId="612A41DC" w:rsidR="00431BFC" w:rsidRPr="00431BFC" w:rsidRDefault="008174E8" w:rsidP="008174E8">
      <w:r>
        <w:t xml:space="preserve">It was also inconsistent with receivables that started at </w:t>
      </w:r>
      <w:r w:rsidR="006221B6" w:rsidRPr="00B740E0">
        <w:t>£</w:t>
      </w:r>
      <w:r>
        <w:t xml:space="preserve">129,433 million in 2020, then </w:t>
      </w:r>
      <w:r w:rsidR="006221B6" w:rsidRPr="00B740E0">
        <w:t>£</w:t>
      </w:r>
      <w:r>
        <w:t xml:space="preserve">129,215 million in 2021 and then </w:t>
      </w:r>
      <w:r w:rsidR="00580394" w:rsidRPr="00B740E0">
        <w:t>£</w:t>
      </w:r>
      <w:r>
        <w:t>112,346 million i</w:t>
      </w:r>
      <w:r w:rsidR="00580394">
        <w:t>n</w:t>
      </w:r>
      <w:r w:rsidR="00580394" w:rsidRPr="003534FF">
        <w:t xml:space="preserve"> 2022</w:t>
      </w:r>
      <w:r w:rsidR="00580394">
        <w:t xml:space="preserve"> and </w:t>
      </w:r>
      <w:r w:rsidR="00580394" w:rsidRPr="003534FF">
        <w:t>£114,182 million in</w:t>
      </w:r>
      <w:r>
        <w:t xml:space="preserve"> 2024. This adverse growth compared to the declining sales is a sign of stagnation in collection practices and long customer terms of payment that have led to increasing customer receivable days and dependence on short-term debts. The rises of </w:t>
      </w:r>
      <w:r w:rsidR="00117DAC" w:rsidRPr="003534FF">
        <w:t>£</w:t>
      </w:r>
      <w:r>
        <w:t xml:space="preserve">216787 million in 2021 and </w:t>
      </w:r>
      <w:r w:rsidR="00117DAC" w:rsidRPr="003534FF">
        <w:t>£</w:t>
      </w:r>
      <w:r>
        <w:t xml:space="preserve">158,291 million in 2024 reflect tightening of supplier credit policy or weaker purchasing powers (Sangwa and Mutabazi, 2025). </w:t>
      </w:r>
      <w:r>
        <w:lastRenderedPageBreak/>
        <w:t>The brevity of payables periods further increased the complexity of the cycle, exacerbating cash outflows.</w:t>
      </w:r>
    </w:p>
    <w:p w14:paraId="1273157A" w14:textId="0795AF30" w:rsidR="00431BFC" w:rsidRPr="00431BFC" w:rsidRDefault="003534FF" w:rsidP="00431BFC">
      <w:pPr>
        <w:pStyle w:val="Heading2"/>
      </w:pPr>
      <w:bookmarkStart w:id="12" w:name="_Toc216361482"/>
      <w:r w:rsidRPr="003534FF">
        <w:t>Strategies for Enhancing Liquidity</w:t>
      </w:r>
      <w:bookmarkEnd w:id="12"/>
    </w:p>
    <w:p w14:paraId="327970ED" w14:textId="77E87F41" w:rsidR="00767CDC" w:rsidRDefault="00767CDC" w:rsidP="00767CDC">
      <w:r>
        <w:t xml:space="preserve">Liquidity management requires working capital since liquidity ratios revealed that the current ratio decreases with 1.53 in 2024 being 1.82 in 2020 and quick ratio planes in 2024 being 1.03. Others fear the decline in inventory since excess inventory has been a lien on liquidity in the past couple of years. Although the inventory dropped in 2024, to </w:t>
      </w:r>
      <w:r w:rsidR="00117DAC" w:rsidRPr="003534FF">
        <w:t>£</w:t>
      </w:r>
      <w:r>
        <w:t>79,355 million against 2022 (</w:t>
      </w:r>
      <w:r w:rsidR="00117DAC" w:rsidRPr="003534FF">
        <w:t>£</w:t>
      </w:r>
      <w:r>
        <w:t xml:space="preserve">140,181 million), additional inventory </w:t>
      </w:r>
      <w:proofErr w:type="spellStart"/>
      <w:r>
        <w:t>optimisation</w:t>
      </w:r>
      <w:proofErr w:type="spellEnd"/>
      <w:r>
        <w:t xml:space="preserve"> is needed, including improved demand forecasting, SKU </w:t>
      </w:r>
      <w:proofErr w:type="spellStart"/>
      <w:r>
        <w:t>rationalisation</w:t>
      </w:r>
      <w:proofErr w:type="spellEnd"/>
      <w:r>
        <w:t xml:space="preserve"> and slow-moving goods. Concentrating on higher selling and more profitable goods would be a better choice as it would assist in releasing cash and stabilizing inventory.</w:t>
      </w:r>
    </w:p>
    <w:p w14:paraId="77EDF4FC" w14:textId="4895C4D5" w:rsidR="00767CDC" w:rsidRDefault="00767CDC" w:rsidP="00767CDC">
      <w:r>
        <w:t xml:space="preserve">Language must also be renegotiated with suppliers, as the payables are lower than </w:t>
      </w:r>
      <w:r w:rsidR="00117DAC" w:rsidRPr="003534FF">
        <w:t xml:space="preserve">£216,787 million </w:t>
      </w:r>
      <w:r>
        <w:t>in 2021 (</w:t>
      </w:r>
      <w:r w:rsidR="00117DAC" w:rsidRPr="003534FF">
        <w:t>£</w:t>
      </w:r>
      <w:r>
        <w:t>158,291 million in 2024). Long payables, high volume, or more forgiving contracts can push out cash commitments, in case of a loss, such as in 2023.</w:t>
      </w:r>
    </w:p>
    <w:p w14:paraId="20EB7E5F" w14:textId="5867DBB0" w:rsidR="00431BFC" w:rsidRPr="00431BFC" w:rsidRDefault="00767CDC" w:rsidP="00767CDC">
      <w:r>
        <w:t xml:space="preserve">Receivables management also needs to be improved. The 2024 receivables </w:t>
      </w:r>
      <w:r w:rsidR="00117DAC" w:rsidRPr="003534FF">
        <w:t>£</w:t>
      </w:r>
      <w:r>
        <w:t>114,182 million against negative trend in sales are indicative of inefficiency in collection (Han and Walsh, 2025). To make more cash turnover would help also; to cut credit periods, mechanize invoicing, and organize more formal collection. Finally, the substitution of digital solutions working capital can lead to increased forecasting, integration of operations, and cohesiveness of controls that complement the overall liquidity recovery plan.</w:t>
      </w:r>
      <w:r w:rsidR="008B208B" w:rsidRPr="008B208B">
        <w:t xml:space="preserve"> </w:t>
      </w:r>
    </w:p>
    <w:p w14:paraId="055BCF78" w14:textId="3693E1BE" w:rsidR="00431BFC" w:rsidRPr="00431BFC" w:rsidRDefault="003534FF" w:rsidP="00431BFC">
      <w:pPr>
        <w:pStyle w:val="Heading2"/>
      </w:pPr>
      <w:bookmarkStart w:id="13" w:name="_Toc216361483"/>
      <w:r w:rsidRPr="003534FF">
        <w:t>Financing Strategy: Balancing Short-Term and Long-Term Funding</w:t>
      </w:r>
      <w:bookmarkEnd w:id="13"/>
    </w:p>
    <w:p w14:paraId="14849039" w14:textId="1FA2A898" w:rsidR="008174E8" w:rsidRDefault="00767CDC" w:rsidP="008174E8">
      <w:r w:rsidRPr="00767CDC">
        <w:t xml:space="preserve">General Electronics should go as far as its sources of finance can go so as to assist the </w:t>
      </w:r>
      <w:proofErr w:type="spellStart"/>
      <w:r w:rsidRPr="00767CDC">
        <w:t>stabilisation</w:t>
      </w:r>
      <w:proofErr w:type="spellEnd"/>
      <w:r w:rsidRPr="00767CDC">
        <w:t xml:space="preserve"> process in redesigning. The liquidity issues revealed by the decreasing quick ratio of approximately 1.0 and the low operating cash flow point to the fact that the business depends on short-term liquidity sources, including overdrafts, revolving credit lines, and trade finance (Sumar and Karlsson, 2022).</w:t>
      </w:r>
      <w:r>
        <w:t xml:space="preserve"> </w:t>
      </w:r>
      <w:r w:rsidR="008174E8">
        <w:t xml:space="preserve">Overdrafts have quicker access to money, at a higher interest rate and can be accessed anytime without notice, making them less predictable. These revolving credit facilities are more </w:t>
      </w:r>
      <w:proofErr w:type="spellStart"/>
      <w:r w:rsidR="008174E8">
        <w:t>institutionalised</w:t>
      </w:r>
      <w:proofErr w:type="spellEnd"/>
      <w:r w:rsidR="008174E8">
        <w:t xml:space="preserve"> access to liquidity, but more challenging to roll over when lenders face higher credit risk, especially as the debt-to-equity ratio reaches 1.11 in 2024, versus 0.63 in 2020. Trade financing could help relieve cash constraints, including supplier credit and inventory </w:t>
      </w:r>
      <w:r w:rsidR="008174E8">
        <w:lastRenderedPageBreak/>
        <w:t>financing, but availability is contingent on supplier trust, which may be lower due to existing losses (Vo et al., 2023).</w:t>
      </w:r>
    </w:p>
    <w:p w14:paraId="3C9D8AE3" w14:textId="77777777" w:rsidR="008174E8" w:rsidRDefault="008174E8" w:rsidP="008174E8">
      <w:r>
        <w:t>The other is long-term debt refinancing. Reclassification of short-term debt into long-term obligations can assist in repaying the annual load and liquidity, particularly on short notice. However, it would raise interest payments over the long term and cut financial flexibility. Its interest rate in 2023 and 2024 is -19.69 and -4.55, respectively; that is why lenders will treat the company as a high-risk operation and introduce more strict covenants and cost of debt.</w:t>
      </w:r>
    </w:p>
    <w:p w14:paraId="2A2AB6B5" w14:textId="01ABDFAC" w:rsidR="00431BFC" w:rsidRPr="00431BFC" w:rsidRDefault="008174E8" w:rsidP="008174E8">
      <w:r>
        <w:t xml:space="preserve">Risk, cost, and flexibility: Temporary funding is flexible and exposes the company to market volatility and challenges with refinancing (Stella, 2025). Long term funding can be more predictable, though it introduces leverage and fixed financial commitments. As the company experienced a declining gearing ratio, and the equity of </w:t>
      </w:r>
      <w:r w:rsidR="00B6425F" w:rsidRPr="003534FF">
        <w:t>£</w:t>
      </w:r>
      <w:r>
        <w:t xml:space="preserve">313,301 million in 2020 reduced to </w:t>
      </w:r>
      <w:r w:rsidR="00B6425F" w:rsidRPr="003534FF">
        <w:t>£</w:t>
      </w:r>
      <w:r>
        <w:t xml:space="preserve">153,105 million in 2024, the most reasonable option is to balance financing. It has been linked to acquiring </w:t>
      </w:r>
      <w:proofErr w:type="gramStart"/>
      <w:r>
        <w:t>short term</w:t>
      </w:r>
      <w:proofErr w:type="gramEnd"/>
      <w:r>
        <w:t xml:space="preserve"> facilities to ensure the liquidity is secured on a </w:t>
      </w:r>
      <w:proofErr w:type="gramStart"/>
      <w:r>
        <w:t>short term</w:t>
      </w:r>
      <w:proofErr w:type="gramEnd"/>
      <w:r>
        <w:t xml:space="preserve"> basis since </w:t>
      </w:r>
      <w:proofErr w:type="gramStart"/>
      <w:r>
        <w:t>long term</w:t>
      </w:r>
      <w:proofErr w:type="gramEnd"/>
      <w:r>
        <w:t xml:space="preserve"> refinancing is requested when the necessity to survive through the restructuring period is required, flexibility is maintained and no additional debt is contracted</w:t>
      </w:r>
      <w:r w:rsidR="0045680C">
        <w:t>.</w:t>
      </w:r>
    </w:p>
    <w:p w14:paraId="43B0186B" w14:textId="35FB6CBF" w:rsidR="00431BFC" w:rsidRPr="00431BFC" w:rsidRDefault="003534FF" w:rsidP="00431BFC">
      <w:pPr>
        <w:pStyle w:val="Heading2"/>
      </w:pPr>
      <w:bookmarkStart w:id="14" w:name="_Toc216361484"/>
      <w:r w:rsidRPr="003534FF">
        <w:t>Working Capital Overview</w:t>
      </w:r>
      <w:bookmarkEnd w:id="14"/>
    </w:p>
    <w:p w14:paraId="55AC0007" w14:textId="77C27D2B" w:rsidR="006A4D10" w:rsidRPr="006A4D10" w:rsidRDefault="008174E8" w:rsidP="006A4D10">
      <w:r w:rsidRPr="008174E8">
        <w:t xml:space="preserve">General Electronics is grappling with working capital problems. In 2022, the highest inventory turnover, at </w:t>
      </w:r>
      <w:r w:rsidR="00B6425F" w:rsidRPr="003534FF">
        <w:t>£</w:t>
      </w:r>
      <w:r w:rsidRPr="008174E8">
        <w:t xml:space="preserve">140,181 million, signifies an issue with production and demand forecasting. Receivables are large relative to deteriorating sales, indicating slow customer payments and deteriorating payables negate supplier credit benefit. These inefficiencies have been translated into an abysmal fall in operating cash flows, which stood at </w:t>
      </w:r>
      <w:r w:rsidR="00B6425F" w:rsidRPr="003534FF">
        <w:t>£</w:t>
      </w:r>
      <w:r w:rsidRPr="008174E8">
        <w:t xml:space="preserve">73,392 million in 2020 and </w:t>
      </w:r>
      <w:r w:rsidR="00B6425F" w:rsidRPr="003534FF">
        <w:t>£</w:t>
      </w:r>
      <w:r w:rsidRPr="008174E8">
        <w:t>14,822 million in 2024. Low liquidity ratios indicate that there is little that the firm can do to absorb operational shocks. It demands immediate interventions, including cutting back on excess inventory, improving the collection of receivables, negotiating longer with suppliers to pay, and the application of technology to optimize working capital (Bettinelli et al., 2024). Moreover, the sources of finance must be adjusted to the risk profile of the business, particularly the increasing percentage of debt-to-equity capital and deteriorating interest coverage</w:t>
      </w:r>
      <w:r w:rsidR="00FF0F88" w:rsidRPr="00FF0F88">
        <w:t xml:space="preserve">. </w:t>
      </w:r>
    </w:p>
    <w:p w14:paraId="4289EFC0" w14:textId="771684CF" w:rsidR="006A4D10" w:rsidRDefault="006A4D10" w:rsidP="00BD0A55">
      <w:pPr>
        <w:pStyle w:val="Heading1"/>
      </w:pPr>
      <w:bookmarkStart w:id="15" w:name="_Toc216361485"/>
      <w:r w:rsidRPr="006A4D10">
        <w:lastRenderedPageBreak/>
        <w:t>3. Strategic Financial Restructuring Plan</w:t>
      </w:r>
      <w:bookmarkEnd w:id="15"/>
      <w:r w:rsidRPr="006A4D10">
        <w:t xml:space="preserve"> </w:t>
      </w:r>
    </w:p>
    <w:p w14:paraId="0BD4C5B4" w14:textId="0F9A58B9" w:rsidR="00431BFC" w:rsidRPr="00431BFC" w:rsidRDefault="00865A02" w:rsidP="00431BFC">
      <w:pPr>
        <w:pStyle w:val="Heading2"/>
      </w:pPr>
      <w:bookmarkStart w:id="16" w:name="_Toc216361486"/>
      <w:r w:rsidRPr="00865A02">
        <w:t>Justification for Financial Restructuring</w:t>
      </w:r>
      <w:bookmarkEnd w:id="16"/>
    </w:p>
    <w:p w14:paraId="41D83715" w14:textId="0ED869F0" w:rsidR="00431BFC" w:rsidRPr="00431BFC" w:rsidRDefault="001F2F6F" w:rsidP="00431BFC">
      <w:r w:rsidRPr="001F2F6F">
        <w:t xml:space="preserve">The economic deterioration of the General Electronics underscores the importance of a major restructuring program. Net losses of </w:t>
      </w:r>
      <w:r w:rsidR="00B6425F" w:rsidRPr="003534FF">
        <w:t>£</w:t>
      </w:r>
      <w:r w:rsidRPr="001F2F6F">
        <w:t>98,238</w:t>
      </w:r>
      <w:r w:rsidR="00B6425F">
        <w:t xml:space="preserve"> </w:t>
      </w:r>
      <w:r w:rsidRPr="001F2F6F">
        <w:t xml:space="preserve">million and </w:t>
      </w:r>
      <w:r w:rsidR="00B6425F" w:rsidRPr="003534FF">
        <w:t>£</w:t>
      </w:r>
      <w:r w:rsidRPr="001F2F6F">
        <w:t>24,029</w:t>
      </w:r>
      <w:r w:rsidR="00B6425F">
        <w:t xml:space="preserve"> </w:t>
      </w:r>
      <w:r w:rsidRPr="001F2F6F">
        <w:t xml:space="preserve">million in 2023 and 2024 respectively have brutally whittled equity, and in </w:t>
      </w:r>
      <w:r w:rsidR="00F565F6" w:rsidRPr="00865A02">
        <w:t>£313,301 million in 2020 to £153,105 million in 2024</w:t>
      </w:r>
      <w:r w:rsidRPr="001F2F6F">
        <w:t xml:space="preserve">, weakening the business capital base. The rising debt-to-equity ratio of 1.11 and the negative interest-coverage ratios are also reflective of the immense financial burden the company is currently undergoing. When negative sales and operating income occur on the same basis, the underlying level shows </w:t>
      </w:r>
      <w:r w:rsidR="002C4DE0" w:rsidRPr="00865A02">
        <w:t xml:space="preserve">£614,680 million to £394,879 million </w:t>
      </w:r>
      <w:r w:rsidRPr="001F2F6F">
        <w:t>the structural vulnerabilities (Harrigan and Wing, 2021).</w:t>
      </w:r>
      <w:r w:rsidR="00865A02" w:rsidRPr="00865A02">
        <w:t xml:space="preserve"> </w:t>
      </w:r>
    </w:p>
    <w:p w14:paraId="1EC5E903" w14:textId="1A63E37E" w:rsidR="00431BFC" w:rsidRPr="00431BFC" w:rsidRDefault="00865A02" w:rsidP="00431BFC">
      <w:pPr>
        <w:pStyle w:val="Heading2"/>
      </w:pPr>
      <w:bookmarkStart w:id="17" w:name="_Toc216361487"/>
      <w:r w:rsidRPr="00865A02">
        <w:t>Evaluation of Restructuring Alternatives</w:t>
      </w:r>
      <w:bookmarkEnd w:id="17"/>
    </w:p>
    <w:p w14:paraId="764931AC" w14:textId="35B8A6EB" w:rsidR="001F2F6F" w:rsidRDefault="001F2F6F" w:rsidP="001F2F6F">
      <w:r>
        <w:t xml:space="preserve">There are several restructuring options that must be considered with respect to both short-term liquidity requirements and long-term strategic opportunities. These include the sale of unprofitable product lines. In comparison, total assets have decreased to 2024 of </w:t>
      </w:r>
      <w:r w:rsidR="002C4DE0" w:rsidRPr="00865A02">
        <w:t>£</w:t>
      </w:r>
      <w:r>
        <w:t xml:space="preserve">323,354 million versus 2020 of </w:t>
      </w:r>
      <w:r w:rsidR="002C4DE0" w:rsidRPr="00865A02">
        <w:t>£</w:t>
      </w:r>
      <w:r>
        <w:t xml:space="preserve">510,290 million, indicating that either the company has lost assets or the operations have decreased. Selling non-essential or permanently non-profitable units would yield immediate cash flows, optimize operations, and allow the management to focus on more lucrative properties. This is particularly significant since gross profit was around half in 2020 when it fell to the bottom of the London eye at </w:t>
      </w:r>
      <w:r w:rsidR="002C4DE0" w:rsidRPr="00865A02">
        <w:t>£</w:t>
      </w:r>
      <w:r>
        <w:t>176,256 million</w:t>
      </w:r>
      <w:r w:rsidR="00F565F6">
        <w:t xml:space="preserve"> </w:t>
      </w:r>
      <w:proofErr w:type="spellStart"/>
      <w:r>
        <w:t>membregeon</w:t>
      </w:r>
      <w:proofErr w:type="spellEnd"/>
      <w:r>
        <w:t xml:space="preserve"> as gross profit was </w:t>
      </w:r>
      <w:r w:rsidR="002C4DE0" w:rsidRPr="00865A02">
        <w:t>£</w:t>
      </w:r>
      <w:r>
        <w:t>113,994 million in 2024, as indicated in the table below:</w:t>
      </w:r>
    </w:p>
    <w:p w14:paraId="71039003" w14:textId="4A51D81C" w:rsidR="001F2F6F" w:rsidRDefault="001F2F6F" w:rsidP="001F2F6F">
      <w:r>
        <w:t xml:space="preserve">Another alternative that can be analyzed is equity injection. This can involve the entry of a strategic investor or a rights issue to existing shareholders. Such injection would increase the capital base of the company and possibly reverse the loss of shareholder equity of </w:t>
      </w:r>
      <w:r w:rsidR="002C4DE0" w:rsidRPr="00865A02">
        <w:t>£</w:t>
      </w:r>
      <w:r>
        <w:t xml:space="preserve">160,196 million since 2020. As an example, the arrival of a new investor with a planned input of either </w:t>
      </w:r>
      <w:r w:rsidR="002C4DE0" w:rsidRPr="00865A02">
        <w:t>£</w:t>
      </w:r>
      <w:r>
        <w:t xml:space="preserve">20,000 million to </w:t>
      </w:r>
      <w:r w:rsidR="002C4DE0" w:rsidRPr="00865A02">
        <w:t>£</w:t>
      </w:r>
      <w:r>
        <w:t>30,000 million would theoretically reduce leverage, increase working capital, and finance innovation investments (</w:t>
      </w:r>
      <w:proofErr w:type="spellStart"/>
      <w:r>
        <w:t>Alhamid</w:t>
      </w:r>
      <w:proofErr w:type="spellEnd"/>
      <w:r>
        <w:t>, Carlsson and Claesson, 2022).</w:t>
      </w:r>
    </w:p>
    <w:p w14:paraId="30B8BF19" w14:textId="17F87B1B" w:rsidR="001F2F6F" w:rsidRDefault="001F2F6F" w:rsidP="001F2F6F">
      <w:r>
        <w:t xml:space="preserve">Debt can also be refinanced or renegotiated. Relieving cash pressures could be through the extension of loan terms, lowering of interest rates, or the consolidation of debts. Writing off interest to pay (2024): </w:t>
      </w:r>
      <w:r w:rsidR="00C81AF5" w:rsidRPr="00865A02">
        <w:t>£</w:t>
      </w:r>
      <w:r>
        <w:t>3,361m</w:t>
      </w:r>
      <w:r w:rsidR="00C81AF5">
        <w:t>illion</w:t>
      </w:r>
      <w:r>
        <w:t xml:space="preserve">, renegotiating debt would boost liquidity and counteract adverse </w:t>
      </w:r>
      <w:r>
        <w:lastRenderedPageBreak/>
        <w:t>EBITs in earlier years. The lenders, though, may not be willing to negotiate good terms without a concrete turnaround strategy.</w:t>
      </w:r>
    </w:p>
    <w:p w14:paraId="3A87ED3C" w14:textId="77777777" w:rsidR="001F2F6F" w:rsidRDefault="001F2F6F" w:rsidP="001F2F6F">
      <w:r>
        <w:t>They must also address mergers or strategic alliances. Collaboration with companies in the new technologies or geographic expansions can supplement what the company can supply and market coverage. As an example, partnering with an Asian manufacturer with a track record of high production can lower prices and stabilize the supply chains impacted by inflation. These alliances would also open new markets and offset dwindling sales.</w:t>
      </w:r>
    </w:p>
    <w:p w14:paraId="0BA4F7C2" w14:textId="5AF74FD9" w:rsidR="001F2F6F" w:rsidRDefault="001F2F6F" w:rsidP="001F2F6F">
      <w:r>
        <w:t xml:space="preserve">Cost restructuring within the company is another crucial step (Gutterman, 2024). Operating expenses have been reported at 2023 operating expenses: </w:t>
      </w:r>
      <w:r w:rsidR="00C81AF5" w:rsidRPr="00865A02">
        <w:t>£</w:t>
      </w:r>
      <w:r>
        <w:t xml:space="preserve">182,861 million, but reduced to </w:t>
      </w:r>
      <w:r w:rsidR="00C81AF5" w:rsidRPr="00865A02">
        <w:t>£</w:t>
      </w:r>
      <w:r>
        <w:t xml:space="preserve">129,291 million in 2024, despite that it is still disproportionate to negative operating income. It would be highly useful to have a project to concentrate on administrative cost, logistics, procurement and labor productivity. An example is that a reduction in overhead by 5 percent would save over </w:t>
      </w:r>
      <w:r w:rsidR="00C81AF5" w:rsidRPr="00865A02">
        <w:t>£</w:t>
      </w:r>
      <w:r>
        <w:t>6,000 million in a new financial year.</w:t>
      </w:r>
    </w:p>
    <w:p w14:paraId="59A55A99" w14:textId="64BC1F77" w:rsidR="00431BFC" w:rsidRPr="00431BFC" w:rsidRDefault="001F2F6F" w:rsidP="001F2F6F">
      <w:r>
        <w:t>There are some financial and operational benefits to these restructuring strategies. Probably the most effective mix is a combination of divestitures, equity infusion, partial debt restructuring and controlling internal costs, depending on the contemporary financial problems of the business</w:t>
      </w:r>
      <w:r w:rsidR="00865A02">
        <w:t>.</w:t>
      </w:r>
    </w:p>
    <w:p w14:paraId="37919140" w14:textId="3DD093C3" w:rsidR="00431BFC" w:rsidRPr="00431BFC" w:rsidRDefault="00865A02" w:rsidP="00431BFC">
      <w:pPr>
        <w:pStyle w:val="Heading2"/>
      </w:pPr>
      <w:bookmarkStart w:id="18" w:name="_Toc216361488"/>
      <w:r w:rsidRPr="00865A02">
        <w:t>Impact on Shareholder Value</w:t>
      </w:r>
      <w:bookmarkEnd w:id="18"/>
    </w:p>
    <w:p w14:paraId="5FFF77BB" w14:textId="21DBBCBD" w:rsidR="001F2F6F" w:rsidRDefault="001F2F6F" w:rsidP="001F2F6F">
      <w:r>
        <w:t>The reorganization process will influence the value of shareholders directly through higher profitability, capital structure and operational performance. It will increase profitability, which is negative in recent years (reduced by -54.91% in 2023 and -54.91% in 2024). The decline in ROE can be reversed with effective divestitures, cost reduction, and operational improvement. This would also boost earnings per share (EPS), which dropped to -</w:t>
      </w:r>
      <w:r w:rsidR="00C81AF5" w:rsidRPr="00865A02">
        <w:t>£</w:t>
      </w:r>
      <w:r>
        <w:t>7.64 in 2023 and remained negative at -</w:t>
      </w:r>
      <w:r w:rsidR="00C81AF5" w:rsidRPr="00865A02">
        <w:t>£</w:t>
      </w:r>
      <w:r>
        <w:t>1.85 in 2024. Growth in EPS would reflect financial recovery and would be employed to normalize the lower market prices of the company.</w:t>
      </w:r>
    </w:p>
    <w:p w14:paraId="2074D366" w14:textId="51911063" w:rsidR="00B144AD" w:rsidRDefault="00B144AD" w:rsidP="00B144AD">
      <w:r>
        <w:t xml:space="preserve">In the short run, equity injections can dilute EPS, though they could be utilized to decrease financial risk as leverage. When equity is raised to more than </w:t>
      </w:r>
      <w:r w:rsidR="00D21802" w:rsidRPr="00865A02">
        <w:t>£153,105 million to above £180,000 million</w:t>
      </w:r>
      <w:r>
        <w:t xml:space="preserve">, the debt-to-equity ratio would be reduced to a manageable level. Increased liquidity and reduced reliance on debt would mitigate the risk of financial distress and increase long-term </w:t>
      </w:r>
      <w:r>
        <w:lastRenderedPageBreak/>
        <w:t>shareholder value. Yet, shareholders might not trust dilution until the turnaround shows its outcome.</w:t>
      </w:r>
    </w:p>
    <w:p w14:paraId="453E6B36" w14:textId="45DDD6F0" w:rsidR="00431BFC" w:rsidRPr="00431BFC" w:rsidRDefault="00B144AD" w:rsidP="00B144AD">
      <w:r>
        <w:t>Changes in governance will also be critical (Li and McMurray, 2022). A strategic investor or change of boards can reinforce control and impose financial discipline. Better governance results in greater accountability, reduced perceived risk, and greater confidence in the market regarding company restructuring</w:t>
      </w:r>
      <w:r w:rsidR="001F2F6F">
        <w:t>.</w:t>
      </w:r>
    </w:p>
    <w:p w14:paraId="06A3CA3E" w14:textId="05C183A6" w:rsidR="00431BFC" w:rsidRPr="00431BFC" w:rsidRDefault="00865A02" w:rsidP="00431BFC">
      <w:pPr>
        <w:pStyle w:val="Heading2"/>
      </w:pPr>
      <w:bookmarkStart w:id="19" w:name="_Toc216361489"/>
      <w:r w:rsidRPr="00865A02">
        <w:t>Global Factors and Implications</w:t>
      </w:r>
      <w:bookmarkEnd w:id="19"/>
    </w:p>
    <w:p w14:paraId="0FEABD98" w14:textId="6ECC2222" w:rsidR="00431BFC" w:rsidRPr="00431BFC" w:rsidRDefault="00B144AD" w:rsidP="00431BFC">
      <w:r w:rsidRPr="00B144AD">
        <w:t xml:space="preserve">General Electronics: It is a multinational electronics manufacturer that has a high level of financial cross-border risk due to international operations. There is volatility in exchange rates among currencies such as USD, EUR and other Asian markets and this directly affects profitability because the gross profit will decrease to </w:t>
      </w:r>
      <w:r w:rsidR="00D21802" w:rsidRPr="00865A02">
        <w:t>£</w:t>
      </w:r>
      <w:r w:rsidRPr="00B144AD">
        <w:t>113,994 million in the year 2024. The risk of reinforcing the foreign currencies would raise the cost of production, which emphasizes the significance of feasible hedging frameworks (Schnegg and Möller, 2022). The restructuring plans can also be prone to country-specific taxation rules that can enable a certain country to face a divestiture or relocation to another country with a different tax system to affect the overall returns. Logistics and raw material inflationary pressures also pose risks to profit margins, and cost of sales exceeds over 280,885 million in 2024</w:t>
      </w:r>
      <w:r w:rsidR="00865A02" w:rsidRPr="00865A02">
        <w:t xml:space="preserve">. </w:t>
      </w:r>
    </w:p>
    <w:p w14:paraId="3B782C16" w14:textId="6BE428AE" w:rsidR="00431BFC" w:rsidRPr="00431BFC" w:rsidRDefault="00865A02" w:rsidP="00431BFC">
      <w:pPr>
        <w:pStyle w:val="Heading2"/>
      </w:pPr>
      <w:bookmarkStart w:id="20" w:name="_Toc216361490"/>
      <w:r w:rsidRPr="00865A02">
        <w:t>Social Responsibility and Ethical Framework</w:t>
      </w:r>
      <w:bookmarkEnd w:id="20"/>
    </w:p>
    <w:p w14:paraId="108214CA" w14:textId="5E214288" w:rsidR="00431BFC" w:rsidRPr="00431BFC" w:rsidRDefault="00B144AD" w:rsidP="00431BFC">
      <w:r w:rsidRPr="00B144AD">
        <w:t>The restructuring process requires ethical considerations and CSR. When employees are affected by a change like layoffs or a facility closure, fair labor practice, redundancy package, retraining and open communication takes the center stage. It should also prioritize its ecological interests and the company should prioritize first the energy saving technologies, waste reduction and green sourcing to reduce its carbon footprint. This enhances brand reputation and lowers regulatory risk. On the financial side, the company should be responsible, i.e., it should show transparency in its reporting, negotiate on equal terms with its creditors, and be able to effectively communicate with its shareholders (Vaupel et al., 2023). On the one hand, aggressive accounting is to be avoided, and the emphasis on short-term profitability rather than long-term integrity is to be counter-intuitive to believe. This will help in long term sustainability, because the trust of the people will be enhanced by a people approach to restructuring</w:t>
      </w:r>
      <w:r w:rsidR="00713762" w:rsidRPr="00713762">
        <w:t>.</w:t>
      </w:r>
    </w:p>
    <w:p w14:paraId="69644A58" w14:textId="2AF98FF3" w:rsidR="00431BFC" w:rsidRPr="00431BFC" w:rsidRDefault="00865A02" w:rsidP="00431BFC">
      <w:pPr>
        <w:pStyle w:val="Heading2"/>
      </w:pPr>
      <w:bookmarkStart w:id="21" w:name="_Toc216361491"/>
      <w:r w:rsidRPr="00865A02">
        <w:rPr>
          <w:bCs/>
        </w:rPr>
        <w:lastRenderedPageBreak/>
        <w:t>Overview of Restructuring Approach</w:t>
      </w:r>
      <w:bookmarkEnd w:id="21"/>
    </w:p>
    <w:p w14:paraId="580DA64D" w14:textId="77777777" w:rsidR="00B144AD" w:rsidRDefault="00B144AD" w:rsidP="00B144AD">
      <w:r>
        <w:t xml:space="preserve">Urgency, financial, and strategic relevancy actions have been placed at the </w:t>
      </w:r>
      <w:proofErr w:type="spellStart"/>
      <w:r>
        <w:t>centre</w:t>
      </w:r>
      <w:proofErr w:type="spellEnd"/>
      <w:r>
        <w:t xml:space="preserve"> of reorganization (</w:t>
      </w:r>
      <w:proofErr w:type="spellStart"/>
      <w:r>
        <w:t>Simonarson</w:t>
      </w:r>
      <w:proofErr w:type="spellEnd"/>
      <w:r>
        <w:t xml:space="preserve"> and </w:t>
      </w:r>
      <w:proofErr w:type="spellStart"/>
      <w:r>
        <w:t>Zydorek</w:t>
      </w:r>
      <w:proofErr w:type="spellEnd"/>
      <w:r>
        <w:t>, 2021). Short-term will look at selling non-core assets to create liquidity, tightening debt conditions where feasible, and restructuring aggressively to restore profitability. Takeovers and strategic alliances to improve technological capabilities and market penetration will typify the medium term. Long-term objectives will be to restore the capital base, restore the normal rate of return on equity (ROE) and earnings per share (EPS), and improve competitiveness in the international market.</w:t>
      </w:r>
    </w:p>
    <w:p w14:paraId="0ADDFC72" w14:textId="260FDB6C" w:rsidR="00431BFC" w:rsidRPr="00431BFC" w:rsidRDefault="00B144AD" w:rsidP="00B144AD">
      <w:r>
        <w:t xml:space="preserve">Key performance indicators will be focused on reducing debt to equity ratios, increasing operating profit margin, </w:t>
      </w:r>
      <w:proofErr w:type="spellStart"/>
      <w:r>
        <w:t>stabilising</w:t>
      </w:r>
      <w:proofErr w:type="spellEnd"/>
      <w:r>
        <w:t xml:space="preserve"> EPS, and </w:t>
      </w:r>
      <w:proofErr w:type="spellStart"/>
      <w:r>
        <w:t>maximising</w:t>
      </w:r>
      <w:proofErr w:type="spellEnd"/>
      <w:r>
        <w:t xml:space="preserve"> operating cash flow (Zhang et al., 2021). It may be utilized within two-three years, taking into account both urgent financial issues and operational viability</w:t>
      </w:r>
      <w:r w:rsidR="00865A02" w:rsidRPr="00865A02">
        <w:t xml:space="preserve">. </w:t>
      </w:r>
    </w:p>
    <w:p w14:paraId="02D8BBF2" w14:textId="66161106" w:rsidR="006A4D10" w:rsidRPr="006A4D10" w:rsidRDefault="006A4D10" w:rsidP="00BD0A55">
      <w:pPr>
        <w:pStyle w:val="Heading1"/>
      </w:pPr>
      <w:bookmarkStart w:id="22" w:name="_Toc216361492"/>
      <w:r w:rsidRPr="006A4D10">
        <w:t>4. Investment Appraisal and Capital Budgeting</w:t>
      </w:r>
      <w:bookmarkEnd w:id="22"/>
      <w:r w:rsidRPr="006A4D10">
        <w:t xml:space="preserve"> </w:t>
      </w:r>
    </w:p>
    <w:p w14:paraId="4F517DED" w14:textId="4314371E" w:rsidR="00431BFC" w:rsidRPr="00431BFC" w:rsidRDefault="00865A02" w:rsidP="00431BFC">
      <w:pPr>
        <w:pStyle w:val="Heading2"/>
      </w:pPr>
      <w:bookmarkStart w:id="23" w:name="_Toc216361493"/>
      <w:r w:rsidRPr="00865A02">
        <w:t>Investment Decision Framework</w:t>
      </w:r>
      <w:bookmarkEnd w:id="23"/>
    </w:p>
    <w:p w14:paraId="5A474370" w14:textId="2968EFC9" w:rsidR="0013742D" w:rsidRDefault="0013742D" w:rsidP="0013742D">
      <w:r>
        <w:t xml:space="preserve">General Electronics is encumbered by massive investment decisions. The loss of profitability has been outstanding as the company experienced net losses of </w:t>
      </w:r>
      <w:r w:rsidR="00D21802" w:rsidRPr="00865A02">
        <w:t>£</w:t>
      </w:r>
      <w:r>
        <w:t xml:space="preserve">98,238 million in 2023 and </w:t>
      </w:r>
      <w:r w:rsidR="00D21802" w:rsidRPr="00865A02">
        <w:t>£</w:t>
      </w:r>
      <w:r>
        <w:t xml:space="preserve">24,029 million in 2024. The operating cash flow also declines considerably, to only </w:t>
      </w:r>
      <w:r w:rsidR="00D21802" w:rsidRPr="00865A02">
        <w:t>£</w:t>
      </w:r>
      <w:r>
        <w:t xml:space="preserve">14,822 million in 2024, compared to </w:t>
      </w:r>
      <w:r w:rsidR="00D21802" w:rsidRPr="00865A02">
        <w:t>£</w:t>
      </w:r>
      <w:r>
        <w:t>73, 392 million in 2020. It has low liquidity with a current ratio of 1.53 and quick ratio of 1.03 in 2024, providing poor absorbency to financial shocks. That notwithstanding, any capital expenditure must be critically analyzed to ascertain whether the capital will add to the recovery goals of the business and not plunge the business in further financial predicaments.</w:t>
      </w:r>
    </w:p>
    <w:p w14:paraId="7AF2F374" w14:textId="50B4FAD0" w:rsidR="0013742D" w:rsidRDefault="0013742D" w:rsidP="0013742D">
      <w:r>
        <w:t xml:space="preserve">The investment decision is also complicated by capital rationing. The sum of money that the firm will invest to the maximum will be </w:t>
      </w:r>
      <w:r w:rsidR="00C13C2C" w:rsidRPr="00865A02">
        <w:t>£</w:t>
      </w:r>
      <w:r>
        <w:t xml:space="preserve">60 million and this means that projects which are to be undertaken will be the projects which are most strategic despite the fact that other projects may give good financial results. It is constrained by the reduction in equity to </w:t>
      </w:r>
      <w:r w:rsidR="00C13C2C" w:rsidRPr="00865A02">
        <w:t>£</w:t>
      </w:r>
      <w:r>
        <w:t xml:space="preserve">153,105 million in 2024 versus the </w:t>
      </w:r>
      <w:r w:rsidR="00C13C2C" w:rsidRPr="00865A02">
        <w:t>£</w:t>
      </w:r>
      <w:r>
        <w:t xml:space="preserve">313,301 million in 2020 and the rising debt-to-equity ratio of 1.11 as it is only placed on the diluted balance sheet of the company. Leverage is very </w:t>
      </w:r>
      <w:proofErr w:type="gramStart"/>
      <w:r>
        <w:t>high</w:t>
      </w:r>
      <w:proofErr w:type="gramEnd"/>
      <w:r>
        <w:t xml:space="preserve"> and the interest coverage is </w:t>
      </w:r>
      <w:proofErr w:type="gramStart"/>
      <w:r>
        <w:t>negative</w:t>
      </w:r>
      <w:proofErr w:type="gramEnd"/>
      <w:r>
        <w:t xml:space="preserve"> meaning that any investment made </w:t>
      </w:r>
      <w:proofErr w:type="gramStart"/>
      <w:r>
        <w:t>has to</w:t>
      </w:r>
      <w:proofErr w:type="gramEnd"/>
      <w:r>
        <w:t xml:space="preserve"> be profitable, therefore short payback and </w:t>
      </w:r>
      <w:proofErr w:type="gramStart"/>
      <w:r>
        <w:t>long term</w:t>
      </w:r>
      <w:proofErr w:type="gramEnd"/>
      <w:r>
        <w:t xml:space="preserve"> strategic benefits.</w:t>
      </w:r>
    </w:p>
    <w:p w14:paraId="760B1E3F" w14:textId="5C47AFF8" w:rsidR="00431BFC" w:rsidRPr="00431BFC" w:rsidRDefault="00FF73A4" w:rsidP="0013742D">
      <w:r w:rsidRPr="00FF73A4">
        <w:lastRenderedPageBreak/>
        <w:t>Risk factors also play a significant role in the investment decision. This company is a consumer electronics (highly dynamic) market, the technology is changing fast, the demand fluctuates, and the supply chains are fragmented. The company is undercapitalized and, thus, cannot afford risky or long-payback investments (Godefroid et al., 2024). They ought to, instead, focus on business ventures that have predictable cash flows, good returns, and are suitable to the company restructure. Projects A, B, C will test this risk-sensitive and rigorous environment</w:t>
      </w:r>
      <w:r w:rsidR="00865A02" w:rsidRPr="00865A02">
        <w:t>.</w:t>
      </w:r>
    </w:p>
    <w:p w14:paraId="31B630E6" w14:textId="78146587" w:rsidR="00431BFC" w:rsidRPr="004D5176" w:rsidRDefault="00865A02" w:rsidP="004D5176">
      <w:pPr>
        <w:pStyle w:val="Heading2"/>
      </w:pPr>
      <w:bookmarkStart w:id="24" w:name="_Toc216361494"/>
      <w:r w:rsidRPr="00865A02">
        <w:t>Project Assessment Using Five Evaluation Methods</w:t>
      </w:r>
      <w:bookmarkEnd w:id="24"/>
    </w:p>
    <w:p w14:paraId="4D2DC342" w14:textId="77777777" w:rsidR="00FF73A4" w:rsidRDefault="00FF73A4" w:rsidP="00FF73A4">
      <w:r>
        <w:t xml:space="preserve">Five typical approaches to capital budgeting were applied in evaluating all projects: payback period, accounting rate of return, net present value, internal rate of return, and profitability index. A combination of these techniques can provide us with responses regarding the pace of cash recovery, profitability and project persistence on the generation of </w:t>
      </w:r>
      <w:proofErr w:type="gramStart"/>
      <w:r>
        <w:t>long term</w:t>
      </w:r>
      <w:proofErr w:type="gramEnd"/>
      <w:r>
        <w:t xml:space="preserve"> value.</w:t>
      </w:r>
    </w:p>
    <w:p w14:paraId="6FA89FC1" w14:textId="239C54B2" w:rsidR="00FF73A4" w:rsidRDefault="00FF73A4" w:rsidP="00FF73A4">
      <w:r>
        <w:t xml:space="preserve">Under Project A, initial investment is 40 m and cash flows of </w:t>
      </w:r>
      <w:r w:rsidR="00C13C2C" w:rsidRPr="00865A02">
        <w:t>£</w:t>
      </w:r>
      <w:r>
        <w:t xml:space="preserve">10m, </w:t>
      </w:r>
      <w:r w:rsidR="00C13C2C" w:rsidRPr="00865A02">
        <w:t>£</w:t>
      </w:r>
      <w:r>
        <w:t xml:space="preserve">12m, </w:t>
      </w:r>
      <w:r w:rsidR="00C13C2C" w:rsidRPr="00865A02">
        <w:t>£</w:t>
      </w:r>
      <w:r>
        <w:t xml:space="preserve">14m, </w:t>
      </w:r>
      <w:r w:rsidR="00C13C2C" w:rsidRPr="00865A02">
        <w:t>£</w:t>
      </w:r>
      <w:r>
        <w:t xml:space="preserve">10m, </w:t>
      </w:r>
      <w:r w:rsidR="00C13C2C" w:rsidRPr="00865A02">
        <w:t>£</w:t>
      </w:r>
      <w:r>
        <w:t xml:space="preserve">8m in the first year, and in the second through the fifth year respectively. The average profit is </w:t>
      </w:r>
      <w:r w:rsidR="00E5059C" w:rsidRPr="00865A02">
        <w:t>£</w:t>
      </w:r>
      <w:r>
        <w:t xml:space="preserve">2.8 million per annum, the accounting rate of return is 7 percent, the payback period is 3.4 years, and the profitability is relatively low. The net present value of the project is </w:t>
      </w:r>
      <w:r w:rsidR="00E5059C" w:rsidRPr="00865A02">
        <w:t>£</w:t>
      </w:r>
      <w:r>
        <w:t>1.324 million with a profitability index of 1.033 indicating that the net present value of the project has paid back a small amount of the pound invested. Project A is economically viable because its internal rate of return of 11.33 percent is higher than the discount rate of 10 percent but the returns are low.</w:t>
      </w:r>
    </w:p>
    <w:p w14:paraId="330594B8" w14:textId="263E29E0" w:rsidR="00FF73A4" w:rsidRDefault="00FF73A4" w:rsidP="00FF73A4">
      <w:r>
        <w:t xml:space="preserve">Project B offers flat cash flows of </w:t>
      </w:r>
      <w:r w:rsidR="00E5059C" w:rsidRPr="00865A02">
        <w:t>£</w:t>
      </w:r>
      <w:r>
        <w:t xml:space="preserve">6 million dollars annually over five years with a lower investment of </w:t>
      </w:r>
      <w:r w:rsidR="00E5059C" w:rsidRPr="00865A02">
        <w:t>£</w:t>
      </w:r>
      <w:r>
        <w:t>30 mil</w:t>
      </w:r>
      <w:r w:rsidR="00E5059C">
        <w:t>lion</w:t>
      </w:r>
      <w:r>
        <w:t xml:space="preserve">. The payback period (5 years) demonstrates a poor capital recovery. Accounting rate of returns is zero, as the inflows match the depreciation, and no net profit remains. The project is priced at </w:t>
      </w:r>
      <w:r w:rsidR="00E5059C" w:rsidRPr="00865A02">
        <w:t>£</w:t>
      </w:r>
      <w:r>
        <w:t>7.255 million, the index of profitability being significantly lower, and the internal rate of return being virtually zero. These findings reinforce the idea that Project B is a worthless killer and should not be invested in.</w:t>
      </w:r>
    </w:p>
    <w:p w14:paraId="207EC4CE" w14:textId="4C48504E" w:rsidR="00865A02" w:rsidRPr="00431BFC" w:rsidRDefault="00FF73A4" w:rsidP="00FF73A4">
      <w:r>
        <w:t xml:space="preserve">Project C would imply initial investment amounting to </w:t>
      </w:r>
      <w:r w:rsidR="00E5059C" w:rsidRPr="00865A02">
        <w:t>£</w:t>
      </w:r>
      <w:r>
        <w:t xml:space="preserve">50 million and cash flow shifts of </w:t>
      </w:r>
      <w:r w:rsidR="00E5059C" w:rsidRPr="00865A02">
        <w:t>£</w:t>
      </w:r>
      <w:r>
        <w:t xml:space="preserve">5 million, </w:t>
      </w:r>
      <w:r w:rsidR="00E5059C" w:rsidRPr="00865A02">
        <w:t>£</w:t>
      </w:r>
      <w:r>
        <w:t xml:space="preserve">10 million, </w:t>
      </w:r>
      <w:r w:rsidR="00E5059C" w:rsidRPr="00865A02">
        <w:t>£</w:t>
      </w:r>
      <w:r>
        <w:t xml:space="preserve">20 million, </w:t>
      </w:r>
      <w:r w:rsidR="00E5059C" w:rsidRPr="00865A02">
        <w:t>£</w:t>
      </w:r>
      <w:r>
        <w:t xml:space="preserve">25 million, and </w:t>
      </w:r>
      <w:r w:rsidR="00E5059C" w:rsidRPr="00865A02">
        <w:t>£</w:t>
      </w:r>
      <w:r>
        <w:t xml:space="preserve">15 million. This incremental investment matches Project A with a payback period of 3.6 years. The maximum project-wise accounting rate of return is 10 per cent and the maximum project-wise net present value is </w:t>
      </w:r>
      <w:r w:rsidR="00E5059C" w:rsidRPr="00865A02">
        <w:t>£</w:t>
      </w:r>
      <w:r>
        <w:t xml:space="preserve">4.225 million. Its attractiveness of 12.72 percent is further supported by its profitability index of 1.085 and its </w:t>
      </w:r>
      <w:r>
        <w:lastRenderedPageBreak/>
        <w:t>internal rate. Project C is the most valuable in the long run, and it is long-run dominant over Projects A and B in all aspects</w:t>
      </w:r>
      <w:r w:rsidR="00865A02" w:rsidRPr="00865A02">
        <w:t>.</w:t>
      </w:r>
    </w:p>
    <w:p w14:paraId="47D97410" w14:textId="22C6F96E" w:rsidR="00431BFC" w:rsidRPr="00431BFC" w:rsidRDefault="00865A02" w:rsidP="00431BFC">
      <w:pPr>
        <w:pStyle w:val="Heading2"/>
      </w:pPr>
      <w:bookmarkStart w:id="25" w:name="_Toc216361495"/>
      <w:r w:rsidRPr="00865A02">
        <w:t>Financial Comparison of the Three Projects</w:t>
      </w:r>
      <w:bookmarkEnd w:id="25"/>
    </w:p>
    <w:p w14:paraId="4822427F" w14:textId="430FB907" w:rsidR="004D5176" w:rsidRDefault="00FF73A4" w:rsidP="00431BFC">
      <w:r w:rsidRPr="00FF73A4">
        <w:t>The comparisons of Projects A, B, and C indicate that the risk, cash flow trends, and financial value differ significantly. Project B is not pursued because the NPV is negative, the payback period is long, and the probability of recovery is low (Bond, Markgren Holiday and Stenstrom, 2024</w:t>
      </w:r>
      <w:proofErr w:type="gramStart"/>
      <w:r w:rsidRPr="00FF73A4">
        <w:t>) )</w:t>
      </w:r>
      <w:proofErr w:type="gramEnd"/>
      <w:r w:rsidRPr="00FF73A4">
        <w:t>. It fails to create growth because its cash flows continue and may be susceptible to inflation, which would be improper in the environment where a company requires high-impact investments. Project A: middle-ground; predictable cash flows, moderate positive NPV</w:t>
      </w:r>
      <w:r w:rsidR="00865A02" w:rsidRPr="00865A02">
        <w:t xml:space="preserve">. </w:t>
      </w:r>
    </w:p>
    <w:p w14:paraId="59D04BBA" w14:textId="3ABFBEF8" w:rsidR="004D5176" w:rsidRDefault="004D5176" w:rsidP="004D5176">
      <w:pPr>
        <w:jc w:val="center"/>
        <w:rPr>
          <w:b/>
          <w:bCs/>
        </w:rPr>
      </w:pPr>
      <w:r w:rsidRPr="004D5176">
        <w:rPr>
          <w:noProof/>
        </w:rPr>
        <w:drawing>
          <wp:inline distT="0" distB="0" distL="0" distR="0" wp14:anchorId="40EFC7F5" wp14:editId="3F5E5DEF">
            <wp:extent cx="5943600" cy="2094230"/>
            <wp:effectExtent l="0" t="0" r="0" b="1270"/>
            <wp:docPr id="4321475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094230"/>
                    </a:xfrm>
                    <a:prstGeom prst="rect">
                      <a:avLst/>
                    </a:prstGeom>
                    <a:noFill/>
                    <a:ln>
                      <a:noFill/>
                    </a:ln>
                  </pic:spPr>
                </pic:pic>
              </a:graphicData>
            </a:graphic>
          </wp:inline>
        </w:drawing>
      </w:r>
    </w:p>
    <w:p w14:paraId="0099F76C" w14:textId="4D2DDE10" w:rsidR="004D5176" w:rsidRDefault="004D5176" w:rsidP="004D5176">
      <w:pPr>
        <w:jc w:val="center"/>
        <w:rPr>
          <w:b/>
          <w:bCs/>
        </w:rPr>
      </w:pPr>
      <w:r w:rsidRPr="004D5176">
        <w:rPr>
          <w:noProof/>
        </w:rPr>
        <w:drawing>
          <wp:inline distT="0" distB="0" distL="0" distR="0" wp14:anchorId="04844F19" wp14:editId="4697EB62">
            <wp:extent cx="5934075" cy="1571625"/>
            <wp:effectExtent l="0" t="0" r="9525" b="9525"/>
            <wp:docPr id="892631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1571625"/>
                    </a:xfrm>
                    <a:prstGeom prst="rect">
                      <a:avLst/>
                    </a:prstGeom>
                    <a:noFill/>
                    <a:ln>
                      <a:noFill/>
                    </a:ln>
                  </pic:spPr>
                </pic:pic>
              </a:graphicData>
            </a:graphic>
          </wp:inline>
        </w:drawing>
      </w:r>
    </w:p>
    <w:p w14:paraId="4BB3A0AD" w14:textId="69AC0BA2" w:rsidR="004D5176" w:rsidRDefault="004D5176" w:rsidP="004D5176">
      <w:pPr>
        <w:jc w:val="center"/>
        <w:rPr>
          <w:b/>
          <w:bCs/>
        </w:rPr>
      </w:pPr>
      <w:r w:rsidRPr="004D5176">
        <w:rPr>
          <w:noProof/>
        </w:rPr>
        <w:lastRenderedPageBreak/>
        <w:drawing>
          <wp:inline distT="0" distB="0" distL="0" distR="0" wp14:anchorId="38D9597C" wp14:editId="69407A98">
            <wp:extent cx="5934075" cy="1752600"/>
            <wp:effectExtent l="0" t="0" r="9525" b="0"/>
            <wp:docPr id="16522721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4075" cy="1752600"/>
                    </a:xfrm>
                    <a:prstGeom prst="rect">
                      <a:avLst/>
                    </a:prstGeom>
                    <a:noFill/>
                    <a:ln>
                      <a:noFill/>
                    </a:ln>
                  </pic:spPr>
                </pic:pic>
              </a:graphicData>
            </a:graphic>
          </wp:inline>
        </w:drawing>
      </w:r>
    </w:p>
    <w:p w14:paraId="2FB327A2" w14:textId="43316A85" w:rsidR="004D5176" w:rsidRPr="00431BFC" w:rsidRDefault="004D5176" w:rsidP="004D5176">
      <w:pPr>
        <w:jc w:val="center"/>
        <w:rPr>
          <w:b/>
          <w:bCs/>
        </w:rPr>
      </w:pPr>
      <w:r w:rsidRPr="00431BFC">
        <w:rPr>
          <w:b/>
          <w:bCs/>
        </w:rPr>
        <w:t xml:space="preserve">Figure </w:t>
      </w:r>
      <w:r>
        <w:rPr>
          <w:b/>
          <w:bCs/>
        </w:rPr>
        <w:t>3</w:t>
      </w:r>
      <w:r w:rsidRPr="00431BFC">
        <w:rPr>
          <w:b/>
          <w:bCs/>
        </w:rPr>
        <w:t xml:space="preserve">: </w:t>
      </w:r>
      <w:r w:rsidRPr="00431BFC">
        <w:rPr>
          <w:b/>
        </w:rPr>
        <w:t>Investment Appraisal</w:t>
      </w:r>
    </w:p>
    <w:p w14:paraId="5C3D1DF5" w14:textId="6A1F05E1" w:rsidR="004D5176" w:rsidRDefault="004D5176" w:rsidP="004D5176">
      <w:pPr>
        <w:jc w:val="center"/>
      </w:pPr>
      <w:r>
        <w:t>(Source: Excel)</w:t>
      </w:r>
    </w:p>
    <w:p w14:paraId="171C0099" w14:textId="77777777" w:rsidR="00FF73A4" w:rsidRDefault="00FF73A4" w:rsidP="00FF73A4">
      <w:r>
        <w:t>But the fact that the index of its profitability is 1.033 and low returns on the profits are not connected with the fact that in the period when the company rearranges the financial structure, more impressive stream of cash inflow is badly needed is the point.</w:t>
      </w:r>
    </w:p>
    <w:p w14:paraId="27293DB1" w14:textId="337CA676" w:rsidR="00431BFC" w:rsidRPr="00431BFC" w:rsidRDefault="00FF73A4" w:rsidP="00FF73A4">
      <w:r>
        <w:t xml:space="preserve">The project C are the most appealing among the three, its shape of cash flow is more positive, with </w:t>
      </w:r>
      <w:r w:rsidR="00A55D6E" w:rsidRPr="00865A02">
        <w:t>£</w:t>
      </w:r>
      <w:r>
        <w:t xml:space="preserve">5 million as the first value of the first year and </w:t>
      </w:r>
      <w:r w:rsidR="00A55D6E" w:rsidRPr="00865A02">
        <w:t>£</w:t>
      </w:r>
      <w:r>
        <w:t xml:space="preserve">25 million as the first value of the fourth year, and so on, </w:t>
      </w:r>
      <w:r w:rsidR="00A55D6E" w:rsidRPr="00865A02">
        <w:t>£</w:t>
      </w:r>
      <w:r>
        <w:t xml:space="preserve">15 million is the constant value of the fifth year. This is an indication of cash flow scalability and it is aligned with the emerging business growth opportunities. It has higher current flow compared to Project A, yet that is an encouraging growth indicator, not a signal of instability. Since annual revenues in the company decrease in 2020, when the turnover is </w:t>
      </w:r>
      <w:r w:rsidR="00A55D6E" w:rsidRPr="00865A02">
        <w:t>£</w:t>
      </w:r>
      <w:r>
        <w:t xml:space="preserve">614,680 million, and 2024, when the turnover is </w:t>
      </w:r>
      <w:r w:rsidR="00A55D6E" w:rsidRPr="00865A02">
        <w:t>£</w:t>
      </w:r>
      <w:r>
        <w:t xml:space="preserve">394,879 million, then Project C becomes a more significant part of the strategic renewal of the company. It has the best NPV, IRR and profitability index, implying that it will contribute the most to profitability, liquidity recovery, and </w:t>
      </w:r>
      <w:proofErr w:type="gramStart"/>
      <w:r>
        <w:t>long term</w:t>
      </w:r>
      <w:proofErr w:type="gramEnd"/>
      <w:r>
        <w:t xml:space="preserve"> value addition</w:t>
      </w:r>
      <w:r w:rsidR="00865A02" w:rsidRPr="00865A02">
        <w:t>.</w:t>
      </w:r>
      <w:r w:rsidR="00411DED" w:rsidRPr="00411DED">
        <w:t xml:space="preserve"> </w:t>
      </w:r>
    </w:p>
    <w:p w14:paraId="74307E92" w14:textId="465BBF43" w:rsidR="00431BFC" w:rsidRPr="00431BFC" w:rsidRDefault="00865A02" w:rsidP="00431BFC">
      <w:pPr>
        <w:pStyle w:val="Heading2"/>
      </w:pPr>
      <w:bookmarkStart w:id="26" w:name="_Toc216361496"/>
      <w:r w:rsidRPr="00865A02">
        <w:t>Analysis of Capital Rationing Constraints</w:t>
      </w:r>
      <w:bookmarkEnd w:id="26"/>
    </w:p>
    <w:p w14:paraId="78AC6913" w14:textId="310773AD" w:rsidR="00FF73A4" w:rsidRDefault="00FF73A4" w:rsidP="00FF73A4">
      <w:r>
        <w:t xml:space="preserve">With </w:t>
      </w:r>
      <w:r w:rsidR="00A55D6E" w:rsidRPr="00865A02">
        <w:t>£</w:t>
      </w:r>
      <w:r>
        <w:t xml:space="preserve">60 million as a capital rationing constraint, only one project would be selected because the total cost of Project A and C is </w:t>
      </w:r>
      <w:r w:rsidR="00A55D6E" w:rsidRPr="00865A02">
        <w:t>£</w:t>
      </w:r>
      <w:r>
        <w:t>90 million against the financial constraint of 60 million. Project B is technically possible to be compatible with Project A or C, but the NPV is negative and the financial capability is weak, making it an invalid solution.</w:t>
      </w:r>
    </w:p>
    <w:p w14:paraId="6DEABC95" w14:textId="55BD83DC" w:rsidR="00431BFC" w:rsidRPr="00431BFC" w:rsidRDefault="00FF73A4" w:rsidP="00FF73A4">
      <w:r>
        <w:t xml:space="preserve">Project C is the best project out of all, as it invested </w:t>
      </w:r>
      <w:r w:rsidR="00A55D6E" w:rsidRPr="00865A02">
        <w:t>£</w:t>
      </w:r>
      <w:r>
        <w:t xml:space="preserve">50 million and has the most optimal capital constraint and financial outcomes. The </w:t>
      </w:r>
      <w:r w:rsidR="00A55D6E" w:rsidRPr="00865A02">
        <w:t>£</w:t>
      </w:r>
      <w:r>
        <w:t xml:space="preserve">4.225 million in its NPV relates to the Project </w:t>
      </w:r>
      <w:proofErr w:type="gramStart"/>
      <w:r>
        <w:t>As</w:t>
      </w:r>
      <w:proofErr w:type="gramEnd"/>
      <w:r>
        <w:t xml:space="preserve"> NPV of </w:t>
      </w:r>
      <w:r w:rsidR="00A55D6E" w:rsidRPr="00865A02">
        <w:t>£</w:t>
      </w:r>
      <w:r>
        <w:t xml:space="preserve">1.324 million. Also, with a rate of return of 12.72 percent, Project C is more profitable than </w:t>
      </w:r>
      <w:r>
        <w:lastRenderedPageBreak/>
        <w:t>Project A with 11.33 percent and a profitability index of 1.085 versus 1.033, i.e. more value created per pound invested. Initial investment in Project C will be 10 million, however, with a payback period of 3.6 years, which is a bit higher than Project A. Thus, Project C is the optimal project given the capital rationing constraint</w:t>
      </w:r>
      <w:r w:rsidR="00865A02" w:rsidRPr="00865A02">
        <w:t>.</w:t>
      </w:r>
      <w:r w:rsidR="00431BFC" w:rsidRPr="00431BFC">
        <w:t xml:space="preserve"> </w:t>
      </w:r>
    </w:p>
    <w:p w14:paraId="61518BF3" w14:textId="48C5400F" w:rsidR="00431BFC" w:rsidRPr="00431BFC" w:rsidRDefault="00865A02" w:rsidP="00431BFC">
      <w:pPr>
        <w:pStyle w:val="Heading2"/>
      </w:pPr>
      <w:bookmarkStart w:id="27" w:name="_Toc216361497"/>
      <w:r w:rsidRPr="00865A02">
        <w:t>Justification for Selecting the Final Project</w:t>
      </w:r>
      <w:bookmarkEnd w:id="27"/>
    </w:p>
    <w:p w14:paraId="432CE25B" w14:textId="77777777" w:rsidR="00FF73A4" w:rsidRDefault="00FF73A4" w:rsidP="00FF73A4">
      <w:r>
        <w:t xml:space="preserve">Project C is a strategic choice and is viable. The company has incurred colossal losses in the form of profit making and the losses have eroded stock value in recurrent losses. Project C cash flows are sound and sustainable and can </w:t>
      </w:r>
      <w:proofErr w:type="spellStart"/>
      <w:r>
        <w:t>stabilise</w:t>
      </w:r>
      <w:proofErr w:type="spellEnd"/>
      <w:r>
        <w:t xml:space="preserve"> earnings in the short term. The liquidity is constrained and hence the ability of the project to produce a viable cash flow is what counts most in the financial </w:t>
      </w:r>
      <w:proofErr w:type="spellStart"/>
      <w:r>
        <w:t>flexiveness</w:t>
      </w:r>
      <w:proofErr w:type="spellEnd"/>
      <w:r>
        <w:t xml:space="preserve"> of the firm.</w:t>
      </w:r>
    </w:p>
    <w:p w14:paraId="2BF483A5" w14:textId="77777777" w:rsidR="00FF73A4" w:rsidRDefault="00FF73A4" w:rsidP="00FF73A4">
      <w:r>
        <w:t>The second driver of the analysis is an increase in the debt-to-equity ratio of the business, which in 2024 was 1.11. Project C is highly profitable and high retained earnings will recover equity; weak projects should not be left to run (Bertomeu et al., 2024). Project C is selected as the working capital problems also justify the selection of Project C based on the reduction in the operating cash flow of the company due to the loss of efficiency in working capital components such as receivables and inventory.</w:t>
      </w:r>
    </w:p>
    <w:p w14:paraId="1101E2EE" w14:textId="4EA2FFDB" w:rsidR="00431BFC" w:rsidRPr="00431BFC" w:rsidRDefault="00FF73A4" w:rsidP="00FF73A4">
      <w:r>
        <w:t>The final is the probability of defaulting the firm. The decline in Altman Z-Score, which reached 2.24 in 2023 and was rebounding slightly in 2024 to 2.82, underscores the necessity to have projects that can bring in large and increasing cash flows to reduce the risk of insolvency and improve the financial situation overall</w:t>
      </w:r>
      <w:r w:rsidR="00865A02" w:rsidRPr="00865A02">
        <w:t>.</w:t>
      </w:r>
    </w:p>
    <w:p w14:paraId="106B9084" w14:textId="52376DAB" w:rsidR="00431BFC" w:rsidRPr="00431BFC" w:rsidRDefault="00865A02" w:rsidP="00431BFC">
      <w:pPr>
        <w:pStyle w:val="Heading2"/>
      </w:pPr>
      <w:bookmarkStart w:id="28" w:name="_Toc216361498"/>
      <w:r w:rsidRPr="00865A02">
        <w:t>Evaluation of Sensitivity and Risk</w:t>
      </w:r>
      <w:bookmarkEnd w:id="28"/>
    </w:p>
    <w:p w14:paraId="3966BAAB" w14:textId="2EE53493" w:rsidR="00431BFC" w:rsidRPr="00431BFC" w:rsidRDefault="0011639A" w:rsidP="00431BFC">
      <w:r w:rsidRPr="0011639A">
        <w:t xml:space="preserve">The financial aspect of Project C is promising but it must also be subjected to a cascade of risk conditions. The foreign exchange risk is among the most significant factors, especially when the incoming cash flows depend on areas where the currency can suffer against the pound. This value can fall, decreasing the </w:t>
      </w:r>
      <w:proofErr w:type="spellStart"/>
      <w:r w:rsidRPr="0011639A">
        <w:t>realised</w:t>
      </w:r>
      <w:proofErr w:type="spellEnd"/>
      <w:r w:rsidRPr="0011639A">
        <w:t xml:space="preserve"> value unless hedged. It is also prone to demand risk, particularly in the highly elastic electronics segment where a decline in consumer demand can adversely affect the anticipated cash flows, particularly in years 3 and 4. The second threat is technological disruption, and the competitors having better technology can hurt revenue forecasting (</w:t>
      </w:r>
      <w:proofErr w:type="spellStart"/>
      <w:r w:rsidRPr="0011639A">
        <w:t>Fagrell</w:t>
      </w:r>
      <w:proofErr w:type="spellEnd"/>
      <w:r w:rsidRPr="0011639A">
        <w:t xml:space="preserve"> and Gunnarsson, 2024). An increase in revenue might result in a drop in the profit margin due to the </w:t>
      </w:r>
      <w:r w:rsidRPr="0011639A">
        <w:lastRenderedPageBreak/>
        <w:t xml:space="preserve">inflationary pressures, such as the rise in the cost of elements or logistics. </w:t>
      </w:r>
      <w:proofErr w:type="gramStart"/>
      <w:r w:rsidRPr="0011639A">
        <w:t>These</w:t>
      </w:r>
      <w:proofErr w:type="gramEnd"/>
      <w:r w:rsidRPr="0011639A">
        <w:t xml:space="preserve"> </w:t>
      </w:r>
      <w:proofErr w:type="gramStart"/>
      <w:r w:rsidRPr="0011639A">
        <w:t>risks notwithstanding</w:t>
      </w:r>
      <w:proofErr w:type="gramEnd"/>
      <w:r w:rsidRPr="0011639A">
        <w:t xml:space="preserve">, Project C is best suited, as the inflows of cash will be sufficient to counter the risks and will be viable over time, in that it conforms to the </w:t>
      </w:r>
      <w:proofErr w:type="gramStart"/>
      <w:r w:rsidRPr="0011639A">
        <w:t>long term</w:t>
      </w:r>
      <w:proofErr w:type="gramEnd"/>
      <w:r w:rsidRPr="0011639A">
        <w:t xml:space="preserve"> strategic objectives </w:t>
      </w:r>
      <w:r w:rsidR="005D4D7A" w:rsidRPr="005D4D7A">
        <w:t>(Akinsola, 2025)</w:t>
      </w:r>
      <w:r w:rsidR="00D55C1E" w:rsidRPr="00D55C1E">
        <w:t>.</w:t>
      </w:r>
      <w:r w:rsidR="005D4D7A">
        <w:t xml:space="preserve"> </w:t>
      </w:r>
    </w:p>
    <w:p w14:paraId="3513F795" w14:textId="33771A61" w:rsidR="00431BFC" w:rsidRPr="00431BFC" w:rsidRDefault="00865A02" w:rsidP="00431BFC">
      <w:pPr>
        <w:pStyle w:val="Heading2"/>
      </w:pPr>
      <w:bookmarkStart w:id="29" w:name="_Toc216361499"/>
      <w:r w:rsidRPr="00865A02">
        <w:t>Final Recommendation for Investment</w:t>
      </w:r>
      <w:bookmarkEnd w:id="29"/>
    </w:p>
    <w:p w14:paraId="255FD361" w14:textId="037020FD" w:rsidR="00BD0A55" w:rsidRDefault="0011639A" w:rsidP="002B30FD">
      <w:r w:rsidRPr="0011639A">
        <w:t xml:space="preserve">The alternative includes Project C following thorough financial and strategic analysis. The one that fulfills the highest capital requirement of </w:t>
      </w:r>
      <w:r w:rsidR="00364DFE" w:rsidRPr="00865A02">
        <w:t>£</w:t>
      </w:r>
      <w:r w:rsidRPr="0011639A">
        <w:t>60 million, the greatest NPV, the most favorable IRR and a profitability index above 1.0 is the one. The cash flow of the project is especially positive, because the cash flow will play a significant role in restoring liquidity and long-term growth (Hernandez Esparza, 2023). Projects A and B, however, are to be discarded, Project A will not be of any great use, and Project B is likely to destroy value. Project C will best suit the company to save, not only to improve its financial position but also its strategic requirements which it is in the market</w:t>
      </w:r>
      <w:r w:rsidR="00865A02" w:rsidRPr="00865A02">
        <w:t>.</w:t>
      </w:r>
      <w:bookmarkEnd w:id="1"/>
    </w:p>
    <w:p w14:paraId="0DFC9FBF" w14:textId="77777777" w:rsidR="0011639A" w:rsidRDefault="0011639A">
      <w:pPr>
        <w:spacing w:line="259" w:lineRule="auto"/>
        <w:jc w:val="left"/>
        <w:rPr>
          <w:rFonts w:eastAsiaTheme="majorEastAsia" w:cstheme="majorBidi"/>
          <w:b/>
          <w:szCs w:val="40"/>
        </w:rPr>
      </w:pPr>
      <w:bookmarkStart w:id="30" w:name="_Toc216361500"/>
      <w:r>
        <w:br w:type="page"/>
      </w:r>
    </w:p>
    <w:p w14:paraId="2E8E9539" w14:textId="15AFA293" w:rsidR="00AB6C66" w:rsidRDefault="00BD0A55" w:rsidP="00431BFC">
      <w:pPr>
        <w:pStyle w:val="Heading1"/>
      </w:pPr>
      <w:r>
        <w:lastRenderedPageBreak/>
        <w:t>References</w:t>
      </w:r>
      <w:bookmarkEnd w:id="30"/>
    </w:p>
    <w:p w14:paraId="7B29B985" w14:textId="77777777" w:rsidR="000C01F6" w:rsidRDefault="000C01F6" w:rsidP="000C01F6">
      <w:r w:rsidRPr="00E73269">
        <w:t>Akinsola, O.K., 2025. Ensuring Ethical Conduct and Legal Compliance within Corporate Boards: Legal Standards, Best Practices, and Accountability.</w:t>
      </w:r>
    </w:p>
    <w:p w14:paraId="0ABF1FB3" w14:textId="77777777" w:rsidR="000C01F6" w:rsidRDefault="000C01F6" w:rsidP="000C01F6">
      <w:proofErr w:type="spellStart"/>
      <w:r w:rsidRPr="00E73269">
        <w:t>Alhamid</w:t>
      </w:r>
      <w:proofErr w:type="spellEnd"/>
      <w:r w:rsidRPr="00E73269">
        <w:t xml:space="preserve">, M.Z., Carlsson, I. and Claesson, N., 2022. Acquiring for Long-term Value Creation: A Case Study at </w:t>
      </w:r>
      <w:proofErr w:type="spellStart"/>
      <w:proofErr w:type="gramStart"/>
      <w:r w:rsidRPr="00E73269">
        <w:t>Entreprenörinvest</w:t>
      </w:r>
      <w:proofErr w:type="spellEnd"/>
      <w:r w:rsidRPr="00E73269">
        <w:t>:“</w:t>
      </w:r>
      <w:proofErr w:type="gramEnd"/>
      <w:r w:rsidRPr="00E73269">
        <w:t>How does the entrepreneurial process regarding local direct investments impact the creation of long-term value?”.</w:t>
      </w:r>
    </w:p>
    <w:p w14:paraId="612FDD95" w14:textId="77777777" w:rsidR="000C01F6" w:rsidRDefault="000C01F6" w:rsidP="000C01F6">
      <w:r w:rsidRPr="00E73269">
        <w:t xml:space="preserve">Bertomeu, J., </w:t>
      </w:r>
      <w:proofErr w:type="spellStart"/>
      <w:r w:rsidRPr="00E73269">
        <w:t>Cheynel</w:t>
      </w:r>
      <w:proofErr w:type="spellEnd"/>
      <w:r w:rsidRPr="00E73269">
        <w:t xml:space="preserve">, E., </w:t>
      </w:r>
      <w:proofErr w:type="spellStart"/>
      <w:r w:rsidRPr="00E73269">
        <w:t>Lunawat</w:t>
      </w:r>
      <w:proofErr w:type="spellEnd"/>
      <w:r w:rsidRPr="00E73269">
        <w:t>, R. and Milone, M., 2024. On Humans and AI: A Financial Reporting Dilemma. </w:t>
      </w:r>
      <w:r w:rsidRPr="00DC3A4D">
        <w:rPr>
          <w:i/>
          <w:iCs/>
        </w:rPr>
        <w:t>Available at SSRN 5086169</w:t>
      </w:r>
      <w:r w:rsidRPr="00E73269">
        <w:t>.</w:t>
      </w:r>
    </w:p>
    <w:p w14:paraId="045488E1" w14:textId="77777777" w:rsidR="000C01F6" w:rsidRDefault="000C01F6" w:rsidP="000C01F6">
      <w:r w:rsidRPr="00E73269">
        <w:t>Bettinelli, C., De Massis, A., Singal, M. and Davis, J., 2024. From family director pathos to board ethos: Managing multiple role identity struggles in the boardroom of family firms. </w:t>
      </w:r>
      <w:r w:rsidRPr="00DC3A4D">
        <w:rPr>
          <w:i/>
          <w:iCs/>
        </w:rPr>
        <w:t>Journal of Management Studies</w:t>
      </w:r>
      <w:r w:rsidRPr="00E73269">
        <w:t>, </w:t>
      </w:r>
      <w:r w:rsidRPr="00DC3A4D">
        <w:rPr>
          <w:i/>
          <w:iCs/>
        </w:rPr>
        <w:t>61</w:t>
      </w:r>
      <w:r w:rsidRPr="00E73269">
        <w:t>(7), pp.2814-2848.</w:t>
      </w:r>
    </w:p>
    <w:p w14:paraId="3A13DADB" w14:textId="77777777" w:rsidR="000C01F6" w:rsidRDefault="000C01F6" w:rsidP="000C01F6">
      <w:r w:rsidRPr="00E73269">
        <w:t>Bond, O., Markgren Holiday, M.D. and Sebastian Stenström, E., 2024. Navigating New Norms: A qualitative study of corporate strategy in response to the new CSRD: An investigation into Scandinavian companies' reaction and response to mandatory sustainability reporting standards.</w:t>
      </w:r>
    </w:p>
    <w:p w14:paraId="26BFE977" w14:textId="77777777" w:rsidR="000C01F6" w:rsidRDefault="000C01F6" w:rsidP="000C01F6">
      <w:r w:rsidRPr="00E73269">
        <w:t>Fagrell, O. and Gunnarsson, N., 2024. M&amp;A within family-owned investment companies: A qualitative study on the juggling of hard and soft values in the pre-acquisition process.</w:t>
      </w:r>
    </w:p>
    <w:p w14:paraId="2B6C2EE8" w14:textId="77777777" w:rsidR="000C01F6" w:rsidRDefault="000C01F6" w:rsidP="000C01F6">
      <w:r w:rsidRPr="00E73269">
        <w:t>Friedman, H.H., 2025. From Risk to Resilience: How a Chief Ethics Officer Strengthens Business Strategy.</w:t>
      </w:r>
    </w:p>
    <w:p w14:paraId="7050485B" w14:textId="77777777" w:rsidR="000C01F6" w:rsidRDefault="000C01F6" w:rsidP="000C01F6">
      <w:r w:rsidRPr="00E73269">
        <w:t xml:space="preserve">Godefroid, M., Gan, Y., </w:t>
      </w:r>
      <w:proofErr w:type="spellStart"/>
      <w:r w:rsidRPr="00E73269">
        <w:t>Hüls</w:t>
      </w:r>
      <w:proofErr w:type="spellEnd"/>
      <w:r w:rsidRPr="00E73269">
        <w:t>, G., Plattfaut, R. and Niehaves, B., 2024. Addressing status quo bias to turn a failing decision system introduction around: the case of DB Schenker. </w:t>
      </w:r>
      <w:r w:rsidRPr="00DC3A4D">
        <w:rPr>
          <w:i/>
          <w:iCs/>
        </w:rPr>
        <w:t>Journal of Decision Systems</w:t>
      </w:r>
      <w:r w:rsidRPr="00E73269">
        <w:t>, pp.1-30.</w:t>
      </w:r>
    </w:p>
    <w:p w14:paraId="52F4AF3D" w14:textId="77777777" w:rsidR="000C01F6" w:rsidRDefault="000C01F6" w:rsidP="000C01F6">
      <w:r w:rsidRPr="00E73269">
        <w:t>Gutterman, A.S., 2024. Strategic Planning for Sustainability: A Guide for Sustainable Entrepreneurs. </w:t>
      </w:r>
      <w:r w:rsidRPr="00DC3A4D">
        <w:rPr>
          <w:i/>
          <w:iCs/>
        </w:rPr>
        <w:t>Available at SSRN</w:t>
      </w:r>
      <w:r w:rsidRPr="00E73269">
        <w:t>.</w:t>
      </w:r>
    </w:p>
    <w:p w14:paraId="0FF38B75" w14:textId="77777777" w:rsidR="000C01F6" w:rsidRDefault="000C01F6" w:rsidP="000C01F6">
      <w:r w:rsidRPr="00E73269">
        <w:t>Han, S.J. and Walsh, J., 2025. GACE™ Framework-Based Global Strategy Report. A Decision-Making Manual. </w:t>
      </w:r>
      <w:r w:rsidRPr="00DC3A4D">
        <w:rPr>
          <w:i/>
          <w:iCs/>
        </w:rPr>
        <w:t>A Decision-Making Manual (August 11, 2025)</w:t>
      </w:r>
      <w:r w:rsidRPr="00E73269">
        <w:t>.</w:t>
      </w:r>
    </w:p>
    <w:p w14:paraId="0D39C83F" w14:textId="77777777" w:rsidR="000C01F6" w:rsidRDefault="000C01F6" w:rsidP="000C01F6">
      <w:r w:rsidRPr="00E73269">
        <w:t>Harrigan, K.R. and Wing, B.M., 2021. Corporate renewal and turnaround of troubled businesses: The private equity advantage. </w:t>
      </w:r>
      <w:r w:rsidRPr="00DC3A4D">
        <w:rPr>
          <w:i/>
          <w:iCs/>
        </w:rPr>
        <w:t>Strategic Management Review</w:t>
      </w:r>
      <w:r w:rsidRPr="00E73269">
        <w:t>, </w:t>
      </w:r>
      <w:r w:rsidRPr="00DC3A4D">
        <w:rPr>
          <w:i/>
          <w:iCs/>
        </w:rPr>
        <w:t>2</w:t>
      </w:r>
      <w:r w:rsidRPr="00E73269">
        <w:t>(2), pp.363-90.</w:t>
      </w:r>
    </w:p>
    <w:p w14:paraId="7CC3C9F6" w14:textId="77777777" w:rsidR="000C01F6" w:rsidRDefault="000C01F6" w:rsidP="000C01F6">
      <w:r w:rsidRPr="00E73269">
        <w:lastRenderedPageBreak/>
        <w:t>Hernandez Esparza, E., 2023. Stakeholders Motivations, Equity Strategic Decisions and how they affect the Team Dynamics, Funding and Success of a Startup.</w:t>
      </w:r>
    </w:p>
    <w:p w14:paraId="7E27E198" w14:textId="77777777" w:rsidR="000C01F6" w:rsidRDefault="000C01F6" w:rsidP="000C01F6">
      <w:r w:rsidRPr="00E73269">
        <w:t>Krantz, F. and Brusberg, J., 2024. Thriving Amidst Geopolitical Turmoil: Strategies for Trading Organizations to Sustain Competitiveness-</w:t>
      </w:r>
      <w:proofErr w:type="spellStart"/>
      <w:r w:rsidRPr="00E73269">
        <w:t>Aqualitative</w:t>
      </w:r>
      <w:proofErr w:type="spellEnd"/>
      <w:r w:rsidRPr="00E73269">
        <w:t xml:space="preserve"> study on how a trading company successfully adapts to the future and remains competitive in a changing market environment.</w:t>
      </w:r>
    </w:p>
    <w:p w14:paraId="5B066E8A" w14:textId="77777777" w:rsidR="000C01F6" w:rsidRDefault="000C01F6" w:rsidP="000C01F6">
      <w:r w:rsidRPr="00E73269">
        <w:t>Li, L. and McMurray, A., 2022. </w:t>
      </w:r>
      <w:r w:rsidRPr="00DC3A4D">
        <w:rPr>
          <w:i/>
          <w:iCs/>
        </w:rPr>
        <w:t>Corporate fraud across the globe</w:t>
      </w:r>
      <w:r w:rsidRPr="00E73269">
        <w:t>. London: Palgrave Macmillan.</w:t>
      </w:r>
    </w:p>
    <w:p w14:paraId="20CB9ABF" w14:textId="77777777" w:rsidR="000C01F6" w:rsidRDefault="000C01F6" w:rsidP="000C01F6">
      <w:r w:rsidRPr="00E73269">
        <w:t>McKingsley, S., 2024. Analyzing CFO Leadership: Addressing Economic Challenges and Strategic Priorities. </w:t>
      </w:r>
      <w:r w:rsidRPr="00DC3A4D">
        <w:rPr>
          <w:i/>
          <w:iCs/>
        </w:rPr>
        <w:t>Open Access Cases</w:t>
      </w:r>
      <w:r w:rsidRPr="00E73269">
        <w:t>, </w:t>
      </w:r>
      <w:r w:rsidRPr="00DC3A4D">
        <w:rPr>
          <w:i/>
          <w:iCs/>
        </w:rPr>
        <w:t>1</w:t>
      </w:r>
      <w:r w:rsidRPr="00E73269">
        <w:t>(2).</w:t>
      </w:r>
    </w:p>
    <w:p w14:paraId="3DFC5978" w14:textId="77777777" w:rsidR="000C01F6" w:rsidRDefault="000C01F6" w:rsidP="000C01F6">
      <w:r w:rsidRPr="00E73269">
        <w:t>Sangwa, S. and Mutabazi, P., 2025. Integrating Christian faith and ethics into global business: A biblical framework for leadership, culture, and decision-making. </w:t>
      </w:r>
      <w:r w:rsidRPr="00DC3A4D">
        <w:rPr>
          <w:i/>
          <w:iCs/>
        </w:rPr>
        <w:t>Open Journal of Business Theology (ISSN: 2788-709X)</w:t>
      </w:r>
      <w:r w:rsidRPr="00E73269">
        <w:t>, </w:t>
      </w:r>
      <w:r w:rsidRPr="00DC3A4D">
        <w:rPr>
          <w:i/>
          <w:iCs/>
        </w:rPr>
        <w:t>5</w:t>
      </w:r>
      <w:r w:rsidRPr="00E73269">
        <w:t>(2).</w:t>
      </w:r>
    </w:p>
    <w:p w14:paraId="15012065" w14:textId="77777777" w:rsidR="000C01F6" w:rsidRDefault="000C01F6" w:rsidP="000C01F6">
      <w:r w:rsidRPr="00E73269">
        <w:t>Schnegg, M. and Möller, K., 2022. Strategies for data analytics projects in business performance forecasting: a field study. </w:t>
      </w:r>
      <w:r w:rsidRPr="00DC3A4D">
        <w:rPr>
          <w:i/>
          <w:iCs/>
        </w:rPr>
        <w:t>Journal of Management Control</w:t>
      </w:r>
      <w:r w:rsidRPr="00E73269">
        <w:t>, </w:t>
      </w:r>
      <w:r w:rsidRPr="00DC3A4D">
        <w:rPr>
          <w:i/>
          <w:iCs/>
        </w:rPr>
        <w:t>33</w:t>
      </w:r>
      <w:r w:rsidRPr="00E73269">
        <w:t>(2), pp.241-271.</w:t>
      </w:r>
    </w:p>
    <w:p w14:paraId="67448753" w14:textId="77777777" w:rsidR="000C01F6" w:rsidRDefault="000C01F6" w:rsidP="000C01F6">
      <w:proofErr w:type="spellStart"/>
      <w:r w:rsidRPr="00E73269">
        <w:t>Simonarson</w:t>
      </w:r>
      <w:proofErr w:type="spellEnd"/>
      <w:r w:rsidRPr="00E73269">
        <w:t xml:space="preserve">, D. and </w:t>
      </w:r>
      <w:proofErr w:type="spellStart"/>
      <w:r w:rsidRPr="00E73269">
        <w:t>Zydorek</w:t>
      </w:r>
      <w:proofErr w:type="spellEnd"/>
      <w:r w:rsidRPr="00E73269">
        <w:t>, F., 2021. Strategic processes towards sustainable development in large, international companies: A cross-case analysis using the Framework for Strategic Sustainable Development (FSSD).</w:t>
      </w:r>
    </w:p>
    <w:p w14:paraId="4B0863AD" w14:textId="77777777" w:rsidR="000C01F6" w:rsidRDefault="000C01F6" w:rsidP="000C01F6">
      <w:r w:rsidRPr="00E73269">
        <w:t xml:space="preserve">Stella, M., 2025. </w:t>
      </w:r>
      <w:proofErr w:type="spellStart"/>
      <w:r w:rsidRPr="00E73269">
        <w:t>Analysing</w:t>
      </w:r>
      <w:proofErr w:type="spellEnd"/>
      <w:r w:rsidRPr="00E73269">
        <w:t xml:space="preserve"> the Airbus–Boeing Duopoly: Financial Ratios, DCF Valuation, and Strategic Implications for the Aerospace Industry. </w:t>
      </w:r>
      <w:r w:rsidRPr="00DC3A4D">
        <w:rPr>
          <w:i/>
          <w:iCs/>
        </w:rPr>
        <w:t>DCF Valuation, and Strategic Implications for the Aerospace Industry (April 16, 2025)</w:t>
      </w:r>
      <w:r w:rsidRPr="00E73269">
        <w:t>.</w:t>
      </w:r>
    </w:p>
    <w:p w14:paraId="1BE4CC9A" w14:textId="77777777" w:rsidR="000C01F6" w:rsidRDefault="000C01F6" w:rsidP="000C01F6">
      <w:r w:rsidRPr="00E73269">
        <w:t>Sumar, A. and Karlsson, J., 2022. Exploring Strategic Decision-Making: A Qualitative Study of How Top Management Respond to Economic Turbulence.</w:t>
      </w:r>
    </w:p>
    <w:p w14:paraId="3389E0E0" w14:textId="77777777" w:rsidR="000C01F6" w:rsidRDefault="000C01F6" w:rsidP="000C01F6">
      <w:r w:rsidRPr="00E73269">
        <w:t xml:space="preserve">Tunstall, R., Pittaway, L., Van Rensburg, D.J. and Corbett, A.C., 2025. Internal corporate venturing: riding the relational rollercoaster through sensemaking and </w:t>
      </w:r>
      <w:proofErr w:type="spellStart"/>
      <w:r w:rsidRPr="00E73269">
        <w:t>sensegiving</w:t>
      </w:r>
      <w:proofErr w:type="spellEnd"/>
      <w:r w:rsidRPr="00E73269">
        <w:t xml:space="preserve"> reconfiguration. </w:t>
      </w:r>
      <w:r w:rsidRPr="00DC3A4D">
        <w:rPr>
          <w:i/>
          <w:iCs/>
        </w:rPr>
        <w:t>International Journal of Entrepreneurial Behavior &amp; Research</w:t>
      </w:r>
      <w:r w:rsidRPr="00E73269">
        <w:t>, </w:t>
      </w:r>
      <w:r w:rsidRPr="00DC3A4D">
        <w:rPr>
          <w:i/>
          <w:iCs/>
        </w:rPr>
        <w:t>31</w:t>
      </w:r>
      <w:r w:rsidRPr="00E73269">
        <w:t>(5), pp.1133-1167.</w:t>
      </w:r>
    </w:p>
    <w:p w14:paraId="4B84BC4E" w14:textId="77777777" w:rsidR="000C01F6" w:rsidRDefault="000C01F6" w:rsidP="000C01F6">
      <w:r w:rsidRPr="00E73269">
        <w:lastRenderedPageBreak/>
        <w:t xml:space="preserve">Vallejo Ruiz, P.F., 2025. Strategic Reflections on the Creation and Destruction of Value in Contemporary Organizations </w:t>
      </w:r>
      <w:proofErr w:type="gramStart"/>
      <w:r w:rsidRPr="00E73269">
        <w:t>An</w:t>
      </w:r>
      <w:proofErr w:type="gramEnd"/>
      <w:r w:rsidRPr="00E73269">
        <w:t xml:space="preserve"> Executive-Academic Framework for Sustainable Value Governance. </w:t>
      </w:r>
      <w:r w:rsidRPr="00DC3A4D">
        <w:rPr>
          <w:i/>
          <w:iCs/>
        </w:rPr>
        <w:t>Available at SSRN 5659150</w:t>
      </w:r>
      <w:r w:rsidRPr="00E73269">
        <w:t>.</w:t>
      </w:r>
    </w:p>
    <w:p w14:paraId="3E38C863" w14:textId="77777777" w:rsidR="000C01F6" w:rsidRDefault="000C01F6" w:rsidP="000C01F6">
      <w:r w:rsidRPr="00E73269">
        <w:t>Vaupel, M., Bendig, D., Fischer-Kreer, D. and Brettel, M., 2023. The role of share repurchases for firms’ social and environmental sustainability. </w:t>
      </w:r>
      <w:r w:rsidRPr="00DC3A4D">
        <w:rPr>
          <w:i/>
          <w:iCs/>
        </w:rPr>
        <w:t>Journal of Business Ethics</w:t>
      </w:r>
      <w:r w:rsidRPr="00E73269">
        <w:t>, </w:t>
      </w:r>
      <w:r w:rsidRPr="00DC3A4D">
        <w:rPr>
          <w:i/>
          <w:iCs/>
        </w:rPr>
        <w:t>183</w:t>
      </w:r>
      <w:r w:rsidRPr="00E73269">
        <w:t>(2), pp.401-428.</w:t>
      </w:r>
    </w:p>
    <w:p w14:paraId="236C65D1" w14:textId="77777777" w:rsidR="000C01F6" w:rsidRDefault="000C01F6" w:rsidP="000C01F6">
      <w:r w:rsidRPr="00E73269">
        <w:t>Vo, L.T., Vo, N.V., Ngoc Pham, T. and Hien, N.N., 2023. The impact of historical performance and managerial risk-taking propensity on the behavior of choosing prospector strategy and using strategic management accounting information in Viet Nam manufacturer. </w:t>
      </w:r>
      <w:r w:rsidRPr="00DC3A4D">
        <w:rPr>
          <w:i/>
          <w:iCs/>
        </w:rPr>
        <w:t>Sage Open</w:t>
      </w:r>
      <w:r w:rsidRPr="00E73269">
        <w:t>, </w:t>
      </w:r>
      <w:r w:rsidRPr="00DC3A4D">
        <w:rPr>
          <w:i/>
          <w:iCs/>
        </w:rPr>
        <w:t>13</w:t>
      </w:r>
      <w:r w:rsidRPr="00E73269">
        <w:t>(4), p.21582440231219360.</w:t>
      </w:r>
    </w:p>
    <w:p w14:paraId="108AD354" w14:textId="77777777" w:rsidR="000C01F6" w:rsidRDefault="000C01F6" w:rsidP="000C01F6">
      <w:r w:rsidRPr="00E73269">
        <w:t>Zhang, S., Jiang, L., Magnan, M. and Su, L.N., 2021. Dealing with ethical dilemmas: A look at financial reporting by firms facing product harm crises. </w:t>
      </w:r>
      <w:r w:rsidRPr="00DC3A4D">
        <w:rPr>
          <w:i/>
          <w:iCs/>
        </w:rPr>
        <w:t>Journal of Business Ethics</w:t>
      </w:r>
      <w:r w:rsidRPr="00E73269">
        <w:t>, </w:t>
      </w:r>
      <w:r w:rsidRPr="00DC3A4D">
        <w:rPr>
          <w:i/>
          <w:iCs/>
        </w:rPr>
        <w:t>170</w:t>
      </w:r>
      <w:r w:rsidRPr="00E73269">
        <w:t>(3), pp.497-518.</w:t>
      </w:r>
    </w:p>
    <w:p w14:paraId="59B86553" w14:textId="44ABBB4D" w:rsidR="00B9083D" w:rsidRDefault="00B9083D" w:rsidP="00B9083D"/>
    <w:p w14:paraId="3206D53B" w14:textId="495FBEFF" w:rsidR="00DD70B3" w:rsidRDefault="00DD70B3">
      <w:pPr>
        <w:spacing w:line="259" w:lineRule="auto"/>
        <w:jc w:val="left"/>
      </w:pPr>
      <w:r>
        <w:br w:type="page"/>
      </w:r>
    </w:p>
    <w:p w14:paraId="792F1E91" w14:textId="40A7D84F" w:rsidR="00BD0A55" w:rsidRDefault="00DD70B3" w:rsidP="00687396">
      <w:pPr>
        <w:pStyle w:val="Heading1"/>
      </w:pPr>
      <w:bookmarkStart w:id="31" w:name="_Toc216361501"/>
      <w:r>
        <w:lastRenderedPageBreak/>
        <w:t>Appendix</w:t>
      </w:r>
      <w:bookmarkEnd w:id="31"/>
    </w:p>
    <w:p w14:paraId="280AE8D0" w14:textId="2F58A450" w:rsidR="003A7636" w:rsidRDefault="00042B91" w:rsidP="00687396">
      <w:pPr>
        <w:jc w:val="center"/>
      </w:pPr>
      <w:r w:rsidRPr="00042B91">
        <w:rPr>
          <w:noProof/>
        </w:rPr>
        <w:drawing>
          <wp:inline distT="0" distB="0" distL="0" distR="0" wp14:anchorId="10E22D81" wp14:editId="3B365B48">
            <wp:extent cx="5276850" cy="3714750"/>
            <wp:effectExtent l="0" t="0" r="0" b="0"/>
            <wp:docPr id="2644552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6850" cy="3714750"/>
                    </a:xfrm>
                    <a:prstGeom prst="rect">
                      <a:avLst/>
                    </a:prstGeom>
                    <a:noFill/>
                    <a:ln>
                      <a:noFill/>
                    </a:ln>
                  </pic:spPr>
                </pic:pic>
              </a:graphicData>
            </a:graphic>
          </wp:inline>
        </w:drawing>
      </w:r>
    </w:p>
    <w:p w14:paraId="17F74785" w14:textId="71251F08" w:rsidR="00042B91" w:rsidRDefault="00042B91" w:rsidP="00687396">
      <w:pPr>
        <w:jc w:val="center"/>
      </w:pPr>
      <w:r>
        <w:rPr>
          <w:noProof/>
        </w:rPr>
        <w:drawing>
          <wp:inline distT="0" distB="0" distL="0" distR="0" wp14:anchorId="38245C2F" wp14:editId="65F14EAA">
            <wp:extent cx="4203044" cy="2727556"/>
            <wp:effectExtent l="0" t="0" r="7620" b="15875"/>
            <wp:docPr id="2139377070" name="Chart 1">
              <a:extLst xmlns:a="http://schemas.openxmlformats.org/drawingml/2006/main">
                <a:ext uri="{FF2B5EF4-FFF2-40B4-BE49-F238E27FC236}">
                  <a16:creationId xmlns:a16="http://schemas.microsoft.com/office/drawing/2014/main" id="{080A9CCC-6A53-A3B7-00BF-601B3909E4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052ED93" w14:textId="3223763B" w:rsidR="00042B91" w:rsidRDefault="00042B91" w:rsidP="00687396">
      <w:pPr>
        <w:jc w:val="center"/>
      </w:pPr>
      <w:r>
        <w:rPr>
          <w:noProof/>
        </w:rPr>
        <w:lastRenderedPageBreak/>
        <w:drawing>
          <wp:inline distT="0" distB="0" distL="0" distR="0" wp14:anchorId="157B73B4" wp14:editId="3C1271B2">
            <wp:extent cx="4520554" cy="2748585"/>
            <wp:effectExtent l="0" t="0" r="13970" b="13970"/>
            <wp:docPr id="432658928" name="Chart 1">
              <a:extLst xmlns:a="http://schemas.openxmlformats.org/drawingml/2006/main">
                <a:ext uri="{FF2B5EF4-FFF2-40B4-BE49-F238E27FC236}">
                  <a16:creationId xmlns:a16="http://schemas.microsoft.com/office/drawing/2014/main" id="{9CDAEF4D-1049-3D12-4F68-DBE665BDC7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BDA7DD8" w14:textId="4FB9BF9A" w:rsidR="00042B91" w:rsidRDefault="00042B91" w:rsidP="00687396">
      <w:pPr>
        <w:jc w:val="center"/>
      </w:pPr>
      <w:r>
        <w:rPr>
          <w:noProof/>
        </w:rPr>
        <w:drawing>
          <wp:inline distT="0" distB="0" distL="0" distR="0" wp14:anchorId="23F85DC0" wp14:editId="0A314A52">
            <wp:extent cx="4521575" cy="2724863"/>
            <wp:effectExtent l="0" t="0" r="12700" b="18415"/>
            <wp:docPr id="1158150174" name="Chart 1">
              <a:extLst xmlns:a="http://schemas.openxmlformats.org/drawingml/2006/main">
                <a:ext uri="{FF2B5EF4-FFF2-40B4-BE49-F238E27FC236}">
                  <a16:creationId xmlns:a16="http://schemas.microsoft.com/office/drawing/2014/main" id="{A65B23F1-4E20-47AC-8C9A-B9D5BC2F40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EF22CC8" w14:textId="4E2D855B" w:rsidR="00042B91" w:rsidRDefault="00042B91" w:rsidP="00687396">
      <w:pPr>
        <w:jc w:val="center"/>
      </w:pPr>
      <w:r>
        <w:rPr>
          <w:noProof/>
        </w:rPr>
        <w:lastRenderedPageBreak/>
        <w:drawing>
          <wp:inline distT="0" distB="0" distL="0" distR="0" wp14:anchorId="4361DD09" wp14:editId="1C69681B">
            <wp:extent cx="4467808" cy="2471584"/>
            <wp:effectExtent l="0" t="0" r="9525" b="5080"/>
            <wp:docPr id="1256907947" name="Chart 1">
              <a:extLst xmlns:a="http://schemas.openxmlformats.org/drawingml/2006/main">
                <a:ext uri="{FF2B5EF4-FFF2-40B4-BE49-F238E27FC236}">
                  <a16:creationId xmlns:a16="http://schemas.microsoft.com/office/drawing/2014/main" id="{B40473A1-7936-C12B-A932-86390116CD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DACD5A4" w14:textId="2014537C" w:rsidR="00042B91" w:rsidRDefault="00042B91" w:rsidP="00687396">
      <w:pPr>
        <w:jc w:val="center"/>
      </w:pPr>
      <w:r>
        <w:rPr>
          <w:noProof/>
        </w:rPr>
        <w:drawing>
          <wp:inline distT="0" distB="0" distL="0" distR="0" wp14:anchorId="46D38135" wp14:editId="3B109AD5">
            <wp:extent cx="5353683" cy="2743200"/>
            <wp:effectExtent l="0" t="0" r="0" b="0"/>
            <wp:docPr id="674444405" name="Chart 1">
              <a:extLst xmlns:a="http://schemas.openxmlformats.org/drawingml/2006/main">
                <a:ext uri="{FF2B5EF4-FFF2-40B4-BE49-F238E27FC236}">
                  <a16:creationId xmlns:a16="http://schemas.microsoft.com/office/drawing/2014/main" id="{4C0664E3-C91E-F354-261E-399433CAD0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50DDD85" w14:textId="0F1874C1" w:rsidR="00042B91" w:rsidRDefault="00042B91" w:rsidP="00687396">
      <w:pPr>
        <w:jc w:val="center"/>
      </w:pPr>
      <w:r>
        <w:rPr>
          <w:noProof/>
        </w:rPr>
        <w:lastRenderedPageBreak/>
        <w:drawing>
          <wp:inline distT="0" distB="0" distL="0" distR="0" wp14:anchorId="3843CA09" wp14:editId="1BAA7E68">
            <wp:extent cx="4143048" cy="2743200"/>
            <wp:effectExtent l="0" t="0" r="10160" b="0"/>
            <wp:docPr id="246816204" name="Chart 1">
              <a:extLst xmlns:a="http://schemas.openxmlformats.org/drawingml/2006/main">
                <a:ext uri="{FF2B5EF4-FFF2-40B4-BE49-F238E27FC236}">
                  <a16:creationId xmlns:a16="http://schemas.microsoft.com/office/drawing/2014/main" id="{9AD12F3E-D94F-4D3E-A81E-DD905DA872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5BC87B0" w14:textId="5D313280" w:rsidR="00D41960" w:rsidRDefault="00D41960" w:rsidP="00687396">
      <w:pPr>
        <w:jc w:val="center"/>
      </w:pPr>
      <w:r w:rsidRPr="00D41960">
        <w:rPr>
          <w:noProof/>
        </w:rPr>
        <w:drawing>
          <wp:inline distT="0" distB="0" distL="0" distR="0" wp14:anchorId="44A587C6" wp14:editId="7782BEBA">
            <wp:extent cx="5943600" cy="2094230"/>
            <wp:effectExtent l="0" t="0" r="0" b="1270"/>
            <wp:docPr id="12762159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2094230"/>
                    </a:xfrm>
                    <a:prstGeom prst="rect">
                      <a:avLst/>
                    </a:prstGeom>
                    <a:noFill/>
                    <a:ln>
                      <a:noFill/>
                    </a:ln>
                  </pic:spPr>
                </pic:pic>
              </a:graphicData>
            </a:graphic>
          </wp:inline>
        </w:drawing>
      </w:r>
    </w:p>
    <w:p w14:paraId="24A0D5FE" w14:textId="1CA726F9" w:rsidR="00D41960" w:rsidRDefault="00D41960" w:rsidP="00687396">
      <w:pPr>
        <w:jc w:val="center"/>
      </w:pPr>
      <w:r w:rsidRPr="00D41960">
        <w:rPr>
          <w:noProof/>
        </w:rPr>
        <w:drawing>
          <wp:inline distT="0" distB="0" distL="0" distR="0" wp14:anchorId="5256D90D" wp14:editId="5CF77743">
            <wp:extent cx="5934075" cy="1571625"/>
            <wp:effectExtent l="0" t="0" r="9525" b="9525"/>
            <wp:docPr id="1879546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34075" cy="1571625"/>
                    </a:xfrm>
                    <a:prstGeom prst="rect">
                      <a:avLst/>
                    </a:prstGeom>
                    <a:noFill/>
                    <a:ln>
                      <a:noFill/>
                    </a:ln>
                  </pic:spPr>
                </pic:pic>
              </a:graphicData>
            </a:graphic>
          </wp:inline>
        </w:drawing>
      </w:r>
    </w:p>
    <w:p w14:paraId="2CFE029F" w14:textId="614F1012" w:rsidR="00D41960" w:rsidRDefault="00D41960" w:rsidP="00687396">
      <w:pPr>
        <w:jc w:val="center"/>
      </w:pPr>
      <w:r w:rsidRPr="00D41960">
        <w:rPr>
          <w:noProof/>
        </w:rPr>
        <w:lastRenderedPageBreak/>
        <w:drawing>
          <wp:inline distT="0" distB="0" distL="0" distR="0" wp14:anchorId="48A3420C" wp14:editId="5844C539">
            <wp:extent cx="5934075" cy="1752600"/>
            <wp:effectExtent l="0" t="0" r="9525" b="0"/>
            <wp:docPr id="21208105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34075" cy="1752600"/>
                    </a:xfrm>
                    <a:prstGeom prst="rect">
                      <a:avLst/>
                    </a:prstGeom>
                    <a:noFill/>
                    <a:ln>
                      <a:noFill/>
                    </a:ln>
                  </pic:spPr>
                </pic:pic>
              </a:graphicData>
            </a:graphic>
          </wp:inline>
        </w:drawing>
      </w:r>
    </w:p>
    <w:sectPr w:rsidR="00D41960" w:rsidSect="0088076D">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48F4A" w14:textId="77777777" w:rsidR="00CC4829" w:rsidRDefault="00CC4829" w:rsidP="0088076D">
      <w:pPr>
        <w:spacing w:after="0" w:line="240" w:lineRule="auto"/>
      </w:pPr>
      <w:r>
        <w:separator/>
      </w:r>
    </w:p>
  </w:endnote>
  <w:endnote w:type="continuationSeparator" w:id="0">
    <w:p w14:paraId="7496E9F8" w14:textId="77777777" w:rsidR="00CC4829" w:rsidRDefault="00CC4829" w:rsidP="008807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398982"/>
      <w:docPartObj>
        <w:docPartGallery w:val="Page Numbers (Bottom of Page)"/>
        <w:docPartUnique/>
      </w:docPartObj>
    </w:sdtPr>
    <w:sdtEndPr>
      <w:rPr>
        <w:noProof/>
        <w:sz w:val="20"/>
        <w:szCs w:val="20"/>
      </w:rPr>
    </w:sdtEndPr>
    <w:sdtContent>
      <w:p w14:paraId="0587996D" w14:textId="6D30C5AF" w:rsidR="0088076D" w:rsidRPr="0088076D" w:rsidRDefault="0088076D">
        <w:pPr>
          <w:pStyle w:val="Footer"/>
          <w:jc w:val="right"/>
          <w:rPr>
            <w:sz w:val="20"/>
            <w:szCs w:val="20"/>
          </w:rPr>
        </w:pPr>
        <w:r w:rsidRPr="0088076D">
          <w:rPr>
            <w:sz w:val="20"/>
            <w:szCs w:val="20"/>
          </w:rPr>
          <w:fldChar w:fldCharType="begin"/>
        </w:r>
        <w:r w:rsidRPr="0088076D">
          <w:rPr>
            <w:sz w:val="20"/>
            <w:szCs w:val="20"/>
          </w:rPr>
          <w:instrText xml:space="preserve"> PAGE   \* MERGEFORMAT </w:instrText>
        </w:r>
        <w:r w:rsidRPr="0088076D">
          <w:rPr>
            <w:sz w:val="20"/>
            <w:szCs w:val="20"/>
          </w:rPr>
          <w:fldChar w:fldCharType="separate"/>
        </w:r>
        <w:r w:rsidRPr="0088076D">
          <w:rPr>
            <w:noProof/>
            <w:sz w:val="20"/>
            <w:szCs w:val="20"/>
          </w:rPr>
          <w:t>2</w:t>
        </w:r>
        <w:r w:rsidRPr="0088076D">
          <w:rPr>
            <w:noProof/>
            <w:sz w:val="20"/>
            <w:szCs w:val="20"/>
          </w:rPr>
          <w:fldChar w:fldCharType="end"/>
        </w:r>
      </w:p>
    </w:sdtContent>
  </w:sdt>
  <w:p w14:paraId="626708E0" w14:textId="77777777" w:rsidR="0088076D" w:rsidRDefault="00880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152ED" w14:textId="77777777" w:rsidR="00CC4829" w:rsidRDefault="00CC4829" w:rsidP="0088076D">
      <w:pPr>
        <w:spacing w:after="0" w:line="240" w:lineRule="auto"/>
      </w:pPr>
      <w:r>
        <w:separator/>
      </w:r>
    </w:p>
  </w:footnote>
  <w:footnote w:type="continuationSeparator" w:id="0">
    <w:p w14:paraId="5574A80D" w14:textId="77777777" w:rsidR="00CC4829" w:rsidRDefault="00CC4829" w:rsidP="008807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30BBB"/>
    <w:multiLevelType w:val="multilevel"/>
    <w:tmpl w:val="8884C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A6840"/>
    <w:multiLevelType w:val="multilevel"/>
    <w:tmpl w:val="33D02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C56E11"/>
    <w:multiLevelType w:val="multilevel"/>
    <w:tmpl w:val="A268E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D814F9"/>
    <w:multiLevelType w:val="multilevel"/>
    <w:tmpl w:val="7570B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7C1B7B"/>
    <w:multiLevelType w:val="multilevel"/>
    <w:tmpl w:val="065C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626B3C"/>
    <w:multiLevelType w:val="multilevel"/>
    <w:tmpl w:val="337EB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BA2C76"/>
    <w:multiLevelType w:val="multilevel"/>
    <w:tmpl w:val="E0C6AD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8C646C"/>
    <w:multiLevelType w:val="multilevel"/>
    <w:tmpl w:val="BD5A9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A75427"/>
    <w:multiLevelType w:val="multilevel"/>
    <w:tmpl w:val="3E584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A425E1"/>
    <w:multiLevelType w:val="multilevel"/>
    <w:tmpl w:val="B5DA0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83415C"/>
    <w:multiLevelType w:val="multilevel"/>
    <w:tmpl w:val="5D980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C95609"/>
    <w:multiLevelType w:val="multilevel"/>
    <w:tmpl w:val="B0F09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D47CA3"/>
    <w:multiLevelType w:val="multilevel"/>
    <w:tmpl w:val="9DD47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0B0C30"/>
    <w:multiLevelType w:val="multilevel"/>
    <w:tmpl w:val="61487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214161"/>
    <w:multiLevelType w:val="multilevel"/>
    <w:tmpl w:val="C9BE0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9B3436"/>
    <w:multiLevelType w:val="multilevel"/>
    <w:tmpl w:val="8D3E1C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41727C61"/>
    <w:multiLevelType w:val="multilevel"/>
    <w:tmpl w:val="B5EA7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3D1BC5"/>
    <w:multiLevelType w:val="multilevel"/>
    <w:tmpl w:val="FDCAF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772ED4"/>
    <w:multiLevelType w:val="multilevel"/>
    <w:tmpl w:val="7438F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9E18A8"/>
    <w:multiLevelType w:val="multilevel"/>
    <w:tmpl w:val="146AA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3336D6"/>
    <w:multiLevelType w:val="multilevel"/>
    <w:tmpl w:val="EEAA8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FA0CE0"/>
    <w:multiLevelType w:val="multilevel"/>
    <w:tmpl w:val="22A42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4E1AF4"/>
    <w:multiLevelType w:val="multilevel"/>
    <w:tmpl w:val="72D26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8C5BF5"/>
    <w:multiLevelType w:val="multilevel"/>
    <w:tmpl w:val="03DA1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503A1E"/>
    <w:multiLevelType w:val="multilevel"/>
    <w:tmpl w:val="93A83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FC3A52"/>
    <w:multiLevelType w:val="multilevel"/>
    <w:tmpl w:val="4D16B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1719528">
    <w:abstractNumId w:val="25"/>
  </w:num>
  <w:num w:numId="2" w16cid:durableId="2032954587">
    <w:abstractNumId w:val="21"/>
  </w:num>
  <w:num w:numId="3" w16cid:durableId="2066446702">
    <w:abstractNumId w:val="22"/>
  </w:num>
  <w:num w:numId="4" w16cid:durableId="1727294931">
    <w:abstractNumId w:val="16"/>
  </w:num>
  <w:num w:numId="5" w16cid:durableId="1365861937">
    <w:abstractNumId w:val="7"/>
  </w:num>
  <w:num w:numId="6" w16cid:durableId="1941989679">
    <w:abstractNumId w:val="9"/>
  </w:num>
  <w:num w:numId="7" w16cid:durableId="2021269812">
    <w:abstractNumId w:val="3"/>
  </w:num>
  <w:num w:numId="8" w16cid:durableId="860243491">
    <w:abstractNumId w:val="5"/>
  </w:num>
  <w:num w:numId="9" w16cid:durableId="1023633152">
    <w:abstractNumId w:val="20"/>
  </w:num>
  <w:num w:numId="10" w16cid:durableId="1094744824">
    <w:abstractNumId w:val="13"/>
  </w:num>
  <w:num w:numId="11" w16cid:durableId="844321653">
    <w:abstractNumId w:val="17"/>
  </w:num>
  <w:num w:numId="12" w16cid:durableId="1272086207">
    <w:abstractNumId w:val="2"/>
  </w:num>
  <w:num w:numId="13" w16cid:durableId="552695468">
    <w:abstractNumId w:val="14"/>
  </w:num>
  <w:num w:numId="14" w16cid:durableId="1883323541">
    <w:abstractNumId w:val="1"/>
  </w:num>
  <w:num w:numId="15" w16cid:durableId="109667132">
    <w:abstractNumId w:val="19"/>
  </w:num>
  <w:num w:numId="16" w16cid:durableId="243950491">
    <w:abstractNumId w:val="12"/>
  </w:num>
  <w:num w:numId="17" w16cid:durableId="1302344919">
    <w:abstractNumId w:val="4"/>
  </w:num>
  <w:num w:numId="18" w16cid:durableId="1020862116">
    <w:abstractNumId w:val="23"/>
  </w:num>
  <w:num w:numId="19" w16cid:durableId="1241208303">
    <w:abstractNumId w:val="11"/>
  </w:num>
  <w:num w:numId="20" w16cid:durableId="1413239773">
    <w:abstractNumId w:val="24"/>
  </w:num>
  <w:num w:numId="21" w16cid:durableId="1808012385">
    <w:abstractNumId w:val="0"/>
  </w:num>
  <w:num w:numId="22" w16cid:durableId="789710228">
    <w:abstractNumId w:val="6"/>
  </w:num>
  <w:num w:numId="23" w16cid:durableId="1223906371">
    <w:abstractNumId w:val="8"/>
  </w:num>
  <w:num w:numId="24" w16cid:durableId="1133140162">
    <w:abstractNumId w:val="18"/>
  </w:num>
  <w:num w:numId="25" w16cid:durableId="1889561094">
    <w:abstractNumId w:val="15"/>
  </w:num>
  <w:num w:numId="26" w16cid:durableId="5493456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D10"/>
    <w:rsid w:val="00042B91"/>
    <w:rsid w:val="00045E72"/>
    <w:rsid w:val="00053779"/>
    <w:rsid w:val="000A2FD5"/>
    <w:rsid w:val="000C01F6"/>
    <w:rsid w:val="000C2BBC"/>
    <w:rsid w:val="000E6A2D"/>
    <w:rsid w:val="0011639A"/>
    <w:rsid w:val="00117DAC"/>
    <w:rsid w:val="00121659"/>
    <w:rsid w:val="00125456"/>
    <w:rsid w:val="0013742D"/>
    <w:rsid w:val="00157A31"/>
    <w:rsid w:val="001F2F6F"/>
    <w:rsid w:val="002047AB"/>
    <w:rsid w:val="00204A67"/>
    <w:rsid w:val="00216B56"/>
    <w:rsid w:val="00255C7C"/>
    <w:rsid w:val="002B30FD"/>
    <w:rsid w:val="002C4DE0"/>
    <w:rsid w:val="002F18A6"/>
    <w:rsid w:val="003321D3"/>
    <w:rsid w:val="00350D33"/>
    <w:rsid w:val="003534FF"/>
    <w:rsid w:val="00364DFE"/>
    <w:rsid w:val="00371CEA"/>
    <w:rsid w:val="003A7636"/>
    <w:rsid w:val="004119B5"/>
    <w:rsid w:val="00411DED"/>
    <w:rsid w:val="00431BFC"/>
    <w:rsid w:val="00446D1D"/>
    <w:rsid w:val="0045680C"/>
    <w:rsid w:val="00491524"/>
    <w:rsid w:val="004D5176"/>
    <w:rsid w:val="00510EB4"/>
    <w:rsid w:val="005347A1"/>
    <w:rsid w:val="00545DA9"/>
    <w:rsid w:val="005740AD"/>
    <w:rsid w:val="00580394"/>
    <w:rsid w:val="005D4D7A"/>
    <w:rsid w:val="006221B6"/>
    <w:rsid w:val="00624273"/>
    <w:rsid w:val="00667A1C"/>
    <w:rsid w:val="00677EC9"/>
    <w:rsid w:val="00687396"/>
    <w:rsid w:val="006900DA"/>
    <w:rsid w:val="006A4D10"/>
    <w:rsid w:val="006C020D"/>
    <w:rsid w:val="00713762"/>
    <w:rsid w:val="00724AC4"/>
    <w:rsid w:val="007347FD"/>
    <w:rsid w:val="00767CDC"/>
    <w:rsid w:val="0078348D"/>
    <w:rsid w:val="00793A23"/>
    <w:rsid w:val="007C279A"/>
    <w:rsid w:val="008174E8"/>
    <w:rsid w:val="008311B3"/>
    <w:rsid w:val="008512B3"/>
    <w:rsid w:val="00857DA4"/>
    <w:rsid w:val="00865A02"/>
    <w:rsid w:val="0088076D"/>
    <w:rsid w:val="008850C3"/>
    <w:rsid w:val="008A2B47"/>
    <w:rsid w:val="008B208B"/>
    <w:rsid w:val="008E38C3"/>
    <w:rsid w:val="009C53BC"/>
    <w:rsid w:val="00A55D6E"/>
    <w:rsid w:val="00A967A5"/>
    <w:rsid w:val="00AB6C66"/>
    <w:rsid w:val="00AC23E9"/>
    <w:rsid w:val="00AE1916"/>
    <w:rsid w:val="00AF2A0C"/>
    <w:rsid w:val="00B07C64"/>
    <w:rsid w:val="00B144AD"/>
    <w:rsid w:val="00B21245"/>
    <w:rsid w:val="00B3276E"/>
    <w:rsid w:val="00B6425F"/>
    <w:rsid w:val="00B740E0"/>
    <w:rsid w:val="00B9033A"/>
    <w:rsid w:val="00B9083D"/>
    <w:rsid w:val="00BC4785"/>
    <w:rsid w:val="00BC686E"/>
    <w:rsid w:val="00BD0A55"/>
    <w:rsid w:val="00C13C2C"/>
    <w:rsid w:val="00C249EC"/>
    <w:rsid w:val="00C60925"/>
    <w:rsid w:val="00C81AF5"/>
    <w:rsid w:val="00CC4829"/>
    <w:rsid w:val="00CC4E0D"/>
    <w:rsid w:val="00CE40AE"/>
    <w:rsid w:val="00D215CA"/>
    <w:rsid w:val="00D21802"/>
    <w:rsid w:val="00D3709E"/>
    <w:rsid w:val="00D41960"/>
    <w:rsid w:val="00D47EE5"/>
    <w:rsid w:val="00D55C1E"/>
    <w:rsid w:val="00D80D78"/>
    <w:rsid w:val="00DD70B3"/>
    <w:rsid w:val="00DD7A8A"/>
    <w:rsid w:val="00DF3A3C"/>
    <w:rsid w:val="00DF5D99"/>
    <w:rsid w:val="00E5059C"/>
    <w:rsid w:val="00E53CD6"/>
    <w:rsid w:val="00E57902"/>
    <w:rsid w:val="00E77CA6"/>
    <w:rsid w:val="00E8752E"/>
    <w:rsid w:val="00EF19DC"/>
    <w:rsid w:val="00EF3882"/>
    <w:rsid w:val="00F400D5"/>
    <w:rsid w:val="00F565F6"/>
    <w:rsid w:val="00F90248"/>
    <w:rsid w:val="00F95711"/>
    <w:rsid w:val="00FF0F88"/>
    <w:rsid w:val="00FF73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1C021"/>
  <w15:chartTrackingRefBased/>
  <w15:docId w15:val="{9E8904EE-0B48-4D15-88FE-50E59048B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BFC"/>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2F18A6"/>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793A23"/>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autoRedefine/>
    <w:uiPriority w:val="9"/>
    <w:semiHidden/>
    <w:unhideWhenUsed/>
    <w:qFormat/>
    <w:rsid w:val="003321D3"/>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rsid w:val="00E8752E"/>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6A4D1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A4D1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A4D1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A4D1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A4D1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93A23"/>
    <w:rPr>
      <w:rFonts w:ascii="Times New Roman" w:eastAsiaTheme="majorEastAsia" w:hAnsi="Times New Roman" w:cstheme="majorBidi"/>
      <w:b/>
      <w:color w:val="000000" w:themeColor="text1"/>
      <w:sz w:val="24"/>
      <w:szCs w:val="32"/>
    </w:rPr>
  </w:style>
  <w:style w:type="character" w:customStyle="1" w:styleId="Heading1Char">
    <w:name w:val="Heading 1 Char"/>
    <w:basedOn w:val="DefaultParagraphFont"/>
    <w:link w:val="Heading1"/>
    <w:uiPriority w:val="9"/>
    <w:rsid w:val="002F18A6"/>
    <w:rPr>
      <w:rFonts w:ascii="Times New Roman" w:eastAsiaTheme="majorEastAsia" w:hAnsi="Times New Roman" w:cstheme="majorBidi"/>
      <w:b/>
      <w:color w:val="000000" w:themeColor="text1"/>
      <w:sz w:val="24"/>
      <w:szCs w:val="40"/>
    </w:rPr>
  </w:style>
  <w:style w:type="character" w:customStyle="1" w:styleId="Heading3Char">
    <w:name w:val="Heading 3 Char"/>
    <w:basedOn w:val="DefaultParagraphFont"/>
    <w:link w:val="Heading3"/>
    <w:uiPriority w:val="9"/>
    <w:semiHidden/>
    <w:rsid w:val="003321D3"/>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rsid w:val="00E8752E"/>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6A4D10"/>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A4D1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A4D1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A4D1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A4D1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A4D10"/>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A4D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D1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D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D10"/>
    <w:pPr>
      <w:spacing w:before="160"/>
      <w:jc w:val="center"/>
    </w:pPr>
    <w:rPr>
      <w:i/>
      <w:iCs/>
      <w:color w:val="404040" w:themeColor="text1" w:themeTint="BF"/>
    </w:rPr>
  </w:style>
  <w:style w:type="character" w:customStyle="1" w:styleId="QuoteChar">
    <w:name w:val="Quote Char"/>
    <w:basedOn w:val="DefaultParagraphFont"/>
    <w:link w:val="Quote"/>
    <w:uiPriority w:val="29"/>
    <w:rsid w:val="006A4D10"/>
    <w:rPr>
      <w:rFonts w:ascii="Times New Roman" w:hAnsi="Times New Roman"/>
      <w:i/>
      <w:iCs/>
      <w:color w:val="404040" w:themeColor="text1" w:themeTint="BF"/>
      <w:sz w:val="24"/>
    </w:rPr>
  </w:style>
  <w:style w:type="paragraph" w:styleId="ListParagraph">
    <w:name w:val="List Paragraph"/>
    <w:basedOn w:val="Normal"/>
    <w:uiPriority w:val="34"/>
    <w:qFormat/>
    <w:rsid w:val="006A4D10"/>
    <w:pPr>
      <w:ind w:left="720"/>
      <w:contextualSpacing/>
    </w:pPr>
  </w:style>
  <w:style w:type="character" w:styleId="IntenseEmphasis">
    <w:name w:val="Intense Emphasis"/>
    <w:basedOn w:val="DefaultParagraphFont"/>
    <w:uiPriority w:val="21"/>
    <w:qFormat/>
    <w:rsid w:val="006A4D10"/>
    <w:rPr>
      <w:i/>
      <w:iCs/>
      <w:color w:val="2F5496" w:themeColor="accent1" w:themeShade="BF"/>
    </w:rPr>
  </w:style>
  <w:style w:type="paragraph" w:styleId="IntenseQuote">
    <w:name w:val="Intense Quote"/>
    <w:basedOn w:val="Normal"/>
    <w:next w:val="Normal"/>
    <w:link w:val="IntenseQuoteChar"/>
    <w:uiPriority w:val="30"/>
    <w:qFormat/>
    <w:rsid w:val="006A4D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4D10"/>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A4D10"/>
    <w:rPr>
      <w:b/>
      <w:bCs/>
      <w:smallCaps/>
      <w:color w:val="2F5496" w:themeColor="accent1" w:themeShade="BF"/>
      <w:spacing w:val="5"/>
    </w:rPr>
  </w:style>
  <w:style w:type="paragraph" w:styleId="NoSpacing">
    <w:name w:val="No Spacing"/>
    <w:uiPriority w:val="1"/>
    <w:qFormat/>
    <w:rsid w:val="00BD0A55"/>
    <w:pPr>
      <w:spacing w:after="0" w:line="24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F400D5"/>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F400D5"/>
    <w:pPr>
      <w:spacing w:after="100"/>
    </w:pPr>
  </w:style>
  <w:style w:type="paragraph" w:styleId="TOC2">
    <w:name w:val="toc 2"/>
    <w:basedOn w:val="Normal"/>
    <w:next w:val="Normal"/>
    <w:autoRedefine/>
    <w:uiPriority w:val="39"/>
    <w:unhideWhenUsed/>
    <w:rsid w:val="00F400D5"/>
    <w:pPr>
      <w:spacing w:after="100"/>
      <w:ind w:left="240"/>
    </w:pPr>
  </w:style>
  <w:style w:type="character" w:styleId="Hyperlink">
    <w:name w:val="Hyperlink"/>
    <w:basedOn w:val="DefaultParagraphFont"/>
    <w:uiPriority w:val="99"/>
    <w:unhideWhenUsed/>
    <w:rsid w:val="00F400D5"/>
    <w:rPr>
      <w:color w:val="0563C1" w:themeColor="hyperlink"/>
      <w:u w:val="single"/>
    </w:rPr>
  </w:style>
  <w:style w:type="paragraph" w:styleId="BodyText">
    <w:name w:val="Body Text"/>
    <w:basedOn w:val="Normal"/>
    <w:link w:val="BodyTextChar"/>
    <w:uiPriority w:val="1"/>
    <w:qFormat/>
    <w:rsid w:val="0088076D"/>
    <w:pPr>
      <w:widowControl w:val="0"/>
      <w:autoSpaceDE w:val="0"/>
      <w:autoSpaceDN w:val="0"/>
      <w:spacing w:after="0" w:line="240" w:lineRule="auto"/>
      <w:jc w:val="left"/>
    </w:pPr>
    <w:rPr>
      <w:rFonts w:ascii="Arial MT" w:eastAsia="Arial MT" w:hAnsi="Arial MT" w:cs="Arial MT"/>
      <w:color w:val="auto"/>
      <w:kern w:val="0"/>
      <w:sz w:val="22"/>
      <w14:ligatures w14:val="none"/>
    </w:rPr>
  </w:style>
  <w:style w:type="character" w:customStyle="1" w:styleId="BodyTextChar">
    <w:name w:val="Body Text Char"/>
    <w:basedOn w:val="DefaultParagraphFont"/>
    <w:link w:val="BodyText"/>
    <w:uiPriority w:val="1"/>
    <w:rsid w:val="0088076D"/>
    <w:rPr>
      <w:rFonts w:ascii="Arial MT" w:eastAsia="Arial MT" w:hAnsi="Arial MT" w:cs="Arial MT"/>
      <w:kern w:val="0"/>
      <w14:ligatures w14:val="none"/>
    </w:rPr>
  </w:style>
  <w:style w:type="paragraph" w:customStyle="1" w:styleId="TableParagraph">
    <w:name w:val="Table Paragraph"/>
    <w:basedOn w:val="Normal"/>
    <w:uiPriority w:val="1"/>
    <w:qFormat/>
    <w:rsid w:val="0088076D"/>
    <w:pPr>
      <w:widowControl w:val="0"/>
      <w:autoSpaceDE w:val="0"/>
      <w:autoSpaceDN w:val="0"/>
      <w:spacing w:after="0" w:line="240" w:lineRule="auto"/>
      <w:jc w:val="left"/>
    </w:pPr>
    <w:rPr>
      <w:rFonts w:ascii="Arial MT" w:eastAsia="Arial MT" w:hAnsi="Arial MT" w:cs="Arial MT"/>
      <w:color w:val="auto"/>
      <w:kern w:val="0"/>
      <w:sz w:val="22"/>
      <w14:ligatures w14:val="none"/>
    </w:rPr>
  </w:style>
  <w:style w:type="paragraph" w:styleId="Header">
    <w:name w:val="header"/>
    <w:basedOn w:val="Normal"/>
    <w:link w:val="HeaderChar"/>
    <w:uiPriority w:val="99"/>
    <w:unhideWhenUsed/>
    <w:rsid w:val="008807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076D"/>
    <w:rPr>
      <w:rFonts w:ascii="Times New Roman" w:hAnsi="Times New Roman"/>
      <w:color w:val="000000" w:themeColor="text1"/>
      <w:sz w:val="24"/>
    </w:rPr>
  </w:style>
  <w:style w:type="paragraph" w:styleId="Footer">
    <w:name w:val="footer"/>
    <w:basedOn w:val="Normal"/>
    <w:link w:val="FooterChar"/>
    <w:uiPriority w:val="99"/>
    <w:unhideWhenUsed/>
    <w:rsid w:val="008807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076D"/>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chart" Target="charts/chart4.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chart" Target="charts/chart3.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0.emf"/><Relationship Id="rId10" Type="http://schemas.openxmlformats.org/officeDocument/2006/relationships/image" Target="media/image3.emf"/><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image" Target="media/image9.emf"/></Relationships>
</file>

<file path=word/charts/_rels/chart1.xml.rels><?xml version="1.0" encoding="UTF-8" standalone="yes"?>
<Relationships xmlns="http://schemas.openxmlformats.org/package/2006/relationships"><Relationship Id="rId3" Type="http://schemas.openxmlformats.org/officeDocument/2006/relationships/oleObject" Target="file:///D:\Reetam\December\11.12.2025\job%205\final%20file\PRO-AD-DEC-11122025-1000AM-MZ37815-FINANC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Reetam\December\11.12.2025\job%205\final%20file\PRO-AD-DEC-11122025-1000AM-MZ37815-FINANC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Reetam\December\11.12.2025\job%205\final%20file\PRO-AD-DEC-11122025-1000AM-MZ37815-FINANC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Reetam\December\11.12.2025\job%205\final%20file\PRO-AD-DEC-11122025-1000AM-MZ37815-FINANC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Reetam\December\11.12.2025\job%205\final%20file\PRO-AD-DEC-11122025-1000AM-MZ37815-FINANC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Reetam\December\11.12.2025\job%205\final%20file\PRO-AD-DEC-11122025-1000AM-MZ37815-FINANCE.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efficiency</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Analysis'!$L$12</c:f>
              <c:strCache>
                <c:ptCount val="1"/>
                <c:pt idx="0">
                  <c:v>Inventory turnover</c:v>
                </c:pt>
              </c:strCache>
            </c:strRef>
          </c:tx>
          <c:spPr>
            <a:pattFill prst="narVert">
              <a:fgClr>
                <a:schemeClr val="accent6"/>
              </a:fgClr>
              <a:bgClr>
                <a:schemeClr val="accent6">
                  <a:lumMod val="20000"/>
                  <a:lumOff val="80000"/>
                </a:schemeClr>
              </a:bgClr>
            </a:pattFill>
            <a:ln>
              <a:noFill/>
            </a:ln>
            <a:effectLst>
              <a:innerShdw blurRad="114300">
                <a:schemeClr val="accent6"/>
              </a:innerShdw>
            </a:effectLst>
          </c:spPr>
          <c:invertIfNegative val="0"/>
          <c:cat>
            <c:numRef>
              <c:f>'Ratio Analysis'!$M$4:$Q$4</c:f>
              <c:numCache>
                <c:formatCode>General</c:formatCode>
                <c:ptCount val="5"/>
                <c:pt idx="0">
                  <c:v>2024</c:v>
                </c:pt>
                <c:pt idx="1">
                  <c:v>2023</c:v>
                </c:pt>
                <c:pt idx="2">
                  <c:v>2022</c:v>
                </c:pt>
                <c:pt idx="3">
                  <c:v>2021</c:v>
                </c:pt>
                <c:pt idx="4">
                  <c:v>2020</c:v>
                </c:pt>
              </c:numCache>
            </c:numRef>
          </c:cat>
          <c:val>
            <c:numRef>
              <c:f>'Ratio Analysis'!$M$12:$Q$12</c:f>
              <c:numCache>
                <c:formatCode>0.000</c:formatCode>
                <c:ptCount val="5"/>
                <c:pt idx="0">
                  <c:v>3.5396005292672168</c:v>
                </c:pt>
                <c:pt idx="1">
                  <c:v>3.6579361752744326</c:v>
                </c:pt>
                <c:pt idx="2">
                  <c:v>2.7853917435315769</c:v>
                </c:pt>
                <c:pt idx="3">
                  <c:v>3.1872476184101912</c:v>
                </c:pt>
                <c:pt idx="4">
                  <c:v>3.6404882504359377</c:v>
                </c:pt>
              </c:numCache>
            </c:numRef>
          </c:val>
          <c:extLst>
            <c:ext xmlns:c16="http://schemas.microsoft.com/office/drawing/2014/chart" uri="{C3380CC4-5D6E-409C-BE32-E72D297353CC}">
              <c16:uniqueId val="{00000000-9034-40BB-9F63-FAF62073E5D1}"/>
            </c:ext>
          </c:extLst>
        </c:ser>
        <c:ser>
          <c:idx val="1"/>
          <c:order val="1"/>
          <c:tx>
            <c:strRef>
              <c:f>'Ratio Analysis'!$L$13</c:f>
              <c:strCache>
                <c:ptCount val="1"/>
                <c:pt idx="0">
                  <c:v>Asset turnover</c:v>
                </c:pt>
              </c:strCache>
            </c:strRef>
          </c:tx>
          <c:spPr>
            <a:pattFill prst="narVert">
              <a:fgClr>
                <a:schemeClr val="accent5"/>
              </a:fgClr>
              <a:bgClr>
                <a:schemeClr val="accent5">
                  <a:lumMod val="20000"/>
                  <a:lumOff val="80000"/>
                </a:schemeClr>
              </a:bgClr>
            </a:pattFill>
            <a:ln>
              <a:noFill/>
            </a:ln>
            <a:effectLst>
              <a:innerShdw blurRad="114300">
                <a:schemeClr val="accent5"/>
              </a:innerShdw>
            </a:effectLst>
          </c:spPr>
          <c:invertIfNegative val="0"/>
          <c:cat>
            <c:numRef>
              <c:f>'Ratio Analysis'!$M$4:$Q$4</c:f>
              <c:numCache>
                <c:formatCode>General</c:formatCode>
                <c:ptCount val="5"/>
                <c:pt idx="0">
                  <c:v>2024</c:v>
                </c:pt>
                <c:pt idx="1">
                  <c:v>2023</c:v>
                </c:pt>
                <c:pt idx="2">
                  <c:v>2022</c:v>
                </c:pt>
                <c:pt idx="3">
                  <c:v>2021</c:v>
                </c:pt>
                <c:pt idx="4">
                  <c:v>2020</c:v>
                </c:pt>
              </c:numCache>
            </c:numRef>
          </c:cat>
          <c:val>
            <c:numRef>
              <c:f>'Ratio Analysis'!$M$13:$Q$13</c:f>
              <c:numCache>
                <c:formatCode>0.000</c:formatCode>
                <c:ptCount val="5"/>
                <c:pt idx="0">
                  <c:v>1.2211972018283368</c:v>
                </c:pt>
                <c:pt idx="1">
                  <c:v>1.1814837919251866</c:v>
                </c:pt>
                <c:pt idx="2">
                  <c:v>1.0765387384635525</c:v>
                </c:pt>
                <c:pt idx="3">
                  <c:v>1.1788074020080415</c:v>
                </c:pt>
                <c:pt idx="4">
                  <c:v>1.2045699504203493</c:v>
                </c:pt>
              </c:numCache>
            </c:numRef>
          </c:val>
          <c:extLst>
            <c:ext xmlns:c16="http://schemas.microsoft.com/office/drawing/2014/chart" uri="{C3380CC4-5D6E-409C-BE32-E72D297353CC}">
              <c16:uniqueId val="{00000001-9034-40BB-9F63-FAF62073E5D1}"/>
            </c:ext>
          </c:extLst>
        </c:ser>
        <c:dLbls>
          <c:showLegendKey val="0"/>
          <c:showVal val="0"/>
          <c:showCatName val="0"/>
          <c:showSerName val="0"/>
          <c:showPercent val="0"/>
          <c:showBubbleSize val="0"/>
        </c:dLbls>
        <c:gapWidth val="227"/>
        <c:axId val="324594064"/>
        <c:axId val="324603664"/>
      </c:barChart>
      <c:catAx>
        <c:axId val="324594064"/>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03664"/>
        <c:crosses val="autoZero"/>
        <c:auto val="1"/>
        <c:lblAlgn val="ctr"/>
        <c:lblOffset val="100"/>
        <c:noMultiLvlLbl val="0"/>
      </c:catAx>
      <c:valAx>
        <c:axId val="324603664"/>
        <c:scaling>
          <c:orientation val="minMax"/>
        </c:scaling>
        <c:delete val="0"/>
        <c:axPos val="l"/>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5940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liquidity</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Analysis'!$L$9</c:f>
              <c:strCache>
                <c:ptCount val="1"/>
                <c:pt idx="0">
                  <c:v>Current ratio</c:v>
                </c:pt>
              </c:strCache>
            </c:strRef>
          </c:tx>
          <c:spPr>
            <a:pattFill prst="narHorz">
              <a:fgClr>
                <a:schemeClr val="accent1">
                  <a:shade val="76000"/>
                </a:schemeClr>
              </a:fgClr>
              <a:bgClr>
                <a:schemeClr val="accent1">
                  <a:shade val="76000"/>
                  <a:lumMod val="20000"/>
                  <a:lumOff val="80000"/>
                </a:schemeClr>
              </a:bgClr>
            </a:pattFill>
            <a:ln>
              <a:noFill/>
            </a:ln>
            <a:effectLst>
              <a:innerShdw blurRad="114300">
                <a:schemeClr val="accent1">
                  <a:shade val="76000"/>
                </a:schemeClr>
              </a:innerShdw>
            </a:effectLst>
          </c:spPr>
          <c:invertIfNegative val="0"/>
          <c:cat>
            <c:numRef>
              <c:f>'Ratio Analysis'!$M$4:$Q$4</c:f>
              <c:numCache>
                <c:formatCode>General</c:formatCode>
                <c:ptCount val="5"/>
                <c:pt idx="0">
                  <c:v>2024</c:v>
                </c:pt>
                <c:pt idx="1">
                  <c:v>2023</c:v>
                </c:pt>
                <c:pt idx="2">
                  <c:v>2022</c:v>
                </c:pt>
                <c:pt idx="3">
                  <c:v>2021</c:v>
                </c:pt>
                <c:pt idx="4">
                  <c:v>2020</c:v>
                </c:pt>
              </c:numCache>
            </c:numRef>
          </c:cat>
          <c:val>
            <c:numRef>
              <c:f>'Ratio Analysis'!$M$9:$Q$9</c:f>
              <c:numCache>
                <c:formatCode>0.000</c:formatCode>
                <c:ptCount val="5"/>
                <c:pt idx="0">
                  <c:v>1.5319506478574272</c:v>
                </c:pt>
                <c:pt idx="1">
                  <c:v>1.6062935934668752</c:v>
                </c:pt>
                <c:pt idx="2">
                  <c:v>1.5615804280441441</c:v>
                </c:pt>
                <c:pt idx="3">
                  <c:v>1.5551947303113194</c:v>
                </c:pt>
                <c:pt idx="4">
                  <c:v>1.8207509330956493</c:v>
                </c:pt>
              </c:numCache>
            </c:numRef>
          </c:val>
          <c:extLst>
            <c:ext xmlns:c16="http://schemas.microsoft.com/office/drawing/2014/chart" uri="{C3380CC4-5D6E-409C-BE32-E72D297353CC}">
              <c16:uniqueId val="{00000000-B3A6-46DB-AE83-1751AF620F6E}"/>
            </c:ext>
          </c:extLst>
        </c:ser>
        <c:ser>
          <c:idx val="1"/>
          <c:order val="1"/>
          <c:tx>
            <c:strRef>
              <c:f>'Ratio Analysis'!$L$10</c:f>
              <c:strCache>
                <c:ptCount val="1"/>
                <c:pt idx="0">
                  <c:v>Quick ratio</c:v>
                </c:pt>
              </c:strCache>
            </c:strRef>
          </c:tx>
          <c:spPr>
            <a:pattFill prst="narHorz">
              <a:fgClr>
                <a:schemeClr val="accent1">
                  <a:tint val="77000"/>
                </a:schemeClr>
              </a:fgClr>
              <a:bgClr>
                <a:schemeClr val="accent1">
                  <a:tint val="77000"/>
                  <a:lumMod val="20000"/>
                  <a:lumOff val="80000"/>
                </a:schemeClr>
              </a:bgClr>
            </a:pattFill>
            <a:ln>
              <a:noFill/>
            </a:ln>
            <a:effectLst>
              <a:innerShdw blurRad="114300">
                <a:schemeClr val="accent1">
                  <a:tint val="77000"/>
                </a:schemeClr>
              </a:innerShdw>
            </a:effectLst>
          </c:spPr>
          <c:invertIfNegative val="0"/>
          <c:cat>
            <c:numRef>
              <c:f>'Ratio Analysis'!$M$4:$Q$4</c:f>
              <c:numCache>
                <c:formatCode>General</c:formatCode>
                <c:ptCount val="5"/>
                <c:pt idx="0">
                  <c:v>2024</c:v>
                </c:pt>
                <c:pt idx="1">
                  <c:v>2023</c:v>
                </c:pt>
                <c:pt idx="2">
                  <c:v>2022</c:v>
                </c:pt>
                <c:pt idx="3">
                  <c:v>2021</c:v>
                </c:pt>
                <c:pt idx="4">
                  <c:v>2020</c:v>
                </c:pt>
              </c:numCache>
            </c:numRef>
          </c:cat>
          <c:val>
            <c:numRef>
              <c:f>'Ratio Analysis'!$M$10:$Q$10</c:f>
              <c:numCache>
                <c:formatCode>0.000</c:formatCode>
                <c:ptCount val="5"/>
                <c:pt idx="0">
                  <c:v>1.0306271360974408</c:v>
                </c:pt>
                <c:pt idx="1">
                  <c:v>1.0585176359619728</c:v>
                </c:pt>
                <c:pt idx="2">
                  <c:v>0.9140123710578224</c:v>
                </c:pt>
                <c:pt idx="3">
                  <c:v>0.93491307135575474</c:v>
                </c:pt>
                <c:pt idx="4">
                  <c:v>1.1498690880730877</c:v>
                </c:pt>
              </c:numCache>
            </c:numRef>
          </c:val>
          <c:extLst>
            <c:ext xmlns:c16="http://schemas.microsoft.com/office/drawing/2014/chart" uri="{C3380CC4-5D6E-409C-BE32-E72D297353CC}">
              <c16:uniqueId val="{00000001-B3A6-46DB-AE83-1751AF620F6E}"/>
            </c:ext>
          </c:extLst>
        </c:ser>
        <c:dLbls>
          <c:showLegendKey val="0"/>
          <c:showVal val="0"/>
          <c:showCatName val="0"/>
          <c:showSerName val="0"/>
          <c:showPercent val="0"/>
          <c:showBubbleSize val="0"/>
        </c:dLbls>
        <c:gapWidth val="164"/>
        <c:overlap val="-22"/>
        <c:axId val="324623344"/>
        <c:axId val="324624784"/>
      </c:barChart>
      <c:catAx>
        <c:axId val="324623344"/>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24784"/>
        <c:crosses val="autoZero"/>
        <c:auto val="1"/>
        <c:lblAlgn val="ctr"/>
        <c:lblOffset val="100"/>
        <c:noMultiLvlLbl val="0"/>
      </c:catAx>
      <c:valAx>
        <c:axId val="324624784"/>
        <c:scaling>
          <c:orientation val="minMax"/>
        </c:scaling>
        <c:delete val="0"/>
        <c:axPos val="l"/>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2334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cash flow</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'Ratio Analysis'!$L$21</c:f>
              <c:strCache>
                <c:ptCount val="1"/>
                <c:pt idx="0">
                  <c:v>Operating CF to sales</c:v>
                </c:pt>
              </c:strCache>
            </c:strRef>
          </c:tx>
          <c:spPr>
            <a:solidFill>
              <a:schemeClr val="accent2"/>
            </a:solidFill>
            <a:ln>
              <a:noFill/>
            </a:ln>
            <a:effectLst/>
          </c:spPr>
          <c:invertIfNegative val="0"/>
          <c:cat>
            <c:numRef>
              <c:f>'Ratio Analysis'!$M$4:$Q$4</c:f>
              <c:numCache>
                <c:formatCode>General</c:formatCode>
                <c:ptCount val="5"/>
                <c:pt idx="0">
                  <c:v>2024</c:v>
                </c:pt>
                <c:pt idx="1">
                  <c:v>2023</c:v>
                </c:pt>
                <c:pt idx="2">
                  <c:v>2022</c:v>
                </c:pt>
                <c:pt idx="3">
                  <c:v>2021</c:v>
                </c:pt>
                <c:pt idx="4">
                  <c:v>2020</c:v>
                </c:pt>
              </c:numCache>
            </c:numRef>
          </c:cat>
          <c:val>
            <c:numRef>
              <c:f>'Ratio Analysis'!$M$21:$Q$21</c:f>
              <c:numCache>
                <c:formatCode>0.000</c:formatCode>
                <c:ptCount val="5"/>
                <c:pt idx="0">
                  <c:v>3.7535548864335661E-2</c:v>
                </c:pt>
                <c:pt idx="1">
                  <c:v>5.9911001600639308E-2</c:v>
                </c:pt>
                <c:pt idx="2">
                  <c:v>2.0130778202159E-2</c:v>
                </c:pt>
                <c:pt idx="3">
                  <c:v>6.6959551331278816E-2</c:v>
                </c:pt>
                <c:pt idx="4">
                  <c:v>0.11939871152469578</c:v>
                </c:pt>
              </c:numCache>
            </c:numRef>
          </c:val>
          <c:extLst>
            <c:ext xmlns:c16="http://schemas.microsoft.com/office/drawing/2014/chart" uri="{C3380CC4-5D6E-409C-BE32-E72D297353CC}">
              <c16:uniqueId val="{00000000-C3ED-4C26-B332-75EC2DBC0907}"/>
            </c:ext>
          </c:extLst>
        </c:ser>
        <c:ser>
          <c:idx val="1"/>
          <c:order val="1"/>
          <c:tx>
            <c:strRef>
              <c:f>'Ratio Analysis'!$L$22</c:f>
              <c:strCache>
                <c:ptCount val="1"/>
                <c:pt idx="0">
                  <c:v>Operating CF to current liabilities</c:v>
                </c:pt>
              </c:strCache>
            </c:strRef>
          </c:tx>
          <c:spPr>
            <a:solidFill>
              <a:schemeClr val="accent4"/>
            </a:solidFill>
            <a:ln>
              <a:noFill/>
            </a:ln>
            <a:effectLst/>
          </c:spPr>
          <c:invertIfNegative val="0"/>
          <c:cat>
            <c:numRef>
              <c:f>'Ratio Analysis'!$M$4:$Q$4</c:f>
              <c:numCache>
                <c:formatCode>General</c:formatCode>
                <c:ptCount val="5"/>
                <c:pt idx="0">
                  <c:v>2024</c:v>
                </c:pt>
                <c:pt idx="1">
                  <c:v>2023</c:v>
                </c:pt>
                <c:pt idx="2">
                  <c:v>2022</c:v>
                </c:pt>
                <c:pt idx="3">
                  <c:v>2021</c:v>
                </c:pt>
                <c:pt idx="4">
                  <c:v>2020</c:v>
                </c:pt>
              </c:numCache>
            </c:numRef>
          </c:cat>
          <c:val>
            <c:numRef>
              <c:f>'Ratio Analysis'!$M$22:$Q$22</c:f>
              <c:numCache>
                <c:formatCode>0.000</c:formatCode>
                <c:ptCount val="5"/>
                <c:pt idx="0">
                  <c:v>9.3637667334213567E-2</c:v>
                </c:pt>
                <c:pt idx="1">
                  <c:v>0.15631593317943754</c:v>
                </c:pt>
                <c:pt idx="2">
                  <c:v>5.0472807232310728E-2</c:v>
                </c:pt>
                <c:pt idx="3">
                  <c:v>0.18581833781545942</c:v>
                </c:pt>
                <c:pt idx="4">
                  <c:v>0.40884630382708487</c:v>
                </c:pt>
              </c:numCache>
            </c:numRef>
          </c:val>
          <c:extLst>
            <c:ext xmlns:c16="http://schemas.microsoft.com/office/drawing/2014/chart" uri="{C3380CC4-5D6E-409C-BE32-E72D297353CC}">
              <c16:uniqueId val="{00000001-C3ED-4C26-B332-75EC2DBC0907}"/>
            </c:ext>
          </c:extLst>
        </c:ser>
        <c:dLbls>
          <c:showLegendKey val="0"/>
          <c:showVal val="0"/>
          <c:showCatName val="0"/>
          <c:showSerName val="0"/>
          <c:showPercent val="0"/>
          <c:showBubbleSize val="0"/>
        </c:dLbls>
        <c:gapWidth val="267"/>
        <c:axId val="109790512"/>
        <c:axId val="109785712"/>
      </c:barChart>
      <c:catAx>
        <c:axId val="10979051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09785712"/>
        <c:crosses val="autoZero"/>
        <c:auto val="1"/>
        <c:lblAlgn val="ctr"/>
        <c:lblOffset val="100"/>
        <c:noMultiLvlLbl val="0"/>
      </c:catAx>
      <c:valAx>
        <c:axId val="109785712"/>
        <c:scaling>
          <c:orientation val="minMax"/>
        </c:scaling>
        <c:delete val="0"/>
        <c:axPos val="b"/>
        <c:majorGridlines>
          <c:spPr>
            <a:ln w="9525" cap="flat" cmpd="sng" algn="ctr">
              <a:solidFill>
                <a:schemeClr val="dk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09790512"/>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profitability</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'Ratio Analysis'!$L$6</c:f>
              <c:strCache>
                <c:ptCount val="1"/>
                <c:pt idx="0">
                  <c:v>Gross profit margin</c:v>
                </c:pt>
              </c:strCache>
            </c:strRef>
          </c:tx>
          <c:spPr>
            <a:ln w="22225" cap="rnd">
              <a:solidFill>
                <a:schemeClr val="accent6"/>
              </a:solidFill>
              <a:round/>
            </a:ln>
            <a:effectLst/>
          </c:spPr>
          <c:marker>
            <c:symbol val="none"/>
          </c:marker>
          <c:cat>
            <c:numRef>
              <c:f>'Ratio Analysis'!$M$4:$Q$4</c:f>
              <c:numCache>
                <c:formatCode>General</c:formatCode>
                <c:ptCount val="5"/>
                <c:pt idx="0">
                  <c:v>2024</c:v>
                </c:pt>
                <c:pt idx="1">
                  <c:v>2023</c:v>
                </c:pt>
                <c:pt idx="2">
                  <c:v>2022</c:v>
                </c:pt>
                <c:pt idx="3">
                  <c:v>2021</c:v>
                </c:pt>
                <c:pt idx="4">
                  <c:v>2020</c:v>
                </c:pt>
              </c:numCache>
            </c:numRef>
          </c:cat>
          <c:val>
            <c:numRef>
              <c:f>'Ratio Analysis'!$M$6:$Q$6</c:f>
              <c:numCache>
                <c:formatCode>0.000</c:formatCode>
                <c:ptCount val="5"/>
                <c:pt idx="0">
                  <c:v>0.28868083640811487</c:v>
                </c:pt>
                <c:pt idx="1">
                  <c:v>0.23203324002216635</c:v>
                </c:pt>
                <c:pt idx="2">
                  <c:v>0.28059275800505207</c:v>
                </c:pt>
                <c:pt idx="3">
                  <c:v>0.28759212901552855</c:v>
                </c:pt>
                <c:pt idx="4">
                  <c:v>0.28674432224897506</c:v>
                </c:pt>
              </c:numCache>
            </c:numRef>
          </c:val>
          <c:smooth val="0"/>
          <c:extLst>
            <c:ext xmlns:c16="http://schemas.microsoft.com/office/drawing/2014/chart" uri="{C3380CC4-5D6E-409C-BE32-E72D297353CC}">
              <c16:uniqueId val="{00000000-8402-4423-86AE-AF6373304489}"/>
            </c:ext>
          </c:extLst>
        </c:ser>
        <c:ser>
          <c:idx val="1"/>
          <c:order val="1"/>
          <c:tx>
            <c:strRef>
              <c:f>'Ratio Analysis'!$L$7</c:f>
              <c:strCache>
                <c:ptCount val="1"/>
                <c:pt idx="0">
                  <c:v>Net profit margin</c:v>
                </c:pt>
              </c:strCache>
            </c:strRef>
          </c:tx>
          <c:spPr>
            <a:ln w="22225" cap="rnd">
              <a:solidFill>
                <a:schemeClr val="accent5"/>
              </a:solidFill>
              <a:round/>
            </a:ln>
            <a:effectLst/>
          </c:spPr>
          <c:marker>
            <c:symbol val="none"/>
          </c:marker>
          <c:cat>
            <c:numRef>
              <c:f>'Ratio Analysis'!$M$4:$Q$4</c:f>
              <c:numCache>
                <c:formatCode>General</c:formatCode>
                <c:ptCount val="5"/>
                <c:pt idx="0">
                  <c:v>2024</c:v>
                </c:pt>
                <c:pt idx="1">
                  <c:v>2023</c:v>
                </c:pt>
                <c:pt idx="2">
                  <c:v>2022</c:v>
                </c:pt>
                <c:pt idx="3">
                  <c:v>2021</c:v>
                </c:pt>
                <c:pt idx="4">
                  <c:v>2020</c:v>
                </c:pt>
              </c:numCache>
            </c:numRef>
          </c:cat>
          <c:val>
            <c:numRef>
              <c:f>'Ratio Analysis'!$M$7:$Q$7</c:f>
              <c:numCache>
                <c:formatCode>0.000</c:formatCode>
                <c:ptCount val="5"/>
                <c:pt idx="0">
                  <c:v>-6.0851551994408414E-2</c:v>
                </c:pt>
                <c:pt idx="1">
                  <c:v>-0.23364577114901167</c:v>
                </c:pt>
                <c:pt idx="2">
                  <c:v>7.4988346405626153E-4</c:v>
                </c:pt>
                <c:pt idx="3">
                  <c:v>8.8114733661124791E-3</c:v>
                </c:pt>
                <c:pt idx="4">
                  <c:v>6.2751350296089026E-2</c:v>
                </c:pt>
              </c:numCache>
            </c:numRef>
          </c:val>
          <c:smooth val="0"/>
          <c:extLst>
            <c:ext xmlns:c16="http://schemas.microsoft.com/office/drawing/2014/chart" uri="{C3380CC4-5D6E-409C-BE32-E72D297353CC}">
              <c16:uniqueId val="{00000001-8402-4423-86AE-AF6373304489}"/>
            </c:ext>
          </c:extLst>
        </c:ser>
        <c:dLbls>
          <c:showLegendKey val="0"/>
          <c:showVal val="0"/>
          <c:showCatName val="0"/>
          <c:showSerName val="0"/>
          <c:showPercent val="0"/>
          <c:showBubbleSize val="0"/>
        </c:dLbls>
        <c:smooth val="0"/>
        <c:axId val="324626704"/>
        <c:axId val="324643984"/>
      </c:lineChart>
      <c:catAx>
        <c:axId val="324626704"/>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24643984"/>
        <c:crosses val="autoZero"/>
        <c:auto val="1"/>
        <c:lblAlgn val="ctr"/>
        <c:lblOffset val="100"/>
        <c:noMultiLvlLbl val="0"/>
      </c:catAx>
      <c:valAx>
        <c:axId val="32464398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2462670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gearing</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 Analysis'!$L$15</c:f>
              <c:strCache>
                <c:ptCount val="1"/>
                <c:pt idx="0">
                  <c:v>Debt to equity ratio</c:v>
                </c:pt>
              </c:strCache>
            </c:strRef>
          </c:tx>
          <c:spPr>
            <a:ln w="22225" cap="rnd">
              <a:solidFill>
                <a:schemeClr val="accent1"/>
              </a:solidFill>
              <a:round/>
            </a:ln>
            <a:effectLst/>
          </c:spPr>
          <c:marker>
            <c:symbol val="none"/>
          </c:marker>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Analysis'!$M$4:$Q$4</c:f>
              <c:numCache>
                <c:formatCode>General</c:formatCode>
                <c:ptCount val="5"/>
                <c:pt idx="0">
                  <c:v>2024</c:v>
                </c:pt>
                <c:pt idx="1">
                  <c:v>2023</c:v>
                </c:pt>
                <c:pt idx="2">
                  <c:v>2022</c:v>
                </c:pt>
                <c:pt idx="3">
                  <c:v>2021</c:v>
                </c:pt>
                <c:pt idx="4">
                  <c:v>2020</c:v>
                </c:pt>
              </c:numCache>
            </c:numRef>
          </c:cat>
          <c:val>
            <c:numRef>
              <c:f>'Ratio Analysis'!$M$15:$Q$15</c:f>
              <c:numCache>
                <c:formatCode>0.000</c:formatCode>
                <c:ptCount val="5"/>
                <c:pt idx="0">
                  <c:v>1.1119754416903431</c:v>
                </c:pt>
                <c:pt idx="1">
                  <c:v>0.98900067069081155</c:v>
                </c:pt>
                <c:pt idx="2">
                  <c:v>0.87835964918817011</c:v>
                </c:pt>
                <c:pt idx="3">
                  <c:v>0.84942869878129657</c:v>
                </c:pt>
                <c:pt idx="4">
                  <c:v>0.62875317984941004</c:v>
                </c:pt>
              </c:numCache>
            </c:numRef>
          </c:val>
          <c:smooth val="0"/>
          <c:extLst>
            <c:ext xmlns:c16="http://schemas.microsoft.com/office/drawing/2014/chart" uri="{C3380CC4-5D6E-409C-BE32-E72D297353CC}">
              <c16:uniqueId val="{00000000-0491-4C61-AF18-45B55223D663}"/>
            </c:ext>
          </c:extLst>
        </c:ser>
        <c:ser>
          <c:idx val="1"/>
          <c:order val="1"/>
          <c:tx>
            <c:strRef>
              <c:f>'Ratio Analysis'!$L$16</c:f>
              <c:strCache>
                <c:ptCount val="1"/>
                <c:pt idx="0">
                  <c:v>Interest coverage</c:v>
                </c:pt>
              </c:strCache>
            </c:strRef>
          </c:tx>
          <c:spPr>
            <a:ln w="22225" cap="rnd">
              <a:solidFill>
                <a:schemeClr val="accent3"/>
              </a:solidFill>
              <a:round/>
            </a:ln>
            <a:effectLst/>
          </c:spPr>
          <c:marker>
            <c:symbol val="none"/>
          </c:marker>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Analysis'!$M$4:$Q$4</c:f>
              <c:numCache>
                <c:formatCode>General</c:formatCode>
                <c:ptCount val="5"/>
                <c:pt idx="0">
                  <c:v>2024</c:v>
                </c:pt>
                <c:pt idx="1">
                  <c:v>2023</c:v>
                </c:pt>
                <c:pt idx="2">
                  <c:v>2022</c:v>
                </c:pt>
                <c:pt idx="3">
                  <c:v>2021</c:v>
                </c:pt>
                <c:pt idx="4">
                  <c:v>2020</c:v>
                </c:pt>
              </c:numCache>
            </c:numRef>
          </c:cat>
          <c:val>
            <c:numRef>
              <c:f>'Ratio Analysis'!$M$16:$Q$16</c:f>
              <c:numCache>
                <c:formatCode>0.000</c:formatCode>
                <c:ptCount val="5"/>
                <c:pt idx="0">
                  <c:v>-4.5513240107110979</c:v>
                </c:pt>
                <c:pt idx="1">
                  <c:v>-19.690904893813482</c:v>
                </c:pt>
                <c:pt idx="2">
                  <c:v>6.6127272727272723</c:v>
                </c:pt>
                <c:pt idx="3">
                  <c:v>41.083038869257948</c:v>
                </c:pt>
                <c:pt idx="4">
                  <c:v>26.20745428973277</c:v>
                </c:pt>
              </c:numCache>
            </c:numRef>
          </c:val>
          <c:smooth val="0"/>
          <c:extLst>
            <c:ext xmlns:c16="http://schemas.microsoft.com/office/drawing/2014/chart" uri="{C3380CC4-5D6E-409C-BE32-E72D297353CC}">
              <c16:uniqueId val="{00000001-0491-4C61-AF18-45B55223D663}"/>
            </c:ext>
          </c:extLst>
        </c:ser>
        <c:dLbls>
          <c:showLegendKey val="0"/>
          <c:showVal val="1"/>
          <c:showCatName val="0"/>
          <c:showSerName val="0"/>
          <c:showPercent val="0"/>
          <c:showBubbleSize val="0"/>
        </c:dLbls>
        <c:smooth val="0"/>
        <c:axId val="324619984"/>
        <c:axId val="324621424"/>
      </c:lineChart>
      <c:catAx>
        <c:axId val="3246199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24621424"/>
        <c:crosses val="autoZero"/>
        <c:auto val="1"/>
        <c:lblAlgn val="ctr"/>
        <c:lblOffset val="100"/>
        <c:noMultiLvlLbl val="0"/>
      </c:catAx>
      <c:valAx>
        <c:axId val="324621424"/>
        <c:scaling>
          <c:orientation val="minMax"/>
        </c:scaling>
        <c:delete val="1"/>
        <c:axPos val="l"/>
        <c:numFmt formatCode="0.000" sourceLinked="1"/>
        <c:majorTickMark val="none"/>
        <c:minorTickMark val="none"/>
        <c:tickLblPos val="nextTo"/>
        <c:crossAx val="3246199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investment</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areaChart>
        <c:grouping val="stacked"/>
        <c:varyColors val="0"/>
        <c:ser>
          <c:idx val="0"/>
          <c:order val="0"/>
          <c:tx>
            <c:strRef>
              <c:f>'Ratio Analysis'!$L$18</c:f>
              <c:strCache>
                <c:ptCount val="1"/>
                <c:pt idx="0">
                  <c:v>Basic EPS (£)</c:v>
                </c:pt>
              </c:strCache>
            </c:strRef>
          </c:tx>
          <c:spPr>
            <a:solidFill>
              <a:schemeClr val="accent1"/>
            </a:solidFill>
            <a:ln>
              <a:noFill/>
            </a:ln>
            <a:effectLst/>
          </c:spPr>
          <c:cat>
            <c:numRef>
              <c:f>'Ratio Analysis'!$M$4:$Q$4</c:f>
              <c:numCache>
                <c:formatCode>General</c:formatCode>
                <c:ptCount val="5"/>
                <c:pt idx="0">
                  <c:v>2024</c:v>
                </c:pt>
                <c:pt idx="1">
                  <c:v>2023</c:v>
                </c:pt>
                <c:pt idx="2">
                  <c:v>2022</c:v>
                </c:pt>
                <c:pt idx="3">
                  <c:v>2021</c:v>
                </c:pt>
                <c:pt idx="4">
                  <c:v>2020</c:v>
                </c:pt>
              </c:numCache>
            </c:numRef>
          </c:cat>
          <c:val>
            <c:numRef>
              <c:f>'Ratio Analysis'!$M$18:$Q$18</c:f>
              <c:numCache>
                <c:formatCode>0.000</c:formatCode>
                <c:ptCount val="5"/>
                <c:pt idx="0">
                  <c:v>-1.8542325796743575</c:v>
                </c:pt>
                <c:pt idx="1">
                  <c:v>-7.6420070011668608</c:v>
                </c:pt>
                <c:pt idx="2">
                  <c:v>3.2039675667165236E-2</c:v>
                </c:pt>
                <c:pt idx="3">
                  <c:v>0.39368733754177498</c:v>
                </c:pt>
                <c:pt idx="4">
                  <c:v>2.77636219678975</c:v>
                </c:pt>
              </c:numCache>
            </c:numRef>
          </c:val>
          <c:extLst>
            <c:ext xmlns:c16="http://schemas.microsoft.com/office/drawing/2014/chart" uri="{C3380CC4-5D6E-409C-BE32-E72D297353CC}">
              <c16:uniqueId val="{00000000-0F50-4E56-AFBA-8B69F30AF902}"/>
            </c:ext>
          </c:extLst>
        </c:ser>
        <c:ser>
          <c:idx val="1"/>
          <c:order val="1"/>
          <c:tx>
            <c:strRef>
              <c:f>'Ratio Analysis'!$L$19</c:f>
              <c:strCache>
                <c:ptCount val="1"/>
                <c:pt idx="0">
                  <c:v>Return on equity (ROE)</c:v>
                </c:pt>
              </c:strCache>
            </c:strRef>
          </c:tx>
          <c:spPr>
            <a:solidFill>
              <a:schemeClr val="accent2"/>
            </a:solidFill>
            <a:ln>
              <a:noFill/>
            </a:ln>
            <a:effectLst/>
          </c:spPr>
          <c:cat>
            <c:numRef>
              <c:f>'Ratio Analysis'!$M$4:$Q$4</c:f>
              <c:numCache>
                <c:formatCode>General</c:formatCode>
                <c:ptCount val="5"/>
                <c:pt idx="0">
                  <c:v>2024</c:v>
                </c:pt>
                <c:pt idx="1">
                  <c:v>2023</c:v>
                </c:pt>
                <c:pt idx="2">
                  <c:v>2022</c:v>
                </c:pt>
                <c:pt idx="3">
                  <c:v>2021</c:v>
                </c:pt>
                <c:pt idx="4">
                  <c:v>2020</c:v>
                </c:pt>
              </c:numCache>
            </c:numRef>
          </c:cat>
          <c:val>
            <c:numRef>
              <c:f>'Ratio Analysis'!$M$19:$Q$19</c:f>
              <c:numCache>
                <c:formatCode>0.000</c:formatCode>
                <c:ptCount val="5"/>
                <c:pt idx="0">
                  <c:v>-0.1569445805166389</c:v>
                </c:pt>
                <c:pt idx="1">
                  <c:v>-0.54906103286384977</c:v>
                </c:pt>
                <c:pt idx="2">
                  <c:v>1.5163595448685946E-3</c:v>
                </c:pt>
                <c:pt idx="3">
                  <c:v>1.9210071426241804E-2</c:v>
                </c:pt>
                <c:pt idx="4">
                  <c:v>0.1231148320624575</c:v>
                </c:pt>
              </c:numCache>
            </c:numRef>
          </c:val>
          <c:extLst>
            <c:ext xmlns:c16="http://schemas.microsoft.com/office/drawing/2014/chart" uri="{C3380CC4-5D6E-409C-BE32-E72D297353CC}">
              <c16:uniqueId val="{00000001-0F50-4E56-AFBA-8B69F30AF902}"/>
            </c:ext>
          </c:extLst>
        </c:ser>
        <c:dLbls>
          <c:showLegendKey val="0"/>
          <c:showVal val="0"/>
          <c:showCatName val="0"/>
          <c:showSerName val="0"/>
          <c:showPercent val="0"/>
          <c:showBubbleSize val="0"/>
        </c:dLbls>
        <c:axId val="324600304"/>
        <c:axId val="324606544"/>
      </c:areaChart>
      <c:catAx>
        <c:axId val="32460030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24606544"/>
        <c:crosses val="autoZero"/>
        <c:auto val="1"/>
        <c:lblAlgn val="ctr"/>
        <c:lblOffset val="100"/>
        <c:noMultiLvlLbl val="0"/>
      </c:catAx>
      <c:valAx>
        <c:axId val="324606544"/>
        <c:scaling>
          <c:orientation val="minMax"/>
        </c:scaling>
        <c:delete val="0"/>
        <c:axPos val="l"/>
        <c:majorGridlines>
          <c:spPr>
            <a:ln w="9525" cap="flat" cmpd="sng" algn="ctr">
              <a:solidFill>
                <a:schemeClr val="dk1">
                  <a:lumMod val="15000"/>
                  <a:lumOff val="85000"/>
                </a:schemeClr>
              </a:solidFill>
              <a:round/>
            </a:ln>
            <a:effectLst/>
          </c:spPr>
        </c:majorGridlines>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24600304"/>
        <c:crosses val="autoZero"/>
        <c:crossBetween val="midCat"/>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4B1061B-80F5-46CA-BDB8-BD4B99BEA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6464</Words>
  <Characters>36851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chandru subbaiah</cp:lastModifiedBy>
  <cp:revision>2</cp:revision>
  <dcterms:created xsi:type="dcterms:W3CDTF">2025-12-22T07:33:00Z</dcterms:created>
  <dcterms:modified xsi:type="dcterms:W3CDTF">2025-12-22T07:33:00Z</dcterms:modified>
</cp:coreProperties>
</file>