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129F" w:rsidRPr="005D2DC1" w:rsidRDefault="00B2129F" w:rsidP="00B1009F">
      <w:pPr>
        <w:spacing w:before="100" w:beforeAutospacing="1" w:after="100" w:afterAutospacing="1"/>
        <w:jc w:val="center"/>
        <w:rPr>
          <w:rFonts w:ascii="Arial" w:hAnsi="Arial" w:cs="Arial"/>
          <w:b/>
          <w:bCs/>
          <w:color w:val="C00000"/>
          <w:lang w:val="en-GB" w:eastAsia="en-GB"/>
        </w:rPr>
      </w:pPr>
      <w:r w:rsidRPr="005D2DC1">
        <w:rPr>
          <w:rFonts w:ascii="Arial" w:hAnsi="Arial" w:cs="Arial"/>
          <w:noProof/>
        </w:rPr>
        <w:drawing>
          <wp:inline distT="0" distB="0" distL="0" distR="0" wp14:anchorId="745CB89E" wp14:editId="2423793D">
            <wp:extent cx="5231219" cy="1702189"/>
            <wp:effectExtent l="0" t="0" r="1270" b="0"/>
            <wp:docPr id="1424901042"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34309" cy="1735734"/>
                    </a:xfrm>
                    <a:prstGeom prst="rect">
                      <a:avLst/>
                    </a:prstGeom>
                    <a:noFill/>
                    <a:ln>
                      <a:noFill/>
                    </a:ln>
                  </pic:spPr>
                </pic:pic>
              </a:graphicData>
            </a:graphic>
          </wp:inline>
        </w:drawing>
      </w:r>
    </w:p>
    <w:p w:rsidR="00B2129F" w:rsidRDefault="00B2129F" w:rsidP="00B2129F">
      <w:pPr>
        <w:spacing w:before="100" w:beforeAutospacing="1" w:after="100" w:afterAutospacing="1"/>
        <w:jc w:val="center"/>
        <w:rPr>
          <w:rFonts w:ascii="Arial" w:hAnsi="Arial" w:cs="Arial"/>
          <w:b/>
          <w:bCs/>
          <w:color w:val="000000" w:themeColor="text1"/>
          <w:sz w:val="28"/>
          <w:szCs w:val="28"/>
          <w:lang w:val="en-GB" w:eastAsia="en-GB"/>
        </w:rPr>
      </w:pPr>
      <w:r>
        <w:rPr>
          <w:rFonts w:ascii="Arial" w:hAnsi="Arial" w:cs="Arial"/>
          <w:b/>
          <w:bCs/>
          <w:color w:val="000000" w:themeColor="text1"/>
          <w:sz w:val="28"/>
          <w:szCs w:val="28"/>
          <w:lang w:val="en-GB" w:eastAsia="en-GB"/>
        </w:rPr>
        <w:t>Quantitative Research Methods</w:t>
      </w:r>
    </w:p>
    <w:p w:rsidR="00B2129F" w:rsidRPr="005D2DC1" w:rsidRDefault="00B2129F" w:rsidP="00B2129F">
      <w:pPr>
        <w:spacing w:before="100" w:beforeAutospacing="1" w:after="100" w:afterAutospacing="1"/>
        <w:jc w:val="center"/>
        <w:rPr>
          <w:rFonts w:ascii="Arial" w:hAnsi="Arial" w:cs="Arial"/>
          <w:b/>
          <w:bCs/>
          <w:color w:val="000000" w:themeColor="text1"/>
          <w:sz w:val="28"/>
          <w:szCs w:val="28"/>
          <w:lang w:val="en-GB" w:eastAsia="en-GB"/>
        </w:rPr>
      </w:pPr>
      <w:r w:rsidRPr="005D2DC1">
        <w:rPr>
          <w:rFonts w:ascii="Arial" w:hAnsi="Arial" w:cs="Arial"/>
          <w:b/>
          <w:bCs/>
          <w:color w:val="000000" w:themeColor="text1"/>
          <w:sz w:val="28"/>
          <w:szCs w:val="28"/>
          <w:lang w:val="en-GB" w:eastAsia="en-GB"/>
        </w:rPr>
        <w:t>(LCDB701</w:t>
      </w:r>
      <w:r>
        <w:rPr>
          <w:rFonts w:ascii="Arial" w:hAnsi="Arial" w:cs="Arial"/>
          <w:b/>
          <w:bCs/>
          <w:color w:val="000000" w:themeColor="text1"/>
          <w:sz w:val="28"/>
          <w:szCs w:val="28"/>
          <w:lang w:val="en-GB" w:eastAsia="en-GB"/>
        </w:rPr>
        <w:t>1</w:t>
      </w:r>
      <w:r w:rsidRPr="005D2DC1">
        <w:rPr>
          <w:rFonts w:ascii="Arial" w:hAnsi="Arial" w:cs="Arial"/>
          <w:b/>
          <w:bCs/>
          <w:color w:val="000000" w:themeColor="text1"/>
          <w:sz w:val="28"/>
          <w:szCs w:val="28"/>
          <w:lang w:val="en-GB" w:eastAsia="en-GB"/>
        </w:rPr>
        <w:t>_LON)</w:t>
      </w:r>
    </w:p>
    <w:p w:rsidR="00B2129F" w:rsidRPr="00231492" w:rsidRDefault="00B2129F" w:rsidP="00B2129F">
      <w:pPr>
        <w:spacing w:before="100" w:beforeAutospacing="1" w:after="100" w:afterAutospacing="1"/>
        <w:rPr>
          <w:rFonts w:ascii="Arial" w:hAnsi="Arial" w:cs="Arial"/>
          <w:b/>
          <w:bCs/>
          <w:color w:val="000000"/>
          <w:sz w:val="28"/>
          <w:szCs w:val="28"/>
        </w:rPr>
      </w:pPr>
    </w:p>
    <w:p w:rsidR="00B2129F" w:rsidRPr="00781217" w:rsidRDefault="00B2129F" w:rsidP="00B2129F">
      <w:pPr>
        <w:jc w:val="center"/>
        <w:rPr>
          <w:sz w:val="28"/>
          <w:szCs w:val="28"/>
        </w:rPr>
      </w:pPr>
      <w:r w:rsidRPr="00781217">
        <w:rPr>
          <w:b/>
          <w:sz w:val="28"/>
          <w:szCs w:val="28"/>
        </w:rPr>
        <w:t>Perceived Digital Payment Dispute Resolution Quality and Customer Trust: The Roles of Perceived Fairness and Fraud Concern among Young Digital-Payment Users in Nepalese Banks</w:t>
      </w:r>
    </w:p>
    <w:p w:rsidR="00B2129F" w:rsidRPr="005D2DC1" w:rsidRDefault="00B2129F" w:rsidP="00B2129F">
      <w:pPr>
        <w:spacing w:before="100" w:beforeAutospacing="1" w:after="100" w:afterAutospacing="1"/>
        <w:rPr>
          <w:rFonts w:ascii="Arial" w:hAnsi="Arial" w:cs="Arial"/>
          <w:b/>
          <w:bCs/>
          <w:color w:val="000000" w:themeColor="text1"/>
          <w:sz w:val="28"/>
          <w:szCs w:val="28"/>
          <w:lang w:val="en-GB" w:eastAsia="en-GB"/>
        </w:rPr>
      </w:pPr>
    </w:p>
    <w:p w:rsidR="00B2129F" w:rsidRPr="00781217" w:rsidRDefault="00B2129F" w:rsidP="00B2129F">
      <w:pPr>
        <w:spacing w:before="100" w:beforeAutospacing="1" w:after="100" w:afterAutospacing="1"/>
        <w:jc w:val="center"/>
        <w:rPr>
          <w:rFonts w:cs="Arial"/>
          <w:b/>
          <w:bCs/>
          <w:color w:val="000000" w:themeColor="text1"/>
          <w:sz w:val="28"/>
          <w:szCs w:val="28"/>
          <w:lang w:val="en-GB" w:eastAsia="en-GB"/>
        </w:rPr>
      </w:pPr>
      <w:r w:rsidRPr="00781217">
        <w:rPr>
          <w:rFonts w:cs="Arial"/>
          <w:b/>
          <w:bCs/>
          <w:color w:val="000000" w:themeColor="text1"/>
          <w:sz w:val="28"/>
          <w:szCs w:val="28"/>
          <w:lang w:val="en-GB" w:eastAsia="en-GB"/>
        </w:rPr>
        <w:t>DBA Level 7</w:t>
      </w:r>
    </w:p>
    <w:p w:rsidR="00B2129F" w:rsidRPr="00781217" w:rsidRDefault="00B2129F" w:rsidP="00B2129F">
      <w:pPr>
        <w:spacing w:before="100" w:beforeAutospacing="1" w:after="100" w:afterAutospacing="1"/>
        <w:jc w:val="center"/>
        <w:rPr>
          <w:rFonts w:cs="Arial"/>
          <w:b/>
          <w:bCs/>
          <w:color w:val="000000" w:themeColor="text1"/>
          <w:sz w:val="28"/>
          <w:szCs w:val="28"/>
          <w:lang w:val="en-GB" w:eastAsia="en-GB"/>
        </w:rPr>
      </w:pPr>
    </w:p>
    <w:p w:rsidR="00B2129F" w:rsidRPr="00781217" w:rsidRDefault="00B2129F" w:rsidP="00B2129F">
      <w:pPr>
        <w:spacing w:before="100" w:beforeAutospacing="1" w:after="100" w:afterAutospacing="1"/>
        <w:jc w:val="center"/>
        <w:rPr>
          <w:rFonts w:cs="Arial"/>
          <w:b/>
          <w:bCs/>
          <w:color w:val="000000" w:themeColor="text1"/>
          <w:sz w:val="28"/>
          <w:szCs w:val="28"/>
          <w:lang w:val="en-GB" w:eastAsia="en-GB"/>
        </w:rPr>
      </w:pPr>
      <w:r w:rsidRPr="00781217">
        <w:rPr>
          <w:rFonts w:cs="Arial"/>
          <w:b/>
          <w:bCs/>
          <w:color w:val="000000" w:themeColor="text1"/>
          <w:sz w:val="28"/>
          <w:szCs w:val="28"/>
          <w:lang w:val="en-GB" w:eastAsia="en-GB"/>
        </w:rPr>
        <w:t xml:space="preserve">Student Name:  </w:t>
      </w:r>
      <w:proofErr w:type="spellStart"/>
      <w:r w:rsidRPr="00781217">
        <w:rPr>
          <w:rFonts w:cs="Arial"/>
          <w:b/>
          <w:bCs/>
          <w:color w:val="000000" w:themeColor="text1"/>
          <w:sz w:val="28"/>
          <w:szCs w:val="28"/>
          <w:lang w:val="en-GB" w:eastAsia="en-GB"/>
        </w:rPr>
        <w:t>Sobita</w:t>
      </w:r>
      <w:proofErr w:type="spellEnd"/>
      <w:r w:rsidRPr="00781217">
        <w:rPr>
          <w:rFonts w:cs="Arial"/>
          <w:b/>
          <w:bCs/>
          <w:color w:val="000000" w:themeColor="text1"/>
          <w:sz w:val="28"/>
          <w:szCs w:val="28"/>
          <w:lang w:val="en-GB" w:eastAsia="en-GB"/>
        </w:rPr>
        <w:t xml:space="preserve"> Adhikari</w:t>
      </w:r>
    </w:p>
    <w:p w:rsidR="00B2129F" w:rsidRPr="00781217" w:rsidRDefault="00B2129F" w:rsidP="00B2129F">
      <w:pPr>
        <w:spacing w:before="100" w:beforeAutospacing="1" w:after="100" w:afterAutospacing="1"/>
        <w:jc w:val="center"/>
        <w:rPr>
          <w:rFonts w:cs="Arial"/>
          <w:b/>
          <w:bCs/>
          <w:color w:val="000000" w:themeColor="text1"/>
          <w:sz w:val="28"/>
          <w:szCs w:val="28"/>
          <w:lang w:val="en-GB" w:eastAsia="en-GB"/>
        </w:rPr>
      </w:pPr>
      <w:r w:rsidRPr="00781217">
        <w:rPr>
          <w:rFonts w:cs="Arial"/>
          <w:b/>
          <w:bCs/>
          <w:color w:val="000000" w:themeColor="text1"/>
          <w:sz w:val="28"/>
          <w:szCs w:val="28"/>
          <w:lang w:val="en-GB" w:eastAsia="en-GB"/>
        </w:rPr>
        <w:t>Student Number: 2508627</w:t>
      </w:r>
    </w:p>
    <w:p w:rsidR="00B2129F" w:rsidRPr="00781217" w:rsidRDefault="00B2129F" w:rsidP="00B2129F">
      <w:pPr>
        <w:spacing w:before="100" w:beforeAutospacing="1" w:after="100" w:afterAutospacing="1"/>
        <w:jc w:val="center"/>
        <w:rPr>
          <w:rFonts w:cs="Arial"/>
          <w:b/>
          <w:bCs/>
          <w:color w:val="000000" w:themeColor="text1"/>
          <w:sz w:val="28"/>
          <w:szCs w:val="28"/>
          <w:lang w:val="en-GB" w:eastAsia="en-GB"/>
        </w:rPr>
      </w:pPr>
      <w:r w:rsidRPr="00781217">
        <w:rPr>
          <w:rFonts w:cs="Arial"/>
          <w:b/>
          <w:bCs/>
          <w:color w:val="000000" w:themeColor="text1"/>
          <w:sz w:val="28"/>
          <w:szCs w:val="28"/>
          <w:lang w:val="en-GB" w:eastAsia="en-GB"/>
        </w:rPr>
        <w:t xml:space="preserve">Professor Name: </w:t>
      </w:r>
      <w:proofErr w:type="spellStart"/>
      <w:r w:rsidRPr="00781217">
        <w:rPr>
          <w:rFonts w:cs="Arial"/>
          <w:b/>
          <w:bCs/>
          <w:color w:val="000000" w:themeColor="text1"/>
          <w:sz w:val="28"/>
          <w:szCs w:val="28"/>
          <w:lang w:val="en-GB" w:eastAsia="en-GB"/>
        </w:rPr>
        <w:t>Dr.</w:t>
      </w:r>
      <w:proofErr w:type="spellEnd"/>
      <w:r w:rsidRPr="00781217">
        <w:rPr>
          <w:rFonts w:cs="Arial"/>
          <w:b/>
          <w:bCs/>
          <w:color w:val="000000" w:themeColor="text1"/>
          <w:sz w:val="28"/>
          <w:szCs w:val="28"/>
          <w:lang w:val="en-GB" w:eastAsia="en-GB"/>
        </w:rPr>
        <w:t xml:space="preserve"> </w:t>
      </w:r>
      <w:proofErr w:type="spellStart"/>
      <w:r w:rsidRPr="00781217">
        <w:rPr>
          <w:rFonts w:cs="Arial"/>
          <w:b/>
          <w:bCs/>
          <w:color w:val="000000" w:themeColor="text1"/>
          <w:sz w:val="28"/>
          <w:szCs w:val="28"/>
          <w:lang w:val="en-GB" w:eastAsia="en-GB"/>
        </w:rPr>
        <w:t>Akshay</w:t>
      </w:r>
      <w:proofErr w:type="spellEnd"/>
      <w:r w:rsidRPr="00781217">
        <w:rPr>
          <w:rFonts w:cs="Arial"/>
          <w:b/>
          <w:bCs/>
          <w:color w:val="000000" w:themeColor="text1"/>
          <w:sz w:val="28"/>
          <w:szCs w:val="28"/>
          <w:lang w:val="en-GB" w:eastAsia="en-GB"/>
        </w:rPr>
        <w:t xml:space="preserve"> Narayanan</w:t>
      </w:r>
    </w:p>
    <w:p w:rsidR="00B2129F" w:rsidRPr="005D2DC1" w:rsidRDefault="00B2129F" w:rsidP="00B2129F">
      <w:pPr>
        <w:spacing w:before="100" w:beforeAutospacing="1" w:after="100" w:afterAutospacing="1"/>
        <w:jc w:val="center"/>
        <w:rPr>
          <w:rFonts w:ascii="Arial" w:hAnsi="Arial" w:cs="Arial"/>
          <w:b/>
          <w:bCs/>
          <w:color w:val="000000" w:themeColor="text1"/>
          <w:sz w:val="28"/>
          <w:szCs w:val="28"/>
          <w:lang w:val="en-GB" w:eastAsia="en-GB"/>
        </w:rPr>
      </w:pPr>
    </w:p>
    <w:p w:rsidR="00B2129F" w:rsidRPr="005D2DC1" w:rsidRDefault="00B2129F" w:rsidP="00B2129F">
      <w:pPr>
        <w:spacing w:before="100" w:beforeAutospacing="1" w:after="100" w:afterAutospacing="1"/>
        <w:jc w:val="center"/>
        <w:rPr>
          <w:rFonts w:ascii="Arial" w:hAnsi="Arial" w:cs="Arial"/>
          <w:b/>
          <w:bCs/>
          <w:color w:val="000000" w:themeColor="text1"/>
          <w:sz w:val="28"/>
          <w:szCs w:val="28"/>
          <w:lang w:val="en-GB" w:eastAsia="en-GB"/>
        </w:rPr>
      </w:pPr>
    </w:p>
    <w:p w:rsidR="00B2129F" w:rsidRPr="005D2DC1" w:rsidRDefault="00B2129F" w:rsidP="00B2129F">
      <w:pPr>
        <w:spacing w:before="100" w:beforeAutospacing="1" w:after="100" w:afterAutospacing="1"/>
        <w:jc w:val="center"/>
        <w:rPr>
          <w:rFonts w:ascii="Arial" w:hAnsi="Arial" w:cs="Arial"/>
          <w:color w:val="C00000"/>
          <w:sz w:val="28"/>
          <w:szCs w:val="28"/>
          <w:lang w:val="en-GB" w:eastAsia="en-GB"/>
        </w:rPr>
      </w:pPr>
    </w:p>
    <w:p w:rsidR="00B2129F" w:rsidRPr="005D2DC1" w:rsidRDefault="00B2129F" w:rsidP="00B2129F">
      <w:pPr>
        <w:spacing w:before="100" w:beforeAutospacing="1" w:after="100" w:afterAutospacing="1"/>
        <w:jc w:val="center"/>
        <w:rPr>
          <w:rFonts w:ascii="Arial" w:hAnsi="Arial" w:cs="Arial"/>
          <w:b/>
          <w:bCs/>
          <w:color w:val="000000" w:themeColor="text1"/>
          <w:sz w:val="28"/>
          <w:szCs w:val="28"/>
          <w:lang w:val="en-GB" w:eastAsia="en-GB"/>
        </w:rPr>
      </w:pPr>
      <w:r w:rsidRPr="005D2DC1">
        <w:rPr>
          <w:rFonts w:ascii="Arial" w:hAnsi="Arial" w:cs="Arial"/>
          <w:b/>
          <w:bCs/>
          <w:color w:val="000000" w:themeColor="text1"/>
          <w:sz w:val="28"/>
          <w:szCs w:val="28"/>
          <w:lang w:val="en-GB" w:eastAsia="en-GB"/>
        </w:rPr>
        <w:t>2026</w:t>
      </w:r>
    </w:p>
    <w:sdt>
      <w:sdtPr>
        <w:rPr>
          <w:rFonts w:ascii="Aptos" w:eastAsiaTheme="minorEastAsia" w:hAnsi="Aptos" w:cstheme="minorBidi"/>
          <w:color w:val="auto"/>
          <w:sz w:val="28"/>
        </w:rPr>
        <w:id w:val="-1308169908"/>
        <w:docPartObj>
          <w:docPartGallery w:val="Table of Contents"/>
          <w:docPartUnique/>
        </w:docPartObj>
      </w:sdtPr>
      <w:sdtEndPr>
        <w:rPr>
          <w:b w:val="0"/>
          <w:bCs w:val="0"/>
          <w:noProof/>
          <w:sz w:val="22"/>
          <w:szCs w:val="22"/>
        </w:rPr>
      </w:sdtEndPr>
      <w:sdtContent>
        <w:p w:rsidR="00B2129F" w:rsidRPr="00781217" w:rsidRDefault="00B2129F" w:rsidP="00781217">
          <w:pPr>
            <w:pStyle w:val="TOCHeading"/>
            <w:jc w:val="center"/>
            <w:rPr>
              <w:rFonts w:ascii="Aptos" w:hAnsi="Aptos"/>
              <w:sz w:val="28"/>
            </w:rPr>
          </w:pPr>
          <w:r w:rsidRPr="00781217">
            <w:rPr>
              <w:rFonts w:ascii="Aptos" w:hAnsi="Aptos"/>
              <w:sz w:val="28"/>
            </w:rPr>
            <w:t>Table of Contents</w:t>
          </w:r>
        </w:p>
        <w:p w:rsidR="00E270ED" w:rsidRDefault="00B2129F">
          <w:pPr>
            <w:pStyle w:val="TOC1"/>
            <w:tabs>
              <w:tab w:val="right" w:leader="dot" w:pos="9638"/>
            </w:tabs>
            <w:rPr>
              <w:b w:val="0"/>
              <w:bCs w:val="0"/>
              <w:caps w:val="0"/>
              <w:noProof/>
              <w:kern w:val="2"/>
              <w:sz w:val="24"/>
              <w:szCs w:val="24"/>
              <w14:ligatures w14:val="standardContextual"/>
            </w:rPr>
          </w:pPr>
          <w:r w:rsidRPr="00781217">
            <w:rPr>
              <w:rFonts w:ascii="Aptos" w:hAnsi="Aptos"/>
              <w:b w:val="0"/>
              <w:bCs w:val="0"/>
              <w:sz w:val="24"/>
              <w:szCs w:val="24"/>
            </w:rPr>
            <w:fldChar w:fldCharType="begin"/>
          </w:r>
          <w:r w:rsidRPr="00781217">
            <w:rPr>
              <w:rFonts w:ascii="Aptos" w:hAnsi="Aptos"/>
              <w:sz w:val="24"/>
              <w:szCs w:val="24"/>
            </w:rPr>
            <w:instrText xml:space="preserve"> TOC \o "1-3" \h \z \u </w:instrText>
          </w:r>
          <w:r w:rsidRPr="00781217">
            <w:rPr>
              <w:rFonts w:ascii="Aptos" w:hAnsi="Aptos"/>
              <w:b w:val="0"/>
              <w:bCs w:val="0"/>
              <w:sz w:val="24"/>
              <w:szCs w:val="24"/>
            </w:rPr>
            <w:fldChar w:fldCharType="separate"/>
          </w:r>
          <w:hyperlink w:anchor="_Toc238592618" w:history="1">
            <w:r w:rsidR="00E270ED" w:rsidRPr="000A17DB">
              <w:rPr>
                <w:rStyle w:val="Hyperlink"/>
                <w:noProof/>
              </w:rPr>
              <w:t>Abstract</w:t>
            </w:r>
            <w:r w:rsidR="00E270ED">
              <w:rPr>
                <w:noProof/>
                <w:webHidden/>
              </w:rPr>
              <w:tab/>
            </w:r>
            <w:r w:rsidR="00E270ED">
              <w:rPr>
                <w:noProof/>
                <w:webHidden/>
              </w:rPr>
              <w:fldChar w:fldCharType="begin"/>
            </w:r>
            <w:r w:rsidR="00E270ED">
              <w:rPr>
                <w:noProof/>
                <w:webHidden/>
              </w:rPr>
              <w:instrText xml:space="preserve"> PAGEREF _Toc238592618 \h </w:instrText>
            </w:r>
            <w:r w:rsidR="00E270ED">
              <w:rPr>
                <w:noProof/>
                <w:webHidden/>
              </w:rPr>
            </w:r>
            <w:r w:rsidR="00E270ED">
              <w:rPr>
                <w:noProof/>
                <w:webHidden/>
              </w:rPr>
              <w:fldChar w:fldCharType="separate"/>
            </w:r>
            <w:r w:rsidR="00E270ED">
              <w:rPr>
                <w:noProof/>
                <w:webHidden/>
              </w:rPr>
              <w:t>iv</w:t>
            </w:r>
            <w:r w:rsidR="00E270ED">
              <w:rPr>
                <w:noProof/>
                <w:webHidden/>
              </w:rPr>
              <w:fldChar w:fldCharType="end"/>
            </w:r>
          </w:hyperlink>
        </w:p>
        <w:p w:rsidR="00E270ED" w:rsidRDefault="00E270ED">
          <w:pPr>
            <w:pStyle w:val="TOC1"/>
            <w:tabs>
              <w:tab w:val="right" w:leader="dot" w:pos="9638"/>
            </w:tabs>
            <w:rPr>
              <w:b w:val="0"/>
              <w:bCs w:val="0"/>
              <w:caps w:val="0"/>
              <w:noProof/>
              <w:kern w:val="2"/>
              <w:sz w:val="24"/>
              <w:szCs w:val="24"/>
              <w14:ligatures w14:val="standardContextual"/>
            </w:rPr>
          </w:pPr>
          <w:hyperlink w:anchor="_Toc238592619" w:history="1">
            <w:r w:rsidRPr="000A17DB">
              <w:rPr>
                <w:rStyle w:val="Hyperlink"/>
                <w:noProof/>
              </w:rPr>
              <w:t>1. Introduction</w:t>
            </w:r>
            <w:r>
              <w:rPr>
                <w:noProof/>
                <w:webHidden/>
              </w:rPr>
              <w:tab/>
            </w:r>
            <w:r>
              <w:rPr>
                <w:noProof/>
                <w:webHidden/>
              </w:rPr>
              <w:fldChar w:fldCharType="begin"/>
            </w:r>
            <w:r>
              <w:rPr>
                <w:noProof/>
                <w:webHidden/>
              </w:rPr>
              <w:instrText xml:space="preserve"> PAGEREF _Toc238592619 \h </w:instrText>
            </w:r>
            <w:r>
              <w:rPr>
                <w:noProof/>
                <w:webHidden/>
              </w:rPr>
            </w:r>
            <w:r>
              <w:rPr>
                <w:noProof/>
                <w:webHidden/>
              </w:rPr>
              <w:fldChar w:fldCharType="separate"/>
            </w:r>
            <w:r>
              <w:rPr>
                <w:noProof/>
                <w:webHidden/>
              </w:rPr>
              <w:t>1</w:t>
            </w:r>
            <w:r>
              <w:rPr>
                <w:noProof/>
                <w:webHidden/>
              </w:rPr>
              <w:fldChar w:fldCharType="end"/>
            </w:r>
          </w:hyperlink>
        </w:p>
        <w:p w:rsidR="00E270ED" w:rsidRDefault="00E270ED">
          <w:pPr>
            <w:pStyle w:val="TOC1"/>
            <w:tabs>
              <w:tab w:val="right" w:leader="dot" w:pos="9638"/>
            </w:tabs>
            <w:rPr>
              <w:b w:val="0"/>
              <w:bCs w:val="0"/>
              <w:caps w:val="0"/>
              <w:noProof/>
              <w:kern w:val="2"/>
              <w:sz w:val="24"/>
              <w:szCs w:val="24"/>
              <w14:ligatures w14:val="standardContextual"/>
            </w:rPr>
          </w:pPr>
          <w:hyperlink w:anchor="_Toc238592620" w:history="1">
            <w:r w:rsidRPr="000A17DB">
              <w:rPr>
                <w:rStyle w:val="Hyperlink"/>
                <w:noProof/>
              </w:rPr>
              <w:t>2. Critical Literature Review and Hypothesis Development</w:t>
            </w:r>
            <w:r>
              <w:rPr>
                <w:noProof/>
                <w:webHidden/>
              </w:rPr>
              <w:tab/>
            </w:r>
            <w:r>
              <w:rPr>
                <w:noProof/>
                <w:webHidden/>
              </w:rPr>
              <w:fldChar w:fldCharType="begin"/>
            </w:r>
            <w:r>
              <w:rPr>
                <w:noProof/>
                <w:webHidden/>
              </w:rPr>
              <w:instrText xml:space="preserve"> PAGEREF _Toc238592620 \h </w:instrText>
            </w:r>
            <w:r>
              <w:rPr>
                <w:noProof/>
                <w:webHidden/>
              </w:rPr>
            </w:r>
            <w:r>
              <w:rPr>
                <w:noProof/>
                <w:webHidden/>
              </w:rPr>
              <w:fldChar w:fldCharType="separate"/>
            </w:r>
            <w:r>
              <w:rPr>
                <w:noProof/>
                <w:webHidden/>
              </w:rPr>
              <w:t>3</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21" w:history="1">
            <w:r w:rsidRPr="000A17DB">
              <w:rPr>
                <w:rStyle w:val="Hyperlink"/>
                <w:noProof/>
              </w:rPr>
              <w:t>2.1 Service Recovery, PDRQ and Perceived Fairness</w:t>
            </w:r>
            <w:r>
              <w:rPr>
                <w:noProof/>
                <w:webHidden/>
              </w:rPr>
              <w:tab/>
            </w:r>
            <w:r>
              <w:rPr>
                <w:noProof/>
                <w:webHidden/>
              </w:rPr>
              <w:fldChar w:fldCharType="begin"/>
            </w:r>
            <w:r>
              <w:rPr>
                <w:noProof/>
                <w:webHidden/>
              </w:rPr>
              <w:instrText xml:space="preserve"> PAGEREF _Toc238592621 \h </w:instrText>
            </w:r>
            <w:r>
              <w:rPr>
                <w:noProof/>
                <w:webHidden/>
              </w:rPr>
            </w:r>
            <w:r>
              <w:rPr>
                <w:noProof/>
                <w:webHidden/>
              </w:rPr>
              <w:fldChar w:fldCharType="separate"/>
            </w:r>
            <w:r>
              <w:rPr>
                <w:noProof/>
                <w:webHidden/>
              </w:rPr>
              <w:t>3</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22" w:history="1">
            <w:r w:rsidRPr="000A17DB">
              <w:rPr>
                <w:rStyle w:val="Hyperlink"/>
                <w:noProof/>
              </w:rPr>
              <w:t>2.2 Perceived Fairness and Customer Trust</w:t>
            </w:r>
            <w:r>
              <w:rPr>
                <w:noProof/>
                <w:webHidden/>
              </w:rPr>
              <w:tab/>
            </w:r>
            <w:r>
              <w:rPr>
                <w:noProof/>
                <w:webHidden/>
              </w:rPr>
              <w:fldChar w:fldCharType="begin"/>
            </w:r>
            <w:r>
              <w:rPr>
                <w:noProof/>
                <w:webHidden/>
              </w:rPr>
              <w:instrText xml:space="preserve"> PAGEREF _Toc238592622 \h </w:instrText>
            </w:r>
            <w:r>
              <w:rPr>
                <w:noProof/>
                <w:webHidden/>
              </w:rPr>
            </w:r>
            <w:r>
              <w:rPr>
                <w:noProof/>
                <w:webHidden/>
              </w:rPr>
              <w:fldChar w:fldCharType="separate"/>
            </w:r>
            <w:r>
              <w:rPr>
                <w:noProof/>
                <w:webHidden/>
              </w:rPr>
              <w:t>3</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23" w:history="1">
            <w:r w:rsidRPr="000A17DB">
              <w:rPr>
                <w:rStyle w:val="Hyperlink"/>
                <w:noProof/>
              </w:rPr>
              <w:t>2.3 Direct PDRQ–Customer Trust Relationship</w:t>
            </w:r>
            <w:r>
              <w:rPr>
                <w:noProof/>
                <w:webHidden/>
              </w:rPr>
              <w:tab/>
            </w:r>
            <w:r>
              <w:rPr>
                <w:noProof/>
                <w:webHidden/>
              </w:rPr>
              <w:fldChar w:fldCharType="begin"/>
            </w:r>
            <w:r>
              <w:rPr>
                <w:noProof/>
                <w:webHidden/>
              </w:rPr>
              <w:instrText xml:space="preserve"> PAGEREF _Toc238592623 \h </w:instrText>
            </w:r>
            <w:r>
              <w:rPr>
                <w:noProof/>
                <w:webHidden/>
              </w:rPr>
            </w:r>
            <w:r>
              <w:rPr>
                <w:noProof/>
                <w:webHidden/>
              </w:rPr>
              <w:fldChar w:fldCharType="separate"/>
            </w:r>
            <w:r>
              <w:rPr>
                <w:noProof/>
                <w:webHidden/>
              </w:rPr>
              <w:t>4</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24" w:history="1">
            <w:r w:rsidRPr="000A17DB">
              <w:rPr>
                <w:rStyle w:val="Hyperlink"/>
                <w:noProof/>
              </w:rPr>
              <w:t>2.4 Perceived Fairness as a Mediating Mechanism</w:t>
            </w:r>
            <w:r>
              <w:rPr>
                <w:noProof/>
                <w:webHidden/>
              </w:rPr>
              <w:tab/>
            </w:r>
            <w:r>
              <w:rPr>
                <w:noProof/>
                <w:webHidden/>
              </w:rPr>
              <w:fldChar w:fldCharType="begin"/>
            </w:r>
            <w:r>
              <w:rPr>
                <w:noProof/>
                <w:webHidden/>
              </w:rPr>
              <w:instrText xml:space="preserve"> PAGEREF _Toc238592624 \h </w:instrText>
            </w:r>
            <w:r>
              <w:rPr>
                <w:noProof/>
                <w:webHidden/>
              </w:rPr>
            </w:r>
            <w:r>
              <w:rPr>
                <w:noProof/>
                <w:webHidden/>
              </w:rPr>
              <w:fldChar w:fldCharType="separate"/>
            </w:r>
            <w:r>
              <w:rPr>
                <w:noProof/>
                <w:webHidden/>
              </w:rPr>
              <w:t>4</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25" w:history="1">
            <w:r w:rsidRPr="000A17DB">
              <w:rPr>
                <w:rStyle w:val="Hyperlink"/>
                <w:noProof/>
              </w:rPr>
              <w:t>2.5 Fraud Concern as a Boundary Condition</w:t>
            </w:r>
            <w:r>
              <w:rPr>
                <w:noProof/>
                <w:webHidden/>
              </w:rPr>
              <w:tab/>
            </w:r>
            <w:r>
              <w:rPr>
                <w:noProof/>
                <w:webHidden/>
              </w:rPr>
              <w:fldChar w:fldCharType="begin"/>
            </w:r>
            <w:r>
              <w:rPr>
                <w:noProof/>
                <w:webHidden/>
              </w:rPr>
              <w:instrText xml:space="preserve"> PAGEREF _Toc238592625 \h </w:instrText>
            </w:r>
            <w:r>
              <w:rPr>
                <w:noProof/>
                <w:webHidden/>
              </w:rPr>
            </w:r>
            <w:r>
              <w:rPr>
                <w:noProof/>
                <w:webHidden/>
              </w:rPr>
              <w:fldChar w:fldCharType="separate"/>
            </w:r>
            <w:r>
              <w:rPr>
                <w:noProof/>
                <w:webHidden/>
              </w:rPr>
              <w:t>4</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26" w:history="1">
            <w:r w:rsidRPr="000A17DB">
              <w:rPr>
                <w:rStyle w:val="Hyperlink"/>
                <w:noProof/>
              </w:rPr>
              <w:t>2.6 Integrated Conditional Process</w:t>
            </w:r>
            <w:r>
              <w:rPr>
                <w:noProof/>
                <w:webHidden/>
              </w:rPr>
              <w:tab/>
            </w:r>
            <w:r>
              <w:rPr>
                <w:noProof/>
                <w:webHidden/>
              </w:rPr>
              <w:fldChar w:fldCharType="begin"/>
            </w:r>
            <w:r>
              <w:rPr>
                <w:noProof/>
                <w:webHidden/>
              </w:rPr>
              <w:instrText xml:space="preserve"> PAGEREF _Toc238592626 \h </w:instrText>
            </w:r>
            <w:r>
              <w:rPr>
                <w:noProof/>
                <w:webHidden/>
              </w:rPr>
            </w:r>
            <w:r>
              <w:rPr>
                <w:noProof/>
                <w:webHidden/>
              </w:rPr>
              <w:fldChar w:fldCharType="separate"/>
            </w:r>
            <w:r>
              <w:rPr>
                <w:noProof/>
                <w:webHidden/>
              </w:rPr>
              <w:t>5</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27" w:history="1">
            <w:r w:rsidRPr="000A17DB">
              <w:rPr>
                <w:rStyle w:val="Hyperlink"/>
                <w:noProof/>
              </w:rPr>
              <w:t>2.7 Critical Synthesis and Expected Contribution</w:t>
            </w:r>
            <w:r>
              <w:rPr>
                <w:noProof/>
                <w:webHidden/>
              </w:rPr>
              <w:tab/>
            </w:r>
            <w:r>
              <w:rPr>
                <w:noProof/>
                <w:webHidden/>
              </w:rPr>
              <w:fldChar w:fldCharType="begin"/>
            </w:r>
            <w:r>
              <w:rPr>
                <w:noProof/>
                <w:webHidden/>
              </w:rPr>
              <w:instrText xml:space="preserve"> PAGEREF _Toc238592627 \h </w:instrText>
            </w:r>
            <w:r>
              <w:rPr>
                <w:noProof/>
                <w:webHidden/>
              </w:rPr>
            </w:r>
            <w:r>
              <w:rPr>
                <w:noProof/>
                <w:webHidden/>
              </w:rPr>
              <w:fldChar w:fldCharType="separate"/>
            </w:r>
            <w:r>
              <w:rPr>
                <w:noProof/>
                <w:webHidden/>
              </w:rPr>
              <w:t>5</w:t>
            </w:r>
            <w:r>
              <w:rPr>
                <w:noProof/>
                <w:webHidden/>
              </w:rPr>
              <w:fldChar w:fldCharType="end"/>
            </w:r>
          </w:hyperlink>
        </w:p>
        <w:p w:rsidR="00E270ED" w:rsidRDefault="00E270ED">
          <w:pPr>
            <w:pStyle w:val="TOC1"/>
            <w:tabs>
              <w:tab w:val="right" w:leader="dot" w:pos="9638"/>
            </w:tabs>
            <w:rPr>
              <w:b w:val="0"/>
              <w:bCs w:val="0"/>
              <w:caps w:val="0"/>
              <w:noProof/>
              <w:kern w:val="2"/>
              <w:sz w:val="24"/>
              <w:szCs w:val="24"/>
              <w14:ligatures w14:val="standardContextual"/>
            </w:rPr>
          </w:pPr>
          <w:hyperlink w:anchor="_Toc238592628" w:history="1">
            <w:r w:rsidRPr="000A17DB">
              <w:rPr>
                <w:rStyle w:val="Hyperlink"/>
                <w:noProof/>
              </w:rPr>
              <w:t>3. Research Methodology and Data Analysis</w:t>
            </w:r>
            <w:r>
              <w:rPr>
                <w:noProof/>
                <w:webHidden/>
              </w:rPr>
              <w:tab/>
            </w:r>
            <w:r>
              <w:rPr>
                <w:noProof/>
                <w:webHidden/>
              </w:rPr>
              <w:fldChar w:fldCharType="begin"/>
            </w:r>
            <w:r>
              <w:rPr>
                <w:noProof/>
                <w:webHidden/>
              </w:rPr>
              <w:instrText xml:space="preserve"> PAGEREF _Toc238592628 \h </w:instrText>
            </w:r>
            <w:r>
              <w:rPr>
                <w:noProof/>
                <w:webHidden/>
              </w:rPr>
            </w:r>
            <w:r>
              <w:rPr>
                <w:noProof/>
                <w:webHidden/>
              </w:rPr>
              <w:fldChar w:fldCharType="separate"/>
            </w:r>
            <w:r>
              <w:rPr>
                <w:noProof/>
                <w:webHidden/>
              </w:rPr>
              <w:t>6</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29" w:history="1">
            <w:r w:rsidRPr="000A17DB">
              <w:rPr>
                <w:rStyle w:val="Hyperlink"/>
                <w:noProof/>
              </w:rPr>
              <w:t>3.1 Research Philosophy and Approach</w:t>
            </w:r>
            <w:r>
              <w:rPr>
                <w:noProof/>
                <w:webHidden/>
              </w:rPr>
              <w:tab/>
            </w:r>
            <w:r>
              <w:rPr>
                <w:noProof/>
                <w:webHidden/>
              </w:rPr>
              <w:fldChar w:fldCharType="begin"/>
            </w:r>
            <w:r>
              <w:rPr>
                <w:noProof/>
                <w:webHidden/>
              </w:rPr>
              <w:instrText xml:space="preserve"> PAGEREF _Toc238592629 \h </w:instrText>
            </w:r>
            <w:r>
              <w:rPr>
                <w:noProof/>
                <w:webHidden/>
              </w:rPr>
            </w:r>
            <w:r>
              <w:rPr>
                <w:noProof/>
                <w:webHidden/>
              </w:rPr>
              <w:fldChar w:fldCharType="separate"/>
            </w:r>
            <w:r>
              <w:rPr>
                <w:noProof/>
                <w:webHidden/>
              </w:rPr>
              <w:t>6</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30" w:history="1">
            <w:r w:rsidRPr="000A17DB">
              <w:rPr>
                <w:rStyle w:val="Hyperlink"/>
                <w:noProof/>
              </w:rPr>
              <w:t>3.2 Research Design, Data Collection and Sample</w:t>
            </w:r>
            <w:r>
              <w:rPr>
                <w:noProof/>
                <w:webHidden/>
              </w:rPr>
              <w:tab/>
            </w:r>
            <w:r>
              <w:rPr>
                <w:noProof/>
                <w:webHidden/>
              </w:rPr>
              <w:fldChar w:fldCharType="begin"/>
            </w:r>
            <w:r>
              <w:rPr>
                <w:noProof/>
                <w:webHidden/>
              </w:rPr>
              <w:instrText xml:space="preserve"> PAGEREF _Toc238592630 \h </w:instrText>
            </w:r>
            <w:r>
              <w:rPr>
                <w:noProof/>
                <w:webHidden/>
              </w:rPr>
            </w:r>
            <w:r>
              <w:rPr>
                <w:noProof/>
                <w:webHidden/>
              </w:rPr>
              <w:fldChar w:fldCharType="separate"/>
            </w:r>
            <w:r>
              <w:rPr>
                <w:noProof/>
                <w:webHidden/>
              </w:rPr>
              <w:t>7</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31" w:history="1">
            <w:r w:rsidRPr="000A17DB">
              <w:rPr>
                <w:rStyle w:val="Hyperlink"/>
                <w:noProof/>
              </w:rPr>
              <w:t>3.3 Screening, Reliability and Exploratory Factor Analysis</w:t>
            </w:r>
            <w:r>
              <w:rPr>
                <w:noProof/>
                <w:webHidden/>
              </w:rPr>
              <w:tab/>
            </w:r>
            <w:r>
              <w:rPr>
                <w:noProof/>
                <w:webHidden/>
              </w:rPr>
              <w:fldChar w:fldCharType="begin"/>
            </w:r>
            <w:r>
              <w:rPr>
                <w:noProof/>
                <w:webHidden/>
              </w:rPr>
              <w:instrText xml:space="preserve"> PAGEREF _Toc238592631 \h </w:instrText>
            </w:r>
            <w:r>
              <w:rPr>
                <w:noProof/>
                <w:webHidden/>
              </w:rPr>
            </w:r>
            <w:r>
              <w:rPr>
                <w:noProof/>
                <w:webHidden/>
              </w:rPr>
              <w:fldChar w:fldCharType="separate"/>
            </w:r>
            <w:r>
              <w:rPr>
                <w:noProof/>
                <w:webHidden/>
              </w:rPr>
              <w:t>8</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32" w:history="1">
            <w:r w:rsidRPr="000A17DB">
              <w:rPr>
                <w:rStyle w:val="Hyperlink"/>
                <w:noProof/>
              </w:rPr>
              <w:t>3.4 Preliminary Analysis and Regression Diagnostics</w:t>
            </w:r>
            <w:r>
              <w:rPr>
                <w:noProof/>
                <w:webHidden/>
              </w:rPr>
              <w:tab/>
            </w:r>
            <w:r>
              <w:rPr>
                <w:noProof/>
                <w:webHidden/>
              </w:rPr>
              <w:fldChar w:fldCharType="begin"/>
            </w:r>
            <w:r>
              <w:rPr>
                <w:noProof/>
                <w:webHidden/>
              </w:rPr>
              <w:instrText xml:space="preserve"> PAGEREF _Toc238592632 \h </w:instrText>
            </w:r>
            <w:r>
              <w:rPr>
                <w:noProof/>
                <w:webHidden/>
              </w:rPr>
            </w:r>
            <w:r>
              <w:rPr>
                <w:noProof/>
                <w:webHidden/>
              </w:rPr>
              <w:fldChar w:fldCharType="separate"/>
            </w:r>
            <w:r>
              <w:rPr>
                <w:noProof/>
                <w:webHidden/>
              </w:rPr>
              <w:t>8</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33" w:history="1">
            <w:r w:rsidRPr="000A17DB">
              <w:rPr>
                <w:rStyle w:val="Hyperlink"/>
                <w:noProof/>
              </w:rPr>
              <w:t>3.5 Ethical Considerations and Data Handling</w:t>
            </w:r>
            <w:r>
              <w:rPr>
                <w:noProof/>
                <w:webHidden/>
              </w:rPr>
              <w:tab/>
            </w:r>
            <w:r>
              <w:rPr>
                <w:noProof/>
                <w:webHidden/>
              </w:rPr>
              <w:fldChar w:fldCharType="begin"/>
            </w:r>
            <w:r>
              <w:rPr>
                <w:noProof/>
                <w:webHidden/>
              </w:rPr>
              <w:instrText xml:space="preserve"> PAGEREF _Toc238592633 \h </w:instrText>
            </w:r>
            <w:r>
              <w:rPr>
                <w:noProof/>
                <w:webHidden/>
              </w:rPr>
            </w:r>
            <w:r>
              <w:rPr>
                <w:noProof/>
                <w:webHidden/>
              </w:rPr>
              <w:fldChar w:fldCharType="separate"/>
            </w:r>
            <w:r>
              <w:rPr>
                <w:noProof/>
                <w:webHidden/>
              </w:rPr>
              <w:t>9</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34" w:history="1">
            <w:r w:rsidRPr="000A17DB">
              <w:rPr>
                <w:rStyle w:val="Hyperlink"/>
                <w:noProof/>
              </w:rPr>
              <w:t>3.6 Hypothesis Testing</w:t>
            </w:r>
            <w:r>
              <w:rPr>
                <w:noProof/>
                <w:webHidden/>
              </w:rPr>
              <w:tab/>
            </w:r>
            <w:r>
              <w:rPr>
                <w:noProof/>
                <w:webHidden/>
              </w:rPr>
              <w:fldChar w:fldCharType="begin"/>
            </w:r>
            <w:r>
              <w:rPr>
                <w:noProof/>
                <w:webHidden/>
              </w:rPr>
              <w:instrText xml:space="preserve"> PAGEREF _Toc238592634 \h </w:instrText>
            </w:r>
            <w:r>
              <w:rPr>
                <w:noProof/>
                <w:webHidden/>
              </w:rPr>
            </w:r>
            <w:r>
              <w:rPr>
                <w:noProof/>
                <w:webHidden/>
              </w:rPr>
              <w:fldChar w:fldCharType="separate"/>
            </w:r>
            <w:r>
              <w:rPr>
                <w:noProof/>
                <w:webHidden/>
              </w:rPr>
              <w:t>9</w:t>
            </w:r>
            <w:r>
              <w:rPr>
                <w:noProof/>
                <w:webHidden/>
              </w:rPr>
              <w:fldChar w:fldCharType="end"/>
            </w:r>
          </w:hyperlink>
        </w:p>
        <w:p w:rsidR="00E270ED" w:rsidRDefault="00E270ED">
          <w:pPr>
            <w:pStyle w:val="TOC1"/>
            <w:tabs>
              <w:tab w:val="right" w:leader="dot" w:pos="9638"/>
            </w:tabs>
            <w:rPr>
              <w:b w:val="0"/>
              <w:bCs w:val="0"/>
              <w:caps w:val="0"/>
              <w:noProof/>
              <w:kern w:val="2"/>
              <w:sz w:val="24"/>
              <w:szCs w:val="24"/>
              <w14:ligatures w14:val="standardContextual"/>
            </w:rPr>
          </w:pPr>
          <w:hyperlink w:anchor="_Toc238592635" w:history="1">
            <w:r w:rsidRPr="000A17DB">
              <w:rPr>
                <w:rStyle w:val="Hyperlink"/>
                <w:noProof/>
              </w:rPr>
              <w:t>4. Results and Quantitative Analysis</w:t>
            </w:r>
            <w:r>
              <w:rPr>
                <w:noProof/>
                <w:webHidden/>
              </w:rPr>
              <w:tab/>
            </w:r>
            <w:r>
              <w:rPr>
                <w:noProof/>
                <w:webHidden/>
              </w:rPr>
              <w:fldChar w:fldCharType="begin"/>
            </w:r>
            <w:r>
              <w:rPr>
                <w:noProof/>
                <w:webHidden/>
              </w:rPr>
              <w:instrText xml:space="preserve"> PAGEREF _Toc238592635 \h </w:instrText>
            </w:r>
            <w:r>
              <w:rPr>
                <w:noProof/>
                <w:webHidden/>
              </w:rPr>
            </w:r>
            <w:r>
              <w:rPr>
                <w:noProof/>
                <w:webHidden/>
              </w:rPr>
              <w:fldChar w:fldCharType="separate"/>
            </w:r>
            <w:r>
              <w:rPr>
                <w:noProof/>
                <w:webHidden/>
              </w:rPr>
              <w:t>9</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36" w:history="1">
            <w:r w:rsidRPr="000A17DB">
              <w:rPr>
                <w:rStyle w:val="Hyperlink"/>
                <w:noProof/>
              </w:rPr>
              <w:t>4.1 Data Screening and Sample Profile</w:t>
            </w:r>
            <w:r>
              <w:rPr>
                <w:noProof/>
                <w:webHidden/>
              </w:rPr>
              <w:tab/>
            </w:r>
            <w:r>
              <w:rPr>
                <w:noProof/>
                <w:webHidden/>
              </w:rPr>
              <w:fldChar w:fldCharType="begin"/>
            </w:r>
            <w:r>
              <w:rPr>
                <w:noProof/>
                <w:webHidden/>
              </w:rPr>
              <w:instrText xml:space="preserve"> PAGEREF _Toc238592636 \h </w:instrText>
            </w:r>
            <w:r>
              <w:rPr>
                <w:noProof/>
                <w:webHidden/>
              </w:rPr>
            </w:r>
            <w:r>
              <w:rPr>
                <w:noProof/>
                <w:webHidden/>
              </w:rPr>
              <w:fldChar w:fldCharType="separate"/>
            </w:r>
            <w:r>
              <w:rPr>
                <w:noProof/>
                <w:webHidden/>
              </w:rPr>
              <w:t>9</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37" w:history="1">
            <w:r w:rsidRPr="000A17DB">
              <w:rPr>
                <w:rStyle w:val="Hyperlink"/>
                <w:rFonts w:ascii="Arial" w:hAnsi="Arial" w:cs="Arial"/>
                <w:noProof/>
              </w:rPr>
              <w:t>Table 1. Data screening and final analytical sample</w:t>
            </w:r>
            <w:r>
              <w:rPr>
                <w:noProof/>
                <w:webHidden/>
              </w:rPr>
              <w:tab/>
            </w:r>
            <w:r>
              <w:rPr>
                <w:noProof/>
                <w:webHidden/>
              </w:rPr>
              <w:fldChar w:fldCharType="begin"/>
            </w:r>
            <w:r>
              <w:rPr>
                <w:noProof/>
                <w:webHidden/>
              </w:rPr>
              <w:instrText xml:space="preserve"> PAGEREF _Toc238592637 \h </w:instrText>
            </w:r>
            <w:r>
              <w:rPr>
                <w:noProof/>
                <w:webHidden/>
              </w:rPr>
            </w:r>
            <w:r>
              <w:rPr>
                <w:noProof/>
                <w:webHidden/>
              </w:rPr>
              <w:fldChar w:fldCharType="separate"/>
            </w:r>
            <w:r>
              <w:rPr>
                <w:noProof/>
                <w:webHidden/>
              </w:rPr>
              <w:t>10</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38" w:history="1">
            <w:r w:rsidRPr="000A17DB">
              <w:rPr>
                <w:rStyle w:val="Hyperlink"/>
                <w:noProof/>
              </w:rPr>
              <w:t>4.2 Descriptive Statistics and Distributional Assessment</w:t>
            </w:r>
            <w:r>
              <w:rPr>
                <w:noProof/>
                <w:webHidden/>
              </w:rPr>
              <w:tab/>
            </w:r>
            <w:r>
              <w:rPr>
                <w:noProof/>
                <w:webHidden/>
              </w:rPr>
              <w:fldChar w:fldCharType="begin"/>
            </w:r>
            <w:r>
              <w:rPr>
                <w:noProof/>
                <w:webHidden/>
              </w:rPr>
              <w:instrText xml:space="preserve"> PAGEREF _Toc238592638 \h </w:instrText>
            </w:r>
            <w:r>
              <w:rPr>
                <w:noProof/>
                <w:webHidden/>
              </w:rPr>
            </w:r>
            <w:r>
              <w:rPr>
                <w:noProof/>
                <w:webHidden/>
              </w:rPr>
              <w:fldChar w:fldCharType="separate"/>
            </w:r>
            <w:r>
              <w:rPr>
                <w:noProof/>
                <w:webHidden/>
              </w:rPr>
              <w:t>10</w:t>
            </w:r>
            <w:r>
              <w:rPr>
                <w:noProof/>
                <w:webHidden/>
              </w:rPr>
              <w:fldChar w:fldCharType="end"/>
            </w:r>
          </w:hyperlink>
        </w:p>
        <w:p w:rsidR="00E270ED" w:rsidRDefault="00E270ED">
          <w:pPr>
            <w:pStyle w:val="TOC3"/>
            <w:tabs>
              <w:tab w:val="right" w:leader="dot" w:pos="9638"/>
            </w:tabs>
            <w:rPr>
              <w:i w:val="0"/>
              <w:iCs w:val="0"/>
              <w:noProof/>
              <w:kern w:val="2"/>
              <w:sz w:val="24"/>
              <w:szCs w:val="24"/>
              <w14:ligatures w14:val="standardContextual"/>
            </w:rPr>
          </w:pPr>
          <w:hyperlink w:anchor="_Toc238592639" w:history="1">
            <w:r w:rsidRPr="000A17DB">
              <w:rPr>
                <w:rStyle w:val="Hyperlink"/>
                <w:rFonts w:ascii="Arial" w:hAnsi="Arial" w:cs="Arial"/>
                <w:noProof/>
              </w:rPr>
              <w:t>Table 2. Descriptive statistics of study constructs</w:t>
            </w:r>
            <w:r>
              <w:rPr>
                <w:noProof/>
                <w:webHidden/>
              </w:rPr>
              <w:tab/>
            </w:r>
            <w:r>
              <w:rPr>
                <w:noProof/>
                <w:webHidden/>
              </w:rPr>
              <w:fldChar w:fldCharType="begin"/>
            </w:r>
            <w:r>
              <w:rPr>
                <w:noProof/>
                <w:webHidden/>
              </w:rPr>
              <w:instrText xml:space="preserve"> PAGEREF _Toc238592639 \h </w:instrText>
            </w:r>
            <w:r>
              <w:rPr>
                <w:noProof/>
                <w:webHidden/>
              </w:rPr>
            </w:r>
            <w:r>
              <w:rPr>
                <w:noProof/>
                <w:webHidden/>
              </w:rPr>
              <w:fldChar w:fldCharType="separate"/>
            </w:r>
            <w:r>
              <w:rPr>
                <w:noProof/>
                <w:webHidden/>
              </w:rPr>
              <w:t>10</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40" w:history="1">
            <w:r w:rsidRPr="000A17DB">
              <w:rPr>
                <w:rStyle w:val="Hyperlink"/>
                <w:noProof/>
              </w:rPr>
              <w:t>4.3 Reliability and EFA</w:t>
            </w:r>
            <w:r>
              <w:rPr>
                <w:noProof/>
                <w:webHidden/>
              </w:rPr>
              <w:tab/>
            </w:r>
            <w:r>
              <w:rPr>
                <w:noProof/>
                <w:webHidden/>
              </w:rPr>
              <w:fldChar w:fldCharType="begin"/>
            </w:r>
            <w:r>
              <w:rPr>
                <w:noProof/>
                <w:webHidden/>
              </w:rPr>
              <w:instrText xml:space="preserve"> PAGEREF _Toc238592640 \h </w:instrText>
            </w:r>
            <w:r>
              <w:rPr>
                <w:noProof/>
                <w:webHidden/>
              </w:rPr>
            </w:r>
            <w:r>
              <w:rPr>
                <w:noProof/>
                <w:webHidden/>
              </w:rPr>
              <w:fldChar w:fldCharType="separate"/>
            </w:r>
            <w:r>
              <w:rPr>
                <w:noProof/>
                <w:webHidden/>
              </w:rPr>
              <w:t>10</w:t>
            </w:r>
            <w:r>
              <w:rPr>
                <w:noProof/>
                <w:webHidden/>
              </w:rPr>
              <w:fldChar w:fldCharType="end"/>
            </w:r>
          </w:hyperlink>
        </w:p>
        <w:p w:rsidR="00E270ED" w:rsidRDefault="00E270ED">
          <w:pPr>
            <w:pStyle w:val="TOC3"/>
            <w:tabs>
              <w:tab w:val="right" w:leader="dot" w:pos="9638"/>
            </w:tabs>
            <w:rPr>
              <w:i w:val="0"/>
              <w:iCs w:val="0"/>
              <w:noProof/>
              <w:kern w:val="2"/>
              <w:sz w:val="24"/>
              <w:szCs w:val="24"/>
              <w14:ligatures w14:val="standardContextual"/>
            </w:rPr>
          </w:pPr>
          <w:hyperlink w:anchor="_Toc238592641" w:history="1">
            <w:r w:rsidRPr="000A17DB">
              <w:rPr>
                <w:rStyle w:val="Hyperlink"/>
                <w:rFonts w:ascii="Arial" w:hAnsi="Arial" w:cs="Arial"/>
                <w:noProof/>
              </w:rPr>
              <w:t>Table 3. Reliability coefficients</w:t>
            </w:r>
            <w:r>
              <w:rPr>
                <w:noProof/>
                <w:webHidden/>
              </w:rPr>
              <w:tab/>
            </w:r>
            <w:r>
              <w:rPr>
                <w:noProof/>
                <w:webHidden/>
              </w:rPr>
              <w:fldChar w:fldCharType="begin"/>
            </w:r>
            <w:r>
              <w:rPr>
                <w:noProof/>
                <w:webHidden/>
              </w:rPr>
              <w:instrText xml:space="preserve"> PAGEREF _Toc238592641 \h </w:instrText>
            </w:r>
            <w:r>
              <w:rPr>
                <w:noProof/>
                <w:webHidden/>
              </w:rPr>
            </w:r>
            <w:r>
              <w:rPr>
                <w:noProof/>
                <w:webHidden/>
              </w:rPr>
              <w:fldChar w:fldCharType="separate"/>
            </w:r>
            <w:r>
              <w:rPr>
                <w:noProof/>
                <w:webHidden/>
              </w:rPr>
              <w:t>10</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42" w:history="1">
            <w:r w:rsidRPr="000A17DB">
              <w:rPr>
                <w:rStyle w:val="Hyperlink"/>
                <w:noProof/>
              </w:rPr>
              <w:t>4.4 Bivariate Relationships</w:t>
            </w:r>
            <w:r>
              <w:rPr>
                <w:noProof/>
                <w:webHidden/>
              </w:rPr>
              <w:tab/>
            </w:r>
            <w:r>
              <w:rPr>
                <w:noProof/>
                <w:webHidden/>
              </w:rPr>
              <w:fldChar w:fldCharType="begin"/>
            </w:r>
            <w:r>
              <w:rPr>
                <w:noProof/>
                <w:webHidden/>
              </w:rPr>
              <w:instrText xml:space="preserve"> PAGEREF _Toc238592642 \h </w:instrText>
            </w:r>
            <w:r>
              <w:rPr>
                <w:noProof/>
                <w:webHidden/>
              </w:rPr>
            </w:r>
            <w:r>
              <w:rPr>
                <w:noProof/>
                <w:webHidden/>
              </w:rPr>
              <w:fldChar w:fldCharType="separate"/>
            </w:r>
            <w:r>
              <w:rPr>
                <w:noProof/>
                <w:webHidden/>
              </w:rPr>
              <w:t>11</w:t>
            </w:r>
            <w:r>
              <w:rPr>
                <w:noProof/>
                <w:webHidden/>
              </w:rPr>
              <w:fldChar w:fldCharType="end"/>
            </w:r>
          </w:hyperlink>
        </w:p>
        <w:p w:rsidR="00E270ED" w:rsidRDefault="00E270ED">
          <w:pPr>
            <w:pStyle w:val="TOC3"/>
            <w:tabs>
              <w:tab w:val="right" w:leader="dot" w:pos="9638"/>
            </w:tabs>
            <w:rPr>
              <w:i w:val="0"/>
              <w:iCs w:val="0"/>
              <w:noProof/>
              <w:kern w:val="2"/>
              <w:sz w:val="24"/>
              <w:szCs w:val="24"/>
              <w14:ligatures w14:val="standardContextual"/>
            </w:rPr>
          </w:pPr>
          <w:hyperlink w:anchor="_Toc238592643" w:history="1">
            <w:r w:rsidRPr="000A17DB">
              <w:rPr>
                <w:rStyle w:val="Hyperlink"/>
                <w:rFonts w:ascii="Arial" w:hAnsi="Arial" w:cs="Arial"/>
                <w:noProof/>
              </w:rPr>
              <w:t>Table 4. Spearman correlations</w:t>
            </w:r>
            <w:r>
              <w:rPr>
                <w:noProof/>
                <w:webHidden/>
              </w:rPr>
              <w:tab/>
            </w:r>
            <w:r>
              <w:rPr>
                <w:noProof/>
                <w:webHidden/>
              </w:rPr>
              <w:fldChar w:fldCharType="begin"/>
            </w:r>
            <w:r>
              <w:rPr>
                <w:noProof/>
                <w:webHidden/>
              </w:rPr>
              <w:instrText xml:space="preserve"> PAGEREF _Toc238592643 \h </w:instrText>
            </w:r>
            <w:r>
              <w:rPr>
                <w:noProof/>
                <w:webHidden/>
              </w:rPr>
            </w:r>
            <w:r>
              <w:rPr>
                <w:noProof/>
                <w:webHidden/>
              </w:rPr>
              <w:fldChar w:fldCharType="separate"/>
            </w:r>
            <w:r>
              <w:rPr>
                <w:noProof/>
                <w:webHidden/>
              </w:rPr>
              <w:t>11</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44" w:history="1">
            <w:r w:rsidRPr="000A17DB">
              <w:rPr>
                <w:rStyle w:val="Hyperlink"/>
                <w:noProof/>
              </w:rPr>
              <w:t>4.5 Regression Diagnostics</w:t>
            </w:r>
            <w:r>
              <w:rPr>
                <w:noProof/>
                <w:webHidden/>
              </w:rPr>
              <w:tab/>
            </w:r>
            <w:r>
              <w:rPr>
                <w:noProof/>
                <w:webHidden/>
              </w:rPr>
              <w:fldChar w:fldCharType="begin"/>
            </w:r>
            <w:r>
              <w:rPr>
                <w:noProof/>
                <w:webHidden/>
              </w:rPr>
              <w:instrText xml:space="preserve"> PAGEREF _Toc238592644 \h </w:instrText>
            </w:r>
            <w:r>
              <w:rPr>
                <w:noProof/>
                <w:webHidden/>
              </w:rPr>
            </w:r>
            <w:r>
              <w:rPr>
                <w:noProof/>
                <w:webHidden/>
              </w:rPr>
              <w:fldChar w:fldCharType="separate"/>
            </w:r>
            <w:r>
              <w:rPr>
                <w:noProof/>
                <w:webHidden/>
              </w:rPr>
              <w:t>11</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45" w:history="1">
            <w:r w:rsidRPr="000A17DB">
              <w:rPr>
                <w:rStyle w:val="Hyperlink"/>
                <w:noProof/>
              </w:rPr>
              <w:t>4.6 Mediation and Direct Effects: PROCESS Model 4</w:t>
            </w:r>
            <w:r>
              <w:rPr>
                <w:noProof/>
                <w:webHidden/>
              </w:rPr>
              <w:tab/>
            </w:r>
            <w:r>
              <w:rPr>
                <w:noProof/>
                <w:webHidden/>
              </w:rPr>
              <w:fldChar w:fldCharType="begin"/>
            </w:r>
            <w:r>
              <w:rPr>
                <w:noProof/>
                <w:webHidden/>
              </w:rPr>
              <w:instrText xml:space="preserve"> PAGEREF _Toc238592645 \h </w:instrText>
            </w:r>
            <w:r>
              <w:rPr>
                <w:noProof/>
                <w:webHidden/>
              </w:rPr>
            </w:r>
            <w:r>
              <w:rPr>
                <w:noProof/>
                <w:webHidden/>
              </w:rPr>
              <w:fldChar w:fldCharType="separate"/>
            </w:r>
            <w:r>
              <w:rPr>
                <w:noProof/>
                <w:webHidden/>
              </w:rPr>
              <w:t>12</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46" w:history="1">
            <w:r w:rsidRPr="000A17DB">
              <w:rPr>
                <w:rStyle w:val="Hyperlink"/>
                <w:noProof/>
              </w:rPr>
              <w:t>4.7 Moderation and Conditional Indirect Effect: PROCESS Model 14</w:t>
            </w:r>
            <w:r>
              <w:rPr>
                <w:noProof/>
                <w:webHidden/>
              </w:rPr>
              <w:tab/>
            </w:r>
            <w:r>
              <w:rPr>
                <w:noProof/>
                <w:webHidden/>
              </w:rPr>
              <w:fldChar w:fldCharType="begin"/>
            </w:r>
            <w:r>
              <w:rPr>
                <w:noProof/>
                <w:webHidden/>
              </w:rPr>
              <w:instrText xml:space="preserve"> PAGEREF _Toc238592646 \h </w:instrText>
            </w:r>
            <w:r>
              <w:rPr>
                <w:noProof/>
                <w:webHidden/>
              </w:rPr>
            </w:r>
            <w:r>
              <w:rPr>
                <w:noProof/>
                <w:webHidden/>
              </w:rPr>
              <w:fldChar w:fldCharType="separate"/>
            </w:r>
            <w:r>
              <w:rPr>
                <w:noProof/>
                <w:webHidden/>
              </w:rPr>
              <w:t>12</w:t>
            </w:r>
            <w:r>
              <w:rPr>
                <w:noProof/>
                <w:webHidden/>
              </w:rPr>
              <w:fldChar w:fldCharType="end"/>
            </w:r>
          </w:hyperlink>
        </w:p>
        <w:p w:rsidR="00E270ED" w:rsidRDefault="00E270ED">
          <w:pPr>
            <w:pStyle w:val="TOC3"/>
            <w:tabs>
              <w:tab w:val="right" w:leader="dot" w:pos="9638"/>
            </w:tabs>
            <w:rPr>
              <w:i w:val="0"/>
              <w:iCs w:val="0"/>
              <w:noProof/>
              <w:kern w:val="2"/>
              <w:sz w:val="24"/>
              <w:szCs w:val="24"/>
              <w14:ligatures w14:val="standardContextual"/>
            </w:rPr>
          </w:pPr>
          <w:hyperlink w:anchor="_Toc238592647" w:history="1">
            <w:r w:rsidRPr="000A17DB">
              <w:rPr>
                <w:rStyle w:val="Hyperlink"/>
                <w:rFonts w:ascii="Arial" w:hAnsi="Arial" w:cs="Arial"/>
                <w:noProof/>
              </w:rPr>
              <w:t>Table 5. Conditional indirect effects at values of Fraud Concern</w:t>
            </w:r>
            <w:r>
              <w:rPr>
                <w:noProof/>
                <w:webHidden/>
              </w:rPr>
              <w:tab/>
            </w:r>
            <w:r>
              <w:rPr>
                <w:noProof/>
                <w:webHidden/>
              </w:rPr>
              <w:fldChar w:fldCharType="begin"/>
            </w:r>
            <w:r>
              <w:rPr>
                <w:noProof/>
                <w:webHidden/>
              </w:rPr>
              <w:instrText xml:space="preserve"> PAGEREF _Toc238592647 \h </w:instrText>
            </w:r>
            <w:r>
              <w:rPr>
                <w:noProof/>
                <w:webHidden/>
              </w:rPr>
            </w:r>
            <w:r>
              <w:rPr>
                <w:noProof/>
                <w:webHidden/>
              </w:rPr>
              <w:fldChar w:fldCharType="separate"/>
            </w:r>
            <w:r>
              <w:rPr>
                <w:noProof/>
                <w:webHidden/>
              </w:rPr>
              <w:t>12</w:t>
            </w:r>
            <w:r>
              <w:rPr>
                <w:noProof/>
                <w:webHidden/>
              </w:rPr>
              <w:fldChar w:fldCharType="end"/>
            </w:r>
          </w:hyperlink>
        </w:p>
        <w:p w:rsidR="00E270ED" w:rsidRDefault="00E270ED">
          <w:pPr>
            <w:pStyle w:val="TOC3"/>
            <w:tabs>
              <w:tab w:val="right" w:leader="dot" w:pos="9638"/>
            </w:tabs>
            <w:rPr>
              <w:i w:val="0"/>
              <w:iCs w:val="0"/>
              <w:noProof/>
              <w:kern w:val="2"/>
              <w:sz w:val="24"/>
              <w:szCs w:val="24"/>
              <w14:ligatures w14:val="standardContextual"/>
            </w:rPr>
          </w:pPr>
          <w:hyperlink w:anchor="_Toc238592648" w:history="1">
            <w:r w:rsidRPr="000A17DB">
              <w:rPr>
                <w:rStyle w:val="Hyperlink"/>
                <w:rFonts w:ascii="Arial" w:hAnsi="Arial" w:cs="Arial"/>
                <w:noProof/>
              </w:rPr>
              <w:t>Table 6. Summary of hypothesis testing</w:t>
            </w:r>
            <w:r>
              <w:rPr>
                <w:noProof/>
                <w:webHidden/>
              </w:rPr>
              <w:tab/>
            </w:r>
            <w:r>
              <w:rPr>
                <w:noProof/>
                <w:webHidden/>
              </w:rPr>
              <w:fldChar w:fldCharType="begin"/>
            </w:r>
            <w:r>
              <w:rPr>
                <w:noProof/>
                <w:webHidden/>
              </w:rPr>
              <w:instrText xml:space="preserve"> PAGEREF _Toc238592648 \h </w:instrText>
            </w:r>
            <w:r>
              <w:rPr>
                <w:noProof/>
                <w:webHidden/>
              </w:rPr>
            </w:r>
            <w:r>
              <w:rPr>
                <w:noProof/>
                <w:webHidden/>
              </w:rPr>
              <w:fldChar w:fldCharType="separate"/>
            </w:r>
            <w:r>
              <w:rPr>
                <w:noProof/>
                <w:webHidden/>
              </w:rPr>
              <w:t>13</w:t>
            </w:r>
            <w:r>
              <w:rPr>
                <w:noProof/>
                <w:webHidden/>
              </w:rPr>
              <w:fldChar w:fldCharType="end"/>
            </w:r>
          </w:hyperlink>
        </w:p>
        <w:p w:rsidR="00E270ED" w:rsidRDefault="00E270ED">
          <w:pPr>
            <w:pStyle w:val="TOC1"/>
            <w:tabs>
              <w:tab w:val="right" w:leader="dot" w:pos="9638"/>
            </w:tabs>
            <w:rPr>
              <w:b w:val="0"/>
              <w:bCs w:val="0"/>
              <w:caps w:val="0"/>
              <w:noProof/>
              <w:kern w:val="2"/>
              <w:sz w:val="24"/>
              <w:szCs w:val="24"/>
              <w14:ligatures w14:val="standardContextual"/>
            </w:rPr>
          </w:pPr>
          <w:hyperlink w:anchor="_Toc238592649" w:history="1">
            <w:r w:rsidRPr="000A17DB">
              <w:rPr>
                <w:rStyle w:val="Hyperlink"/>
                <w:noProof/>
              </w:rPr>
              <w:t>5. Discussion</w:t>
            </w:r>
            <w:r>
              <w:rPr>
                <w:noProof/>
                <w:webHidden/>
              </w:rPr>
              <w:tab/>
            </w:r>
            <w:r>
              <w:rPr>
                <w:noProof/>
                <w:webHidden/>
              </w:rPr>
              <w:fldChar w:fldCharType="begin"/>
            </w:r>
            <w:r>
              <w:rPr>
                <w:noProof/>
                <w:webHidden/>
              </w:rPr>
              <w:instrText xml:space="preserve"> PAGEREF _Toc238592649 \h </w:instrText>
            </w:r>
            <w:r>
              <w:rPr>
                <w:noProof/>
                <w:webHidden/>
              </w:rPr>
            </w:r>
            <w:r>
              <w:rPr>
                <w:noProof/>
                <w:webHidden/>
              </w:rPr>
              <w:fldChar w:fldCharType="separate"/>
            </w:r>
            <w:r>
              <w:rPr>
                <w:noProof/>
                <w:webHidden/>
              </w:rPr>
              <w:t>13</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50" w:history="1">
            <w:r w:rsidRPr="000A17DB">
              <w:rPr>
                <w:rStyle w:val="Hyperlink"/>
                <w:noProof/>
              </w:rPr>
              <w:t>5.1 Overview of Key Findings</w:t>
            </w:r>
            <w:r>
              <w:rPr>
                <w:noProof/>
                <w:webHidden/>
              </w:rPr>
              <w:tab/>
            </w:r>
            <w:r>
              <w:rPr>
                <w:noProof/>
                <w:webHidden/>
              </w:rPr>
              <w:fldChar w:fldCharType="begin"/>
            </w:r>
            <w:r>
              <w:rPr>
                <w:noProof/>
                <w:webHidden/>
              </w:rPr>
              <w:instrText xml:space="preserve"> PAGEREF _Toc238592650 \h </w:instrText>
            </w:r>
            <w:r>
              <w:rPr>
                <w:noProof/>
                <w:webHidden/>
              </w:rPr>
            </w:r>
            <w:r>
              <w:rPr>
                <w:noProof/>
                <w:webHidden/>
              </w:rPr>
              <w:fldChar w:fldCharType="separate"/>
            </w:r>
            <w:r>
              <w:rPr>
                <w:noProof/>
                <w:webHidden/>
              </w:rPr>
              <w:t>13</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51" w:history="1">
            <w:r w:rsidRPr="000A17DB">
              <w:rPr>
                <w:rStyle w:val="Hyperlink"/>
                <w:noProof/>
              </w:rPr>
              <w:t>5.2 Dispute Resolution Quality, Fairness and Trust</w:t>
            </w:r>
            <w:r>
              <w:rPr>
                <w:noProof/>
                <w:webHidden/>
              </w:rPr>
              <w:tab/>
            </w:r>
            <w:r>
              <w:rPr>
                <w:noProof/>
                <w:webHidden/>
              </w:rPr>
              <w:fldChar w:fldCharType="begin"/>
            </w:r>
            <w:r>
              <w:rPr>
                <w:noProof/>
                <w:webHidden/>
              </w:rPr>
              <w:instrText xml:space="preserve"> PAGEREF _Toc238592651 \h </w:instrText>
            </w:r>
            <w:r>
              <w:rPr>
                <w:noProof/>
                <w:webHidden/>
              </w:rPr>
            </w:r>
            <w:r>
              <w:rPr>
                <w:noProof/>
                <w:webHidden/>
              </w:rPr>
              <w:fldChar w:fldCharType="separate"/>
            </w:r>
            <w:r>
              <w:rPr>
                <w:noProof/>
                <w:webHidden/>
              </w:rPr>
              <w:t>13</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52" w:history="1">
            <w:r w:rsidRPr="000A17DB">
              <w:rPr>
                <w:rStyle w:val="Hyperlink"/>
                <w:noProof/>
              </w:rPr>
              <w:t>5.3 Perceived Fairness and the Unsupported Mediation Effect</w:t>
            </w:r>
            <w:r>
              <w:rPr>
                <w:noProof/>
                <w:webHidden/>
              </w:rPr>
              <w:tab/>
            </w:r>
            <w:r>
              <w:rPr>
                <w:noProof/>
                <w:webHidden/>
              </w:rPr>
              <w:fldChar w:fldCharType="begin"/>
            </w:r>
            <w:r>
              <w:rPr>
                <w:noProof/>
                <w:webHidden/>
              </w:rPr>
              <w:instrText xml:space="preserve"> PAGEREF _Toc238592652 \h </w:instrText>
            </w:r>
            <w:r>
              <w:rPr>
                <w:noProof/>
                <w:webHidden/>
              </w:rPr>
            </w:r>
            <w:r>
              <w:rPr>
                <w:noProof/>
                <w:webHidden/>
              </w:rPr>
              <w:fldChar w:fldCharType="separate"/>
            </w:r>
            <w:r>
              <w:rPr>
                <w:noProof/>
                <w:webHidden/>
              </w:rPr>
              <w:t>14</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53" w:history="1">
            <w:r w:rsidRPr="000A17DB">
              <w:rPr>
                <w:rStyle w:val="Hyperlink"/>
                <w:noProof/>
              </w:rPr>
              <w:t>5.4 Fraud Concern and the Unsupported Moderation</w:t>
            </w:r>
            <w:r>
              <w:rPr>
                <w:noProof/>
                <w:webHidden/>
              </w:rPr>
              <w:tab/>
            </w:r>
            <w:r>
              <w:rPr>
                <w:noProof/>
                <w:webHidden/>
              </w:rPr>
              <w:fldChar w:fldCharType="begin"/>
            </w:r>
            <w:r>
              <w:rPr>
                <w:noProof/>
                <w:webHidden/>
              </w:rPr>
              <w:instrText xml:space="preserve"> PAGEREF _Toc238592653 \h </w:instrText>
            </w:r>
            <w:r>
              <w:rPr>
                <w:noProof/>
                <w:webHidden/>
              </w:rPr>
            </w:r>
            <w:r>
              <w:rPr>
                <w:noProof/>
                <w:webHidden/>
              </w:rPr>
              <w:fldChar w:fldCharType="separate"/>
            </w:r>
            <w:r>
              <w:rPr>
                <w:noProof/>
                <w:webHidden/>
              </w:rPr>
              <w:t>15</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54" w:history="1">
            <w:r w:rsidRPr="000A17DB">
              <w:rPr>
                <w:rStyle w:val="Hyperlink"/>
                <w:noProof/>
              </w:rPr>
              <w:t>5.5 Evaluation of the Integrated Model and Theoretical Implications</w:t>
            </w:r>
            <w:r>
              <w:rPr>
                <w:noProof/>
                <w:webHidden/>
              </w:rPr>
              <w:tab/>
            </w:r>
            <w:r>
              <w:rPr>
                <w:noProof/>
                <w:webHidden/>
              </w:rPr>
              <w:fldChar w:fldCharType="begin"/>
            </w:r>
            <w:r>
              <w:rPr>
                <w:noProof/>
                <w:webHidden/>
              </w:rPr>
              <w:instrText xml:space="preserve"> PAGEREF _Toc238592654 \h </w:instrText>
            </w:r>
            <w:r>
              <w:rPr>
                <w:noProof/>
                <w:webHidden/>
              </w:rPr>
            </w:r>
            <w:r>
              <w:rPr>
                <w:noProof/>
                <w:webHidden/>
              </w:rPr>
              <w:fldChar w:fldCharType="separate"/>
            </w:r>
            <w:r>
              <w:rPr>
                <w:noProof/>
                <w:webHidden/>
              </w:rPr>
              <w:t>16</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55" w:history="1">
            <w:r w:rsidRPr="000A17DB">
              <w:rPr>
                <w:rStyle w:val="Hyperlink"/>
                <w:noProof/>
              </w:rPr>
              <w:t>5.6 Practical Implications</w:t>
            </w:r>
            <w:r>
              <w:rPr>
                <w:noProof/>
                <w:webHidden/>
              </w:rPr>
              <w:tab/>
            </w:r>
            <w:r>
              <w:rPr>
                <w:noProof/>
                <w:webHidden/>
              </w:rPr>
              <w:fldChar w:fldCharType="begin"/>
            </w:r>
            <w:r>
              <w:rPr>
                <w:noProof/>
                <w:webHidden/>
              </w:rPr>
              <w:instrText xml:space="preserve"> PAGEREF _Toc238592655 \h </w:instrText>
            </w:r>
            <w:r>
              <w:rPr>
                <w:noProof/>
                <w:webHidden/>
              </w:rPr>
            </w:r>
            <w:r>
              <w:rPr>
                <w:noProof/>
                <w:webHidden/>
              </w:rPr>
              <w:fldChar w:fldCharType="separate"/>
            </w:r>
            <w:r>
              <w:rPr>
                <w:noProof/>
                <w:webHidden/>
              </w:rPr>
              <w:t>17</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56" w:history="1">
            <w:r w:rsidRPr="000A17DB">
              <w:rPr>
                <w:rStyle w:val="Hyperlink"/>
                <w:noProof/>
              </w:rPr>
              <w:t>5.7 Limitations and Future Research</w:t>
            </w:r>
            <w:r>
              <w:rPr>
                <w:noProof/>
                <w:webHidden/>
              </w:rPr>
              <w:tab/>
            </w:r>
            <w:r>
              <w:rPr>
                <w:noProof/>
                <w:webHidden/>
              </w:rPr>
              <w:fldChar w:fldCharType="begin"/>
            </w:r>
            <w:r>
              <w:rPr>
                <w:noProof/>
                <w:webHidden/>
              </w:rPr>
              <w:instrText xml:space="preserve"> PAGEREF _Toc238592656 \h </w:instrText>
            </w:r>
            <w:r>
              <w:rPr>
                <w:noProof/>
                <w:webHidden/>
              </w:rPr>
            </w:r>
            <w:r>
              <w:rPr>
                <w:noProof/>
                <w:webHidden/>
              </w:rPr>
              <w:fldChar w:fldCharType="separate"/>
            </w:r>
            <w:r>
              <w:rPr>
                <w:noProof/>
                <w:webHidden/>
              </w:rPr>
              <w:t>18</w:t>
            </w:r>
            <w:r>
              <w:rPr>
                <w:noProof/>
                <w:webHidden/>
              </w:rPr>
              <w:fldChar w:fldCharType="end"/>
            </w:r>
          </w:hyperlink>
        </w:p>
        <w:p w:rsidR="00E270ED" w:rsidRDefault="00E270ED">
          <w:pPr>
            <w:pStyle w:val="TOC1"/>
            <w:tabs>
              <w:tab w:val="right" w:leader="dot" w:pos="9638"/>
            </w:tabs>
            <w:rPr>
              <w:b w:val="0"/>
              <w:bCs w:val="0"/>
              <w:caps w:val="0"/>
              <w:noProof/>
              <w:kern w:val="2"/>
              <w:sz w:val="24"/>
              <w:szCs w:val="24"/>
              <w14:ligatures w14:val="standardContextual"/>
            </w:rPr>
          </w:pPr>
          <w:hyperlink w:anchor="_Toc238592657" w:history="1">
            <w:r w:rsidRPr="000A17DB">
              <w:rPr>
                <w:rStyle w:val="Hyperlink"/>
                <w:noProof/>
              </w:rPr>
              <w:t>6. Conclusion</w:t>
            </w:r>
            <w:r>
              <w:rPr>
                <w:noProof/>
                <w:webHidden/>
              </w:rPr>
              <w:tab/>
            </w:r>
            <w:r>
              <w:rPr>
                <w:noProof/>
                <w:webHidden/>
              </w:rPr>
              <w:fldChar w:fldCharType="begin"/>
            </w:r>
            <w:r>
              <w:rPr>
                <w:noProof/>
                <w:webHidden/>
              </w:rPr>
              <w:instrText xml:space="preserve"> PAGEREF _Toc238592657 \h </w:instrText>
            </w:r>
            <w:r>
              <w:rPr>
                <w:noProof/>
                <w:webHidden/>
              </w:rPr>
            </w:r>
            <w:r>
              <w:rPr>
                <w:noProof/>
                <w:webHidden/>
              </w:rPr>
              <w:fldChar w:fldCharType="separate"/>
            </w:r>
            <w:r>
              <w:rPr>
                <w:noProof/>
                <w:webHidden/>
              </w:rPr>
              <w:t>19</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58" w:history="1">
            <w:r w:rsidRPr="000A17DB">
              <w:rPr>
                <w:rStyle w:val="Hyperlink"/>
                <w:noProof/>
              </w:rPr>
              <w:t>References</w:t>
            </w:r>
            <w:r>
              <w:rPr>
                <w:noProof/>
                <w:webHidden/>
              </w:rPr>
              <w:tab/>
            </w:r>
            <w:r>
              <w:rPr>
                <w:noProof/>
                <w:webHidden/>
              </w:rPr>
              <w:fldChar w:fldCharType="begin"/>
            </w:r>
            <w:r>
              <w:rPr>
                <w:noProof/>
                <w:webHidden/>
              </w:rPr>
              <w:instrText xml:space="preserve"> PAGEREF _Toc238592658 \h </w:instrText>
            </w:r>
            <w:r>
              <w:rPr>
                <w:noProof/>
                <w:webHidden/>
              </w:rPr>
            </w:r>
            <w:r>
              <w:rPr>
                <w:noProof/>
                <w:webHidden/>
              </w:rPr>
              <w:fldChar w:fldCharType="separate"/>
            </w:r>
            <w:r>
              <w:rPr>
                <w:noProof/>
                <w:webHidden/>
              </w:rPr>
              <w:t>19</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59" w:history="1">
            <w:r w:rsidRPr="000A17DB">
              <w:rPr>
                <w:rStyle w:val="Hyperlink"/>
                <w:noProof/>
              </w:rPr>
              <w:t>Appendix</w:t>
            </w:r>
            <w:r>
              <w:rPr>
                <w:noProof/>
                <w:webHidden/>
              </w:rPr>
              <w:tab/>
            </w:r>
            <w:r>
              <w:rPr>
                <w:noProof/>
                <w:webHidden/>
              </w:rPr>
              <w:fldChar w:fldCharType="begin"/>
            </w:r>
            <w:r>
              <w:rPr>
                <w:noProof/>
                <w:webHidden/>
              </w:rPr>
              <w:instrText xml:space="preserve"> PAGEREF _Toc238592659 \h </w:instrText>
            </w:r>
            <w:r>
              <w:rPr>
                <w:noProof/>
                <w:webHidden/>
              </w:rPr>
            </w:r>
            <w:r>
              <w:rPr>
                <w:noProof/>
                <w:webHidden/>
              </w:rPr>
              <w:fldChar w:fldCharType="separate"/>
            </w:r>
            <w:r>
              <w:rPr>
                <w:noProof/>
                <w:webHidden/>
              </w:rPr>
              <w:t>21</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60" w:history="1">
            <w:r w:rsidRPr="000A17DB">
              <w:rPr>
                <w:rStyle w:val="Hyperlink"/>
                <w:noProof/>
              </w:rPr>
              <w:t>Appendix A - Survey questionnaire</w:t>
            </w:r>
            <w:r>
              <w:rPr>
                <w:noProof/>
                <w:webHidden/>
              </w:rPr>
              <w:tab/>
            </w:r>
            <w:r>
              <w:rPr>
                <w:noProof/>
                <w:webHidden/>
              </w:rPr>
              <w:fldChar w:fldCharType="begin"/>
            </w:r>
            <w:r>
              <w:rPr>
                <w:noProof/>
                <w:webHidden/>
              </w:rPr>
              <w:instrText xml:space="preserve"> PAGEREF _Toc238592660 \h </w:instrText>
            </w:r>
            <w:r>
              <w:rPr>
                <w:noProof/>
                <w:webHidden/>
              </w:rPr>
            </w:r>
            <w:r>
              <w:rPr>
                <w:noProof/>
                <w:webHidden/>
              </w:rPr>
              <w:fldChar w:fldCharType="separate"/>
            </w:r>
            <w:r>
              <w:rPr>
                <w:noProof/>
                <w:webHidden/>
              </w:rPr>
              <w:t>21</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61" w:history="1">
            <w:r w:rsidRPr="000A17DB">
              <w:rPr>
                <w:rStyle w:val="Hyperlink"/>
                <w:noProof/>
              </w:rPr>
              <w:t>Appendix B — Selected Reliability and Exploratory Factor Analysis Output</w:t>
            </w:r>
            <w:r>
              <w:rPr>
                <w:noProof/>
                <w:webHidden/>
              </w:rPr>
              <w:tab/>
            </w:r>
            <w:r>
              <w:rPr>
                <w:noProof/>
                <w:webHidden/>
              </w:rPr>
              <w:fldChar w:fldCharType="begin"/>
            </w:r>
            <w:r>
              <w:rPr>
                <w:noProof/>
                <w:webHidden/>
              </w:rPr>
              <w:instrText xml:space="preserve"> PAGEREF _Toc238592661 \h </w:instrText>
            </w:r>
            <w:r>
              <w:rPr>
                <w:noProof/>
                <w:webHidden/>
              </w:rPr>
            </w:r>
            <w:r>
              <w:rPr>
                <w:noProof/>
                <w:webHidden/>
              </w:rPr>
              <w:fldChar w:fldCharType="separate"/>
            </w:r>
            <w:r>
              <w:rPr>
                <w:noProof/>
                <w:webHidden/>
              </w:rPr>
              <w:t>28</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62" w:history="1">
            <w:r w:rsidRPr="000A17DB">
              <w:rPr>
                <w:rStyle w:val="Hyperlink"/>
                <w:noProof/>
              </w:rPr>
              <w:t>Appendix C — Selected Regression Diagnostic Output</w:t>
            </w:r>
            <w:r>
              <w:rPr>
                <w:noProof/>
                <w:webHidden/>
              </w:rPr>
              <w:tab/>
            </w:r>
            <w:r>
              <w:rPr>
                <w:noProof/>
                <w:webHidden/>
              </w:rPr>
              <w:fldChar w:fldCharType="begin"/>
            </w:r>
            <w:r>
              <w:rPr>
                <w:noProof/>
                <w:webHidden/>
              </w:rPr>
              <w:instrText xml:space="preserve"> PAGEREF _Toc238592662 \h </w:instrText>
            </w:r>
            <w:r>
              <w:rPr>
                <w:noProof/>
                <w:webHidden/>
              </w:rPr>
            </w:r>
            <w:r>
              <w:rPr>
                <w:noProof/>
                <w:webHidden/>
              </w:rPr>
              <w:fldChar w:fldCharType="separate"/>
            </w:r>
            <w:r>
              <w:rPr>
                <w:noProof/>
                <w:webHidden/>
              </w:rPr>
              <w:t>32</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63" w:history="1">
            <w:r w:rsidRPr="000A17DB">
              <w:rPr>
                <w:rStyle w:val="Hyperlink"/>
                <w:noProof/>
              </w:rPr>
              <w:t>Appendix D — PROCESS Model 4: Mediation Analysis</w:t>
            </w:r>
            <w:r>
              <w:rPr>
                <w:noProof/>
                <w:webHidden/>
              </w:rPr>
              <w:tab/>
            </w:r>
            <w:r>
              <w:rPr>
                <w:noProof/>
                <w:webHidden/>
              </w:rPr>
              <w:fldChar w:fldCharType="begin"/>
            </w:r>
            <w:r>
              <w:rPr>
                <w:noProof/>
                <w:webHidden/>
              </w:rPr>
              <w:instrText xml:space="preserve"> PAGEREF _Toc238592663 \h </w:instrText>
            </w:r>
            <w:r>
              <w:rPr>
                <w:noProof/>
                <w:webHidden/>
              </w:rPr>
            </w:r>
            <w:r>
              <w:rPr>
                <w:noProof/>
                <w:webHidden/>
              </w:rPr>
              <w:fldChar w:fldCharType="separate"/>
            </w:r>
            <w:r>
              <w:rPr>
                <w:noProof/>
                <w:webHidden/>
              </w:rPr>
              <w:t>33</w:t>
            </w:r>
            <w:r>
              <w:rPr>
                <w:noProof/>
                <w:webHidden/>
              </w:rPr>
              <w:fldChar w:fldCharType="end"/>
            </w:r>
          </w:hyperlink>
        </w:p>
        <w:p w:rsidR="00E270ED" w:rsidRDefault="00E270ED">
          <w:pPr>
            <w:pStyle w:val="TOC2"/>
            <w:tabs>
              <w:tab w:val="right" w:leader="dot" w:pos="9638"/>
            </w:tabs>
            <w:rPr>
              <w:smallCaps w:val="0"/>
              <w:noProof/>
              <w:kern w:val="2"/>
              <w:sz w:val="24"/>
              <w:szCs w:val="24"/>
              <w14:ligatures w14:val="standardContextual"/>
            </w:rPr>
          </w:pPr>
          <w:hyperlink w:anchor="_Toc238592664" w:history="1">
            <w:r w:rsidRPr="000A17DB">
              <w:rPr>
                <w:rStyle w:val="Hyperlink"/>
                <w:noProof/>
              </w:rPr>
              <w:t>Appendix E — PROCESS Model 14: Moderated-Mediation Analysis</w:t>
            </w:r>
            <w:r>
              <w:rPr>
                <w:noProof/>
                <w:webHidden/>
              </w:rPr>
              <w:tab/>
            </w:r>
            <w:r>
              <w:rPr>
                <w:noProof/>
                <w:webHidden/>
              </w:rPr>
              <w:fldChar w:fldCharType="begin"/>
            </w:r>
            <w:r>
              <w:rPr>
                <w:noProof/>
                <w:webHidden/>
              </w:rPr>
              <w:instrText xml:space="preserve"> PAGEREF _Toc238592664 \h </w:instrText>
            </w:r>
            <w:r>
              <w:rPr>
                <w:noProof/>
                <w:webHidden/>
              </w:rPr>
            </w:r>
            <w:r>
              <w:rPr>
                <w:noProof/>
                <w:webHidden/>
              </w:rPr>
              <w:fldChar w:fldCharType="separate"/>
            </w:r>
            <w:r>
              <w:rPr>
                <w:noProof/>
                <w:webHidden/>
              </w:rPr>
              <w:t>37</w:t>
            </w:r>
            <w:r>
              <w:rPr>
                <w:noProof/>
                <w:webHidden/>
              </w:rPr>
              <w:fldChar w:fldCharType="end"/>
            </w:r>
          </w:hyperlink>
        </w:p>
        <w:p w:rsidR="00B2129F" w:rsidRDefault="00B2129F">
          <w:r w:rsidRPr="00781217">
            <w:rPr>
              <w:b/>
              <w:bCs/>
              <w:noProof/>
              <w:sz w:val="24"/>
              <w:szCs w:val="24"/>
            </w:rPr>
            <w:fldChar w:fldCharType="end"/>
          </w:r>
        </w:p>
      </w:sdtContent>
    </w:sdt>
    <w:p w:rsidR="00483F3F" w:rsidRDefault="00483F3F"/>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 w:rsidR="00781217" w:rsidRDefault="00781217">
      <w:pPr>
        <w:pStyle w:val="Heading1"/>
      </w:pPr>
    </w:p>
    <w:p w:rsidR="00781217" w:rsidRDefault="00781217" w:rsidP="00781217"/>
    <w:p w:rsidR="00347386" w:rsidRDefault="00347386" w:rsidP="00781217"/>
    <w:p w:rsidR="00347386" w:rsidRDefault="00347386" w:rsidP="00781217"/>
    <w:p w:rsidR="00347386" w:rsidRDefault="00347386" w:rsidP="00781217"/>
    <w:p w:rsidR="00347386" w:rsidRDefault="00347386" w:rsidP="00781217"/>
    <w:p w:rsidR="00347386" w:rsidRDefault="00347386" w:rsidP="00781217"/>
    <w:p w:rsidR="00347386" w:rsidRDefault="00347386" w:rsidP="00781217"/>
    <w:p w:rsidR="00347386" w:rsidRPr="00781217" w:rsidRDefault="00347386" w:rsidP="00781217"/>
    <w:p w:rsidR="009E7987" w:rsidRDefault="00000000">
      <w:pPr>
        <w:pStyle w:val="Heading1"/>
      </w:pPr>
      <w:bookmarkStart w:id="0" w:name="_Toc238592618"/>
      <w:r>
        <w:lastRenderedPageBreak/>
        <w:t>Abstract</w:t>
      </w:r>
      <w:bookmarkEnd w:id="0"/>
    </w:p>
    <w:p w:rsidR="009E7987" w:rsidRPr="00781217" w:rsidRDefault="00FC27DD" w:rsidP="00FC27DD">
      <w:pPr>
        <w:jc w:val="both"/>
        <w:rPr>
          <w:rFonts w:ascii="Arial" w:hAnsi="Arial" w:cs="Arial"/>
          <w:sz w:val="24"/>
          <w:szCs w:val="24"/>
        </w:rPr>
      </w:pPr>
      <w:r w:rsidRPr="00781217">
        <w:rPr>
          <w:rFonts w:ascii="Arial" w:hAnsi="Arial" w:cs="Arial"/>
          <w:sz w:val="24"/>
          <w:szCs w:val="24"/>
        </w:rPr>
        <w:t xml:space="preserve">Because consumers rely on financial institutions to investigate into errors, provide explanations for decisions, and build confidence when transactions fail, digital payment failures pose both operational and relational risks for banks. This quantitative pilot study investigated whether perceived fairness mediates this relationship, whether fraud concern moderates the fairness–trust path, and whether perceived digital payment dispute resolution quality (PDRQ) is linked to customer trust among young digital-payment users in Nepalese banks between the ages of 18 and 35. 52 answers were obtained from an online survey; 49 cases were examined following eligibility and completeness screening. SPSS was used for reliability analysis, exploratory factor analysis (EFA), descriptive statistics, Spearman correlations, regression diagnostics, and Hayes PROCESS Models 4 and 14. The internal consistency of all scales was good to outstanding (α =.852–.914). While perceived fairness did not significantly predict consumer trust when PDRQ was included in the model, PDRQ was significantly and favorably related with both perceived fairness and customer trust. The index of moderated mediation contained zero, the interaction between fairness and fraud concern was not significant, and the indirect effect through perceived fairness was not statistically significant. Therefore, the results partially corroborate the conceptual model: although the suggested mediation and moderated-mediation mechanisms were not demonstrated in this small sample, perceived conflict resolution quality emerged as the most consistent indicator of fairness and trust. The study identifies measuring and statistical power constraints that should guide more extensive future research while highlighting the practical significance of prompt, transparent, and communicative dispute resolution. </w:t>
      </w:r>
    </w:p>
    <w:p w:rsidR="009E7987" w:rsidRPr="00781217" w:rsidRDefault="009E7987" w:rsidP="009E7987">
      <w:pPr>
        <w:rPr>
          <w:rFonts w:ascii="Arial" w:hAnsi="Arial" w:cs="Arial"/>
          <w:sz w:val="24"/>
          <w:szCs w:val="24"/>
        </w:rPr>
      </w:pPr>
    </w:p>
    <w:p w:rsidR="009E7987" w:rsidRPr="00781217" w:rsidRDefault="009E7987" w:rsidP="009E7987">
      <w:pPr>
        <w:rPr>
          <w:rFonts w:ascii="Arial" w:hAnsi="Arial" w:cs="Arial"/>
          <w:sz w:val="24"/>
          <w:szCs w:val="24"/>
        </w:rPr>
      </w:pPr>
      <w:r w:rsidRPr="00781217">
        <w:rPr>
          <w:rStyle w:val="Strong"/>
          <w:rFonts w:ascii="Arial" w:hAnsi="Arial" w:cs="Arial"/>
          <w:color w:val="000000"/>
          <w:sz w:val="24"/>
          <w:szCs w:val="24"/>
        </w:rPr>
        <w:t>Keywords:</w:t>
      </w:r>
      <w:r w:rsidRPr="00781217">
        <w:rPr>
          <w:rStyle w:val="apple-converted-space"/>
          <w:rFonts w:ascii="Arial" w:hAnsi="Arial" w:cs="Arial"/>
          <w:color w:val="000000"/>
          <w:sz w:val="24"/>
          <w:szCs w:val="24"/>
        </w:rPr>
        <w:t> </w:t>
      </w:r>
      <w:r w:rsidRPr="00781217">
        <w:rPr>
          <w:rFonts w:ascii="Arial" w:hAnsi="Arial" w:cs="Arial"/>
          <w:color w:val="000000"/>
          <w:sz w:val="24"/>
          <w:szCs w:val="24"/>
        </w:rPr>
        <w:t>Digital Payment Dispute Resolution Quality; Perceived Fairness; Customer Trust; Fraud Concern; Service Recovery; Nepalese Banking</w:t>
      </w:r>
    </w:p>
    <w:p w:rsidR="009E7987" w:rsidRDefault="009E7987">
      <w:pPr>
        <w:pStyle w:val="Heading1"/>
        <w:rPr>
          <w:rFonts w:ascii="Aptos" w:hAnsi="Aptos"/>
          <w:sz w:val="22"/>
          <w:szCs w:val="22"/>
        </w:rPr>
      </w:pPr>
    </w:p>
    <w:p w:rsidR="00B2129F" w:rsidRDefault="00B2129F" w:rsidP="00B2129F"/>
    <w:p w:rsidR="00B2129F" w:rsidRDefault="00B2129F" w:rsidP="00B2129F"/>
    <w:p w:rsidR="00B2129F" w:rsidRDefault="00B2129F" w:rsidP="00B2129F"/>
    <w:p w:rsidR="00B2129F" w:rsidRDefault="00B2129F" w:rsidP="00B2129F"/>
    <w:p w:rsidR="00B2129F" w:rsidRDefault="00B2129F" w:rsidP="00B2129F"/>
    <w:p w:rsidR="00B2129F" w:rsidRDefault="00B2129F" w:rsidP="00B2129F">
      <w:pPr>
        <w:sectPr w:rsidR="00B2129F" w:rsidSect="00B2129F">
          <w:footerReference w:type="even" r:id="rId9"/>
          <w:footerReference w:type="default" r:id="rId10"/>
          <w:pgSz w:w="12240" w:h="15840"/>
          <w:pgMar w:top="1152" w:right="1296" w:bottom="1152" w:left="1296" w:header="720" w:footer="720" w:gutter="0"/>
          <w:pgNumType w:fmt="lowerRoman" w:start="1"/>
          <w:cols w:space="720"/>
          <w:titlePg/>
          <w:docGrid w:linePitch="360"/>
        </w:sectPr>
      </w:pPr>
    </w:p>
    <w:p w:rsidR="00483F3F" w:rsidRDefault="00000000">
      <w:pPr>
        <w:pStyle w:val="Heading1"/>
      </w:pPr>
      <w:bookmarkStart w:id="1" w:name="_Toc238592619"/>
      <w:r>
        <w:lastRenderedPageBreak/>
        <w:t>1. Introduction</w:t>
      </w:r>
      <w:bookmarkEnd w:id="1"/>
    </w:p>
    <w:p w:rsidR="00483F3F" w:rsidRPr="00781217" w:rsidRDefault="00FC27DD">
      <w:pPr>
        <w:jc w:val="both"/>
        <w:rPr>
          <w:rFonts w:ascii="Arial" w:hAnsi="Arial" w:cs="Arial"/>
          <w:sz w:val="24"/>
          <w:szCs w:val="24"/>
        </w:rPr>
      </w:pPr>
      <w:r w:rsidRPr="00781217">
        <w:rPr>
          <w:rFonts w:ascii="Arial" w:hAnsi="Arial" w:cs="Arial"/>
          <w:sz w:val="24"/>
          <w:szCs w:val="24"/>
        </w:rPr>
        <w:t xml:space="preserve">The way that consumers move funds, make purchases, and communicate with financial institutions has changed as a result of the widespread use of digital payment technologies in modern banking. Their accessibility and ease of use come with service flaws and uncertainties such fraud issues, duplicate deductions, delayed payments, unsuccessful transactions, and processing mistakes. Because clients rely on organizations and technical systems to handle financial resources that they are unable to fully observe or control, these issues are especially significant in the financial services industry. According to Morgan and Hunt (1994) and Mayer, Davis, and </w:t>
      </w:r>
      <w:proofErr w:type="spellStart"/>
      <w:r w:rsidRPr="00781217">
        <w:rPr>
          <w:rFonts w:ascii="Arial" w:hAnsi="Arial" w:cs="Arial"/>
          <w:sz w:val="24"/>
          <w:szCs w:val="24"/>
        </w:rPr>
        <w:t>Schoorman</w:t>
      </w:r>
      <w:proofErr w:type="spellEnd"/>
      <w:r w:rsidRPr="00781217">
        <w:rPr>
          <w:rFonts w:ascii="Arial" w:hAnsi="Arial" w:cs="Arial"/>
          <w:sz w:val="24"/>
          <w:szCs w:val="24"/>
        </w:rPr>
        <w:t xml:space="preserve"> (1995), trust is essential to financial relationships because it reflects confidence in another party and a willingness to accept vulnerability. According to Devlin et al. (2025), current FinTech research further highlights the complexity of trust due to customers' simultaneous reliance on institutions, technologies, and governance frameworks.</w:t>
      </w:r>
    </w:p>
    <w:p w:rsidR="00483F3F" w:rsidRPr="00781217" w:rsidRDefault="00FC27DD">
      <w:pPr>
        <w:jc w:val="both"/>
        <w:rPr>
          <w:rFonts w:ascii="Arial" w:hAnsi="Arial" w:cs="Arial"/>
          <w:sz w:val="24"/>
          <w:szCs w:val="24"/>
        </w:rPr>
      </w:pPr>
      <w:r w:rsidRPr="00781217">
        <w:rPr>
          <w:rFonts w:ascii="Arial" w:hAnsi="Arial" w:cs="Arial"/>
          <w:sz w:val="24"/>
          <w:szCs w:val="24"/>
        </w:rPr>
        <w:t xml:space="preserve">It takes more than simply resolving a transaction to solve a digital payment issue. Customers assess the organization's response in terms of speed, explanation, communication, and corrective action, according to service-recovery research (Tax, Brown and </w:t>
      </w:r>
      <w:proofErr w:type="spellStart"/>
      <w:r w:rsidRPr="00781217">
        <w:rPr>
          <w:rFonts w:ascii="Arial" w:hAnsi="Arial" w:cs="Arial"/>
          <w:sz w:val="24"/>
          <w:szCs w:val="24"/>
        </w:rPr>
        <w:t>Chandrashekaran</w:t>
      </w:r>
      <w:proofErr w:type="spellEnd"/>
      <w:r w:rsidRPr="00781217">
        <w:rPr>
          <w:rFonts w:ascii="Arial" w:hAnsi="Arial" w:cs="Arial"/>
          <w:sz w:val="24"/>
          <w:szCs w:val="24"/>
        </w:rPr>
        <w:t xml:space="preserve">, 1998; Smith, Bolton and Wagner, 1999; Van </w:t>
      </w:r>
      <w:proofErr w:type="spellStart"/>
      <w:r w:rsidRPr="00781217">
        <w:rPr>
          <w:rFonts w:ascii="Arial" w:hAnsi="Arial" w:cs="Arial"/>
          <w:sz w:val="24"/>
          <w:szCs w:val="24"/>
        </w:rPr>
        <w:t>Vaerenbergh</w:t>
      </w:r>
      <w:proofErr w:type="spellEnd"/>
      <w:r w:rsidRPr="00781217">
        <w:rPr>
          <w:rFonts w:ascii="Arial" w:hAnsi="Arial" w:cs="Arial"/>
          <w:sz w:val="24"/>
          <w:szCs w:val="24"/>
        </w:rPr>
        <w:t xml:space="preserve"> and </w:t>
      </w:r>
      <w:proofErr w:type="spellStart"/>
      <w:r w:rsidRPr="00781217">
        <w:rPr>
          <w:rFonts w:ascii="Arial" w:hAnsi="Arial" w:cs="Arial"/>
          <w:sz w:val="24"/>
          <w:szCs w:val="24"/>
        </w:rPr>
        <w:t>Orsingher</w:t>
      </w:r>
      <w:proofErr w:type="spellEnd"/>
      <w:r w:rsidRPr="00781217">
        <w:rPr>
          <w:rFonts w:ascii="Arial" w:hAnsi="Arial" w:cs="Arial"/>
          <w:sz w:val="24"/>
          <w:szCs w:val="24"/>
        </w:rPr>
        <w:t xml:space="preserve">, 2016). The relationship between complaint handling and distributive, procedural, and interactional justice assessments in online recovery is supported by recent meta-analytic findings (Das et al., 2026). Therefore, justice theory offers a helpful explanation of how consumers differentiate between an organization's actions and whether the procedure, treatment, and result are deemed to be fair. Trust in a digital payment environment might not be entirely explained by fairness alone. While they remain concerned about fraud, cybersecurity, and potential financial loss, customers can assess a bank's reaction favorably. According to Protection Motivation Theory (PMT), perceived vulnerability and severity influence how people react to threats (Rogers, 1975). Threat-appraisal effects can be context-dependent rather than consistent, according to study on banking security (Naseer, </w:t>
      </w:r>
      <w:proofErr w:type="spellStart"/>
      <w:r w:rsidRPr="00781217">
        <w:rPr>
          <w:rFonts w:ascii="Arial" w:hAnsi="Arial" w:cs="Arial"/>
          <w:sz w:val="24"/>
          <w:szCs w:val="24"/>
        </w:rPr>
        <w:t>Wijayanayake</w:t>
      </w:r>
      <w:proofErr w:type="spellEnd"/>
      <w:r w:rsidRPr="00781217">
        <w:rPr>
          <w:rFonts w:ascii="Arial" w:hAnsi="Arial" w:cs="Arial"/>
          <w:sz w:val="24"/>
          <w:szCs w:val="24"/>
        </w:rPr>
        <w:t>, and Jayasinghe, 2025). This raises a potentially significant boundary-condition question: when fraud be concerned is still high, does a favorable fairness rating translate equally strongly into customer trust?</w:t>
      </w:r>
    </w:p>
    <w:p w:rsidR="00483F3F" w:rsidRPr="00781217" w:rsidRDefault="00764D36">
      <w:pPr>
        <w:jc w:val="both"/>
        <w:rPr>
          <w:rFonts w:ascii="Arial" w:hAnsi="Arial" w:cs="Arial"/>
          <w:sz w:val="24"/>
          <w:szCs w:val="24"/>
        </w:rPr>
      </w:pPr>
      <w:r w:rsidRPr="00781217">
        <w:rPr>
          <w:rFonts w:ascii="Arial" w:hAnsi="Arial" w:cs="Arial"/>
          <w:sz w:val="24"/>
          <w:szCs w:val="24"/>
        </w:rPr>
        <w:t xml:space="preserve">Therefore, rather than a lack of study on service recovery, justice, trust, or digital threat, the research gap is one of fragmented integration. The evidence that is now available supports individual and partially related linkages, but it does not clearly prove the full process by which PDRQ connects to consumer trust through perceived fairness while the relationship between fairness and trust is conditioned by fraud concerns. Nepal offers a pertinent empirical setting because previous research on digital payments in Nepal has mostly focused on adoption, security and privacy, customer experience, behavioral intention, and trust; however, there is still a dearth of evidence that directly examines how dispute-resolution quality relates to customer trust through perceived fairness and under conditions of fraud concern (Poudel et al., 2023; </w:t>
      </w:r>
      <w:proofErr w:type="spellStart"/>
      <w:r w:rsidRPr="00781217">
        <w:rPr>
          <w:rFonts w:ascii="Arial" w:hAnsi="Arial" w:cs="Arial"/>
          <w:sz w:val="24"/>
          <w:szCs w:val="24"/>
        </w:rPr>
        <w:t>Bajracharya</w:t>
      </w:r>
      <w:proofErr w:type="spellEnd"/>
      <w:r w:rsidRPr="00781217">
        <w:rPr>
          <w:rFonts w:ascii="Arial" w:hAnsi="Arial" w:cs="Arial"/>
          <w:sz w:val="24"/>
          <w:szCs w:val="24"/>
        </w:rPr>
        <w:t xml:space="preserve">, 2024; </w:t>
      </w:r>
      <w:proofErr w:type="spellStart"/>
      <w:r w:rsidRPr="00781217">
        <w:rPr>
          <w:rFonts w:ascii="Arial" w:hAnsi="Arial" w:cs="Arial"/>
          <w:sz w:val="24"/>
          <w:szCs w:val="24"/>
        </w:rPr>
        <w:t>Dhakal</w:t>
      </w:r>
      <w:proofErr w:type="spellEnd"/>
      <w:r w:rsidRPr="00781217">
        <w:rPr>
          <w:rFonts w:ascii="Arial" w:hAnsi="Arial" w:cs="Arial"/>
          <w:sz w:val="24"/>
          <w:szCs w:val="24"/>
        </w:rPr>
        <w:t xml:space="preserve"> and Acharya, 2024; Kumar et al., 2026). Since the survey does not need prior dispute experience and </w:t>
      </w:r>
      <w:r w:rsidRPr="00781217">
        <w:rPr>
          <w:rFonts w:ascii="Arial" w:hAnsi="Arial" w:cs="Arial"/>
          <w:sz w:val="24"/>
          <w:szCs w:val="24"/>
        </w:rPr>
        <w:lastRenderedPageBreak/>
        <w:t xml:space="preserve">focuses on active digital payment users between the ages of 18 and 35, PDRQ represents perceived bank competence rather than an objective audit of actual recovery </w:t>
      </w:r>
      <w:proofErr w:type="gramStart"/>
      <w:r w:rsidRPr="00781217">
        <w:rPr>
          <w:rFonts w:ascii="Arial" w:hAnsi="Arial" w:cs="Arial"/>
          <w:sz w:val="24"/>
          <w:szCs w:val="24"/>
        </w:rPr>
        <w:t>performance..</w:t>
      </w:r>
      <w:proofErr w:type="gramEnd"/>
    </w:p>
    <w:p w:rsidR="00483F3F" w:rsidRPr="00781217" w:rsidRDefault="00764D36">
      <w:pPr>
        <w:jc w:val="both"/>
        <w:rPr>
          <w:rFonts w:ascii="Arial" w:hAnsi="Arial" w:cs="Arial"/>
          <w:sz w:val="24"/>
          <w:szCs w:val="24"/>
        </w:rPr>
      </w:pPr>
      <w:r w:rsidRPr="00781217">
        <w:rPr>
          <w:rFonts w:ascii="Arial" w:hAnsi="Arial" w:cs="Arial"/>
          <w:sz w:val="24"/>
          <w:szCs w:val="24"/>
        </w:rPr>
        <w:t>The study's practical relevance originates from the fact that dispute resolution is one of the ways that consumers can assess a bank's capacity and willingness to react when the digital payment system fails to function as anticipated. Disputes, in contrast to regular transactions, make organizational processes, communication quality, and accountability for correction exceptionally obvious. This implies that recovery capabilities for banks may have an impact on consumers' perceptions of institutional competence and dependability in addition to the outcome of a specific transaction. Without considering adoption or ongoing usage as the main goal, the environment offers researchers a chance to link service-recovery theory with digital-finance trust and danger assessment. Rather than being a conclusive population test, the study is purposefully positioned as a pilot-scale quantitative evaluation. Therefore, it is useful for determining whether the suggested constructs are measurable, whether the empirical relationships match the theoretical model, and whether the model needs to be adjusted or cautioned. This is especially crucial for the mediation and moderation hypotheses, which are kept because of their theoretical value rather than because their importance is predetermined.</w:t>
      </w:r>
    </w:p>
    <w:p w:rsidR="00764D36" w:rsidRPr="00781217" w:rsidRDefault="00764D36">
      <w:pPr>
        <w:jc w:val="both"/>
        <w:rPr>
          <w:rFonts w:ascii="Arial" w:hAnsi="Arial" w:cs="Arial"/>
          <w:sz w:val="24"/>
          <w:szCs w:val="24"/>
        </w:rPr>
      </w:pPr>
      <w:r w:rsidRPr="00781217">
        <w:rPr>
          <w:rFonts w:ascii="Arial" w:hAnsi="Arial" w:cs="Arial"/>
          <w:sz w:val="24"/>
          <w:szCs w:val="24"/>
        </w:rPr>
        <w:t>The purpose of the study is to investigate how young digital payment users in Nepalese banks, ages 18 to 35, evaluate the quality of digital payment dispute resolution in relation to consumer trust, both in terms of perceived fairness and when fraud is a concern.</w:t>
      </w:r>
    </w:p>
    <w:p w:rsidR="00483F3F" w:rsidRPr="00781217" w:rsidRDefault="00764D36">
      <w:pPr>
        <w:jc w:val="both"/>
        <w:rPr>
          <w:rFonts w:ascii="Arial" w:hAnsi="Arial" w:cs="Arial"/>
          <w:sz w:val="24"/>
          <w:szCs w:val="24"/>
        </w:rPr>
      </w:pPr>
      <w:r w:rsidRPr="00781217">
        <w:rPr>
          <w:rFonts w:ascii="Arial" w:hAnsi="Arial" w:cs="Arial"/>
          <w:sz w:val="24"/>
          <w:szCs w:val="24"/>
        </w:rPr>
        <w:t xml:space="preserve">Research question: How much do young digital-payment users in Nepalese banks, ages 18 to 35, view the quality of digital payment dispute resolution in connection to customer trust, and what roles do </w:t>
      </w:r>
      <w:proofErr w:type="gramStart"/>
      <w:r w:rsidRPr="00781217">
        <w:rPr>
          <w:rFonts w:ascii="Arial" w:hAnsi="Arial" w:cs="Arial"/>
          <w:sz w:val="24"/>
          <w:szCs w:val="24"/>
        </w:rPr>
        <w:t>perceived</w:t>
      </w:r>
      <w:proofErr w:type="gramEnd"/>
      <w:r w:rsidRPr="00781217">
        <w:rPr>
          <w:rFonts w:ascii="Arial" w:hAnsi="Arial" w:cs="Arial"/>
          <w:sz w:val="24"/>
          <w:szCs w:val="24"/>
        </w:rPr>
        <w:t xml:space="preserve"> fairness and fraud concern play in understanding this relationship?</w:t>
      </w:r>
    </w:p>
    <w:p w:rsidR="00A90953" w:rsidRPr="00781217" w:rsidRDefault="00A90953">
      <w:pPr>
        <w:jc w:val="both"/>
        <w:rPr>
          <w:rFonts w:ascii="Arial" w:hAnsi="Arial" w:cs="Arial"/>
          <w:sz w:val="24"/>
          <w:szCs w:val="24"/>
        </w:rPr>
      </w:pPr>
      <w:r w:rsidRPr="00781217">
        <w:rPr>
          <w:rFonts w:ascii="Arial" w:hAnsi="Arial" w:cs="Arial"/>
          <w:sz w:val="24"/>
          <w:szCs w:val="24"/>
        </w:rPr>
        <w:t xml:space="preserve">Research objectives: </w:t>
      </w:r>
    </w:p>
    <w:p w:rsidR="00833138" w:rsidRPr="00781217" w:rsidRDefault="00833138" w:rsidP="00DC4B7C">
      <w:pPr>
        <w:pStyle w:val="ListParagraph"/>
        <w:numPr>
          <w:ilvl w:val="0"/>
          <w:numId w:val="11"/>
        </w:numPr>
        <w:jc w:val="both"/>
        <w:rPr>
          <w:rFonts w:ascii="Arial" w:eastAsia="Times New Roman" w:hAnsi="Arial" w:cs="Arial"/>
          <w:sz w:val="24"/>
          <w:szCs w:val="24"/>
        </w:rPr>
      </w:pPr>
      <w:r w:rsidRPr="00781217">
        <w:rPr>
          <w:rFonts w:ascii="Arial" w:eastAsia="Times New Roman" w:hAnsi="Arial" w:cs="Arial"/>
          <w:sz w:val="24"/>
          <w:szCs w:val="24"/>
        </w:rPr>
        <w:t>to investigate the connection between perceived fairness and the quality of digital payment dispute settlement.</w:t>
      </w:r>
    </w:p>
    <w:p w:rsidR="00833138" w:rsidRPr="00781217" w:rsidRDefault="00833138" w:rsidP="00DC4B7C">
      <w:pPr>
        <w:pStyle w:val="ListParagraph"/>
        <w:numPr>
          <w:ilvl w:val="0"/>
          <w:numId w:val="11"/>
        </w:numPr>
        <w:jc w:val="both"/>
        <w:rPr>
          <w:rFonts w:ascii="Arial" w:eastAsia="Times New Roman" w:hAnsi="Arial" w:cs="Arial"/>
          <w:sz w:val="24"/>
          <w:szCs w:val="24"/>
        </w:rPr>
      </w:pPr>
      <w:r w:rsidRPr="00781217">
        <w:rPr>
          <w:rFonts w:ascii="Arial" w:eastAsia="Times New Roman" w:hAnsi="Arial" w:cs="Arial"/>
          <w:sz w:val="24"/>
          <w:szCs w:val="24"/>
        </w:rPr>
        <w:t>to investigate the connection between consumer trust and perceived fairness.</w:t>
      </w:r>
    </w:p>
    <w:p w:rsidR="00833138" w:rsidRPr="00781217" w:rsidRDefault="00833138" w:rsidP="00DC4B7C">
      <w:pPr>
        <w:pStyle w:val="ListParagraph"/>
        <w:numPr>
          <w:ilvl w:val="0"/>
          <w:numId w:val="11"/>
        </w:numPr>
        <w:jc w:val="both"/>
        <w:rPr>
          <w:rFonts w:ascii="Arial" w:eastAsia="Times New Roman" w:hAnsi="Arial" w:cs="Arial"/>
          <w:sz w:val="24"/>
          <w:szCs w:val="24"/>
        </w:rPr>
      </w:pPr>
      <w:r w:rsidRPr="00781217">
        <w:rPr>
          <w:rFonts w:ascii="Arial" w:eastAsia="Times New Roman" w:hAnsi="Arial" w:cs="Arial"/>
          <w:sz w:val="24"/>
          <w:szCs w:val="24"/>
        </w:rPr>
        <w:t>to evaluate the connection between customer trust and the perceived quality of digital payment dispute resolution.</w:t>
      </w:r>
    </w:p>
    <w:p w:rsidR="00833138" w:rsidRPr="00781217" w:rsidRDefault="00833138" w:rsidP="00DC4B7C">
      <w:pPr>
        <w:pStyle w:val="ListParagraph"/>
        <w:numPr>
          <w:ilvl w:val="0"/>
          <w:numId w:val="11"/>
        </w:numPr>
        <w:jc w:val="both"/>
        <w:rPr>
          <w:rFonts w:ascii="Arial" w:eastAsia="Times New Roman" w:hAnsi="Arial" w:cs="Arial"/>
          <w:sz w:val="24"/>
          <w:szCs w:val="24"/>
        </w:rPr>
      </w:pPr>
      <w:r w:rsidRPr="00781217">
        <w:rPr>
          <w:rFonts w:ascii="Arial" w:eastAsia="Times New Roman" w:hAnsi="Arial" w:cs="Arial"/>
          <w:sz w:val="24"/>
          <w:szCs w:val="24"/>
        </w:rPr>
        <w:t>to ascertain whether consumer trust and perceived digital payment dispute resolution quality are mediated by perceived fairness.</w:t>
      </w:r>
    </w:p>
    <w:p w:rsidR="00833138" w:rsidRPr="00781217" w:rsidRDefault="00833138" w:rsidP="00DC4B7C">
      <w:pPr>
        <w:pStyle w:val="ListParagraph"/>
        <w:numPr>
          <w:ilvl w:val="0"/>
          <w:numId w:val="11"/>
        </w:numPr>
        <w:jc w:val="both"/>
        <w:rPr>
          <w:rFonts w:ascii="Arial" w:eastAsia="Times New Roman" w:hAnsi="Arial" w:cs="Arial"/>
          <w:sz w:val="24"/>
          <w:szCs w:val="24"/>
        </w:rPr>
      </w:pPr>
      <w:r w:rsidRPr="00781217">
        <w:rPr>
          <w:rFonts w:ascii="Arial" w:eastAsia="Times New Roman" w:hAnsi="Arial" w:cs="Arial"/>
          <w:sz w:val="24"/>
          <w:szCs w:val="24"/>
        </w:rPr>
        <w:t>to investigate if the relationship between perceived fairness and customer trust is moderated by fraud concern.</w:t>
      </w:r>
    </w:p>
    <w:p w:rsidR="00206447" w:rsidRPr="00781217" w:rsidRDefault="00833138" w:rsidP="00DC4B7C">
      <w:pPr>
        <w:pStyle w:val="ListParagraph"/>
        <w:numPr>
          <w:ilvl w:val="0"/>
          <w:numId w:val="11"/>
        </w:numPr>
        <w:jc w:val="both"/>
        <w:rPr>
          <w:rFonts w:ascii="Arial" w:hAnsi="Arial" w:cs="Arial"/>
          <w:sz w:val="24"/>
          <w:szCs w:val="24"/>
        </w:rPr>
      </w:pPr>
      <w:r w:rsidRPr="00781217">
        <w:rPr>
          <w:rFonts w:ascii="Arial" w:eastAsia="Times New Roman" w:hAnsi="Arial" w:cs="Arial"/>
          <w:sz w:val="24"/>
          <w:szCs w:val="24"/>
        </w:rPr>
        <w:t>To determine whether the degree of fraud concern influences the indirect impact of perceived fairness in digital payment dispute resolution on customer trust</w:t>
      </w:r>
    </w:p>
    <w:p w:rsidR="00206447" w:rsidRDefault="00206447">
      <w:pPr>
        <w:pStyle w:val="Heading1"/>
      </w:pPr>
    </w:p>
    <w:p w:rsidR="00483F3F" w:rsidRDefault="00000000">
      <w:pPr>
        <w:pStyle w:val="Heading1"/>
      </w:pPr>
      <w:bookmarkStart w:id="2" w:name="_Toc238592620"/>
      <w:r>
        <w:t>2. Critical Literature Review and Hypothesis Development</w:t>
      </w:r>
      <w:bookmarkEnd w:id="2"/>
    </w:p>
    <w:p w:rsidR="00483F3F" w:rsidRDefault="00000000">
      <w:pPr>
        <w:pStyle w:val="Heading2"/>
      </w:pPr>
      <w:bookmarkStart w:id="3" w:name="_Toc238592621"/>
      <w:r>
        <w:t>2.1 Service Recovery, PDRQ and Perceived Fairness</w:t>
      </w:r>
      <w:bookmarkEnd w:id="3"/>
    </w:p>
    <w:p w:rsidR="00483F3F" w:rsidRPr="00781217" w:rsidRDefault="00764D36">
      <w:pPr>
        <w:jc w:val="both"/>
        <w:rPr>
          <w:rFonts w:ascii="Arial" w:hAnsi="Arial" w:cs="Arial"/>
          <w:sz w:val="24"/>
          <w:szCs w:val="24"/>
        </w:rPr>
      </w:pPr>
      <w:r w:rsidRPr="00781217">
        <w:rPr>
          <w:rFonts w:ascii="Arial" w:hAnsi="Arial" w:cs="Arial"/>
          <w:sz w:val="24"/>
          <w:szCs w:val="24"/>
        </w:rPr>
        <w:t xml:space="preserve">Instead </w:t>
      </w:r>
      <w:r w:rsidR="00C4286B" w:rsidRPr="00781217">
        <w:rPr>
          <w:rFonts w:ascii="Arial" w:hAnsi="Arial" w:cs="Arial"/>
          <w:sz w:val="24"/>
          <w:szCs w:val="24"/>
        </w:rPr>
        <w:t>of</w:t>
      </w:r>
      <w:r w:rsidRPr="00781217">
        <w:rPr>
          <w:rFonts w:ascii="Arial" w:hAnsi="Arial" w:cs="Arial"/>
          <w:sz w:val="24"/>
          <w:szCs w:val="24"/>
        </w:rPr>
        <w:t xml:space="preserve"> focusing only on technical improvements, service recovery addresses organizational reactions following a service failure.  According to foundational studies, recovery aspects that affect consumers' post-failure assessments include speed, explanations, communication, compensation, and corrective action (Tax, Brown, and </w:t>
      </w:r>
      <w:proofErr w:type="spellStart"/>
      <w:r w:rsidRPr="00781217">
        <w:rPr>
          <w:rFonts w:ascii="Arial" w:hAnsi="Arial" w:cs="Arial"/>
          <w:sz w:val="24"/>
          <w:szCs w:val="24"/>
        </w:rPr>
        <w:t>Chandrashekaran</w:t>
      </w:r>
      <w:proofErr w:type="spellEnd"/>
      <w:r w:rsidRPr="00781217">
        <w:rPr>
          <w:rFonts w:ascii="Arial" w:hAnsi="Arial" w:cs="Arial"/>
          <w:sz w:val="24"/>
          <w:szCs w:val="24"/>
        </w:rPr>
        <w:t xml:space="preserve">, 1998; Smith, Bolton, and Wagner, 1999). Recovery is conceptualized as a process that shapes post-failure judgments by Van </w:t>
      </w:r>
      <w:proofErr w:type="spellStart"/>
      <w:r w:rsidRPr="00781217">
        <w:rPr>
          <w:rFonts w:ascii="Arial" w:hAnsi="Arial" w:cs="Arial"/>
          <w:sz w:val="24"/>
          <w:szCs w:val="24"/>
        </w:rPr>
        <w:t>Vaerenbergh</w:t>
      </w:r>
      <w:proofErr w:type="spellEnd"/>
      <w:r w:rsidRPr="00781217">
        <w:rPr>
          <w:rFonts w:ascii="Arial" w:hAnsi="Arial" w:cs="Arial"/>
          <w:sz w:val="24"/>
          <w:szCs w:val="24"/>
        </w:rPr>
        <w:t xml:space="preserve"> and </w:t>
      </w:r>
      <w:proofErr w:type="spellStart"/>
      <w:r w:rsidRPr="00781217">
        <w:rPr>
          <w:rFonts w:ascii="Arial" w:hAnsi="Arial" w:cs="Arial"/>
          <w:sz w:val="24"/>
          <w:szCs w:val="24"/>
        </w:rPr>
        <w:t>Orsingher</w:t>
      </w:r>
      <w:proofErr w:type="spellEnd"/>
      <w:r w:rsidRPr="00781217">
        <w:rPr>
          <w:rFonts w:ascii="Arial" w:hAnsi="Arial" w:cs="Arial"/>
          <w:sz w:val="24"/>
          <w:szCs w:val="24"/>
        </w:rPr>
        <w:t xml:space="preserve"> (2016). Effective online complaint handling enhances distributive, procedural, and interactional justice assessments, according to cumulative meta-analytic evidence presented by Das et al. (2026). Recovery in banking is not limited to front-line encounters; it is also integrated into organizational structures and coordination mechanisms (Rao et al., 2024).</w:t>
      </w:r>
    </w:p>
    <w:p w:rsidR="00483F3F" w:rsidRPr="00781217" w:rsidRDefault="00764D36">
      <w:pPr>
        <w:jc w:val="both"/>
        <w:rPr>
          <w:rFonts w:ascii="Arial" w:hAnsi="Arial" w:cs="Arial"/>
          <w:sz w:val="24"/>
          <w:szCs w:val="24"/>
        </w:rPr>
      </w:pPr>
      <w:r w:rsidRPr="00781217">
        <w:rPr>
          <w:rFonts w:ascii="Arial" w:hAnsi="Arial" w:cs="Arial"/>
          <w:sz w:val="24"/>
          <w:szCs w:val="24"/>
        </w:rPr>
        <w:t>Therefore, the current study conceptualizes PDRQ as the customers' evaluation of the bank's ability to resolve disputes in a timely, transparent, and communicative manner. While perceived fairness refers to the customer's assessment of whether processes, treatment, and results are fair, PDRQ focuses on perceived organizational responsiveness. The idea that stronger fairness assessments are linked to better perceived handling is supported by this conceptual division.</w:t>
      </w:r>
    </w:p>
    <w:p w:rsidR="00483F3F" w:rsidRPr="00781217" w:rsidRDefault="00000000">
      <w:pPr>
        <w:jc w:val="both"/>
        <w:rPr>
          <w:rFonts w:ascii="Arial" w:hAnsi="Arial" w:cs="Arial"/>
          <w:sz w:val="24"/>
          <w:szCs w:val="24"/>
        </w:rPr>
      </w:pPr>
      <w:r w:rsidRPr="00781217">
        <w:rPr>
          <w:rFonts w:ascii="Arial" w:hAnsi="Arial" w:cs="Arial"/>
          <w:sz w:val="24"/>
          <w:szCs w:val="24"/>
        </w:rPr>
        <w:t xml:space="preserve">H1: </w:t>
      </w:r>
      <w:r w:rsidR="00C321DB" w:rsidRPr="00781217">
        <w:rPr>
          <w:rFonts w:ascii="Arial" w:hAnsi="Arial" w:cs="Arial"/>
          <w:sz w:val="24"/>
          <w:szCs w:val="24"/>
        </w:rPr>
        <w:t>Perceived fairness and perceived digital payment dispute resolution quality are positively correlated.</w:t>
      </w:r>
    </w:p>
    <w:p w:rsidR="00483F3F" w:rsidRDefault="00000000">
      <w:pPr>
        <w:pStyle w:val="Heading2"/>
      </w:pPr>
      <w:bookmarkStart w:id="4" w:name="_Toc238592622"/>
      <w:r>
        <w:t>2.2 Perceived Fairness and Customer Trust</w:t>
      </w:r>
      <w:bookmarkEnd w:id="4"/>
    </w:p>
    <w:p w:rsidR="00483F3F" w:rsidRPr="00781217" w:rsidRDefault="00764D36">
      <w:pPr>
        <w:jc w:val="both"/>
        <w:rPr>
          <w:rFonts w:ascii="Arial" w:hAnsi="Arial" w:cs="Arial"/>
          <w:sz w:val="24"/>
          <w:szCs w:val="24"/>
        </w:rPr>
      </w:pPr>
      <w:r w:rsidRPr="00781217">
        <w:rPr>
          <w:rFonts w:ascii="Arial" w:hAnsi="Arial" w:cs="Arial"/>
          <w:sz w:val="24"/>
          <w:szCs w:val="24"/>
        </w:rPr>
        <w:t xml:space="preserve">Distributive justice (fairness of </w:t>
      </w:r>
      <w:r w:rsidR="00162021">
        <w:rPr>
          <w:rFonts w:ascii="Arial" w:hAnsi="Arial" w:cs="Arial"/>
          <w:sz w:val="24"/>
          <w:szCs w:val="24"/>
        </w:rPr>
        <w:t>outcomes</w:t>
      </w:r>
      <w:r w:rsidRPr="00781217">
        <w:rPr>
          <w:rFonts w:ascii="Arial" w:hAnsi="Arial" w:cs="Arial"/>
          <w:sz w:val="24"/>
          <w:szCs w:val="24"/>
        </w:rPr>
        <w:t xml:space="preserve">), procedural justice (fairness of </w:t>
      </w:r>
      <w:r w:rsidR="00162021">
        <w:rPr>
          <w:rFonts w:ascii="Arial" w:hAnsi="Arial" w:cs="Arial"/>
          <w:sz w:val="24"/>
          <w:szCs w:val="24"/>
        </w:rPr>
        <w:t>process</w:t>
      </w:r>
      <w:r w:rsidRPr="00781217">
        <w:rPr>
          <w:rFonts w:ascii="Arial" w:hAnsi="Arial" w:cs="Arial"/>
          <w:sz w:val="24"/>
          <w:szCs w:val="24"/>
        </w:rPr>
        <w:t xml:space="preserve">), and interactional justice (fairness of interpersonal treatment) are all distinguished by justice theory (Tax, Brown, and </w:t>
      </w:r>
      <w:proofErr w:type="spellStart"/>
      <w:r w:rsidRPr="00781217">
        <w:rPr>
          <w:rFonts w:ascii="Arial" w:hAnsi="Arial" w:cs="Arial"/>
          <w:sz w:val="24"/>
          <w:szCs w:val="24"/>
        </w:rPr>
        <w:t>Chandrashekaran</w:t>
      </w:r>
      <w:proofErr w:type="spellEnd"/>
      <w:r w:rsidRPr="00781217">
        <w:rPr>
          <w:rFonts w:ascii="Arial" w:hAnsi="Arial" w:cs="Arial"/>
          <w:sz w:val="24"/>
          <w:szCs w:val="24"/>
        </w:rPr>
        <w:t>, 1998; Smith, Bolton, and Wagner, 1999). This explains why a slow, inadequately described, or disrespectful process can nonetheless have a negative impact on a technically accurate financial outcome. On the other hand, even in cases where the issue is challenging, respectful communication and open procedures may enhance the customer's assessment.</w:t>
      </w:r>
    </w:p>
    <w:p w:rsidR="00483F3F" w:rsidRPr="00781217" w:rsidRDefault="00E54CC5">
      <w:pPr>
        <w:jc w:val="both"/>
        <w:rPr>
          <w:rFonts w:ascii="Arial" w:hAnsi="Arial" w:cs="Arial"/>
          <w:sz w:val="24"/>
          <w:szCs w:val="24"/>
        </w:rPr>
      </w:pPr>
      <w:r w:rsidRPr="00781217">
        <w:rPr>
          <w:rFonts w:ascii="Arial" w:hAnsi="Arial" w:cs="Arial"/>
          <w:sz w:val="24"/>
          <w:szCs w:val="24"/>
        </w:rPr>
        <w:t>Despite differences in downstream mechanisms, empirical data demonstrates the significance of fairness. Using 445 online banking c</w:t>
      </w:r>
      <w:r w:rsidR="00162021">
        <w:rPr>
          <w:rFonts w:ascii="Arial" w:hAnsi="Arial" w:cs="Arial"/>
          <w:sz w:val="24"/>
          <w:szCs w:val="24"/>
        </w:rPr>
        <w:t>ustomers</w:t>
      </w:r>
      <w:r w:rsidRPr="00781217">
        <w:rPr>
          <w:rFonts w:ascii="Arial" w:hAnsi="Arial" w:cs="Arial"/>
          <w:sz w:val="24"/>
          <w:szCs w:val="24"/>
        </w:rPr>
        <w:t xml:space="preserve"> who had experienced service failure, Ali et al. (2025) discovered that distributive, procedural, and interactional justice had a beneficial impact on </w:t>
      </w:r>
      <w:r w:rsidR="00162021">
        <w:rPr>
          <w:rFonts w:ascii="Arial" w:hAnsi="Arial" w:cs="Arial"/>
          <w:sz w:val="24"/>
          <w:szCs w:val="24"/>
        </w:rPr>
        <w:t>after</w:t>
      </w:r>
      <w:r w:rsidRPr="00781217">
        <w:rPr>
          <w:rFonts w:ascii="Arial" w:hAnsi="Arial" w:cs="Arial"/>
          <w:sz w:val="24"/>
          <w:szCs w:val="24"/>
        </w:rPr>
        <w:t xml:space="preserve">-recovery satisfaction, which in turn promoted commitment, trust, and behavioral intentions. Using 1,620 financial service consumers, Lin and Liu (2025) discovered that while legal understanding conditioned some interactions, perceived fairness was linked to institutional confidence in financial ADR. These studies do not identify the precise mechanism examined here, but they do show a relationship between </w:t>
      </w:r>
      <w:r w:rsidRPr="00781217">
        <w:rPr>
          <w:rFonts w:ascii="Arial" w:hAnsi="Arial" w:cs="Arial"/>
          <w:sz w:val="24"/>
          <w:szCs w:val="24"/>
        </w:rPr>
        <w:lastRenderedPageBreak/>
        <w:t xml:space="preserve">fairness and trust. Because consumers accept vulnerability while relying on institutions to protect money and carry out transactions, trust is particularly important in the financial services industry (Mayer, Davis, and </w:t>
      </w:r>
      <w:proofErr w:type="spellStart"/>
      <w:r w:rsidRPr="00781217">
        <w:rPr>
          <w:rFonts w:ascii="Arial" w:hAnsi="Arial" w:cs="Arial"/>
          <w:sz w:val="24"/>
          <w:szCs w:val="24"/>
        </w:rPr>
        <w:t>Schoorman</w:t>
      </w:r>
      <w:proofErr w:type="spellEnd"/>
      <w:r w:rsidRPr="00781217">
        <w:rPr>
          <w:rFonts w:ascii="Arial" w:hAnsi="Arial" w:cs="Arial"/>
          <w:sz w:val="24"/>
          <w:szCs w:val="24"/>
        </w:rPr>
        <w:t>, 1995).</w:t>
      </w:r>
    </w:p>
    <w:p w:rsidR="00483F3F" w:rsidRPr="00781217" w:rsidRDefault="00000000">
      <w:pPr>
        <w:jc w:val="both"/>
        <w:rPr>
          <w:rFonts w:ascii="Arial" w:hAnsi="Arial" w:cs="Arial"/>
          <w:sz w:val="24"/>
          <w:szCs w:val="24"/>
        </w:rPr>
      </w:pPr>
      <w:r w:rsidRPr="00781217">
        <w:rPr>
          <w:rFonts w:ascii="Arial" w:hAnsi="Arial" w:cs="Arial"/>
          <w:sz w:val="24"/>
          <w:szCs w:val="24"/>
        </w:rPr>
        <w:t xml:space="preserve">H2: </w:t>
      </w:r>
      <w:r w:rsidR="00C321DB" w:rsidRPr="00781217">
        <w:rPr>
          <w:rFonts w:ascii="Arial" w:hAnsi="Arial" w:cs="Arial"/>
          <w:sz w:val="24"/>
          <w:szCs w:val="24"/>
        </w:rPr>
        <w:t>Customer trust is strongly correlated with perceived fairness.</w:t>
      </w:r>
    </w:p>
    <w:p w:rsidR="00483F3F" w:rsidRDefault="00000000">
      <w:pPr>
        <w:pStyle w:val="Heading2"/>
      </w:pPr>
      <w:bookmarkStart w:id="5" w:name="_Toc238592623"/>
      <w:r>
        <w:t>2.3 Direct PDRQ–Customer Trust Relationship</w:t>
      </w:r>
      <w:bookmarkEnd w:id="5"/>
    </w:p>
    <w:p w:rsidR="00483F3F" w:rsidRPr="00781217" w:rsidRDefault="00856DA9">
      <w:pPr>
        <w:jc w:val="both"/>
        <w:rPr>
          <w:rFonts w:ascii="Arial" w:hAnsi="Arial" w:cs="Arial"/>
          <w:sz w:val="24"/>
          <w:szCs w:val="24"/>
        </w:rPr>
      </w:pPr>
      <w:r w:rsidRPr="00781217">
        <w:rPr>
          <w:rFonts w:ascii="Arial" w:hAnsi="Arial" w:cs="Arial"/>
          <w:sz w:val="24"/>
          <w:szCs w:val="24"/>
        </w:rPr>
        <w:t xml:space="preserve">A portion of the relationship between conflict resolution and trust may be explained by fairness, but it would be premature to assume full mediation. Relationship repercussions result from resolving complaints (Tax, Brown, and </w:t>
      </w:r>
      <w:proofErr w:type="spellStart"/>
      <w:r w:rsidRPr="00781217">
        <w:rPr>
          <w:rFonts w:ascii="Arial" w:hAnsi="Arial" w:cs="Arial"/>
          <w:sz w:val="24"/>
          <w:szCs w:val="24"/>
        </w:rPr>
        <w:t>Chandrashekaran</w:t>
      </w:r>
      <w:proofErr w:type="spellEnd"/>
      <w:r w:rsidRPr="00781217">
        <w:rPr>
          <w:rFonts w:ascii="Arial" w:hAnsi="Arial" w:cs="Arial"/>
          <w:sz w:val="24"/>
          <w:szCs w:val="24"/>
        </w:rPr>
        <w:t>, 1998), and recovery activities can immediately convey competence, dependability, and responsiveness. In the financial services industry, Raza et al. (2023) demonstrate that an apology, an explanation, and an investigation restore several aspects of confidence, and that the degree of failure can alter the efficacy of recovery. Organizational recovery potential is further emphasized by Rao et al. (2024). As a result, a bank that is seen as prompt, open, and communicative may both directly indicate reliability and influence perceptions of justice.</w:t>
      </w:r>
    </w:p>
    <w:p w:rsidR="00483F3F" w:rsidRPr="00781217" w:rsidRDefault="00000000">
      <w:pPr>
        <w:jc w:val="both"/>
        <w:rPr>
          <w:rFonts w:ascii="Arial" w:hAnsi="Arial" w:cs="Arial"/>
          <w:sz w:val="24"/>
          <w:szCs w:val="24"/>
        </w:rPr>
      </w:pPr>
      <w:r w:rsidRPr="00781217">
        <w:rPr>
          <w:rFonts w:ascii="Arial" w:hAnsi="Arial" w:cs="Arial"/>
          <w:sz w:val="24"/>
          <w:szCs w:val="24"/>
        </w:rPr>
        <w:t xml:space="preserve">H3: </w:t>
      </w:r>
      <w:r w:rsidR="00C321DB" w:rsidRPr="00781217">
        <w:rPr>
          <w:rFonts w:ascii="Arial" w:hAnsi="Arial" w:cs="Arial"/>
          <w:sz w:val="24"/>
          <w:szCs w:val="24"/>
        </w:rPr>
        <w:t>Customer trust is positively correlated with perceived quality of digital payment dispute resolution.</w:t>
      </w:r>
    </w:p>
    <w:p w:rsidR="00483F3F" w:rsidRDefault="00000000">
      <w:pPr>
        <w:pStyle w:val="Heading2"/>
      </w:pPr>
      <w:bookmarkStart w:id="6" w:name="_Toc238592624"/>
      <w:r>
        <w:t>2.4 Perceived Fairness as a Mediating Mechanism</w:t>
      </w:r>
      <w:bookmarkEnd w:id="6"/>
    </w:p>
    <w:p w:rsidR="00483F3F" w:rsidRPr="00781217" w:rsidRDefault="00E54CC5">
      <w:pPr>
        <w:jc w:val="both"/>
        <w:rPr>
          <w:rFonts w:ascii="Arial" w:hAnsi="Arial" w:cs="Arial"/>
          <w:sz w:val="24"/>
          <w:szCs w:val="24"/>
        </w:rPr>
      </w:pPr>
      <w:r w:rsidRPr="00781217">
        <w:rPr>
          <w:rFonts w:ascii="Arial" w:hAnsi="Arial" w:cs="Arial"/>
          <w:sz w:val="24"/>
          <w:szCs w:val="24"/>
        </w:rPr>
        <w:t>Three stages are integrated into the suggested mediation: service recovery deals with the organization's actions, justice theory deals with how consumers assess those acts, and trust theory deals with the subsequent broader relational judgment. These component relationships are supported by existing research, albeit their processes vary. Justice and recovery traits are linked by Smith, Bolton, and Wagner (1999); post-recovery satisfaction is linked to justice and trust-related outcomes by Ali et al. (2025); and broader post-recovery responses are included by Das et al. (2026). Therefore, it is still empirically unclear if total perceived justice transfers the relationship from PDRQ to customer trust.</w:t>
      </w:r>
    </w:p>
    <w:p w:rsidR="00483F3F" w:rsidRPr="00781217" w:rsidRDefault="00000000">
      <w:pPr>
        <w:jc w:val="both"/>
        <w:rPr>
          <w:rFonts w:ascii="Arial" w:hAnsi="Arial" w:cs="Arial"/>
          <w:sz w:val="24"/>
          <w:szCs w:val="24"/>
        </w:rPr>
      </w:pPr>
      <w:r w:rsidRPr="00781217">
        <w:rPr>
          <w:rFonts w:ascii="Arial" w:hAnsi="Arial" w:cs="Arial"/>
          <w:sz w:val="24"/>
          <w:szCs w:val="24"/>
        </w:rPr>
        <w:t xml:space="preserve">H4: </w:t>
      </w:r>
      <w:r w:rsidR="00C321DB" w:rsidRPr="00781217">
        <w:rPr>
          <w:rFonts w:ascii="Arial" w:hAnsi="Arial" w:cs="Arial"/>
          <w:sz w:val="24"/>
          <w:szCs w:val="24"/>
        </w:rPr>
        <w:t>Customer trust and perceived digital payment dispute resolution quality are mediated by perceived fairness.</w:t>
      </w:r>
    </w:p>
    <w:p w:rsidR="00483F3F" w:rsidRDefault="00000000">
      <w:pPr>
        <w:pStyle w:val="Heading2"/>
      </w:pPr>
      <w:bookmarkStart w:id="7" w:name="_Toc238592625"/>
      <w:r>
        <w:t>2.5 Fraud Concern as a Boundary Condition</w:t>
      </w:r>
      <w:bookmarkEnd w:id="7"/>
    </w:p>
    <w:p w:rsidR="00483F3F" w:rsidRPr="00781217" w:rsidRDefault="00E54CC5">
      <w:pPr>
        <w:jc w:val="both"/>
        <w:rPr>
          <w:rFonts w:ascii="Arial" w:hAnsi="Arial" w:cs="Arial"/>
          <w:sz w:val="24"/>
          <w:szCs w:val="24"/>
        </w:rPr>
      </w:pPr>
      <w:r w:rsidRPr="00781217">
        <w:rPr>
          <w:rFonts w:ascii="Arial" w:hAnsi="Arial" w:cs="Arial"/>
          <w:sz w:val="24"/>
          <w:szCs w:val="24"/>
        </w:rPr>
        <w:t xml:space="preserve">Threat appraisal and coping appraisal are suggested by PMT as responses to threats (Rogers, 1975). Particularly, threat appraisal—perceived vulnerability to digital payment fraud and perceived seriousness of its repercussions—is used in this study. Naseer, </w:t>
      </w:r>
      <w:proofErr w:type="spellStart"/>
      <w:r w:rsidRPr="00781217">
        <w:rPr>
          <w:rFonts w:ascii="Arial" w:hAnsi="Arial" w:cs="Arial"/>
          <w:sz w:val="24"/>
          <w:szCs w:val="24"/>
        </w:rPr>
        <w:t>Wijayanayake</w:t>
      </w:r>
      <w:proofErr w:type="spellEnd"/>
      <w:r w:rsidRPr="00781217">
        <w:rPr>
          <w:rFonts w:ascii="Arial" w:hAnsi="Arial" w:cs="Arial"/>
          <w:sz w:val="24"/>
          <w:szCs w:val="24"/>
        </w:rPr>
        <w:t xml:space="preserve">, and Jayasinghe (2025) warn against assuming a consistent behavioral effect by demonstrating that threat-appraisal evidence in banking security is varied and context-dependent. However, a boundary condition is plausible based on adjacent digital-payment research. While past cybercrime experience modifies downstream interactions, </w:t>
      </w:r>
      <w:proofErr w:type="spellStart"/>
      <w:r w:rsidRPr="00781217">
        <w:rPr>
          <w:rFonts w:ascii="Arial" w:hAnsi="Arial" w:cs="Arial"/>
          <w:sz w:val="24"/>
          <w:szCs w:val="24"/>
        </w:rPr>
        <w:t>Aljaradat</w:t>
      </w:r>
      <w:proofErr w:type="spellEnd"/>
      <w:r w:rsidRPr="00781217">
        <w:rPr>
          <w:rFonts w:ascii="Arial" w:hAnsi="Arial" w:cs="Arial"/>
          <w:sz w:val="24"/>
          <w:szCs w:val="24"/>
        </w:rPr>
        <w:t xml:space="preserve"> and Shukla (2025) indicate that grievance redressal enhances positive trust/cybersecurity views, and Raza et al. (2023) show that failure severity conditions some recovery effects.</w:t>
      </w:r>
    </w:p>
    <w:p w:rsidR="00483F3F" w:rsidRPr="00781217" w:rsidRDefault="00E54CC5">
      <w:pPr>
        <w:jc w:val="both"/>
        <w:rPr>
          <w:rFonts w:ascii="Arial" w:hAnsi="Arial" w:cs="Arial"/>
          <w:sz w:val="24"/>
          <w:szCs w:val="24"/>
        </w:rPr>
      </w:pPr>
      <w:r w:rsidRPr="00781217">
        <w:rPr>
          <w:rFonts w:ascii="Arial" w:hAnsi="Arial" w:cs="Arial"/>
          <w:sz w:val="24"/>
          <w:szCs w:val="24"/>
        </w:rPr>
        <w:lastRenderedPageBreak/>
        <w:t>Theoretically, a consumer may see dispute resolution as equitable while yet feeling susceptible to fraud in the future. Therefore, the degree to which fairness is translated into institutional trust may be weakened by increased fraud worry; nevertheless, this is a theoretical expectation rather than an assumed empirical fact.</w:t>
      </w:r>
    </w:p>
    <w:p w:rsidR="00483F3F" w:rsidRPr="00781217" w:rsidRDefault="00000000">
      <w:pPr>
        <w:jc w:val="both"/>
        <w:rPr>
          <w:rFonts w:ascii="Arial" w:hAnsi="Arial" w:cs="Arial"/>
          <w:sz w:val="24"/>
          <w:szCs w:val="24"/>
        </w:rPr>
      </w:pPr>
      <w:r w:rsidRPr="00781217">
        <w:rPr>
          <w:rFonts w:ascii="Arial" w:hAnsi="Arial" w:cs="Arial"/>
          <w:sz w:val="24"/>
          <w:szCs w:val="24"/>
        </w:rPr>
        <w:t xml:space="preserve">H5: </w:t>
      </w:r>
      <w:r w:rsidR="00C321DB" w:rsidRPr="00781217">
        <w:rPr>
          <w:rFonts w:ascii="Arial" w:hAnsi="Arial" w:cs="Arial"/>
          <w:sz w:val="24"/>
          <w:szCs w:val="24"/>
        </w:rPr>
        <w:t xml:space="preserve">The </w:t>
      </w:r>
      <w:r w:rsidR="00162021">
        <w:rPr>
          <w:rFonts w:ascii="Arial" w:hAnsi="Arial" w:cs="Arial"/>
          <w:sz w:val="24"/>
          <w:szCs w:val="24"/>
        </w:rPr>
        <w:t>connection</w:t>
      </w:r>
      <w:r w:rsidR="00C321DB" w:rsidRPr="00781217">
        <w:rPr>
          <w:rFonts w:ascii="Arial" w:hAnsi="Arial" w:cs="Arial"/>
          <w:sz w:val="24"/>
          <w:szCs w:val="24"/>
        </w:rPr>
        <w:t xml:space="preserve"> between Perceived Fairness and Customer Trust is negatively moderated by Fraud Concern, making the positive </w:t>
      </w:r>
      <w:r w:rsidR="00162021">
        <w:rPr>
          <w:rFonts w:ascii="Arial" w:hAnsi="Arial" w:cs="Arial"/>
          <w:sz w:val="24"/>
          <w:szCs w:val="24"/>
        </w:rPr>
        <w:t>connection</w:t>
      </w:r>
      <w:r w:rsidR="00C321DB" w:rsidRPr="00781217">
        <w:rPr>
          <w:rFonts w:ascii="Arial" w:hAnsi="Arial" w:cs="Arial"/>
          <w:sz w:val="24"/>
          <w:szCs w:val="24"/>
        </w:rPr>
        <w:t xml:space="preserve"> weaker at </w:t>
      </w:r>
      <w:r w:rsidR="00162021">
        <w:rPr>
          <w:rFonts w:ascii="Arial" w:hAnsi="Arial" w:cs="Arial"/>
          <w:sz w:val="24"/>
          <w:szCs w:val="24"/>
        </w:rPr>
        <w:t>top</w:t>
      </w:r>
      <w:r w:rsidR="00C321DB" w:rsidRPr="00781217">
        <w:rPr>
          <w:rFonts w:ascii="Arial" w:hAnsi="Arial" w:cs="Arial"/>
          <w:sz w:val="24"/>
          <w:szCs w:val="24"/>
        </w:rPr>
        <w:t xml:space="preserve"> levels of Fraud Concern.</w:t>
      </w:r>
    </w:p>
    <w:p w:rsidR="00483F3F" w:rsidRDefault="00000000">
      <w:pPr>
        <w:pStyle w:val="Heading2"/>
      </w:pPr>
      <w:bookmarkStart w:id="8" w:name="_Toc238592626"/>
      <w:r>
        <w:t>2.6 Integrated Conditional Process</w:t>
      </w:r>
      <w:bookmarkEnd w:id="8"/>
    </w:p>
    <w:p w:rsidR="00483F3F" w:rsidRPr="00781217" w:rsidRDefault="00E54CC5">
      <w:pPr>
        <w:jc w:val="both"/>
        <w:rPr>
          <w:sz w:val="24"/>
          <w:szCs w:val="24"/>
        </w:rPr>
      </w:pPr>
      <w:r w:rsidRPr="00781217">
        <w:rPr>
          <w:sz w:val="24"/>
          <w:szCs w:val="24"/>
        </w:rPr>
        <w:t xml:space="preserve">Each theoretical perspective is given a specific role in the integrated model: service recovery explains perceived organizational response; justice theory explains fairness appraisal; trust theory explains confidence under vulnerability; and PMT provides </w:t>
      </w:r>
      <w:r w:rsidRPr="00781217">
        <w:rPr>
          <w:rFonts w:hint="eastAsia"/>
          <w:sz w:val="24"/>
          <w:szCs w:val="24"/>
        </w:rPr>
        <w:t xml:space="preserve">the threat-appraisal rationale for fraud concern. While maintaining a direct PDRQ </w:t>
      </w:r>
      <w:r w:rsidRPr="00781217">
        <w:rPr>
          <w:rFonts w:hint="eastAsia"/>
          <w:sz w:val="24"/>
          <w:szCs w:val="24"/>
        </w:rPr>
        <w:t>→</w:t>
      </w:r>
      <w:r w:rsidRPr="00781217">
        <w:rPr>
          <w:rFonts w:hint="eastAsia"/>
          <w:sz w:val="24"/>
          <w:szCs w:val="24"/>
        </w:rPr>
        <w:t xml:space="preserve"> Customer Trust path and placing Fraud Concern as a moderator of Perceived Fairness </w:t>
      </w:r>
      <w:r w:rsidRPr="00781217">
        <w:rPr>
          <w:rFonts w:hint="eastAsia"/>
          <w:sz w:val="24"/>
          <w:szCs w:val="24"/>
        </w:rPr>
        <w:t>→</w:t>
      </w:r>
      <w:r w:rsidRPr="00781217">
        <w:rPr>
          <w:rFonts w:hint="eastAsia"/>
          <w:sz w:val="24"/>
          <w:szCs w:val="24"/>
        </w:rPr>
        <w:t xml:space="preserve"> Customer Trust, the suggested order is PDRQ </w:t>
      </w:r>
      <w:r w:rsidRPr="00781217">
        <w:rPr>
          <w:rFonts w:hint="eastAsia"/>
          <w:sz w:val="24"/>
          <w:szCs w:val="24"/>
        </w:rPr>
        <w:t>→</w:t>
      </w:r>
      <w:r w:rsidRPr="00781217">
        <w:rPr>
          <w:rFonts w:hint="eastAsia"/>
          <w:sz w:val="24"/>
          <w:szCs w:val="24"/>
        </w:rPr>
        <w:t xml:space="preserve"> Perceived Fairness </w:t>
      </w:r>
      <w:r w:rsidRPr="00781217">
        <w:rPr>
          <w:rFonts w:hint="eastAsia"/>
          <w:sz w:val="24"/>
          <w:szCs w:val="24"/>
        </w:rPr>
        <w:t>→</w:t>
      </w:r>
      <w:r w:rsidRPr="00781217">
        <w:rPr>
          <w:rFonts w:hint="eastAsia"/>
          <w:sz w:val="24"/>
          <w:szCs w:val="24"/>
        </w:rPr>
        <w:t xml:space="preserve"> Customer Trust. The</w:t>
      </w:r>
      <w:r w:rsidRPr="00781217">
        <w:rPr>
          <w:sz w:val="24"/>
          <w:szCs w:val="24"/>
        </w:rPr>
        <w:t xml:space="preserve"> indirect effect should change if there are differences in the second stage due to fraud concerns.</w:t>
      </w:r>
    </w:p>
    <w:p w:rsidR="00483F3F" w:rsidRPr="00781217" w:rsidRDefault="00000000">
      <w:pPr>
        <w:jc w:val="both"/>
        <w:rPr>
          <w:sz w:val="24"/>
          <w:szCs w:val="24"/>
        </w:rPr>
      </w:pPr>
      <w:r w:rsidRPr="00781217">
        <w:rPr>
          <w:sz w:val="24"/>
          <w:szCs w:val="24"/>
        </w:rPr>
        <w:t xml:space="preserve">H6: </w:t>
      </w:r>
      <w:r w:rsidR="00162021" w:rsidRPr="00162021">
        <w:rPr>
          <w:rFonts w:ascii="Arial" w:hAnsi="Arial" w:cs="Arial"/>
          <w:sz w:val="24"/>
          <w:szCs w:val="24"/>
        </w:rPr>
        <w:t>Fraud concern is a condition for the indirect link between Perceived Digital Payment Dispute Resolution Quality and Customer Trust via Perceived Fairness</w:t>
      </w:r>
      <w:r w:rsidR="00162021">
        <w:rPr>
          <w:sz w:val="24"/>
          <w:szCs w:val="24"/>
        </w:rPr>
        <w:t>.</w:t>
      </w:r>
    </w:p>
    <w:p w:rsidR="00483F3F" w:rsidRPr="00781217" w:rsidRDefault="00E54CC5">
      <w:pPr>
        <w:jc w:val="both"/>
        <w:rPr>
          <w:sz w:val="24"/>
          <w:szCs w:val="24"/>
        </w:rPr>
      </w:pPr>
      <w:r w:rsidRPr="00781217">
        <w:rPr>
          <w:sz w:val="24"/>
          <w:szCs w:val="24"/>
        </w:rPr>
        <w:t xml:space="preserve">Thus, recovery is </w:t>
      </w:r>
      <w:r w:rsidR="00162021">
        <w:rPr>
          <w:sz w:val="24"/>
          <w:szCs w:val="24"/>
        </w:rPr>
        <w:t>essential</w:t>
      </w:r>
      <w:r w:rsidRPr="00781217">
        <w:rPr>
          <w:sz w:val="24"/>
          <w:szCs w:val="24"/>
        </w:rPr>
        <w:t>, c</w:t>
      </w:r>
      <w:r w:rsidR="00162021">
        <w:rPr>
          <w:sz w:val="24"/>
          <w:szCs w:val="24"/>
        </w:rPr>
        <w:t>lients</w:t>
      </w:r>
      <w:r w:rsidRPr="00781217">
        <w:rPr>
          <w:sz w:val="24"/>
          <w:szCs w:val="24"/>
        </w:rPr>
        <w:t xml:space="preserve"> assess recovery through fairness, fairness is related to trust, and threat perceptions influence digital financial behavior, all of which are supported by the literature. Whether these mechanisms work together in the suggested conditional process is the unanswered question. The current pilot test is justified not only by geographical novelty but also by this mechanism-and-boundary gap.</w:t>
      </w:r>
    </w:p>
    <w:tbl>
      <w:tblPr>
        <w:tblStyle w:val="TableGrid"/>
        <w:tblW w:w="0" w:type="auto"/>
        <w:jc w:val="center"/>
        <w:tblLook w:val="04A0" w:firstRow="1" w:lastRow="0" w:firstColumn="1" w:lastColumn="0" w:noHBand="0" w:noVBand="1"/>
      </w:tblPr>
      <w:tblGrid>
        <w:gridCol w:w="1620"/>
        <w:gridCol w:w="8028"/>
      </w:tblGrid>
      <w:tr w:rsidR="00483F3F" w:rsidRPr="00781217" w:rsidTr="00E22B1E">
        <w:trPr>
          <w:jc w:val="center"/>
        </w:trPr>
        <w:tc>
          <w:tcPr>
            <w:tcW w:w="1620" w:type="dxa"/>
            <w:shd w:val="clear" w:color="auto" w:fill="D9EAF7"/>
            <w:vAlign w:val="center"/>
          </w:tcPr>
          <w:p w:rsidR="00483F3F" w:rsidRPr="00781217" w:rsidRDefault="00000000">
            <w:pPr>
              <w:spacing w:after="0"/>
              <w:rPr>
                <w:sz w:val="24"/>
                <w:szCs w:val="24"/>
              </w:rPr>
            </w:pPr>
            <w:r w:rsidRPr="00781217">
              <w:rPr>
                <w:b/>
                <w:sz w:val="24"/>
                <w:szCs w:val="24"/>
              </w:rPr>
              <w:t>Hypothesis</w:t>
            </w:r>
          </w:p>
        </w:tc>
        <w:tc>
          <w:tcPr>
            <w:tcW w:w="8028" w:type="dxa"/>
            <w:shd w:val="clear" w:color="auto" w:fill="D9EAF7"/>
            <w:vAlign w:val="center"/>
          </w:tcPr>
          <w:p w:rsidR="00483F3F" w:rsidRPr="00781217" w:rsidRDefault="00000000">
            <w:pPr>
              <w:spacing w:after="0"/>
              <w:rPr>
                <w:sz w:val="24"/>
                <w:szCs w:val="24"/>
              </w:rPr>
            </w:pPr>
            <w:r w:rsidRPr="00781217">
              <w:rPr>
                <w:b/>
                <w:sz w:val="24"/>
                <w:szCs w:val="24"/>
              </w:rPr>
              <w:t>Proposition</w:t>
            </w:r>
          </w:p>
        </w:tc>
      </w:tr>
      <w:tr w:rsidR="00483F3F" w:rsidRPr="00781217" w:rsidTr="00E22B1E">
        <w:trPr>
          <w:jc w:val="center"/>
        </w:trPr>
        <w:tc>
          <w:tcPr>
            <w:tcW w:w="1620" w:type="dxa"/>
            <w:vAlign w:val="center"/>
          </w:tcPr>
          <w:p w:rsidR="00483F3F" w:rsidRPr="00781217" w:rsidRDefault="00000000">
            <w:pPr>
              <w:spacing w:after="0"/>
              <w:rPr>
                <w:sz w:val="24"/>
                <w:szCs w:val="24"/>
              </w:rPr>
            </w:pPr>
            <w:r w:rsidRPr="00781217">
              <w:rPr>
                <w:sz w:val="24"/>
                <w:szCs w:val="24"/>
              </w:rPr>
              <w:t>H1</w:t>
            </w:r>
          </w:p>
        </w:tc>
        <w:tc>
          <w:tcPr>
            <w:tcW w:w="8028" w:type="dxa"/>
            <w:vAlign w:val="center"/>
          </w:tcPr>
          <w:p w:rsidR="00483F3F" w:rsidRPr="00781217" w:rsidRDefault="00000000">
            <w:pPr>
              <w:spacing w:after="0"/>
              <w:rPr>
                <w:sz w:val="24"/>
                <w:szCs w:val="24"/>
              </w:rPr>
            </w:pPr>
            <w:r w:rsidRPr="00781217">
              <w:rPr>
                <w:sz w:val="24"/>
                <w:szCs w:val="24"/>
              </w:rPr>
              <w:t>PDRQ is positively associated with Perceived Fairness.</w:t>
            </w:r>
          </w:p>
        </w:tc>
      </w:tr>
      <w:tr w:rsidR="00483F3F" w:rsidRPr="00781217" w:rsidTr="00E22B1E">
        <w:trPr>
          <w:jc w:val="center"/>
        </w:trPr>
        <w:tc>
          <w:tcPr>
            <w:tcW w:w="1620" w:type="dxa"/>
            <w:vAlign w:val="center"/>
          </w:tcPr>
          <w:p w:rsidR="00483F3F" w:rsidRPr="00781217" w:rsidRDefault="00000000">
            <w:pPr>
              <w:spacing w:after="0"/>
              <w:rPr>
                <w:sz w:val="24"/>
                <w:szCs w:val="24"/>
              </w:rPr>
            </w:pPr>
            <w:r w:rsidRPr="00781217">
              <w:rPr>
                <w:sz w:val="24"/>
                <w:szCs w:val="24"/>
              </w:rPr>
              <w:t>H2</w:t>
            </w:r>
          </w:p>
        </w:tc>
        <w:tc>
          <w:tcPr>
            <w:tcW w:w="8028" w:type="dxa"/>
            <w:vAlign w:val="center"/>
          </w:tcPr>
          <w:p w:rsidR="00483F3F" w:rsidRPr="00781217" w:rsidRDefault="00000000">
            <w:pPr>
              <w:spacing w:after="0"/>
              <w:rPr>
                <w:sz w:val="24"/>
                <w:szCs w:val="24"/>
              </w:rPr>
            </w:pPr>
            <w:r w:rsidRPr="00781217">
              <w:rPr>
                <w:sz w:val="24"/>
                <w:szCs w:val="24"/>
              </w:rPr>
              <w:t>Perceived Fairness is positively associated with Customer Trust.</w:t>
            </w:r>
          </w:p>
        </w:tc>
      </w:tr>
      <w:tr w:rsidR="00483F3F" w:rsidRPr="00781217" w:rsidTr="00E22B1E">
        <w:trPr>
          <w:jc w:val="center"/>
        </w:trPr>
        <w:tc>
          <w:tcPr>
            <w:tcW w:w="1620" w:type="dxa"/>
            <w:vAlign w:val="center"/>
          </w:tcPr>
          <w:p w:rsidR="00483F3F" w:rsidRPr="00781217" w:rsidRDefault="00000000">
            <w:pPr>
              <w:spacing w:after="0"/>
              <w:rPr>
                <w:sz w:val="24"/>
                <w:szCs w:val="24"/>
              </w:rPr>
            </w:pPr>
            <w:r w:rsidRPr="00781217">
              <w:rPr>
                <w:sz w:val="24"/>
                <w:szCs w:val="24"/>
              </w:rPr>
              <w:t>H3</w:t>
            </w:r>
          </w:p>
        </w:tc>
        <w:tc>
          <w:tcPr>
            <w:tcW w:w="8028" w:type="dxa"/>
            <w:vAlign w:val="center"/>
          </w:tcPr>
          <w:p w:rsidR="00483F3F" w:rsidRPr="00781217" w:rsidRDefault="00000000">
            <w:pPr>
              <w:spacing w:after="0"/>
              <w:rPr>
                <w:sz w:val="24"/>
                <w:szCs w:val="24"/>
              </w:rPr>
            </w:pPr>
            <w:r w:rsidRPr="00781217">
              <w:rPr>
                <w:sz w:val="24"/>
                <w:szCs w:val="24"/>
              </w:rPr>
              <w:t>PDRQ is positively associated with Customer Trust.</w:t>
            </w:r>
          </w:p>
        </w:tc>
      </w:tr>
      <w:tr w:rsidR="00483F3F" w:rsidRPr="00781217" w:rsidTr="00E22B1E">
        <w:trPr>
          <w:jc w:val="center"/>
        </w:trPr>
        <w:tc>
          <w:tcPr>
            <w:tcW w:w="1620" w:type="dxa"/>
            <w:vAlign w:val="center"/>
          </w:tcPr>
          <w:p w:rsidR="00483F3F" w:rsidRPr="00781217" w:rsidRDefault="00000000">
            <w:pPr>
              <w:spacing w:after="0"/>
              <w:rPr>
                <w:sz w:val="24"/>
                <w:szCs w:val="24"/>
              </w:rPr>
            </w:pPr>
            <w:r w:rsidRPr="00781217">
              <w:rPr>
                <w:sz w:val="24"/>
                <w:szCs w:val="24"/>
              </w:rPr>
              <w:t>H4</w:t>
            </w:r>
          </w:p>
        </w:tc>
        <w:tc>
          <w:tcPr>
            <w:tcW w:w="8028" w:type="dxa"/>
            <w:vAlign w:val="center"/>
          </w:tcPr>
          <w:p w:rsidR="00483F3F" w:rsidRPr="00781217" w:rsidRDefault="00000000">
            <w:pPr>
              <w:spacing w:after="0"/>
              <w:rPr>
                <w:sz w:val="24"/>
                <w:szCs w:val="24"/>
              </w:rPr>
            </w:pPr>
            <w:r w:rsidRPr="00781217">
              <w:rPr>
                <w:sz w:val="24"/>
                <w:szCs w:val="24"/>
              </w:rPr>
              <w:t>Perceived Fairness mediates the PDRQ–Customer Trust relationship.</w:t>
            </w:r>
          </w:p>
        </w:tc>
      </w:tr>
      <w:tr w:rsidR="00483F3F" w:rsidRPr="00781217" w:rsidTr="00E22B1E">
        <w:trPr>
          <w:jc w:val="center"/>
        </w:trPr>
        <w:tc>
          <w:tcPr>
            <w:tcW w:w="1620" w:type="dxa"/>
            <w:vAlign w:val="center"/>
          </w:tcPr>
          <w:p w:rsidR="00483F3F" w:rsidRPr="00781217" w:rsidRDefault="00000000">
            <w:pPr>
              <w:spacing w:after="0"/>
              <w:rPr>
                <w:sz w:val="24"/>
                <w:szCs w:val="24"/>
              </w:rPr>
            </w:pPr>
            <w:r w:rsidRPr="00781217">
              <w:rPr>
                <w:sz w:val="24"/>
                <w:szCs w:val="24"/>
              </w:rPr>
              <w:t>H5</w:t>
            </w:r>
          </w:p>
        </w:tc>
        <w:tc>
          <w:tcPr>
            <w:tcW w:w="8028" w:type="dxa"/>
            <w:vAlign w:val="center"/>
          </w:tcPr>
          <w:p w:rsidR="00483F3F" w:rsidRPr="00781217" w:rsidRDefault="00000000">
            <w:pPr>
              <w:spacing w:after="0"/>
              <w:rPr>
                <w:sz w:val="24"/>
                <w:szCs w:val="24"/>
              </w:rPr>
            </w:pPr>
            <w:r w:rsidRPr="00781217">
              <w:rPr>
                <w:sz w:val="24"/>
                <w:szCs w:val="24"/>
              </w:rPr>
              <w:t>Fraud Concern negatively moderates Perceived Fairness → Customer Trust.</w:t>
            </w:r>
          </w:p>
        </w:tc>
      </w:tr>
      <w:tr w:rsidR="00483F3F" w:rsidRPr="00781217" w:rsidTr="00E22B1E">
        <w:trPr>
          <w:jc w:val="center"/>
        </w:trPr>
        <w:tc>
          <w:tcPr>
            <w:tcW w:w="1620" w:type="dxa"/>
            <w:vAlign w:val="center"/>
          </w:tcPr>
          <w:p w:rsidR="00483F3F" w:rsidRPr="00781217" w:rsidRDefault="00000000">
            <w:pPr>
              <w:spacing w:after="0"/>
              <w:rPr>
                <w:sz w:val="24"/>
                <w:szCs w:val="24"/>
              </w:rPr>
            </w:pPr>
            <w:r w:rsidRPr="00781217">
              <w:rPr>
                <w:sz w:val="24"/>
                <w:szCs w:val="24"/>
              </w:rPr>
              <w:t>H6</w:t>
            </w:r>
          </w:p>
        </w:tc>
        <w:tc>
          <w:tcPr>
            <w:tcW w:w="8028" w:type="dxa"/>
            <w:vAlign w:val="center"/>
          </w:tcPr>
          <w:p w:rsidR="00483F3F" w:rsidRPr="00781217" w:rsidRDefault="00000000">
            <w:pPr>
              <w:spacing w:after="0"/>
              <w:rPr>
                <w:sz w:val="24"/>
                <w:szCs w:val="24"/>
              </w:rPr>
            </w:pPr>
            <w:r w:rsidRPr="00781217">
              <w:rPr>
                <w:sz w:val="24"/>
                <w:szCs w:val="24"/>
              </w:rPr>
              <w:t>The indirect PDRQ → Perceived Fairness → Customer Trust relationship is conditional on Fraud Concern.</w:t>
            </w:r>
          </w:p>
        </w:tc>
      </w:tr>
    </w:tbl>
    <w:p w:rsidR="00483F3F" w:rsidRDefault="00000000">
      <w:pPr>
        <w:pStyle w:val="Heading2"/>
        <w:spacing w:after="120"/>
        <w:jc w:val="both"/>
      </w:pPr>
      <w:bookmarkStart w:id="9" w:name="_Toc238592627"/>
      <w:r>
        <w:t>2.7 Critical Synthesis and Expected Contribution</w:t>
      </w:r>
      <w:bookmarkEnd w:id="9"/>
    </w:p>
    <w:p w:rsidR="00483F3F" w:rsidRPr="00781217" w:rsidRDefault="00E54CC5">
      <w:pPr>
        <w:jc w:val="both"/>
        <w:rPr>
          <w:rFonts w:ascii="Arial" w:hAnsi="Arial" w:cs="Arial"/>
          <w:sz w:val="24"/>
          <w:szCs w:val="24"/>
        </w:rPr>
      </w:pPr>
      <w:r w:rsidRPr="00781217">
        <w:rPr>
          <w:rFonts w:ascii="Arial" w:hAnsi="Arial" w:cs="Arial"/>
          <w:sz w:val="24"/>
          <w:szCs w:val="24"/>
        </w:rPr>
        <w:t xml:space="preserve">Three conclusions are reasonably certain based on the evaluated literature. First, recovery quality is important because consumers assess the organization's post-failure responses as well as the ultimate technical fix. Second, while fairness is a key evaluative lens in recovery, its effects can also be felt through other categories like relationship quality, emotion, or satisfaction. Third, risk knowledge can coexist with trust rather than merely replace it since trust in digital banking grows in environments of ongoing vulnerability. </w:t>
      </w:r>
      <w:r w:rsidRPr="00781217">
        <w:rPr>
          <w:rFonts w:ascii="Arial" w:hAnsi="Arial" w:cs="Arial"/>
          <w:sz w:val="24"/>
          <w:szCs w:val="24"/>
        </w:rPr>
        <w:lastRenderedPageBreak/>
        <w:t>These findings support the suggested model's component routes and demonstrate why the integrated mechanism is still amenable to empirical investigation.</w:t>
      </w:r>
    </w:p>
    <w:p w:rsidR="00483F3F" w:rsidRPr="00781217" w:rsidRDefault="00E54CC5">
      <w:pPr>
        <w:jc w:val="both"/>
        <w:rPr>
          <w:rFonts w:ascii="Arial" w:hAnsi="Arial" w:cs="Arial"/>
          <w:sz w:val="24"/>
          <w:szCs w:val="24"/>
        </w:rPr>
      </w:pPr>
      <w:r w:rsidRPr="00781217">
        <w:rPr>
          <w:rFonts w:ascii="Arial" w:hAnsi="Arial" w:cs="Arial"/>
          <w:sz w:val="24"/>
          <w:szCs w:val="24"/>
        </w:rPr>
        <w:t>Two contradictions are also revealed in the literature. One is conceptual: in order for fairness to serve as a mediator, it must continue to be distinct from PDRQ. PDRQ concerns beliefs about the bank’s actions and capability; fairness concerns the customer’s judgment of those activities and outcomes. Concerns about fraud are the second source of conflict. Although PMT makes threat appraisal theoretically significant, there is currently no concrete proof that fraud concerns undermine fairness-based trust. Therefore, compared to H1–H3, the moderation hypothesis is purposefully more experimental.</w:t>
      </w:r>
    </w:p>
    <w:p w:rsidR="00483F3F" w:rsidRPr="00781217" w:rsidRDefault="00E54CC5">
      <w:pPr>
        <w:jc w:val="both"/>
        <w:rPr>
          <w:rFonts w:ascii="Arial" w:hAnsi="Arial" w:cs="Arial"/>
          <w:sz w:val="24"/>
          <w:szCs w:val="24"/>
        </w:rPr>
      </w:pPr>
      <w:r w:rsidRPr="00781217">
        <w:rPr>
          <w:rFonts w:ascii="Arial" w:hAnsi="Arial" w:cs="Arial"/>
          <w:sz w:val="24"/>
          <w:szCs w:val="24"/>
        </w:rPr>
        <w:t>As a result, the expected contribution is specific but low. The study makes no claims regarding the novelty of the concepts of fraud concern, fairness, trust, or conflict resolution. Rather, it examines whether they cooperate in a mechanism-and-boundary configuration inside a digital payment context in Nepal. An unsupported model would nevertheless be instructive by pointing out which component linkages are strong and which theoretical connections need further detail, while a supported model would offer initial evidence for the integrated explanation.</w:t>
      </w:r>
    </w:p>
    <w:p w:rsidR="00483F3F" w:rsidRDefault="00000000">
      <w:pPr>
        <w:pStyle w:val="Heading1"/>
      </w:pPr>
      <w:bookmarkStart w:id="10" w:name="_Toc238592628"/>
      <w:r>
        <w:t>3. Research Methodology and Data Analysis</w:t>
      </w:r>
      <w:bookmarkEnd w:id="10"/>
    </w:p>
    <w:p w:rsidR="00483F3F" w:rsidRDefault="00000000">
      <w:pPr>
        <w:pStyle w:val="Heading2"/>
        <w:spacing w:after="120"/>
        <w:jc w:val="both"/>
      </w:pPr>
      <w:bookmarkStart w:id="11" w:name="_Toc238592629"/>
      <w:r>
        <w:t>3.1 Research Philosophy and Approach</w:t>
      </w:r>
      <w:bookmarkEnd w:id="11"/>
    </w:p>
    <w:p w:rsidR="00483F3F" w:rsidRPr="00781217" w:rsidRDefault="00E54CC5">
      <w:pPr>
        <w:jc w:val="both"/>
        <w:rPr>
          <w:rFonts w:ascii="Arial" w:hAnsi="Arial" w:cs="Arial"/>
          <w:sz w:val="24"/>
          <w:szCs w:val="24"/>
        </w:rPr>
      </w:pPr>
      <w:r w:rsidRPr="00781217">
        <w:rPr>
          <w:rFonts w:ascii="Arial" w:hAnsi="Arial" w:cs="Arial"/>
          <w:sz w:val="24"/>
          <w:szCs w:val="24"/>
        </w:rPr>
        <w:t>This study's philosophical presumptions are consistent with its goal of investigating theoretically defined relationships rather than thoroughly examining individual stories. While critical realism might draw attention to more profound causal mechanisms and contextual structures, interpretivism might shed light on how consumers individually create meanings around payment failures. Choosing strategies for real-world issue resolution would be more important under pragmatism. Although these roles are important, the current project's main goals are to measure predictable correlations between preset constructs and statistically test hypotheses. Therefore, while avoiding the stronger assertion that social reality can be quantified without ambiguity, a positivist-leaning quantitative position offers the closest fit with the study goal (Creswell &amp; Creswell, 2018; Saunders, Lewis, and Thornhill, 2019).</w:t>
      </w:r>
    </w:p>
    <w:p w:rsidR="00483F3F" w:rsidRPr="00781217" w:rsidRDefault="00E54CC5">
      <w:pPr>
        <w:jc w:val="both"/>
        <w:rPr>
          <w:rFonts w:ascii="Arial" w:hAnsi="Arial" w:cs="Arial"/>
          <w:sz w:val="24"/>
          <w:szCs w:val="24"/>
        </w:rPr>
      </w:pPr>
      <w:r w:rsidRPr="00781217">
        <w:rPr>
          <w:rFonts w:ascii="Arial" w:hAnsi="Arial" w:cs="Arial"/>
          <w:sz w:val="24"/>
          <w:szCs w:val="24"/>
        </w:rPr>
        <w:t>The study takes a cautious objectivist ontological stance. Customers' subjective experiences of PDRQ, perceived fairness, customer trust, and fraud worry are psychological perceptions. However, the study is predicated on the existence of sufficiently consistent patterns among respondents to allow for a systematic investigation of these dimensions and their interactions. Since the constructs are represented by a variety of questionnaire indicators rather than being directly observable truths, any assertion regarding their underlying reality depends on how well they are operationalized and measured.</w:t>
      </w:r>
    </w:p>
    <w:p w:rsidR="00483F3F" w:rsidRPr="00781217" w:rsidRDefault="00E54CC5">
      <w:pPr>
        <w:jc w:val="both"/>
        <w:rPr>
          <w:rFonts w:ascii="Arial" w:hAnsi="Arial" w:cs="Arial"/>
          <w:sz w:val="24"/>
          <w:szCs w:val="24"/>
        </w:rPr>
      </w:pPr>
      <w:r w:rsidRPr="00781217">
        <w:rPr>
          <w:rFonts w:ascii="Arial" w:hAnsi="Arial" w:cs="Arial"/>
          <w:sz w:val="24"/>
          <w:szCs w:val="24"/>
        </w:rPr>
        <w:t xml:space="preserve">Because knowledge claims are established through systematic empirical measurement and statistical verification of statements drawn from theory, the research has a positivist </w:t>
      </w:r>
      <w:r w:rsidRPr="00781217">
        <w:rPr>
          <w:rFonts w:ascii="Arial" w:hAnsi="Arial" w:cs="Arial"/>
          <w:sz w:val="24"/>
          <w:szCs w:val="24"/>
        </w:rPr>
        <w:lastRenderedPageBreak/>
        <w:t>epistemological tendency.  Because sampling error, measurement constraints, and model definition limit what can be deduced from a cross-sectional survey, the resulting information is regarded as preliminary rather than absolute. The stance is one of value-aware neutrality from an axiological perspective. Complete value-freedom is not claimed because the researcher's prior professional exposure to banking practice affected the research challenge. Rather, stated hypotheses, consistent eligibility requirements, transparent data-screening decisions, predetermined statistical criteria, and the presentation of both supported and unsupported hypotheses are used to address the possible influence of values (Saunders, Lewis, and Thornhill, 2019).</w:t>
      </w:r>
    </w:p>
    <w:p w:rsidR="00483F3F" w:rsidRPr="00781217" w:rsidRDefault="00E54CC5">
      <w:pPr>
        <w:rPr>
          <w:rFonts w:ascii="Arial" w:hAnsi="Arial" w:cs="Arial"/>
          <w:sz w:val="24"/>
          <w:szCs w:val="24"/>
        </w:rPr>
      </w:pPr>
      <w:r w:rsidRPr="00781217">
        <w:rPr>
          <w:rFonts w:ascii="Arial" w:hAnsi="Arial" w:cs="Arial"/>
          <w:sz w:val="24"/>
          <w:szCs w:val="24"/>
        </w:rPr>
        <w:t>These assumptions result in a deductive quantitative approach from a methodological standpoint. Prior to data analysis, the hypotheses were guided by literature on service recovery, justice, trust, and PMT. Survey data was then utilized to determine whether the observed connections matched those predictions. Then, certain statistical techniques were tailored to the dataset's empirical characteristics: Spearman correlation was driven by non-normal composite distributions, while HC3 robust standard errors were prompted by heteroskedasticity in the mediator equation. These modifications enhance the suitability of inference within the selected quantitative design without altering the deductive reasoning.</w:t>
      </w:r>
    </w:p>
    <w:p w:rsidR="00483F3F" w:rsidRDefault="00000000">
      <w:pPr>
        <w:pStyle w:val="Heading2"/>
      </w:pPr>
      <w:bookmarkStart w:id="12" w:name="_Toc238592630"/>
      <w:r>
        <w:t>3.2 Research Design, Data Collection and Sample</w:t>
      </w:r>
      <w:bookmarkEnd w:id="12"/>
    </w:p>
    <w:p w:rsidR="00483F3F" w:rsidRPr="00781217" w:rsidRDefault="00E54CC5">
      <w:pPr>
        <w:jc w:val="both"/>
        <w:rPr>
          <w:rFonts w:ascii="Arial" w:hAnsi="Arial" w:cs="Arial"/>
          <w:sz w:val="24"/>
          <w:szCs w:val="24"/>
        </w:rPr>
      </w:pPr>
      <w:r w:rsidRPr="00781217">
        <w:rPr>
          <w:rFonts w:ascii="Arial" w:hAnsi="Arial" w:cs="Arial"/>
          <w:sz w:val="24"/>
          <w:szCs w:val="24"/>
        </w:rPr>
        <w:t>Because the study aimed to operationalize theoretically derived dimensions and investigate statistical correlations among them, a quantitative, cross-sectional design was employed (Creswell &amp; Creswell, 2018; Saunders, Lewis, and Thornhill, 2019). A structured online questionnaire was used to gather primary data from contacts in Nepal who satisfied the eligibility requirements, which included being between the ages of 18 and 35 and currently using digital payment services offered by a Nepalese bank. Five-point Likert-type items were used to measure the main components.</w:t>
      </w:r>
    </w:p>
    <w:p w:rsidR="00483F3F" w:rsidRPr="00781217" w:rsidRDefault="00E54CC5">
      <w:pPr>
        <w:jc w:val="both"/>
        <w:rPr>
          <w:rFonts w:ascii="Arial" w:hAnsi="Arial" w:cs="Arial"/>
          <w:sz w:val="24"/>
          <w:szCs w:val="24"/>
        </w:rPr>
      </w:pPr>
      <w:r w:rsidRPr="00781217">
        <w:rPr>
          <w:rFonts w:ascii="Arial" w:hAnsi="Arial" w:cs="Arial"/>
          <w:sz w:val="24"/>
          <w:szCs w:val="24"/>
        </w:rPr>
        <w:t>Initially, fifty-two answers were received. 50 cases remained after eligibility screening eliminated one respondent who was not within the age range and another who did not currently utilize an approved digital payment option offered by Nepalese banks. A final analytical sample of 49 complete cases was obtained by excluding rather than imputing one more respondent who had missing replies on PDRQ2, PDRQ3, and PDRQ6. Hayes' PROCESS macro was utilized in IBM SPSS Statistics for conditional process analysis and mediation.</w:t>
      </w:r>
    </w:p>
    <w:p w:rsidR="00483F3F" w:rsidRPr="00781217" w:rsidRDefault="00E54CC5">
      <w:pPr>
        <w:jc w:val="both"/>
        <w:rPr>
          <w:rFonts w:ascii="Arial" w:hAnsi="Arial" w:cs="Arial"/>
          <w:sz w:val="24"/>
          <w:szCs w:val="24"/>
        </w:rPr>
      </w:pPr>
      <w:r w:rsidRPr="00781217">
        <w:rPr>
          <w:rFonts w:ascii="Arial" w:hAnsi="Arial" w:cs="Arial"/>
          <w:sz w:val="24"/>
          <w:szCs w:val="24"/>
        </w:rPr>
        <w:t>Since the study was carried out within a constrained module schedule and there was no complete sampling frame of young Nepalese digital payment users, the sampling approach used was non-probability convenience sampling. Access to the target group was made easier by distribution through qualified personal contacts, but representativeness is diminished and selection bias may be introduced. Therefore, rather than serving as a foundation for population generalization or final validation of a complicated conditional-process model, the sample size should be interpreted as appropriate for a pilot-scale QRM exercise.</w:t>
      </w:r>
    </w:p>
    <w:p w:rsidR="00483F3F" w:rsidRDefault="00000000">
      <w:pPr>
        <w:pStyle w:val="Heading2"/>
      </w:pPr>
      <w:bookmarkStart w:id="13" w:name="_Toc238592631"/>
      <w:r>
        <w:lastRenderedPageBreak/>
        <w:t>3.3 Screening, Reliability and Exploratory Factor Analysis</w:t>
      </w:r>
      <w:bookmarkEnd w:id="13"/>
    </w:p>
    <w:p w:rsidR="00483F3F" w:rsidRPr="00781217" w:rsidRDefault="00E54CC5" w:rsidP="00781217">
      <w:pPr>
        <w:jc w:val="both"/>
        <w:rPr>
          <w:rFonts w:ascii="Arial" w:hAnsi="Arial" w:cs="Arial"/>
          <w:sz w:val="24"/>
          <w:szCs w:val="24"/>
        </w:rPr>
      </w:pPr>
      <w:r w:rsidRPr="00781217">
        <w:rPr>
          <w:rFonts w:ascii="Arial" w:hAnsi="Arial" w:cs="Arial"/>
          <w:sz w:val="24"/>
          <w:szCs w:val="24"/>
        </w:rPr>
        <w:t xml:space="preserve">Eligibility, missing values, coding issues, and odd observations were all checked for in the data. Instead of being eliminated automatically, potential outliers were investigated. Cronbach's alpha, corrected item-total correlations, and alpha-if-item-deleted statistics were used to evaluate internal consistency independently (Field, 2018; Hair et al., 2019). Measurement structure was then investigated using EFA. KMO, Bartlett's Test of Sphericity, and individual anti-image measurements were used to evaluate the adequacy of the sampling. Direct </w:t>
      </w:r>
      <w:proofErr w:type="spellStart"/>
      <w:r w:rsidRPr="00781217">
        <w:rPr>
          <w:rFonts w:ascii="Arial" w:hAnsi="Arial" w:cs="Arial"/>
          <w:sz w:val="24"/>
          <w:szCs w:val="24"/>
        </w:rPr>
        <w:t>Oblimin</w:t>
      </w:r>
      <w:proofErr w:type="spellEnd"/>
      <w:r w:rsidRPr="00781217">
        <w:rPr>
          <w:rFonts w:ascii="Arial" w:hAnsi="Arial" w:cs="Arial"/>
          <w:sz w:val="24"/>
          <w:szCs w:val="24"/>
        </w:rPr>
        <w:t xml:space="preserve"> rotation was employed since the theoretical constructs may plausibly correlate, and Principal Axis Factoring was chosen because the goal was to investigate latent structures (Hair et al., 2019). Prior to examining a theoretically defined five-factor solution, an unconstrained extraction was evaluated. The EFA was regarded as diagnostic rather than confirmatory because N=49 compared to 31 items.</w:t>
      </w:r>
    </w:p>
    <w:p w:rsidR="00483F3F" w:rsidRPr="00781217" w:rsidRDefault="00E54CC5" w:rsidP="00781217">
      <w:pPr>
        <w:jc w:val="both"/>
        <w:rPr>
          <w:rFonts w:ascii="Arial" w:hAnsi="Arial" w:cs="Arial"/>
          <w:sz w:val="24"/>
          <w:szCs w:val="24"/>
        </w:rPr>
      </w:pPr>
      <w:r w:rsidRPr="00781217">
        <w:rPr>
          <w:rFonts w:ascii="Arial" w:hAnsi="Arial" w:cs="Arial"/>
          <w:sz w:val="24"/>
          <w:szCs w:val="24"/>
        </w:rPr>
        <w:t>For PDRQ, perceived fairness, customer trust, fraud concern, and digital-payment literacy, mean-based composite scores were then computed. This produced construct-level variables for later analyzes while maintaining the original 1–5 metric.</w:t>
      </w:r>
    </w:p>
    <w:p w:rsidR="00483F3F" w:rsidRPr="00781217" w:rsidRDefault="00E54CC5" w:rsidP="00781217">
      <w:pPr>
        <w:jc w:val="both"/>
        <w:rPr>
          <w:rFonts w:ascii="Arial" w:hAnsi="Arial" w:cs="Arial"/>
          <w:sz w:val="24"/>
          <w:szCs w:val="24"/>
        </w:rPr>
      </w:pPr>
      <w:r w:rsidRPr="00781217">
        <w:rPr>
          <w:rFonts w:ascii="Arial" w:hAnsi="Arial" w:cs="Arial"/>
          <w:sz w:val="24"/>
          <w:szCs w:val="24"/>
        </w:rPr>
        <w:t>As distinct aspects of research quality, reliability, validity, and bias were taken into consideration. Internal consistency was evaluated using item-total statistics and Cronbach's alpha, but strong reliability was not considered evidence of concept validity. Therefore, the later cross-loadings among PDRQ, fairness, and trust were kept as a limitation rather than hidden; EFA was used to investigate if items grouped in ways consistent with the hypothesized constructs. Convenience sampling raises the possibility of selection bias, and using the same self-report questionnaire to gather predictor, mediator, moderator, and outcome measures raises the possibility of response and common-method bias. Although some procedural pressures were lessened by anonymity, standardized instructions, and uniform scale forms, these precautions cannot completely eradicate bias. Additionally, the small sample reduces the validity of statistical conclusions, especially for EFA, interaction, and indirect-effect estimates (Field, 2018; Hair et al., 2019; Saunders, Lewis, and Thornhill, 2019).</w:t>
      </w:r>
    </w:p>
    <w:p w:rsidR="00483F3F" w:rsidRDefault="00000000">
      <w:pPr>
        <w:pStyle w:val="Heading2"/>
      </w:pPr>
      <w:bookmarkStart w:id="14" w:name="_Toc238592632"/>
      <w:r>
        <w:t>3.4 Preliminary Analysis and Regression Diagnostics</w:t>
      </w:r>
      <w:bookmarkEnd w:id="14"/>
    </w:p>
    <w:p w:rsidR="00483F3F" w:rsidRPr="00781217" w:rsidRDefault="00E54CC5">
      <w:pPr>
        <w:jc w:val="both"/>
        <w:rPr>
          <w:sz w:val="24"/>
          <w:szCs w:val="24"/>
        </w:rPr>
      </w:pPr>
      <w:r w:rsidRPr="00781217">
        <w:rPr>
          <w:sz w:val="24"/>
          <w:szCs w:val="24"/>
        </w:rPr>
        <w:t xml:space="preserve">Mean, standard deviation, minimum, maximum, skewness, kurtosis, histograms, boxplots, Q-Q plots, and Shapiro-Wilk tests were among the descriptive statistics and distributional diagnostics. For bivariate connections, Spearman's rank-order correlation was employed because the composite variables deviated from normality (Field, 2018). Linearity, homoscedasticity, residual normality, error independence, multicollinearity, and significant observations were all taken into account in regression diagnostics. Collinearity was evaluated using tolerance and VIF, and residual plots and Cook's distance were examined. Homoscedasticity was additionally examined using the Breusch–Pagan test (Breusch and Pagan, 1979). Final PROCESS inference employed HC3 heteroskedasticity-consistent standard errors since heteroskedasticity was found in the mediator equation (Hayes and Cai, </w:t>
      </w:r>
      <w:r w:rsidRPr="00781217">
        <w:rPr>
          <w:sz w:val="24"/>
          <w:szCs w:val="24"/>
        </w:rPr>
        <w:lastRenderedPageBreak/>
        <w:t xml:space="preserve">2007). The early customer-trust regression included digital-payment literacy as a control variable to see if the key correlations could still be understood in light of respondents' varying levels of digital-payment proficiency. </w:t>
      </w:r>
      <w:r w:rsidRPr="00781217">
        <w:rPr>
          <w:color w:val="000000"/>
          <w:sz w:val="24"/>
          <w:szCs w:val="24"/>
        </w:rPr>
        <w:t>The final PROCESS Models 4 and 14, which were designed to directly evaluate the proposed conditional-process model, did not include it as a covariate.</w:t>
      </w:r>
    </w:p>
    <w:p w:rsidR="00483F3F" w:rsidRDefault="00000000">
      <w:pPr>
        <w:pStyle w:val="Heading2"/>
        <w:spacing w:after="120"/>
        <w:jc w:val="both"/>
      </w:pPr>
      <w:bookmarkStart w:id="15" w:name="_Toc238592633"/>
      <w:r>
        <w:t>3.5 Ethical Considerations and Data Handling</w:t>
      </w:r>
      <w:bookmarkEnd w:id="15"/>
    </w:p>
    <w:p w:rsidR="00483F3F" w:rsidRPr="00781217" w:rsidRDefault="00E54CC5">
      <w:pPr>
        <w:jc w:val="both"/>
        <w:rPr>
          <w:rFonts w:ascii="Arial" w:hAnsi="Arial" w:cs="Arial"/>
          <w:sz w:val="24"/>
          <w:szCs w:val="24"/>
        </w:rPr>
      </w:pPr>
      <w:r w:rsidRPr="00781217">
        <w:rPr>
          <w:rFonts w:ascii="Arial" w:hAnsi="Arial" w:cs="Arial"/>
          <w:sz w:val="24"/>
          <w:szCs w:val="24"/>
        </w:rPr>
        <w:t>Informed consent served as the basis for voluntary participation. Account numbers, card information, passwords, PINs, transaction references, and other banking credentials were not requested in the questionnaire. For academic purposes, responses were gathered anonymously, and participants were free to pause before submitting. Although there was no risk associated with the poll, questions about fraud might be a little uncomfortable. Therefore, confidentiality, minimizing personally identifying information, and using the responses only for the specified research objective were the main goals of data handling. Because the study focuses on financial-service experiences and perceptions of fraud, these precautions were especially crucial.</w:t>
      </w:r>
    </w:p>
    <w:p w:rsidR="00483F3F" w:rsidRPr="00781217" w:rsidRDefault="00E54CC5">
      <w:pPr>
        <w:jc w:val="both"/>
        <w:rPr>
          <w:rFonts w:ascii="Arial" w:hAnsi="Arial" w:cs="Arial"/>
          <w:sz w:val="24"/>
          <w:szCs w:val="24"/>
        </w:rPr>
      </w:pPr>
      <w:r w:rsidRPr="00781217">
        <w:rPr>
          <w:rFonts w:ascii="Arial" w:hAnsi="Arial" w:cs="Arial"/>
          <w:sz w:val="24"/>
          <w:szCs w:val="24"/>
        </w:rPr>
        <w:t>Additionally, the analysis adhered to an integrity standard when preparing the data. Cases were not eliminated just because they reduced statistical significance, nor were missing replies substituted with made-up values. Due to three missing components in the PDRQ scale, the one incomplete analytical case was openly eliminated. Potential outliers were examined diagnostically and kept unless there was a valid reason to remove them due to the quality of the data.</w:t>
      </w:r>
    </w:p>
    <w:p w:rsidR="00483F3F" w:rsidRDefault="00000000">
      <w:pPr>
        <w:pStyle w:val="Heading2"/>
      </w:pPr>
      <w:bookmarkStart w:id="16" w:name="_Toc238592634"/>
      <w:r>
        <w:t>3.6 Hypothesis Testing</w:t>
      </w:r>
      <w:bookmarkEnd w:id="16"/>
    </w:p>
    <w:p w:rsidR="00483F3F" w:rsidRPr="00781217" w:rsidRDefault="0071541C">
      <w:pPr>
        <w:jc w:val="both"/>
        <w:rPr>
          <w:rFonts w:ascii="Arial" w:hAnsi="Arial" w:cs="Arial"/>
          <w:sz w:val="24"/>
          <w:szCs w:val="24"/>
        </w:rPr>
      </w:pPr>
      <w:r w:rsidRPr="00781217">
        <w:rPr>
          <w:rFonts w:ascii="Arial" w:hAnsi="Arial" w:cs="Arial"/>
          <w:sz w:val="24"/>
          <w:szCs w:val="24"/>
        </w:rPr>
        <w:t>PROCESS Model 4 was used to test simple mediation, and PROCESS Model 14 was used to test the suggested second-stage moderated mediation. PDRQ was designated as X, perceived fairness as M, customer trust as Y, and fraud concern as W for Model 14. The components of continuous interaction were mean-centered. 5,000 bootstrap resamples, 95% confidence intervals, and HC3 standard errors were employed in both models. Bootstrap confidence intervals were used to assess indirect effects, and the index of moderated mediation was used to assess moderated mediation; an effect was deemed statistically supported when the relevant bootstrap interval excluded zero (Hayes, 2015; Hayes, 2022; Preacher and Hayes, 2008). Conventional coefficients were assessed at p&lt;.05.</w:t>
      </w:r>
    </w:p>
    <w:p w:rsidR="00483F3F" w:rsidRDefault="00000000">
      <w:pPr>
        <w:pStyle w:val="Heading1"/>
      </w:pPr>
      <w:bookmarkStart w:id="17" w:name="_Toc238592635"/>
      <w:r>
        <w:t>4. Results and Quantitative Analysis</w:t>
      </w:r>
      <w:bookmarkEnd w:id="17"/>
    </w:p>
    <w:p w:rsidR="00483F3F" w:rsidRDefault="00000000">
      <w:pPr>
        <w:pStyle w:val="Heading2"/>
      </w:pPr>
      <w:bookmarkStart w:id="18" w:name="_Toc238592636"/>
      <w:r>
        <w:t>4.1 Data Screening and Sample Profile</w:t>
      </w:r>
      <w:bookmarkEnd w:id="18"/>
    </w:p>
    <w:p w:rsidR="00483F3F" w:rsidRPr="00781217" w:rsidRDefault="0071541C">
      <w:pPr>
        <w:jc w:val="both"/>
        <w:rPr>
          <w:rFonts w:ascii="Arial" w:hAnsi="Arial" w:cs="Arial"/>
          <w:sz w:val="24"/>
          <w:szCs w:val="24"/>
        </w:rPr>
      </w:pPr>
      <w:r w:rsidRPr="00781217">
        <w:rPr>
          <w:rFonts w:ascii="Arial" w:hAnsi="Arial" w:cs="Arial"/>
          <w:sz w:val="24"/>
          <w:szCs w:val="24"/>
        </w:rPr>
        <w:t xml:space="preserve">49 full and eligible respondents made up the final analytical sample. Of them, 10.2% were between the ages of 18 and 21, 20.4% were between the ages of 22 and 25, 51.0% were </w:t>
      </w:r>
      <w:r w:rsidRPr="00781217">
        <w:rPr>
          <w:rFonts w:ascii="Arial" w:hAnsi="Arial" w:cs="Arial"/>
          <w:sz w:val="24"/>
          <w:szCs w:val="24"/>
        </w:rPr>
        <w:lastRenderedPageBreak/>
        <w:t xml:space="preserve">between the ages of 26 and 30, and 18.4% were between the ages of 31 and 35; hence, the </w:t>
      </w:r>
      <w:r w:rsidR="00223C80">
        <w:rPr>
          <w:rFonts w:ascii="Arial" w:hAnsi="Arial" w:cs="Arial"/>
          <w:sz w:val="24"/>
          <w:szCs w:val="24"/>
        </w:rPr>
        <w:t>highest portion of</w:t>
      </w:r>
      <w:r w:rsidRPr="00781217">
        <w:rPr>
          <w:rFonts w:ascii="Arial" w:hAnsi="Arial" w:cs="Arial"/>
          <w:sz w:val="24"/>
          <w:szCs w:val="24"/>
        </w:rPr>
        <w:t xml:space="preserve"> group was between the ages of 26 and 30.</w:t>
      </w:r>
    </w:p>
    <w:tbl>
      <w:tblPr>
        <w:tblStyle w:val="TableGrid"/>
        <w:tblW w:w="0" w:type="auto"/>
        <w:jc w:val="center"/>
        <w:tblLook w:val="04A0" w:firstRow="1" w:lastRow="0" w:firstColumn="1" w:lastColumn="0" w:noHBand="0" w:noVBand="1"/>
      </w:tblPr>
      <w:tblGrid>
        <w:gridCol w:w="4824"/>
        <w:gridCol w:w="4824"/>
      </w:tblGrid>
      <w:tr w:rsidR="00483F3F" w:rsidRPr="00781217">
        <w:trPr>
          <w:jc w:val="center"/>
        </w:trPr>
        <w:tc>
          <w:tcPr>
            <w:tcW w:w="4824" w:type="dxa"/>
            <w:shd w:val="clear" w:color="auto" w:fill="D9EAF7"/>
            <w:vAlign w:val="center"/>
          </w:tcPr>
          <w:p w:rsidR="00483F3F" w:rsidRPr="00781217" w:rsidRDefault="00000000">
            <w:pPr>
              <w:spacing w:after="0"/>
              <w:rPr>
                <w:rFonts w:ascii="Arial" w:hAnsi="Arial" w:cs="Arial"/>
                <w:sz w:val="24"/>
                <w:szCs w:val="24"/>
              </w:rPr>
            </w:pPr>
            <w:r w:rsidRPr="00781217">
              <w:rPr>
                <w:rFonts w:ascii="Arial" w:hAnsi="Arial" w:cs="Arial"/>
                <w:b/>
                <w:sz w:val="24"/>
                <w:szCs w:val="24"/>
              </w:rPr>
              <w:t>Screening stage</w:t>
            </w:r>
          </w:p>
        </w:tc>
        <w:tc>
          <w:tcPr>
            <w:tcW w:w="4824" w:type="dxa"/>
            <w:shd w:val="clear" w:color="auto" w:fill="D9EAF7"/>
            <w:vAlign w:val="center"/>
          </w:tcPr>
          <w:p w:rsidR="00483F3F" w:rsidRPr="00781217" w:rsidRDefault="00000000">
            <w:pPr>
              <w:spacing w:after="0"/>
              <w:rPr>
                <w:rFonts w:ascii="Arial" w:hAnsi="Arial" w:cs="Arial"/>
                <w:sz w:val="24"/>
                <w:szCs w:val="24"/>
              </w:rPr>
            </w:pPr>
            <w:r w:rsidRPr="00781217">
              <w:rPr>
                <w:rFonts w:ascii="Arial" w:hAnsi="Arial" w:cs="Arial"/>
                <w:b/>
                <w:sz w:val="24"/>
                <w:szCs w:val="24"/>
              </w:rPr>
              <w:t>Cases</w:t>
            </w:r>
          </w:p>
        </w:tc>
      </w:tr>
      <w:tr w:rsidR="00483F3F" w:rsidRPr="00781217">
        <w:trPr>
          <w:jc w:val="center"/>
        </w:trPr>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Initial responses</w:t>
            </w:r>
          </w:p>
        </w:tc>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52</w:t>
            </w:r>
          </w:p>
        </w:tc>
      </w:tr>
      <w:tr w:rsidR="00483F3F" w:rsidRPr="00781217">
        <w:trPr>
          <w:jc w:val="center"/>
        </w:trPr>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Outside age criterion</w:t>
            </w:r>
          </w:p>
        </w:tc>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−1</w:t>
            </w:r>
          </w:p>
        </w:tc>
      </w:tr>
      <w:tr w:rsidR="00483F3F" w:rsidRPr="00781217">
        <w:trPr>
          <w:jc w:val="center"/>
        </w:trPr>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Not current eligible digital-payment user</w:t>
            </w:r>
          </w:p>
        </w:tc>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−1</w:t>
            </w:r>
          </w:p>
        </w:tc>
      </w:tr>
      <w:tr w:rsidR="00483F3F" w:rsidRPr="00781217">
        <w:trPr>
          <w:jc w:val="center"/>
        </w:trPr>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Eligible responses</w:t>
            </w:r>
          </w:p>
        </w:tc>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50</w:t>
            </w:r>
          </w:p>
        </w:tc>
      </w:tr>
      <w:tr w:rsidR="00483F3F" w:rsidRPr="00781217">
        <w:trPr>
          <w:jc w:val="center"/>
        </w:trPr>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Incomplete PDRQ responses</w:t>
            </w:r>
          </w:p>
        </w:tc>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−1</w:t>
            </w:r>
          </w:p>
        </w:tc>
      </w:tr>
      <w:tr w:rsidR="00483F3F" w:rsidRPr="00781217">
        <w:trPr>
          <w:jc w:val="center"/>
        </w:trPr>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Final analytical sample</w:t>
            </w:r>
          </w:p>
        </w:tc>
        <w:tc>
          <w:tcPr>
            <w:tcW w:w="4824"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49</w:t>
            </w:r>
          </w:p>
        </w:tc>
      </w:tr>
    </w:tbl>
    <w:p w:rsidR="0002209B" w:rsidRPr="00781217" w:rsidRDefault="0002209B" w:rsidP="0002209B">
      <w:pPr>
        <w:pStyle w:val="Heading2"/>
        <w:jc w:val="center"/>
        <w:rPr>
          <w:rFonts w:ascii="Arial" w:hAnsi="Arial" w:cs="Arial"/>
          <w:b w:val="0"/>
          <w:bCs w:val="0"/>
          <w:sz w:val="24"/>
          <w:szCs w:val="24"/>
        </w:rPr>
      </w:pPr>
      <w:bookmarkStart w:id="19" w:name="_Toc238592637"/>
      <w:r w:rsidRPr="00781217">
        <w:rPr>
          <w:rFonts w:ascii="Arial" w:hAnsi="Arial" w:cs="Arial"/>
          <w:b w:val="0"/>
          <w:bCs w:val="0"/>
          <w:color w:val="000000"/>
          <w:sz w:val="24"/>
          <w:szCs w:val="24"/>
        </w:rPr>
        <w:t>Table 1. Data screening and final analytical sample</w:t>
      </w:r>
      <w:bookmarkEnd w:id="19"/>
    </w:p>
    <w:p w:rsidR="00483F3F" w:rsidRPr="00781217" w:rsidRDefault="00000000" w:rsidP="00781217">
      <w:pPr>
        <w:pStyle w:val="Heading2"/>
      </w:pPr>
      <w:bookmarkStart w:id="20" w:name="_Toc238592638"/>
      <w:r w:rsidRPr="00781217">
        <w:t>4.2 Descriptive Statistics and Distributional Assessment</w:t>
      </w:r>
      <w:bookmarkEnd w:id="20"/>
    </w:p>
    <w:tbl>
      <w:tblPr>
        <w:tblStyle w:val="TableGrid"/>
        <w:tblW w:w="0" w:type="auto"/>
        <w:jc w:val="center"/>
        <w:tblLook w:val="04A0" w:firstRow="1" w:lastRow="0" w:firstColumn="1" w:lastColumn="0" w:noHBand="0" w:noVBand="1"/>
      </w:tblPr>
      <w:tblGrid>
        <w:gridCol w:w="2412"/>
        <w:gridCol w:w="2412"/>
        <w:gridCol w:w="2412"/>
        <w:gridCol w:w="2412"/>
      </w:tblGrid>
      <w:tr w:rsidR="00483F3F" w:rsidRPr="00781217">
        <w:trPr>
          <w:jc w:val="center"/>
        </w:trPr>
        <w:tc>
          <w:tcPr>
            <w:tcW w:w="2412" w:type="dxa"/>
            <w:shd w:val="clear" w:color="auto" w:fill="D9EAF7"/>
            <w:vAlign w:val="center"/>
          </w:tcPr>
          <w:p w:rsidR="00483F3F" w:rsidRPr="00781217" w:rsidRDefault="00000000">
            <w:pPr>
              <w:spacing w:after="0"/>
              <w:rPr>
                <w:rFonts w:ascii="Arial" w:hAnsi="Arial" w:cs="Arial"/>
                <w:sz w:val="24"/>
                <w:szCs w:val="24"/>
              </w:rPr>
            </w:pPr>
            <w:r w:rsidRPr="00781217">
              <w:rPr>
                <w:rFonts w:ascii="Arial" w:hAnsi="Arial" w:cs="Arial"/>
                <w:b/>
                <w:sz w:val="24"/>
                <w:szCs w:val="24"/>
              </w:rPr>
              <w:t>Construct</w:t>
            </w:r>
          </w:p>
        </w:tc>
        <w:tc>
          <w:tcPr>
            <w:tcW w:w="2412" w:type="dxa"/>
            <w:shd w:val="clear" w:color="auto" w:fill="D9EAF7"/>
            <w:vAlign w:val="center"/>
          </w:tcPr>
          <w:p w:rsidR="00483F3F" w:rsidRPr="00781217" w:rsidRDefault="00000000">
            <w:pPr>
              <w:spacing w:after="0"/>
              <w:rPr>
                <w:rFonts w:ascii="Arial" w:hAnsi="Arial" w:cs="Arial"/>
                <w:sz w:val="24"/>
                <w:szCs w:val="24"/>
              </w:rPr>
            </w:pPr>
            <w:r w:rsidRPr="00781217">
              <w:rPr>
                <w:rFonts w:ascii="Arial" w:hAnsi="Arial" w:cs="Arial"/>
                <w:b/>
                <w:sz w:val="24"/>
                <w:szCs w:val="24"/>
              </w:rPr>
              <w:t>N</w:t>
            </w:r>
          </w:p>
        </w:tc>
        <w:tc>
          <w:tcPr>
            <w:tcW w:w="2412" w:type="dxa"/>
            <w:shd w:val="clear" w:color="auto" w:fill="D9EAF7"/>
            <w:vAlign w:val="center"/>
          </w:tcPr>
          <w:p w:rsidR="00483F3F" w:rsidRPr="00781217" w:rsidRDefault="00000000">
            <w:pPr>
              <w:spacing w:after="0"/>
              <w:rPr>
                <w:rFonts w:ascii="Arial" w:hAnsi="Arial" w:cs="Arial"/>
                <w:sz w:val="24"/>
                <w:szCs w:val="24"/>
              </w:rPr>
            </w:pPr>
            <w:r w:rsidRPr="00781217">
              <w:rPr>
                <w:rFonts w:ascii="Arial" w:hAnsi="Arial" w:cs="Arial"/>
                <w:b/>
                <w:sz w:val="24"/>
                <w:szCs w:val="24"/>
              </w:rPr>
              <w:t>Mean</w:t>
            </w:r>
          </w:p>
        </w:tc>
        <w:tc>
          <w:tcPr>
            <w:tcW w:w="2412" w:type="dxa"/>
            <w:shd w:val="clear" w:color="auto" w:fill="D9EAF7"/>
            <w:vAlign w:val="center"/>
          </w:tcPr>
          <w:p w:rsidR="00483F3F" w:rsidRPr="00781217" w:rsidRDefault="00000000">
            <w:pPr>
              <w:spacing w:after="0"/>
              <w:rPr>
                <w:rFonts w:ascii="Arial" w:hAnsi="Arial" w:cs="Arial"/>
                <w:sz w:val="24"/>
                <w:szCs w:val="24"/>
              </w:rPr>
            </w:pPr>
            <w:r w:rsidRPr="00781217">
              <w:rPr>
                <w:rFonts w:ascii="Arial" w:hAnsi="Arial" w:cs="Arial"/>
                <w:b/>
                <w:sz w:val="24"/>
                <w:szCs w:val="24"/>
              </w:rPr>
              <w:t>SD</w:t>
            </w:r>
          </w:p>
        </w:tc>
      </w:tr>
      <w:tr w:rsidR="00483F3F" w:rsidRPr="00781217">
        <w:trPr>
          <w:jc w:val="center"/>
        </w:trPr>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PDRQ</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49</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3.9569</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0.6000</w:t>
            </w:r>
          </w:p>
        </w:tc>
      </w:tr>
      <w:tr w:rsidR="00483F3F" w:rsidRPr="00781217">
        <w:trPr>
          <w:jc w:val="center"/>
        </w:trPr>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Perceived Fairness</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49</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4.1565</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0.5553</w:t>
            </w:r>
          </w:p>
        </w:tc>
      </w:tr>
      <w:tr w:rsidR="00483F3F" w:rsidRPr="00781217">
        <w:trPr>
          <w:jc w:val="center"/>
        </w:trPr>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Customer Trust</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49</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4.0850</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0.6209</w:t>
            </w:r>
          </w:p>
        </w:tc>
      </w:tr>
      <w:tr w:rsidR="00483F3F" w:rsidRPr="00781217">
        <w:trPr>
          <w:jc w:val="center"/>
        </w:trPr>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Fraud Concern</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49</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4.2245</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0.9264</w:t>
            </w:r>
          </w:p>
        </w:tc>
      </w:tr>
      <w:tr w:rsidR="00483F3F" w:rsidRPr="00781217">
        <w:trPr>
          <w:jc w:val="center"/>
        </w:trPr>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Digital-Payment Literacy</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49</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4.1582</w:t>
            </w:r>
          </w:p>
        </w:tc>
        <w:tc>
          <w:tcPr>
            <w:tcW w:w="2412" w:type="dxa"/>
            <w:vAlign w:val="center"/>
          </w:tcPr>
          <w:p w:rsidR="00483F3F" w:rsidRPr="00781217" w:rsidRDefault="00000000">
            <w:pPr>
              <w:spacing w:after="0"/>
              <w:rPr>
                <w:rFonts w:ascii="Arial" w:hAnsi="Arial" w:cs="Arial"/>
                <w:sz w:val="24"/>
                <w:szCs w:val="24"/>
              </w:rPr>
            </w:pPr>
            <w:r w:rsidRPr="00781217">
              <w:rPr>
                <w:rFonts w:ascii="Arial" w:hAnsi="Arial" w:cs="Arial"/>
                <w:sz w:val="24"/>
                <w:szCs w:val="24"/>
              </w:rPr>
              <w:t>0.6469</w:t>
            </w:r>
          </w:p>
        </w:tc>
      </w:tr>
    </w:tbl>
    <w:p w:rsidR="0002209B" w:rsidRPr="00781217" w:rsidRDefault="0002209B" w:rsidP="008E7321">
      <w:pPr>
        <w:pStyle w:val="Heading3"/>
        <w:jc w:val="center"/>
        <w:rPr>
          <w:rFonts w:ascii="Arial" w:hAnsi="Arial" w:cs="Arial"/>
          <w:b w:val="0"/>
          <w:bCs w:val="0"/>
          <w:color w:val="000000" w:themeColor="text1"/>
          <w:sz w:val="24"/>
          <w:szCs w:val="24"/>
        </w:rPr>
      </w:pPr>
      <w:bookmarkStart w:id="21" w:name="_Toc238592639"/>
      <w:r w:rsidRPr="00781217">
        <w:rPr>
          <w:rFonts w:ascii="Arial" w:hAnsi="Arial" w:cs="Arial"/>
          <w:b w:val="0"/>
          <w:bCs w:val="0"/>
          <w:color w:val="000000" w:themeColor="text1"/>
          <w:sz w:val="24"/>
          <w:szCs w:val="24"/>
        </w:rPr>
        <w:t>Table 2. Descriptive statistics of study constructs</w:t>
      </w:r>
      <w:bookmarkEnd w:id="21"/>
    </w:p>
    <w:p w:rsidR="00483F3F" w:rsidRPr="00781217" w:rsidRDefault="0071541C">
      <w:pPr>
        <w:jc w:val="both"/>
        <w:rPr>
          <w:rFonts w:ascii="Arial" w:hAnsi="Arial" w:cs="Arial"/>
          <w:sz w:val="24"/>
          <w:szCs w:val="24"/>
        </w:rPr>
      </w:pPr>
      <w:r w:rsidRPr="00781217">
        <w:rPr>
          <w:rFonts w:ascii="Arial" w:hAnsi="Arial" w:cs="Arial"/>
          <w:sz w:val="24"/>
          <w:szCs w:val="24"/>
        </w:rPr>
        <w:t>On the 1–5 scale, the means were usually high, with Fraud Concern having the highest mean (M=4.22) and Customer Trust having a comparatively high mean (M=4.09). For PDRQ (W=.907, p&lt;.001), Perceived Fairness (W=.863, p&lt;.001), Customer Trust (W=.933, p&lt;.008), Fraud Concern (W=.801, p&lt;.001), and Digital-Payment Literacy (W=.895, p&lt;.001), Shapiro-Wilk tests were significant. The composite distributions showed a negative skew of -1.343, -1.660, -0.773, -0.919, and -0.997. Spearman correlation was used to account for these deviations, and residual diagnostics were the main method used to assess regression appropriateness.</w:t>
      </w:r>
    </w:p>
    <w:p w:rsidR="00483F3F" w:rsidRDefault="00000000">
      <w:pPr>
        <w:pStyle w:val="Heading2"/>
      </w:pPr>
      <w:bookmarkStart w:id="22" w:name="_Toc238592640"/>
      <w:r>
        <w:t>4.3 Reliability and EFA</w:t>
      </w:r>
      <w:bookmarkEnd w:id="22"/>
    </w:p>
    <w:tbl>
      <w:tblPr>
        <w:tblStyle w:val="TableGrid"/>
        <w:tblW w:w="0" w:type="auto"/>
        <w:jc w:val="center"/>
        <w:tblLook w:val="04A0" w:firstRow="1" w:lastRow="0" w:firstColumn="1" w:lastColumn="0" w:noHBand="0" w:noVBand="1"/>
      </w:tblPr>
      <w:tblGrid>
        <w:gridCol w:w="2412"/>
        <w:gridCol w:w="2412"/>
        <w:gridCol w:w="2412"/>
        <w:gridCol w:w="2412"/>
      </w:tblGrid>
      <w:tr w:rsidR="00483F3F" w:rsidRPr="00B70760">
        <w:trPr>
          <w:jc w:val="center"/>
        </w:trPr>
        <w:tc>
          <w:tcPr>
            <w:tcW w:w="2412"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Construct</w:t>
            </w:r>
          </w:p>
        </w:tc>
        <w:tc>
          <w:tcPr>
            <w:tcW w:w="2412"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Items</w:t>
            </w:r>
          </w:p>
        </w:tc>
        <w:tc>
          <w:tcPr>
            <w:tcW w:w="2412"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Cronbach’s α</w:t>
            </w:r>
          </w:p>
        </w:tc>
        <w:tc>
          <w:tcPr>
            <w:tcW w:w="2412"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Assessment</w:t>
            </w:r>
          </w:p>
        </w:tc>
      </w:tr>
      <w:tr w:rsidR="00483F3F" w:rsidRPr="00B70760">
        <w:trPr>
          <w:jc w:val="center"/>
        </w:trPr>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PDRQ</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9</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.878</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Good</w:t>
            </w:r>
          </w:p>
        </w:tc>
      </w:tr>
      <w:tr w:rsidR="00483F3F" w:rsidRPr="00B70760">
        <w:trPr>
          <w:jc w:val="center"/>
        </w:trPr>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Perceived Fairness</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6</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.852</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Good</w:t>
            </w:r>
          </w:p>
        </w:tc>
      </w:tr>
      <w:tr w:rsidR="00483F3F" w:rsidRPr="00B70760">
        <w:trPr>
          <w:jc w:val="center"/>
        </w:trPr>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Customer Trust</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6</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.890</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Good</w:t>
            </w:r>
          </w:p>
        </w:tc>
      </w:tr>
      <w:tr w:rsidR="00483F3F" w:rsidRPr="00B70760">
        <w:trPr>
          <w:jc w:val="center"/>
        </w:trPr>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Fraud Concern</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6</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.914</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Excellent</w:t>
            </w:r>
          </w:p>
        </w:tc>
      </w:tr>
      <w:tr w:rsidR="00483F3F" w:rsidRPr="00B70760">
        <w:trPr>
          <w:jc w:val="center"/>
        </w:trPr>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Digital-Payment Literacy</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4</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.856</w:t>
            </w:r>
          </w:p>
        </w:tc>
        <w:tc>
          <w:tcPr>
            <w:tcW w:w="2412"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Good</w:t>
            </w:r>
          </w:p>
        </w:tc>
      </w:tr>
    </w:tbl>
    <w:p w:rsidR="0002209B" w:rsidRPr="00B70760" w:rsidRDefault="0002209B" w:rsidP="008E7321">
      <w:pPr>
        <w:pStyle w:val="Heading3"/>
        <w:jc w:val="center"/>
        <w:rPr>
          <w:rFonts w:ascii="Arial" w:hAnsi="Arial" w:cs="Arial"/>
          <w:b w:val="0"/>
          <w:bCs w:val="0"/>
          <w:color w:val="000000" w:themeColor="text1"/>
          <w:sz w:val="24"/>
          <w:szCs w:val="24"/>
        </w:rPr>
      </w:pPr>
      <w:bookmarkStart w:id="23" w:name="_Toc238592641"/>
      <w:r w:rsidRPr="00B70760">
        <w:rPr>
          <w:rFonts w:ascii="Arial" w:hAnsi="Arial" w:cs="Arial"/>
          <w:b w:val="0"/>
          <w:bCs w:val="0"/>
          <w:color w:val="000000" w:themeColor="text1"/>
          <w:sz w:val="24"/>
          <w:szCs w:val="24"/>
        </w:rPr>
        <w:t>Table 3. Reliability coefficients</w:t>
      </w:r>
      <w:bookmarkEnd w:id="23"/>
    </w:p>
    <w:p w:rsidR="00483F3F" w:rsidRPr="00B70760" w:rsidRDefault="0071541C">
      <w:pPr>
        <w:jc w:val="both"/>
        <w:rPr>
          <w:rFonts w:ascii="Arial" w:hAnsi="Arial" w:cs="Arial"/>
          <w:sz w:val="24"/>
          <w:szCs w:val="24"/>
        </w:rPr>
      </w:pPr>
      <w:r w:rsidRPr="00B70760">
        <w:rPr>
          <w:rFonts w:ascii="Arial" w:hAnsi="Arial" w:cs="Arial"/>
          <w:sz w:val="24"/>
          <w:szCs w:val="24"/>
        </w:rPr>
        <w:t xml:space="preserve">The internal consistency of all five scales was satisfactory. Correlations between corrected items and totals stayed above.30. PDRQ4 (.393), the weakest PDRQ component, was kept since removing it would have merely raised alpha from.878 to.882. The item-total </w:t>
      </w:r>
      <w:r w:rsidRPr="00B70760">
        <w:rPr>
          <w:rFonts w:ascii="Arial" w:hAnsi="Arial" w:cs="Arial"/>
          <w:sz w:val="24"/>
          <w:szCs w:val="24"/>
        </w:rPr>
        <w:lastRenderedPageBreak/>
        <w:t>correlations for perceived fairness ranged from.477 to.749, customer trust from.639 to.803, fraud concern from.671 to.830, and digital payment literacy from.594 to.835.</w:t>
      </w:r>
    </w:p>
    <w:p w:rsidR="00483F3F" w:rsidRPr="00B70760" w:rsidRDefault="0071541C">
      <w:pPr>
        <w:jc w:val="both"/>
        <w:rPr>
          <w:rFonts w:ascii="Arial" w:hAnsi="Arial" w:cs="Arial"/>
          <w:sz w:val="24"/>
          <w:szCs w:val="24"/>
        </w:rPr>
      </w:pPr>
      <w:r w:rsidRPr="00B70760">
        <w:rPr>
          <w:rFonts w:ascii="Arial" w:hAnsi="Arial" w:cs="Arial"/>
          <w:sz w:val="24"/>
          <w:szCs w:val="24"/>
        </w:rPr>
        <w:t>Thirty-one retained items were subjected to the EFA. KMO=.734; all individual MSA values were greater than.50; Bartlett's Test was significant, χ</w:t>
      </w:r>
      <w:proofErr w:type="gramStart"/>
      <w:r w:rsidRPr="00B70760">
        <w:rPr>
          <w:rFonts w:ascii="Arial" w:hAnsi="Arial" w:cs="Arial"/>
          <w:sz w:val="24"/>
          <w:szCs w:val="24"/>
        </w:rPr>
        <w:t>²(</w:t>
      </w:r>
      <w:proofErr w:type="gramEnd"/>
      <w:r w:rsidRPr="00B70760">
        <w:rPr>
          <w:rFonts w:ascii="Arial" w:hAnsi="Arial" w:cs="Arial"/>
          <w:sz w:val="24"/>
          <w:szCs w:val="24"/>
        </w:rPr>
        <w:t xml:space="preserve">465)=1395.975, p&lt;.001. About 73.8% of the retrieved variance was explained by an unrestricted Principal Axis Factoring solution that yielded seven eigenvalues greater than 1. Next, a five-factor Direct </w:t>
      </w:r>
      <w:proofErr w:type="spellStart"/>
      <w:r w:rsidRPr="00B70760">
        <w:rPr>
          <w:rFonts w:ascii="Arial" w:hAnsi="Arial" w:cs="Arial"/>
          <w:sz w:val="24"/>
          <w:szCs w:val="24"/>
        </w:rPr>
        <w:t>Oblimin</w:t>
      </w:r>
      <w:proofErr w:type="spellEnd"/>
      <w:r w:rsidRPr="00B70760">
        <w:rPr>
          <w:rFonts w:ascii="Arial" w:hAnsi="Arial" w:cs="Arial"/>
          <w:sz w:val="24"/>
          <w:szCs w:val="24"/>
        </w:rPr>
        <w:t xml:space="preserve"> solution with theoretical specifications converged. Items related to fraud concern loaded logically on one factor (roughly.709–.872) and items related to digital payment literacy on another (roughly.638–.936). With cross-loadings and mixed clustering, PDRQ, Perceived Fairness, and Customer Trust were less different. Because of the tiny case-to-item ratio, the EFA is read cautiously and offered partial rather than full support for the suggested five-construct assessment structure.</w:t>
      </w:r>
    </w:p>
    <w:p w:rsidR="00483F3F" w:rsidRDefault="00000000">
      <w:pPr>
        <w:pStyle w:val="Heading2"/>
      </w:pPr>
      <w:bookmarkStart w:id="24" w:name="_Toc238592642"/>
      <w:r>
        <w:t>4.4 Bivariate Relationships</w:t>
      </w:r>
      <w:bookmarkEnd w:id="24"/>
    </w:p>
    <w:tbl>
      <w:tblPr>
        <w:tblStyle w:val="TableGrid"/>
        <w:tblW w:w="0" w:type="auto"/>
        <w:jc w:val="center"/>
        <w:tblLook w:val="04A0" w:firstRow="1" w:lastRow="0" w:firstColumn="1" w:lastColumn="0" w:noHBand="0" w:noVBand="1"/>
      </w:tblPr>
      <w:tblGrid>
        <w:gridCol w:w="1608"/>
        <w:gridCol w:w="1608"/>
        <w:gridCol w:w="1608"/>
        <w:gridCol w:w="1608"/>
        <w:gridCol w:w="1608"/>
        <w:gridCol w:w="1608"/>
      </w:tblGrid>
      <w:tr w:rsidR="00483F3F" w:rsidRPr="00B70760">
        <w:trPr>
          <w:jc w:val="center"/>
        </w:trPr>
        <w:tc>
          <w:tcPr>
            <w:tcW w:w="1608"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Variables</w:t>
            </w:r>
          </w:p>
        </w:tc>
        <w:tc>
          <w:tcPr>
            <w:tcW w:w="1608"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PDRQ</w:t>
            </w:r>
          </w:p>
        </w:tc>
        <w:tc>
          <w:tcPr>
            <w:tcW w:w="1608"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PF</w:t>
            </w:r>
          </w:p>
        </w:tc>
        <w:tc>
          <w:tcPr>
            <w:tcW w:w="1608"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CT</w:t>
            </w:r>
          </w:p>
        </w:tc>
        <w:tc>
          <w:tcPr>
            <w:tcW w:w="1608"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FC</w:t>
            </w:r>
          </w:p>
        </w:tc>
        <w:tc>
          <w:tcPr>
            <w:tcW w:w="1608"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DPL</w:t>
            </w:r>
          </w:p>
        </w:tc>
      </w:tr>
      <w:tr w:rsidR="00483F3F" w:rsidRPr="00B70760">
        <w:trPr>
          <w:jc w:val="center"/>
        </w:trPr>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PDRQ</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w:t>
            </w:r>
          </w:p>
        </w:tc>
        <w:tc>
          <w:tcPr>
            <w:tcW w:w="1608" w:type="dxa"/>
            <w:vAlign w:val="center"/>
          </w:tcPr>
          <w:p w:rsidR="00483F3F" w:rsidRPr="00B70760" w:rsidRDefault="00483F3F">
            <w:pPr>
              <w:spacing w:after="0"/>
              <w:rPr>
                <w:rFonts w:ascii="Arial" w:hAnsi="Arial" w:cs="Arial"/>
                <w:sz w:val="24"/>
                <w:szCs w:val="24"/>
              </w:rPr>
            </w:pPr>
          </w:p>
        </w:tc>
        <w:tc>
          <w:tcPr>
            <w:tcW w:w="1608" w:type="dxa"/>
            <w:vAlign w:val="center"/>
          </w:tcPr>
          <w:p w:rsidR="00483F3F" w:rsidRPr="00B70760" w:rsidRDefault="00483F3F">
            <w:pPr>
              <w:spacing w:after="0"/>
              <w:rPr>
                <w:rFonts w:ascii="Arial" w:hAnsi="Arial" w:cs="Arial"/>
                <w:sz w:val="24"/>
                <w:szCs w:val="24"/>
              </w:rPr>
            </w:pPr>
          </w:p>
        </w:tc>
        <w:tc>
          <w:tcPr>
            <w:tcW w:w="1608" w:type="dxa"/>
            <w:vAlign w:val="center"/>
          </w:tcPr>
          <w:p w:rsidR="00483F3F" w:rsidRPr="00B70760" w:rsidRDefault="00483F3F">
            <w:pPr>
              <w:spacing w:after="0"/>
              <w:rPr>
                <w:rFonts w:ascii="Arial" w:hAnsi="Arial" w:cs="Arial"/>
                <w:sz w:val="24"/>
                <w:szCs w:val="24"/>
              </w:rPr>
            </w:pPr>
          </w:p>
        </w:tc>
        <w:tc>
          <w:tcPr>
            <w:tcW w:w="1608" w:type="dxa"/>
            <w:vAlign w:val="center"/>
          </w:tcPr>
          <w:p w:rsidR="00483F3F" w:rsidRPr="00B70760" w:rsidRDefault="00483F3F">
            <w:pPr>
              <w:spacing w:after="0"/>
              <w:rPr>
                <w:rFonts w:ascii="Arial" w:hAnsi="Arial" w:cs="Arial"/>
                <w:sz w:val="24"/>
                <w:szCs w:val="24"/>
              </w:rPr>
            </w:pPr>
          </w:p>
        </w:tc>
      </w:tr>
      <w:tr w:rsidR="00483F3F" w:rsidRPr="00B70760">
        <w:trPr>
          <w:jc w:val="center"/>
        </w:trPr>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PF</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.520***</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w:t>
            </w:r>
          </w:p>
        </w:tc>
        <w:tc>
          <w:tcPr>
            <w:tcW w:w="1608" w:type="dxa"/>
            <w:vAlign w:val="center"/>
          </w:tcPr>
          <w:p w:rsidR="00483F3F" w:rsidRPr="00B70760" w:rsidRDefault="00483F3F">
            <w:pPr>
              <w:spacing w:after="0"/>
              <w:rPr>
                <w:rFonts w:ascii="Arial" w:hAnsi="Arial" w:cs="Arial"/>
                <w:sz w:val="24"/>
                <w:szCs w:val="24"/>
              </w:rPr>
            </w:pPr>
          </w:p>
        </w:tc>
        <w:tc>
          <w:tcPr>
            <w:tcW w:w="1608" w:type="dxa"/>
            <w:vAlign w:val="center"/>
          </w:tcPr>
          <w:p w:rsidR="00483F3F" w:rsidRPr="00B70760" w:rsidRDefault="00483F3F">
            <w:pPr>
              <w:spacing w:after="0"/>
              <w:rPr>
                <w:rFonts w:ascii="Arial" w:hAnsi="Arial" w:cs="Arial"/>
                <w:sz w:val="24"/>
                <w:szCs w:val="24"/>
              </w:rPr>
            </w:pPr>
          </w:p>
        </w:tc>
        <w:tc>
          <w:tcPr>
            <w:tcW w:w="1608" w:type="dxa"/>
            <w:vAlign w:val="center"/>
          </w:tcPr>
          <w:p w:rsidR="00483F3F" w:rsidRPr="00B70760" w:rsidRDefault="00483F3F">
            <w:pPr>
              <w:spacing w:after="0"/>
              <w:rPr>
                <w:rFonts w:ascii="Arial" w:hAnsi="Arial" w:cs="Arial"/>
                <w:sz w:val="24"/>
                <w:szCs w:val="24"/>
              </w:rPr>
            </w:pPr>
          </w:p>
        </w:tc>
      </w:tr>
      <w:tr w:rsidR="00483F3F" w:rsidRPr="00B70760">
        <w:trPr>
          <w:jc w:val="center"/>
        </w:trPr>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CT</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.634***</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.523***</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w:t>
            </w:r>
          </w:p>
        </w:tc>
        <w:tc>
          <w:tcPr>
            <w:tcW w:w="1608" w:type="dxa"/>
            <w:vAlign w:val="center"/>
          </w:tcPr>
          <w:p w:rsidR="00483F3F" w:rsidRPr="00B70760" w:rsidRDefault="00483F3F">
            <w:pPr>
              <w:spacing w:after="0"/>
              <w:rPr>
                <w:rFonts w:ascii="Arial" w:hAnsi="Arial" w:cs="Arial"/>
                <w:sz w:val="24"/>
                <w:szCs w:val="24"/>
              </w:rPr>
            </w:pPr>
          </w:p>
        </w:tc>
        <w:tc>
          <w:tcPr>
            <w:tcW w:w="1608" w:type="dxa"/>
            <w:vAlign w:val="center"/>
          </w:tcPr>
          <w:p w:rsidR="00483F3F" w:rsidRPr="00B70760" w:rsidRDefault="00483F3F">
            <w:pPr>
              <w:spacing w:after="0"/>
              <w:rPr>
                <w:rFonts w:ascii="Arial" w:hAnsi="Arial" w:cs="Arial"/>
                <w:sz w:val="24"/>
                <w:szCs w:val="24"/>
              </w:rPr>
            </w:pPr>
          </w:p>
        </w:tc>
      </w:tr>
      <w:tr w:rsidR="00483F3F" w:rsidRPr="00B70760">
        <w:trPr>
          <w:jc w:val="center"/>
        </w:trPr>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FC</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.263</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.024</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.008</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w:t>
            </w:r>
          </w:p>
        </w:tc>
        <w:tc>
          <w:tcPr>
            <w:tcW w:w="1608" w:type="dxa"/>
            <w:vAlign w:val="center"/>
          </w:tcPr>
          <w:p w:rsidR="00483F3F" w:rsidRPr="00B70760" w:rsidRDefault="00483F3F">
            <w:pPr>
              <w:spacing w:after="0"/>
              <w:rPr>
                <w:rFonts w:ascii="Arial" w:hAnsi="Arial" w:cs="Arial"/>
                <w:sz w:val="24"/>
                <w:szCs w:val="24"/>
              </w:rPr>
            </w:pPr>
          </w:p>
        </w:tc>
      </w:tr>
      <w:tr w:rsidR="00483F3F" w:rsidRPr="00B70760">
        <w:trPr>
          <w:jc w:val="center"/>
        </w:trPr>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DPL</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.317*</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.149</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.426**</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.068</w:t>
            </w:r>
          </w:p>
        </w:tc>
        <w:tc>
          <w:tcPr>
            <w:tcW w:w="1608"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w:t>
            </w:r>
          </w:p>
        </w:tc>
      </w:tr>
    </w:tbl>
    <w:p w:rsidR="0002209B" w:rsidRPr="00B70760" w:rsidRDefault="0002209B" w:rsidP="008E7321">
      <w:pPr>
        <w:pStyle w:val="Heading3"/>
        <w:jc w:val="center"/>
        <w:rPr>
          <w:rFonts w:ascii="Arial" w:hAnsi="Arial" w:cs="Arial"/>
          <w:b w:val="0"/>
          <w:bCs w:val="0"/>
          <w:color w:val="000000" w:themeColor="text1"/>
          <w:sz w:val="24"/>
          <w:szCs w:val="24"/>
        </w:rPr>
      </w:pPr>
      <w:bookmarkStart w:id="25" w:name="_Toc238592643"/>
      <w:r w:rsidRPr="00B70760">
        <w:rPr>
          <w:rFonts w:ascii="Arial" w:hAnsi="Arial" w:cs="Arial"/>
          <w:b w:val="0"/>
          <w:bCs w:val="0"/>
          <w:color w:val="000000" w:themeColor="text1"/>
          <w:sz w:val="24"/>
          <w:szCs w:val="24"/>
        </w:rPr>
        <w:t>Table 4. Spearman correlations</w:t>
      </w:r>
      <w:bookmarkEnd w:id="25"/>
    </w:p>
    <w:p w:rsidR="0002209B" w:rsidRPr="00B70760" w:rsidRDefault="0002209B" w:rsidP="0002209B">
      <w:pPr>
        <w:spacing w:after="0" w:line="240" w:lineRule="auto"/>
        <w:rPr>
          <w:rFonts w:ascii="Arial" w:eastAsia="Times New Roman" w:hAnsi="Arial" w:cs="Arial"/>
          <w:sz w:val="24"/>
          <w:szCs w:val="24"/>
        </w:rPr>
      </w:pPr>
    </w:p>
    <w:p w:rsidR="0071541C" w:rsidRPr="00B70760" w:rsidRDefault="0071541C">
      <w:pPr>
        <w:jc w:val="both"/>
        <w:rPr>
          <w:rFonts w:ascii="Arial" w:hAnsi="Arial" w:cs="Arial"/>
          <w:sz w:val="24"/>
          <w:szCs w:val="24"/>
        </w:rPr>
      </w:pPr>
      <w:r w:rsidRPr="00B70760">
        <w:rPr>
          <w:rFonts w:ascii="Arial" w:hAnsi="Arial" w:cs="Arial"/>
          <w:sz w:val="24"/>
          <w:szCs w:val="24"/>
        </w:rPr>
        <w:t xml:space="preserve">Note: Spearman's ρ. *p=.026 for PDRQ–DPL; **p=.002 for CT–DPL; ***p&lt;.001 for PDRQ–PF, PDRQ–CT, and PF–CT. PDRQ (p=.068), PF (p=.868), CT (p=.959), and DPL (p=.642) did not substantially </w:t>
      </w:r>
      <w:proofErr w:type="gramStart"/>
      <w:r w:rsidRPr="00B70760">
        <w:rPr>
          <w:rFonts w:ascii="Arial" w:hAnsi="Arial" w:cs="Arial"/>
          <w:sz w:val="24"/>
          <w:szCs w:val="24"/>
        </w:rPr>
        <w:t>associated</w:t>
      </w:r>
      <w:proofErr w:type="gramEnd"/>
      <w:r w:rsidRPr="00B70760">
        <w:rPr>
          <w:rFonts w:ascii="Arial" w:hAnsi="Arial" w:cs="Arial"/>
          <w:sz w:val="24"/>
          <w:szCs w:val="24"/>
        </w:rPr>
        <w:t xml:space="preserve"> with fraud worry.</w:t>
      </w:r>
    </w:p>
    <w:p w:rsidR="00483F3F" w:rsidRDefault="0071541C">
      <w:pPr>
        <w:jc w:val="both"/>
      </w:pPr>
      <w:r w:rsidRPr="00B70760">
        <w:rPr>
          <w:rFonts w:ascii="Arial" w:hAnsi="Arial" w:cs="Arial"/>
          <w:sz w:val="24"/>
          <w:szCs w:val="24"/>
        </w:rPr>
        <w:t>PDRQ had a larger positive correlation with customer trust (ρ=.634, p&lt;.001) and a somewhat positive correlation with perceived fairness (ρ=.520, p&lt;.001). Additionally, there was a positive correlation between perceived fairness and customer trust (ρ=.523, p&lt;.001). Although they did not demonstrate mediation or moderation, these bivariate interactions were in line with the primary sequence</w:t>
      </w:r>
      <w:r>
        <w:t>.</w:t>
      </w:r>
    </w:p>
    <w:p w:rsidR="00483F3F" w:rsidRDefault="00000000">
      <w:pPr>
        <w:pStyle w:val="Heading2"/>
        <w:spacing w:after="120"/>
        <w:jc w:val="both"/>
      </w:pPr>
      <w:bookmarkStart w:id="26" w:name="_Toc238592644"/>
      <w:r>
        <w:t>4.5 Regression Diagnostics</w:t>
      </w:r>
      <w:bookmarkEnd w:id="26"/>
    </w:p>
    <w:p w:rsidR="00483F3F" w:rsidRPr="00B70760" w:rsidRDefault="0071541C">
      <w:pPr>
        <w:jc w:val="both"/>
        <w:rPr>
          <w:rFonts w:ascii="Arial" w:hAnsi="Arial" w:cs="Arial"/>
          <w:sz w:val="24"/>
          <w:szCs w:val="24"/>
        </w:rPr>
      </w:pPr>
      <w:r w:rsidRPr="00B70760">
        <w:rPr>
          <w:rFonts w:ascii="Arial" w:hAnsi="Arial" w:cs="Arial"/>
          <w:sz w:val="24"/>
          <w:szCs w:val="24"/>
        </w:rPr>
        <w:t>The regression diagnostics were looked at prior to conditional-process inference. The model explained 68.5% of the variation (R²=.685; adjusted R²=.656) and was significant (</w:t>
      </w:r>
      <w:proofErr w:type="gramStart"/>
      <w:r w:rsidRPr="00B70760">
        <w:rPr>
          <w:rFonts w:ascii="Arial" w:hAnsi="Arial" w:cs="Arial"/>
          <w:sz w:val="24"/>
          <w:szCs w:val="24"/>
        </w:rPr>
        <w:t>F(</w:t>
      </w:r>
      <w:proofErr w:type="gramEnd"/>
      <w:r w:rsidRPr="00B70760">
        <w:rPr>
          <w:rFonts w:ascii="Arial" w:hAnsi="Arial" w:cs="Arial"/>
          <w:sz w:val="24"/>
          <w:szCs w:val="24"/>
        </w:rPr>
        <w:t xml:space="preserve">4,44)=23.866, p&lt;.001) in the initial customer-trust regression that included Digital-Payment Literacy as a control variable. Durbin-Watson was 2.053, indicating error independence. There was no </w:t>
      </w:r>
      <w:r w:rsidR="007E77C5" w:rsidRPr="00B70760">
        <w:rPr>
          <w:rFonts w:ascii="Arial" w:hAnsi="Arial" w:cs="Arial"/>
          <w:sz w:val="24"/>
          <w:szCs w:val="24"/>
        </w:rPr>
        <w:t>proof</w:t>
      </w:r>
      <w:r w:rsidRPr="00B70760">
        <w:rPr>
          <w:rFonts w:ascii="Arial" w:hAnsi="Arial" w:cs="Arial"/>
          <w:sz w:val="24"/>
          <w:szCs w:val="24"/>
        </w:rPr>
        <w:t xml:space="preserve"> of significant multicollinearity, with tolerance values ranging from.446 to.883 and VIF values from 1.132 to 2.242. Cook's distance was and the maximum standardized residual was 2.679.435, which is less than the typical major influence warning score of 1. The P-P plot revealed generally satisfactory residual </w:t>
      </w:r>
      <w:r w:rsidRPr="00B70760">
        <w:rPr>
          <w:rFonts w:ascii="Arial" w:hAnsi="Arial" w:cs="Arial"/>
          <w:sz w:val="24"/>
          <w:szCs w:val="24"/>
        </w:rPr>
        <w:lastRenderedPageBreak/>
        <w:t>normality, and a visual examination of the standardized residual-versus-predicted plot revealed no clear funnel pattern.</w:t>
      </w:r>
    </w:p>
    <w:p w:rsidR="00483F3F" w:rsidRPr="00B70760" w:rsidRDefault="0071541C">
      <w:pPr>
        <w:jc w:val="both"/>
        <w:rPr>
          <w:rFonts w:ascii="Arial" w:hAnsi="Arial" w:cs="Arial"/>
          <w:sz w:val="24"/>
          <w:szCs w:val="24"/>
        </w:rPr>
      </w:pPr>
      <w:r w:rsidRPr="00B70760">
        <w:rPr>
          <w:rFonts w:ascii="Arial" w:hAnsi="Arial" w:cs="Arial"/>
          <w:sz w:val="24"/>
          <w:szCs w:val="24"/>
        </w:rPr>
        <w:t>However, heteroskedasticity in the mediator equation was found by PROCESS diagnostics. Significant results were obtained from the Breusch-Pagan test (p=.0011; robust p=.0026). Consequently, HC3 heteroskedasticity-consistent standard errors were used to re-estimate the final mediation and moderated-mediation models. This choice is crucial since HC3 modifies the uncertainty utilized for significance tests and confidence intervals, but the coefficient estimates themselves stay the same. As a result, the conclusive inferential results shown below are based on the HC3 data.</w:t>
      </w:r>
    </w:p>
    <w:p w:rsidR="00483F3F" w:rsidRDefault="00000000">
      <w:pPr>
        <w:pStyle w:val="Heading2"/>
      </w:pPr>
      <w:bookmarkStart w:id="27" w:name="_Toc238592645"/>
      <w:r>
        <w:t>4.6 Mediation and Direct Effects: PROCESS Model 4</w:t>
      </w:r>
      <w:bookmarkEnd w:id="27"/>
    </w:p>
    <w:p w:rsidR="00BB5C2B" w:rsidRPr="00B70760" w:rsidRDefault="00BB5C2B">
      <w:pPr>
        <w:jc w:val="both"/>
        <w:rPr>
          <w:rFonts w:ascii="Arial" w:hAnsi="Arial" w:cs="Arial"/>
          <w:sz w:val="24"/>
          <w:szCs w:val="24"/>
        </w:rPr>
      </w:pPr>
      <w:r w:rsidRPr="00B70760">
        <w:rPr>
          <w:rFonts w:ascii="Arial" w:hAnsi="Arial" w:cs="Arial"/>
          <w:sz w:val="24"/>
          <w:szCs w:val="24"/>
        </w:rPr>
        <w:t>F(HC</w:t>
      </w:r>
      <w:proofErr w:type="gramStart"/>
      <w:r w:rsidRPr="00B70760">
        <w:rPr>
          <w:rFonts w:ascii="Arial" w:hAnsi="Arial" w:cs="Arial"/>
          <w:sz w:val="24"/>
          <w:szCs w:val="24"/>
        </w:rPr>
        <w:t>3)(</w:t>
      </w:r>
      <w:proofErr w:type="gramEnd"/>
      <w:r w:rsidRPr="00B70760">
        <w:rPr>
          <w:rFonts w:ascii="Arial" w:hAnsi="Arial" w:cs="Arial"/>
          <w:sz w:val="24"/>
          <w:szCs w:val="24"/>
        </w:rPr>
        <w:t>1,47)=15.065, p=.0003, R2=.4906 indicated that the mediator model was significant. Perceived Fairness was positively predicted by PDRQ, B=.6482, SEHC3=.1670, t=3.8814, p=.0003, 95% CI [.3122,.9842], supporting H1.</w:t>
      </w:r>
    </w:p>
    <w:p w:rsidR="00BB5C2B" w:rsidRPr="00B70760" w:rsidRDefault="00BB5C2B">
      <w:pPr>
        <w:jc w:val="both"/>
        <w:rPr>
          <w:rFonts w:ascii="Arial" w:hAnsi="Arial" w:cs="Arial"/>
          <w:sz w:val="24"/>
          <w:szCs w:val="24"/>
        </w:rPr>
      </w:pPr>
      <w:r w:rsidRPr="00B70760">
        <w:rPr>
          <w:rFonts w:ascii="Arial" w:hAnsi="Arial" w:cs="Arial"/>
          <w:sz w:val="24"/>
          <w:szCs w:val="24"/>
        </w:rPr>
        <w:t>The entire model in the customer-trust equation was significant (F(HC</w:t>
      </w:r>
      <w:proofErr w:type="gramStart"/>
      <w:r w:rsidRPr="00B70760">
        <w:rPr>
          <w:rFonts w:ascii="Arial" w:hAnsi="Arial" w:cs="Arial"/>
          <w:sz w:val="24"/>
          <w:szCs w:val="24"/>
        </w:rPr>
        <w:t>3)(</w:t>
      </w:r>
      <w:proofErr w:type="gramEnd"/>
      <w:r w:rsidRPr="00B70760">
        <w:rPr>
          <w:rFonts w:ascii="Arial" w:hAnsi="Arial" w:cs="Arial"/>
          <w:sz w:val="24"/>
          <w:szCs w:val="24"/>
        </w:rPr>
        <w:t>2,46)=28.7864, p&lt;.001, R²=.5989). PDRQ continued to support H3 with a substantial favorable direct effect (B=.4548, SEHC3=.2013, t=2.2593, p=.0286, 95% CI [.0496,.8600]). With a positive but non-significant coefficient for perceived fairness (B=.4470, SEHC3=.2594, t=1.7234, p=.0915, 95% CI [−.0751,.9690]), H2 was not supported.</w:t>
      </w:r>
    </w:p>
    <w:p w:rsidR="00483F3F" w:rsidRPr="00B70760" w:rsidRDefault="00BB5C2B">
      <w:pPr>
        <w:jc w:val="both"/>
        <w:rPr>
          <w:rFonts w:ascii="Arial" w:hAnsi="Arial" w:cs="Arial"/>
          <w:sz w:val="24"/>
          <w:szCs w:val="24"/>
        </w:rPr>
      </w:pPr>
      <w:r w:rsidRPr="00B70760">
        <w:rPr>
          <w:rFonts w:ascii="Arial" w:hAnsi="Arial" w:cs="Arial"/>
          <w:sz w:val="24"/>
          <w:szCs w:val="24"/>
        </w:rPr>
        <w:t xml:space="preserve">With 95% </w:t>
      </w:r>
      <w:proofErr w:type="spellStart"/>
      <w:r w:rsidRPr="00B70760">
        <w:rPr>
          <w:rFonts w:ascii="Arial" w:hAnsi="Arial" w:cs="Arial"/>
          <w:sz w:val="24"/>
          <w:szCs w:val="24"/>
        </w:rPr>
        <w:t>BootCI</w:t>
      </w:r>
      <w:proofErr w:type="spellEnd"/>
      <w:r w:rsidRPr="00B70760">
        <w:rPr>
          <w:rFonts w:ascii="Arial" w:hAnsi="Arial" w:cs="Arial"/>
          <w:sz w:val="24"/>
          <w:szCs w:val="24"/>
        </w:rPr>
        <w:t xml:space="preserve"> [−.0056,.6481], the bootstrapped indirect impact PDRQ → Perceived Fairness → Customer Trust was.2897 (</w:t>
      </w:r>
      <w:proofErr w:type="spellStart"/>
      <w:r w:rsidRPr="00B70760">
        <w:rPr>
          <w:rFonts w:ascii="Arial" w:hAnsi="Arial" w:cs="Arial"/>
          <w:sz w:val="24"/>
          <w:szCs w:val="24"/>
        </w:rPr>
        <w:t>BootSE</w:t>
      </w:r>
      <w:proofErr w:type="spellEnd"/>
      <w:r w:rsidRPr="00B70760">
        <w:rPr>
          <w:rFonts w:ascii="Arial" w:hAnsi="Arial" w:cs="Arial"/>
          <w:sz w:val="24"/>
          <w:szCs w:val="24"/>
        </w:rPr>
        <w:t>=.1699). H4 was not supported since the interval included zero. Therefore, rather than being proof of mediation, the positive point estimate should be viewed as statistically ambiguous.</w:t>
      </w:r>
    </w:p>
    <w:p w:rsidR="00483F3F" w:rsidRDefault="00000000">
      <w:pPr>
        <w:pStyle w:val="Heading2"/>
      </w:pPr>
      <w:bookmarkStart w:id="28" w:name="_Toc238592646"/>
      <w:r>
        <w:t>4.7 Moderation and Conditional Indirect Effect: PROCESS Model 14</w:t>
      </w:r>
      <w:bookmarkEnd w:id="28"/>
    </w:p>
    <w:p w:rsidR="00483F3F" w:rsidRPr="00B70760" w:rsidRDefault="00BB5C2B">
      <w:pPr>
        <w:jc w:val="both"/>
        <w:rPr>
          <w:rFonts w:ascii="Arial" w:hAnsi="Arial" w:cs="Arial"/>
          <w:sz w:val="24"/>
          <w:szCs w:val="24"/>
        </w:rPr>
      </w:pPr>
      <w:r w:rsidRPr="00B70760">
        <w:rPr>
          <w:rFonts w:ascii="Arial" w:hAnsi="Arial" w:cs="Arial"/>
          <w:sz w:val="24"/>
          <w:szCs w:val="24"/>
        </w:rPr>
        <w:t>The customer-trust equation for Model 14 was significant (F(HC</w:t>
      </w:r>
      <w:proofErr w:type="gramStart"/>
      <w:r w:rsidRPr="00B70760">
        <w:rPr>
          <w:rFonts w:ascii="Arial" w:hAnsi="Arial" w:cs="Arial"/>
          <w:sz w:val="24"/>
          <w:szCs w:val="24"/>
        </w:rPr>
        <w:t>3)(</w:t>
      </w:r>
      <w:proofErr w:type="gramEnd"/>
      <w:r w:rsidRPr="00B70760">
        <w:rPr>
          <w:rFonts w:ascii="Arial" w:hAnsi="Arial" w:cs="Arial"/>
          <w:sz w:val="24"/>
          <w:szCs w:val="24"/>
        </w:rPr>
        <w:t xml:space="preserve">4,44)=15.5337, p&lt;.001, R2=.6480). Trust was still significantly positively predicted by PDRQ (B=.5657, SEHC3=.1950, t=2.9016, p=.0058, 95% CI [.1728,.9587]). There was no significant </w:t>
      </w:r>
      <w:r w:rsidR="001E4DFF" w:rsidRPr="00B70760">
        <w:rPr>
          <w:rFonts w:ascii="Arial" w:hAnsi="Arial" w:cs="Arial"/>
          <w:sz w:val="24"/>
          <w:szCs w:val="24"/>
        </w:rPr>
        <w:t>relationship</w:t>
      </w:r>
      <w:r w:rsidRPr="00B70760">
        <w:rPr>
          <w:rFonts w:ascii="Arial" w:hAnsi="Arial" w:cs="Arial"/>
          <w:sz w:val="24"/>
          <w:szCs w:val="24"/>
        </w:rPr>
        <w:t xml:space="preserve"> between Perceived Fairness and Fraud Concern, B=.1198, 95% CI [−.2140,.4536], SEHC3=.1656, t=.7234, p=.4733. H5 was not supported since the interaction added ΔR²=.0125, F(HC</w:t>
      </w:r>
      <w:proofErr w:type="gramStart"/>
      <w:r w:rsidRPr="00B70760">
        <w:rPr>
          <w:rFonts w:ascii="Arial" w:hAnsi="Arial" w:cs="Arial"/>
          <w:sz w:val="24"/>
          <w:szCs w:val="24"/>
        </w:rPr>
        <w:t>3)(</w:t>
      </w:r>
      <w:proofErr w:type="gramEnd"/>
      <w:r w:rsidRPr="00B70760">
        <w:rPr>
          <w:rFonts w:ascii="Arial" w:hAnsi="Arial" w:cs="Arial"/>
          <w:sz w:val="24"/>
          <w:szCs w:val="24"/>
        </w:rPr>
        <w:t>1,44)=.5232, p=.4733.</w:t>
      </w:r>
    </w:p>
    <w:tbl>
      <w:tblPr>
        <w:tblStyle w:val="TableGrid"/>
        <w:tblW w:w="0" w:type="auto"/>
        <w:jc w:val="center"/>
        <w:tblLook w:val="04A0" w:firstRow="1" w:lastRow="0" w:firstColumn="1" w:lastColumn="0" w:noHBand="0" w:noVBand="1"/>
      </w:tblPr>
      <w:tblGrid>
        <w:gridCol w:w="1930"/>
        <w:gridCol w:w="1930"/>
        <w:gridCol w:w="1930"/>
        <w:gridCol w:w="1930"/>
        <w:gridCol w:w="1930"/>
      </w:tblGrid>
      <w:tr w:rsidR="00483F3F" w:rsidRPr="00B70760">
        <w:trPr>
          <w:jc w:val="center"/>
        </w:trPr>
        <w:tc>
          <w:tcPr>
            <w:tcW w:w="1930"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Fraud Concern (centred)</w:t>
            </w:r>
          </w:p>
        </w:tc>
        <w:tc>
          <w:tcPr>
            <w:tcW w:w="1930"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Conditional indirect effect</w:t>
            </w:r>
          </w:p>
        </w:tc>
        <w:tc>
          <w:tcPr>
            <w:tcW w:w="1930"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BootSE</w:t>
            </w:r>
          </w:p>
        </w:tc>
        <w:tc>
          <w:tcPr>
            <w:tcW w:w="1930"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BootLLCI</w:t>
            </w:r>
          </w:p>
        </w:tc>
        <w:tc>
          <w:tcPr>
            <w:tcW w:w="1930"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BootULCI</w:t>
            </w:r>
          </w:p>
        </w:tc>
      </w:tr>
      <w:tr w:rsidR="00483F3F" w:rsidRPr="00B70760">
        <w:trPr>
          <w:jc w:val="center"/>
        </w:trPr>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-1.3912</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.2060</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.171</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−.1044</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.5667</w:t>
            </w:r>
          </w:p>
        </w:tc>
      </w:tr>
      <w:tr w:rsidR="00483F3F" w:rsidRPr="00B70760">
        <w:trPr>
          <w:jc w:val="center"/>
        </w:trPr>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.4422</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.3484</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.204</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−.0414</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.7454</w:t>
            </w:r>
          </w:p>
        </w:tc>
      </w:tr>
      <w:tr w:rsidR="00483F3F" w:rsidRPr="00B70760">
        <w:trPr>
          <w:jc w:val="center"/>
        </w:trPr>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.7755</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.3743</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.226</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−.0620</w:t>
            </w:r>
          </w:p>
        </w:tc>
        <w:tc>
          <w:tcPr>
            <w:tcW w:w="1930"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.8046</w:t>
            </w:r>
          </w:p>
        </w:tc>
      </w:tr>
    </w:tbl>
    <w:p w:rsidR="0002209B" w:rsidRPr="00B70760" w:rsidRDefault="0002209B" w:rsidP="008E7321">
      <w:pPr>
        <w:pStyle w:val="Heading3"/>
        <w:jc w:val="center"/>
        <w:rPr>
          <w:rFonts w:ascii="Arial" w:hAnsi="Arial" w:cs="Arial"/>
          <w:b w:val="0"/>
          <w:bCs w:val="0"/>
          <w:color w:val="000000" w:themeColor="text1"/>
          <w:sz w:val="24"/>
          <w:szCs w:val="24"/>
        </w:rPr>
      </w:pPr>
      <w:bookmarkStart w:id="29" w:name="_Toc238592647"/>
      <w:r w:rsidRPr="00B70760">
        <w:rPr>
          <w:rFonts w:ascii="Arial" w:hAnsi="Arial" w:cs="Arial"/>
          <w:b w:val="0"/>
          <w:bCs w:val="0"/>
          <w:color w:val="000000" w:themeColor="text1"/>
          <w:sz w:val="24"/>
          <w:szCs w:val="24"/>
        </w:rPr>
        <w:t>Table 5. Conditional indirect effects at values of Fraud Concern</w:t>
      </w:r>
      <w:bookmarkEnd w:id="29"/>
    </w:p>
    <w:p w:rsidR="00E270ED" w:rsidRDefault="00E270ED">
      <w:pPr>
        <w:jc w:val="both"/>
        <w:rPr>
          <w:rFonts w:ascii="Arial" w:hAnsi="Arial" w:cs="Arial"/>
          <w:sz w:val="24"/>
          <w:szCs w:val="24"/>
        </w:rPr>
      </w:pPr>
    </w:p>
    <w:p w:rsidR="00483F3F" w:rsidRPr="00B70760" w:rsidRDefault="00BB5C2B">
      <w:pPr>
        <w:jc w:val="both"/>
        <w:rPr>
          <w:rFonts w:ascii="Arial" w:hAnsi="Arial" w:cs="Arial"/>
          <w:sz w:val="24"/>
          <w:szCs w:val="24"/>
        </w:rPr>
      </w:pPr>
      <w:r w:rsidRPr="00B70760">
        <w:rPr>
          <w:rFonts w:ascii="Arial" w:hAnsi="Arial" w:cs="Arial"/>
          <w:sz w:val="24"/>
          <w:szCs w:val="24"/>
        </w:rPr>
        <w:t>Zero was present in each of the three conditional indirect-effect confidence ranges. The moderated mediation index was.0777 (</w:t>
      </w:r>
      <w:proofErr w:type="spellStart"/>
      <w:r w:rsidRPr="00B70760">
        <w:rPr>
          <w:rFonts w:ascii="Arial" w:hAnsi="Arial" w:cs="Arial"/>
          <w:sz w:val="24"/>
          <w:szCs w:val="24"/>
        </w:rPr>
        <w:t>BootSE</w:t>
      </w:r>
      <w:proofErr w:type="spellEnd"/>
      <w:r w:rsidRPr="00B70760">
        <w:rPr>
          <w:rFonts w:ascii="Arial" w:hAnsi="Arial" w:cs="Arial"/>
          <w:sz w:val="24"/>
          <w:szCs w:val="24"/>
        </w:rPr>
        <w:t xml:space="preserve">=.0986), with a 95% </w:t>
      </w:r>
      <w:proofErr w:type="spellStart"/>
      <w:r w:rsidRPr="00B70760">
        <w:rPr>
          <w:rFonts w:ascii="Arial" w:hAnsi="Arial" w:cs="Arial"/>
          <w:sz w:val="24"/>
          <w:szCs w:val="24"/>
        </w:rPr>
        <w:t>BootCI</w:t>
      </w:r>
      <w:proofErr w:type="spellEnd"/>
      <w:r w:rsidRPr="00B70760">
        <w:rPr>
          <w:rFonts w:ascii="Arial" w:hAnsi="Arial" w:cs="Arial"/>
          <w:sz w:val="24"/>
          <w:szCs w:val="24"/>
        </w:rPr>
        <w:t xml:space="preserve"> [−.1151,.2861]. </w:t>
      </w:r>
      <w:r w:rsidRPr="00B70760">
        <w:rPr>
          <w:rFonts w:ascii="Arial" w:hAnsi="Arial" w:cs="Arial"/>
          <w:sz w:val="24"/>
          <w:szCs w:val="24"/>
        </w:rPr>
        <w:lastRenderedPageBreak/>
        <w:t>H6 was not supported since the interval included zero. As a result, the conceptual model is partially supported by the results: PDRQ was consistently associated with Fairness and Trust, but the suggested mediation and moderated-mediation mechanisms were not proven.</w:t>
      </w:r>
    </w:p>
    <w:p w:rsidR="00770D72" w:rsidRPr="00B70760" w:rsidRDefault="00770D72">
      <w:pPr>
        <w:jc w:val="both"/>
        <w:rPr>
          <w:rFonts w:ascii="Arial" w:hAnsi="Arial" w:cs="Arial"/>
          <w:sz w:val="24"/>
          <w:szCs w:val="24"/>
        </w:rPr>
      </w:pPr>
    </w:p>
    <w:tbl>
      <w:tblPr>
        <w:tblStyle w:val="TableGrid"/>
        <w:tblW w:w="0" w:type="auto"/>
        <w:jc w:val="center"/>
        <w:tblLook w:val="04A0" w:firstRow="1" w:lastRow="0" w:firstColumn="1" w:lastColumn="0" w:noHBand="0" w:noVBand="1"/>
      </w:tblPr>
      <w:tblGrid>
        <w:gridCol w:w="3216"/>
        <w:gridCol w:w="3216"/>
        <w:gridCol w:w="3216"/>
      </w:tblGrid>
      <w:tr w:rsidR="00483F3F" w:rsidRPr="00B70760">
        <w:trPr>
          <w:jc w:val="center"/>
        </w:trPr>
        <w:tc>
          <w:tcPr>
            <w:tcW w:w="3216"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Hypothesis</w:t>
            </w:r>
          </w:p>
        </w:tc>
        <w:tc>
          <w:tcPr>
            <w:tcW w:w="3216"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Key evidence</w:t>
            </w:r>
          </w:p>
        </w:tc>
        <w:tc>
          <w:tcPr>
            <w:tcW w:w="3216" w:type="dxa"/>
            <w:shd w:val="clear" w:color="auto" w:fill="D9EAF7"/>
            <w:vAlign w:val="center"/>
          </w:tcPr>
          <w:p w:rsidR="00483F3F" w:rsidRPr="00B70760" w:rsidRDefault="00000000">
            <w:pPr>
              <w:spacing w:after="0"/>
              <w:rPr>
                <w:rFonts w:ascii="Arial" w:hAnsi="Arial" w:cs="Arial"/>
                <w:sz w:val="24"/>
                <w:szCs w:val="24"/>
              </w:rPr>
            </w:pPr>
            <w:r w:rsidRPr="00B70760">
              <w:rPr>
                <w:rFonts w:ascii="Arial" w:hAnsi="Arial" w:cs="Arial"/>
                <w:b/>
                <w:sz w:val="24"/>
                <w:szCs w:val="24"/>
              </w:rPr>
              <w:t>Decision</w:t>
            </w:r>
          </w:p>
        </w:tc>
      </w:tr>
      <w:tr w:rsidR="00483F3F" w:rsidRPr="00B70760">
        <w:trPr>
          <w:jc w:val="center"/>
        </w:trPr>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H1</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PDRQ → PF: B=.6482, p=.0003</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Supported</w:t>
            </w:r>
          </w:p>
        </w:tc>
      </w:tr>
      <w:tr w:rsidR="00483F3F" w:rsidRPr="00B70760">
        <w:trPr>
          <w:jc w:val="center"/>
        </w:trPr>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H2</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PF → CT: B=.4470, p=.0915</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Not supported</w:t>
            </w:r>
          </w:p>
        </w:tc>
      </w:tr>
      <w:tr w:rsidR="00483F3F" w:rsidRPr="00B70760">
        <w:trPr>
          <w:jc w:val="center"/>
        </w:trPr>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H3</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PDRQ → CT: B=.4548, p=.0286</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Supported</w:t>
            </w:r>
          </w:p>
        </w:tc>
      </w:tr>
      <w:tr w:rsidR="00483F3F" w:rsidRPr="00B70760">
        <w:trPr>
          <w:jc w:val="center"/>
        </w:trPr>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H4</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Indirect=.2897; 95% BootCI [−.0056,.6481]</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Not supported</w:t>
            </w:r>
          </w:p>
        </w:tc>
      </w:tr>
      <w:tr w:rsidR="00483F3F" w:rsidRPr="00B70760">
        <w:trPr>
          <w:jc w:val="center"/>
        </w:trPr>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H5</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PF×FC: B=.1198, p=.4733</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Not supported</w:t>
            </w:r>
          </w:p>
        </w:tc>
      </w:tr>
      <w:tr w:rsidR="00483F3F" w:rsidRPr="00B70760">
        <w:trPr>
          <w:jc w:val="center"/>
        </w:trPr>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H6</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Index=.0777; 95% BootCI [−.1151,.2861]</w:t>
            </w:r>
          </w:p>
        </w:tc>
        <w:tc>
          <w:tcPr>
            <w:tcW w:w="3216" w:type="dxa"/>
            <w:vAlign w:val="center"/>
          </w:tcPr>
          <w:p w:rsidR="00483F3F" w:rsidRPr="00B70760" w:rsidRDefault="00000000">
            <w:pPr>
              <w:spacing w:after="0"/>
              <w:rPr>
                <w:rFonts w:ascii="Arial" w:hAnsi="Arial" w:cs="Arial"/>
                <w:sz w:val="24"/>
                <w:szCs w:val="24"/>
              </w:rPr>
            </w:pPr>
            <w:r w:rsidRPr="00B70760">
              <w:rPr>
                <w:rFonts w:ascii="Arial" w:hAnsi="Arial" w:cs="Arial"/>
                <w:sz w:val="24"/>
                <w:szCs w:val="24"/>
              </w:rPr>
              <w:t>Not supported</w:t>
            </w:r>
          </w:p>
        </w:tc>
      </w:tr>
    </w:tbl>
    <w:p w:rsidR="0002209B" w:rsidRPr="00B70760" w:rsidRDefault="0002209B" w:rsidP="008E7321">
      <w:pPr>
        <w:pStyle w:val="Heading3"/>
        <w:jc w:val="center"/>
        <w:rPr>
          <w:rFonts w:ascii="Arial" w:hAnsi="Arial" w:cs="Arial"/>
          <w:b w:val="0"/>
          <w:bCs w:val="0"/>
          <w:color w:val="000000" w:themeColor="text1"/>
          <w:sz w:val="24"/>
          <w:szCs w:val="24"/>
        </w:rPr>
      </w:pPr>
      <w:bookmarkStart w:id="30" w:name="_Toc238592648"/>
      <w:r w:rsidRPr="00B70760">
        <w:rPr>
          <w:rFonts w:ascii="Arial" w:hAnsi="Arial" w:cs="Arial"/>
          <w:b w:val="0"/>
          <w:bCs w:val="0"/>
          <w:color w:val="000000" w:themeColor="text1"/>
          <w:sz w:val="24"/>
          <w:szCs w:val="24"/>
        </w:rPr>
        <w:t>Table 6. Summary of hypothesis testing</w:t>
      </w:r>
      <w:bookmarkEnd w:id="30"/>
    </w:p>
    <w:p w:rsidR="0002209B" w:rsidRPr="00B70760" w:rsidRDefault="0002209B">
      <w:pPr>
        <w:pStyle w:val="Heading1"/>
        <w:rPr>
          <w:rFonts w:ascii="Arial" w:hAnsi="Arial" w:cs="Arial"/>
          <w:sz w:val="24"/>
          <w:szCs w:val="24"/>
        </w:rPr>
      </w:pPr>
    </w:p>
    <w:p w:rsidR="00483F3F" w:rsidRDefault="00000000">
      <w:pPr>
        <w:pStyle w:val="Heading1"/>
      </w:pPr>
      <w:bookmarkStart w:id="31" w:name="_Toc238592649"/>
      <w:r>
        <w:t>5. Discussion</w:t>
      </w:r>
      <w:bookmarkEnd w:id="31"/>
    </w:p>
    <w:p w:rsidR="00483F3F" w:rsidRDefault="00000000">
      <w:pPr>
        <w:pStyle w:val="Heading2"/>
      </w:pPr>
      <w:bookmarkStart w:id="32" w:name="_Toc238592650"/>
      <w:r>
        <w:t>5.1 Overview of Key Findings</w:t>
      </w:r>
      <w:bookmarkEnd w:id="32"/>
    </w:p>
    <w:p w:rsidR="00483F3F" w:rsidRPr="00B70760" w:rsidRDefault="00BB5C2B" w:rsidP="00BB5C2B">
      <w:pPr>
        <w:jc w:val="both"/>
        <w:rPr>
          <w:rFonts w:ascii="Arial" w:hAnsi="Arial" w:cs="Arial"/>
          <w:sz w:val="24"/>
          <w:szCs w:val="24"/>
        </w:rPr>
      </w:pPr>
      <w:r w:rsidRPr="00B70760">
        <w:rPr>
          <w:rFonts w:ascii="Arial" w:hAnsi="Arial" w:cs="Arial"/>
          <w:sz w:val="24"/>
          <w:szCs w:val="24"/>
        </w:rPr>
        <w:t>The results offer some support for the suggested paradigm. The most reliable construct was PDRQ, which maintained a strong direct correlation with customer trust and significantly predicted perceived fairness. In contrast, the simple indirect effect was not statistically supported, the connection between Fairness and Trust was not moderated by Fraud Concern, and Perceived Fairness did not independently predict Trust at the 5% level once PDRQ was controlled. Zero was also included in the moderated mediation index. Therefore, direct PDRQ–Fairness and PDRQ–Trust links have more empirical evidence than the suggested conditional psychological pathway. The debate that follows is guided by this distinction: unsupported mediation and moderation paths are viewed as philosophically instructive findings rather than analytical failures, while supported linkages are understood in light of service-recovery and trust literature.</w:t>
      </w:r>
    </w:p>
    <w:p w:rsidR="00483F3F" w:rsidRDefault="00000000">
      <w:pPr>
        <w:pStyle w:val="Heading2"/>
      </w:pPr>
      <w:bookmarkStart w:id="33" w:name="_Toc238592651"/>
      <w:r>
        <w:t>5.2 Dispute Resolution Quality, Fairness and Trust</w:t>
      </w:r>
      <w:bookmarkEnd w:id="33"/>
    </w:p>
    <w:p w:rsidR="00483F3F" w:rsidRPr="00B70760" w:rsidRDefault="00BB5C2B">
      <w:pPr>
        <w:jc w:val="both"/>
        <w:rPr>
          <w:rFonts w:ascii="Arial" w:hAnsi="Arial" w:cs="Arial"/>
          <w:sz w:val="24"/>
          <w:szCs w:val="24"/>
        </w:rPr>
      </w:pPr>
      <w:r w:rsidRPr="00B70760">
        <w:rPr>
          <w:rFonts w:ascii="Arial" w:hAnsi="Arial" w:cs="Arial"/>
          <w:sz w:val="24"/>
          <w:szCs w:val="24"/>
        </w:rPr>
        <w:t xml:space="preserve">The role of PDRQ is the most compelling finding. It maintained a strong correlation with customer trust across both PROCESS parameters and accounted for over half of the variation in perceived fairness. The PDRQ-Fairness outcome is in line with service-recovery and justice theory, which holds that consumers make judgments about justice based on the processes, responses, and results related to a complaint (Tax, Brown, and </w:t>
      </w:r>
      <w:proofErr w:type="spellStart"/>
      <w:r w:rsidRPr="00B70760">
        <w:rPr>
          <w:rFonts w:ascii="Arial" w:hAnsi="Arial" w:cs="Arial"/>
          <w:sz w:val="24"/>
          <w:szCs w:val="24"/>
        </w:rPr>
        <w:lastRenderedPageBreak/>
        <w:t>Chandrashekaran</w:t>
      </w:r>
      <w:proofErr w:type="spellEnd"/>
      <w:r w:rsidRPr="00B70760">
        <w:rPr>
          <w:rFonts w:ascii="Arial" w:hAnsi="Arial" w:cs="Arial"/>
          <w:sz w:val="24"/>
          <w:szCs w:val="24"/>
        </w:rPr>
        <w:t>, 1998; Smith, Bolton, and Wagner, 1999). In a similar vein, Das et al. (2026) demonstrate how efficient online complaint processing supports distributive, procedural, and interactional fairness. Timeliness, transparency, and communication can thus provide the information consumers need to determine if a process is fair in disputes involving digital payments.</w:t>
      </w:r>
    </w:p>
    <w:p w:rsidR="00BB5C2B" w:rsidRPr="00B70760" w:rsidRDefault="00BB5C2B">
      <w:pPr>
        <w:jc w:val="both"/>
        <w:rPr>
          <w:rFonts w:ascii="Arial" w:hAnsi="Arial" w:cs="Arial"/>
          <w:sz w:val="24"/>
          <w:szCs w:val="24"/>
        </w:rPr>
      </w:pPr>
      <w:r w:rsidRPr="00B70760">
        <w:rPr>
          <w:rFonts w:ascii="Arial" w:hAnsi="Arial" w:cs="Arial"/>
          <w:sz w:val="24"/>
          <w:szCs w:val="24"/>
        </w:rPr>
        <w:t>Additionally, trust-repair reasoning is consistent with the direct PDRQ–Trust result. Observable proof of institutional competency and dependability can be found in financial-service recovery. Rao et al. (2024) conceptualize recovery as an organizational system, while Raza et al. (2023) demonstrate that various recovery strategies restore various trust dimensions and that severity alters some impacts. The current findings imply that rather than depending solely on an intervening fairness assessment, consumers may determine a bank's trustworthiness by looking at how responsive, competent, and communicative it seems.</w:t>
      </w:r>
    </w:p>
    <w:p w:rsidR="00483F3F" w:rsidRPr="00B70760" w:rsidRDefault="00BB5C2B">
      <w:pPr>
        <w:jc w:val="both"/>
        <w:rPr>
          <w:rFonts w:ascii="Arial" w:hAnsi="Arial" w:cs="Arial"/>
          <w:sz w:val="24"/>
          <w:szCs w:val="24"/>
        </w:rPr>
      </w:pPr>
      <w:r w:rsidRPr="00B70760">
        <w:rPr>
          <w:rFonts w:ascii="Arial" w:hAnsi="Arial" w:cs="Arial"/>
          <w:sz w:val="24"/>
          <w:szCs w:val="24"/>
        </w:rPr>
        <w:t>Nonetheless, the result should be seen as a connection rather than a cause. The EFA showed some overlap between the PDRQ, fairness, and trust items, and the cross-sectional design is unable to demonstrate temporal precedence. Therefore, a substantial link and some conceptual proximity between measures may be combined by the strong coefficients.</w:t>
      </w:r>
    </w:p>
    <w:p w:rsidR="00483F3F" w:rsidRDefault="00000000">
      <w:pPr>
        <w:pStyle w:val="Heading2"/>
      </w:pPr>
      <w:bookmarkStart w:id="34" w:name="_Toc238592652"/>
      <w:r>
        <w:t>5.3 Perceived Fairness and the Unsupported Mediation Effect</w:t>
      </w:r>
      <w:bookmarkEnd w:id="34"/>
    </w:p>
    <w:p w:rsidR="00483F3F" w:rsidRPr="00B70760" w:rsidRDefault="00BB5C2B">
      <w:pPr>
        <w:jc w:val="both"/>
        <w:rPr>
          <w:rFonts w:ascii="Arial" w:hAnsi="Arial" w:cs="Arial"/>
          <w:sz w:val="24"/>
          <w:szCs w:val="24"/>
        </w:rPr>
      </w:pPr>
      <w:r w:rsidRPr="00B70760">
        <w:rPr>
          <w:rFonts w:ascii="Arial" w:hAnsi="Arial" w:cs="Arial"/>
          <w:sz w:val="24"/>
          <w:szCs w:val="24"/>
        </w:rPr>
        <w:t xml:space="preserve">The conclusions of fairness were more intricate. Fairness did not independently predict Customer Trust at p&lt;.05 after PDRQ was controlled, and the bootstrap interval for the indirect impact encompassed zero, despite the fact that PDRQ highly predicted Perceived Fairness. In contrast, favorable justice judgments are linked to post-recovery results in the larger justice literature. It does not, however, mean that fairness is unimportant. According to Ali et al. (2025), justice and downstream trust-related outcomes are correlated with post-recovery happiness. This suggests that fairness could need a further psychological assessment before it becomes trust. According to Mayer, Davis, and </w:t>
      </w:r>
      <w:proofErr w:type="spellStart"/>
      <w:r w:rsidRPr="00B70760">
        <w:rPr>
          <w:rFonts w:ascii="Arial" w:hAnsi="Arial" w:cs="Arial"/>
          <w:sz w:val="24"/>
          <w:szCs w:val="24"/>
        </w:rPr>
        <w:t>Schoorman</w:t>
      </w:r>
      <w:proofErr w:type="spellEnd"/>
      <w:r w:rsidRPr="00B70760">
        <w:rPr>
          <w:rFonts w:ascii="Arial" w:hAnsi="Arial" w:cs="Arial"/>
          <w:sz w:val="24"/>
          <w:szCs w:val="24"/>
        </w:rPr>
        <w:t xml:space="preserve"> (1995), competence and dependability signals seen in PDRQ may have an impact on trust that goes beyond fairness alone because trust also encompasses capacity, compassion, and integrity.</w:t>
      </w:r>
    </w:p>
    <w:p w:rsidR="00795A4C" w:rsidRPr="00B70760" w:rsidRDefault="00795A4C" w:rsidP="00795A4C">
      <w:pPr>
        <w:pStyle w:val="pdq2pgselectionanchorcontainer"/>
        <w:jc w:val="both"/>
        <w:rPr>
          <w:rFonts w:ascii="Arial" w:hAnsi="Arial" w:cs="Arial"/>
          <w:color w:val="000000"/>
        </w:rPr>
      </w:pPr>
      <w:r w:rsidRPr="00B70760">
        <w:rPr>
          <w:rFonts w:ascii="Arial" w:hAnsi="Arial" w:cs="Arial"/>
          <w:color w:val="000000"/>
        </w:rPr>
        <w:t xml:space="preserve">Rather than being only attributable to low statistical power, the unsupported mediation effect should also be viewed in conjunction with the measurement and bivariate evidence. While PDRQ was positively correlated with both Perceived Fairness and Customer Trust, the EFA revealed an imperfect empirical separation between PDRQ, Fairness, and Trust, and its bivariate link with Customer Trust was stronger than its association with Fairness. This combination presents a crucial question: did respondents make the distinction between their fairness appraisal and the quality of dispute handling as clearly as the proposed sequential PDRQ → Fairness → Trust procedure assumes? From a conceptual standpoint, promptness, openness, and communication can convey expertise, dependability, and appropriate treatment in addition to procedural excellence. Therefore, rather than first translating recovery quality into a clear fairness judgment, customers may </w:t>
      </w:r>
      <w:r w:rsidRPr="00B70760">
        <w:rPr>
          <w:rFonts w:ascii="Arial" w:hAnsi="Arial" w:cs="Arial"/>
          <w:color w:val="000000"/>
        </w:rPr>
        <w:lastRenderedPageBreak/>
        <w:t>make a more comprehensive assessment of institutional trustworthiness right from the recovery process.</w:t>
      </w:r>
    </w:p>
    <w:p w:rsidR="00795A4C" w:rsidRPr="00B70760" w:rsidRDefault="00795A4C" w:rsidP="00795A4C">
      <w:pPr>
        <w:pStyle w:val="NormalWeb"/>
        <w:jc w:val="both"/>
        <w:rPr>
          <w:rFonts w:ascii="Arial" w:hAnsi="Arial" w:cs="Arial"/>
          <w:color w:val="000000"/>
        </w:rPr>
      </w:pPr>
      <w:r w:rsidRPr="00B70760">
        <w:rPr>
          <w:rFonts w:ascii="Arial" w:hAnsi="Arial" w:cs="Arial"/>
          <w:color w:val="000000"/>
        </w:rPr>
        <w:t>Instead of being theoretical, a competing explanation is methodological. The EFA's cross-loadings point to potential conceptual closeness across a few measures, which could have lessened PDRQ, Fairness, and Trust's empirical distinctiveness in this sample. Since the regression diagnostics did not reveal problematic VIF levels or prove that the constructs are logically similar, this should not be construed as traditional multicollinearity. Rather, it poses a discriminant-validity challenge regarding the measures' ability to capture enough different psychological judgments. This is especially important for mediation since the mediator must provide explanatory information that can be distinguished from both the predictor and the outcome in order to demonstrate an indirect mechanism.</w:t>
      </w:r>
    </w:p>
    <w:p w:rsidR="00795A4C" w:rsidRPr="00B70760" w:rsidRDefault="00795A4C" w:rsidP="00795A4C">
      <w:pPr>
        <w:pStyle w:val="NormalWeb"/>
        <w:jc w:val="both"/>
        <w:rPr>
          <w:rFonts w:ascii="Arial" w:hAnsi="Arial" w:cs="Arial"/>
          <w:color w:val="000000"/>
        </w:rPr>
      </w:pPr>
      <w:r w:rsidRPr="00B70760">
        <w:rPr>
          <w:rFonts w:ascii="Arial" w:hAnsi="Arial" w:cs="Arial"/>
          <w:color w:val="000000"/>
        </w:rPr>
        <w:t>However, there is not enough data to draw the conclusion that fairness plays no part. While the indirect effect was likewise positive (.2897) with a bootstrap interval that narrowly encompassed zero [−.0056, .6481], its Model 4 coefficient remained positive (B=.4470), but the HC3 confidence interval was broad and crossed zero [−.0751, .9690]. Measurement overlap and low statistical precision cannot be reliably separated with N=49. Therefore, rather than refuting the suggested sequential mechanism, the results cast doubt on it. Before evaluating whether Fairness offers a unique mediating pathway between PDRQ and Customer Trust, a larger study should first build the measuring model through CFA and evaluate convergent and discriminant validity.</w:t>
      </w:r>
    </w:p>
    <w:p w:rsidR="00483F3F" w:rsidRDefault="00BB5C2B">
      <w:pPr>
        <w:jc w:val="both"/>
      </w:pPr>
      <w:r w:rsidRPr="00B70760">
        <w:rPr>
          <w:rFonts w:ascii="Arial" w:hAnsi="Arial" w:cs="Arial"/>
          <w:sz w:val="24"/>
          <w:szCs w:val="24"/>
        </w:rPr>
        <w:t>The mediation estimate might have been weakened by three restrictions. First, an indirect effect with N=49 has poor precision; the point estimate was positive, but its lower bootstrap bound barely passed zero. Second, there was less assurance that the mediator was empirically distinct because EFA revealed overlap across PDRQ, Fairness, and Trust. Third, some fairness ratings were based on perceived bank capabilities rather than a specific recovery incident because respondents were not required to have had a recent dispute. Therefore, the proper conclusion is not that there is no mediation in this sample, but rather that there is inadequate evidence for mediation</w:t>
      </w:r>
      <w:r>
        <w:t>.</w:t>
      </w:r>
    </w:p>
    <w:p w:rsidR="00483F3F" w:rsidRDefault="00000000">
      <w:pPr>
        <w:pStyle w:val="Heading2"/>
      </w:pPr>
      <w:bookmarkStart w:id="35" w:name="_Toc238592653"/>
      <w:r>
        <w:t>5.4 Fraud Concern and the Unsupported Moderation</w:t>
      </w:r>
      <w:bookmarkEnd w:id="35"/>
    </w:p>
    <w:p w:rsidR="00483F3F" w:rsidRPr="00B70760" w:rsidRDefault="00BB5C2B">
      <w:pPr>
        <w:jc w:val="both"/>
        <w:rPr>
          <w:rFonts w:ascii="Arial" w:hAnsi="Arial" w:cs="Arial"/>
          <w:sz w:val="24"/>
          <w:szCs w:val="24"/>
        </w:rPr>
      </w:pPr>
      <w:r w:rsidRPr="00B70760">
        <w:rPr>
          <w:rFonts w:ascii="Arial" w:hAnsi="Arial" w:cs="Arial"/>
          <w:sz w:val="24"/>
          <w:szCs w:val="24"/>
        </w:rPr>
        <w:t xml:space="preserve">The Fairness–Trust relationship was not considerably moderated by Fraud Concern. This calls into question the proposed PMT-based boundary condition. Instead of reflecting mistrust per se, Fraud Concern was meant to represent threat appraisal vulnerability to digital fraud and the seriousness of its repercussions (Rogers, 1975). The descriptive findings are illuminating: Customer trust was strong (M=4.09) and fraud concern was high (M=4.22), with virtually no zero-order association. Thus, customers can differentiate between "I trust my bank to handle problems" and "digital payments involve fraud risk." Institutional trust can coexist with vulnerability awareness, which is consistent with the notion that trust entails embracing vulnerability rather than removing risk (Mayer, Davis, and </w:t>
      </w:r>
      <w:proofErr w:type="spellStart"/>
      <w:r w:rsidRPr="00B70760">
        <w:rPr>
          <w:rFonts w:ascii="Arial" w:hAnsi="Arial" w:cs="Arial"/>
          <w:sz w:val="24"/>
          <w:szCs w:val="24"/>
        </w:rPr>
        <w:t>Schoorman</w:t>
      </w:r>
      <w:proofErr w:type="spellEnd"/>
      <w:r w:rsidRPr="00B70760">
        <w:rPr>
          <w:rFonts w:ascii="Arial" w:hAnsi="Arial" w:cs="Arial"/>
          <w:sz w:val="24"/>
          <w:szCs w:val="24"/>
        </w:rPr>
        <w:t>, 1995).</w:t>
      </w:r>
    </w:p>
    <w:p w:rsidR="00483F3F" w:rsidRPr="00B70760" w:rsidRDefault="00BB5C2B">
      <w:pPr>
        <w:jc w:val="both"/>
        <w:rPr>
          <w:rFonts w:ascii="Arial" w:hAnsi="Arial" w:cs="Arial"/>
          <w:sz w:val="24"/>
          <w:szCs w:val="24"/>
        </w:rPr>
      </w:pPr>
      <w:r w:rsidRPr="00B70760">
        <w:rPr>
          <w:rFonts w:ascii="Arial" w:hAnsi="Arial" w:cs="Arial"/>
          <w:sz w:val="24"/>
          <w:szCs w:val="24"/>
        </w:rPr>
        <w:t xml:space="preserve">Additionally, the nonsignificant interaction raises the possibility that a general fraud issue is too distant to influence a fairness assessment of a particular bank. Trust restoration may </w:t>
      </w:r>
      <w:r w:rsidRPr="00B70760">
        <w:rPr>
          <w:rFonts w:ascii="Arial" w:hAnsi="Arial" w:cs="Arial"/>
          <w:sz w:val="24"/>
          <w:szCs w:val="24"/>
        </w:rPr>
        <w:lastRenderedPageBreak/>
        <w:t xml:space="preserve">be more closely linked to more proximal factors, such as recent fraud victimization, perceived chance of recurrence, bank-specific security weakness, or failure severity. While </w:t>
      </w:r>
      <w:proofErr w:type="spellStart"/>
      <w:r w:rsidRPr="00B70760">
        <w:rPr>
          <w:rFonts w:ascii="Arial" w:hAnsi="Arial" w:cs="Arial"/>
          <w:sz w:val="24"/>
          <w:szCs w:val="24"/>
        </w:rPr>
        <w:t>Aljaradat</w:t>
      </w:r>
      <w:proofErr w:type="spellEnd"/>
      <w:r w:rsidRPr="00B70760">
        <w:rPr>
          <w:rFonts w:ascii="Arial" w:hAnsi="Arial" w:cs="Arial"/>
          <w:sz w:val="24"/>
          <w:szCs w:val="24"/>
        </w:rPr>
        <w:t xml:space="preserve"> and Shukla (2025) demonstrate how cybercrime experience can influence downstream digital-payment linkages, Raza et al. (2023) offer evidence that failure intensity might modify recovery consequences. Although they do not prove the particular moderation examined here, these </w:t>
      </w:r>
      <w:proofErr w:type="spellStart"/>
      <w:r w:rsidRPr="00B70760">
        <w:rPr>
          <w:rFonts w:ascii="Arial" w:hAnsi="Arial" w:cs="Arial"/>
          <w:sz w:val="24"/>
          <w:szCs w:val="24"/>
        </w:rPr>
        <w:t>researchs</w:t>
      </w:r>
      <w:proofErr w:type="spellEnd"/>
      <w:r w:rsidRPr="00B70760">
        <w:rPr>
          <w:rFonts w:ascii="Arial" w:hAnsi="Arial" w:cs="Arial"/>
          <w:sz w:val="24"/>
          <w:szCs w:val="24"/>
        </w:rPr>
        <w:t xml:space="preserve"> provide credence to conditionality.</w:t>
      </w:r>
    </w:p>
    <w:p w:rsidR="00483F3F" w:rsidRDefault="00000000">
      <w:pPr>
        <w:pStyle w:val="Heading2"/>
      </w:pPr>
      <w:bookmarkStart w:id="36" w:name="_Toc238592654"/>
      <w:r>
        <w:t>5.5 Evaluation of the Integrated Model and Theoretical Implications</w:t>
      </w:r>
      <w:bookmarkEnd w:id="36"/>
    </w:p>
    <w:p w:rsidR="00483F3F" w:rsidRPr="00B70760" w:rsidRDefault="00BB5C2B">
      <w:pPr>
        <w:jc w:val="both"/>
        <w:rPr>
          <w:rFonts w:ascii="Arial" w:hAnsi="Arial" w:cs="Arial"/>
          <w:sz w:val="24"/>
          <w:szCs w:val="24"/>
        </w:rPr>
      </w:pPr>
      <w:r w:rsidRPr="00B70760">
        <w:rPr>
          <w:rFonts w:ascii="Arial" w:hAnsi="Arial" w:cs="Arial"/>
          <w:sz w:val="24"/>
          <w:szCs w:val="24"/>
        </w:rPr>
        <w:t>Partial support was given to the overall model. The data did not support basic mediation, second-stage moderation, or moderated mediation, but it did support PDRQ → Fairness and PDRQ → Trust. This implies that rather than being strictly sequential, the link between trust and dispute resolution may be multichannel. Customers' evaluation of recovery is explained by justice theory, recovery performance might impact confidence is explained by trust-repair perspectives, and threat appraisal is explained by PMT. The current research demonstrates that an integrated conditional mechanism is not always demonstrated by combining these viewpoints. It is necessary to test the empirical relationships between them.</w:t>
      </w:r>
    </w:p>
    <w:p w:rsidR="00483F3F" w:rsidRPr="00B70760" w:rsidRDefault="00BB5C2B">
      <w:pPr>
        <w:jc w:val="both"/>
        <w:rPr>
          <w:rFonts w:ascii="Arial" w:hAnsi="Arial" w:cs="Arial"/>
          <w:sz w:val="24"/>
          <w:szCs w:val="24"/>
        </w:rPr>
      </w:pPr>
      <w:r w:rsidRPr="00B70760">
        <w:rPr>
          <w:rFonts w:ascii="Arial" w:hAnsi="Arial" w:cs="Arial"/>
          <w:sz w:val="24"/>
          <w:szCs w:val="24"/>
        </w:rPr>
        <w:t>In theory, this is helpful. It suggests that PDRQ may simultaneously communicate a number of signals, including competence, responsiveness, fairness, and dependability, but fairness by itself might not be sufficient to build trust. Although the literature, especially Ali et al. (2025), suggests that post-recovery happiness, institutional competence, and security reassurance are feasible additional processes, they were not evaluated here and should not be added retroactively to improve model fit. The proper conclusion is that rather than post-hoc modification, the suggested framework has to be refined.</w:t>
      </w:r>
    </w:p>
    <w:p w:rsidR="00483F3F" w:rsidRPr="00B70760" w:rsidRDefault="00263A13">
      <w:pPr>
        <w:jc w:val="both"/>
        <w:rPr>
          <w:rFonts w:ascii="Arial" w:hAnsi="Arial" w:cs="Arial"/>
          <w:sz w:val="24"/>
          <w:szCs w:val="24"/>
        </w:rPr>
      </w:pPr>
      <w:r w:rsidRPr="00B70760">
        <w:rPr>
          <w:rFonts w:ascii="Arial" w:hAnsi="Arial" w:cs="Arial"/>
          <w:sz w:val="24"/>
          <w:szCs w:val="24"/>
        </w:rPr>
        <w:t>An additional issue relates to how nonsignificant results should be interpreted. In order to maximize statistical significance, the original framework should not be rebuilt since it was created before to the study. It would be difficult to distinguish between post-hoc model building and theory testing if Fraud Concern was eliminated because its interaction was not significant or if a new mediator was included after the results were observed. Rather, the unsupported routes ought to be seen as proof of the limitations of the suggested explanation. Instead of looking for significant coefficients, this maintains the pilot's utility as a diagnostic test of theory.</w:t>
      </w:r>
    </w:p>
    <w:p w:rsidR="00483F3F" w:rsidRPr="00B70760" w:rsidRDefault="00263A13">
      <w:pPr>
        <w:jc w:val="both"/>
        <w:rPr>
          <w:rFonts w:ascii="Arial" w:hAnsi="Arial" w:cs="Arial"/>
          <w:sz w:val="24"/>
          <w:szCs w:val="24"/>
        </w:rPr>
      </w:pPr>
      <w:r w:rsidRPr="00B70760">
        <w:rPr>
          <w:rFonts w:ascii="Arial" w:hAnsi="Arial" w:cs="Arial"/>
          <w:sz w:val="24"/>
          <w:szCs w:val="24"/>
        </w:rPr>
        <w:t xml:space="preserve">The results also show why validity and dependability need to be taken into account independently. Every scale had a high Cronbach's alpha, however the EFA revealed that PDRQ, Fairness, and Trust were not fully separated. Therefore, high internal consistency does not demonstrate that nearby constructs are discriminant, but it does establish that items within a scale move together. </w:t>
      </w:r>
      <w:r w:rsidR="00795A4C" w:rsidRPr="00B70760">
        <w:rPr>
          <w:rFonts w:ascii="Arial" w:hAnsi="Arial" w:cs="Arial"/>
          <w:color w:val="000000"/>
          <w:sz w:val="24"/>
          <w:szCs w:val="24"/>
        </w:rPr>
        <w:t xml:space="preserve">The interpretation of the conditional-process model itself is affected by this distinction. When the measurements that represent latent concepts are not clearly separated, it is challenging to properly evaluate the structural relationships among those concepts. Therefore, rather than providing conclusive proof of the underlying causal process, the current PROCESS results should be interpreted as preliminary </w:t>
      </w:r>
      <w:r w:rsidR="00795A4C" w:rsidRPr="00B70760">
        <w:rPr>
          <w:rFonts w:ascii="Arial" w:hAnsi="Arial" w:cs="Arial"/>
          <w:color w:val="000000"/>
          <w:sz w:val="24"/>
          <w:szCs w:val="24"/>
        </w:rPr>
        <w:lastRenderedPageBreak/>
        <w:t>construct-level connections. Testing the structural mediation and moderation links should come after the measuring model has been developed through CFA and formal evaluation of convergent and discriminant validity.</w:t>
      </w:r>
      <w:r w:rsidR="00795A4C" w:rsidRPr="00B70760">
        <w:rPr>
          <w:rFonts w:ascii="Arial" w:hAnsi="Arial" w:cs="Arial"/>
          <w:sz w:val="24"/>
          <w:szCs w:val="24"/>
        </w:rPr>
        <w:t xml:space="preserve"> </w:t>
      </w:r>
      <w:r w:rsidRPr="00B70760">
        <w:rPr>
          <w:rFonts w:ascii="Arial" w:hAnsi="Arial" w:cs="Arial"/>
          <w:sz w:val="24"/>
          <w:szCs w:val="24"/>
        </w:rPr>
        <w:t>In mediation, where a mediator must provide conceptually different explanations between X and Y, this measurement problem is particularly crucial. As a result, the present findings encourage careful interpretation of the structural routes and highlight the necessity of better construct separation in future studies.</w:t>
      </w:r>
    </w:p>
    <w:p w:rsidR="00483F3F" w:rsidRDefault="00000000">
      <w:pPr>
        <w:pStyle w:val="Heading2"/>
      </w:pPr>
      <w:bookmarkStart w:id="37" w:name="_Toc238592655"/>
      <w:r>
        <w:t>5.6 Practical Implications</w:t>
      </w:r>
      <w:bookmarkEnd w:id="37"/>
    </w:p>
    <w:p w:rsidR="00483F3F" w:rsidRPr="00B70760" w:rsidRDefault="00263A13">
      <w:pPr>
        <w:jc w:val="both"/>
        <w:rPr>
          <w:rFonts w:ascii="Arial" w:hAnsi="Arial" w:cs="Arial"/>
          <w:sz w:val="24"/>
          <w:szCs w:val="24"/>
        </w:rPr>
      </w:pPr>
      <w:r w:rsidRPr="00B70760">
        <w:rPr>
          <w:rFonts w:ascii="Arial" w:hAnsi="Arial" w:cs="Arial"/>
          <w:sz w:val="24"/>
          <w:szCs w:val="24"/>
        </w:rPr>
        <w:t xml:space="preserve">The most persuasive practical message for Nepalese banks and digital payment providers is that the quality of dispute resolution itself is important. Instead </w:t>
      </w:r>
      <w:r w:rsidR="00795A4C" w:rsidRPr="00B70760">
        <w:rPr>
          <w:rFonts w:ascii="Arial" w:hAnsi="Arial" w:cs="Arial"/>
          <w:sz w:val="24"/>
          <w:szCs w:val="24"/>
        </w:rPr>
        <w:t xml:space="preserve">of </w:t>
      </w:r>
      <w:r w:rsidRPr="00B70760">
        <w:rPr>
          <w:rFonts w:ascii="Arial" w:hAnsi="Arial" w:cs="Arial"/>
          <w:sz w:val="24"/>
          <w:szCs w:val="24"/>
        </w:rPr>
        <w:t>being only an administrative procedure for resolving complaints, dispute management ought to be viewed as a component of customer relationship management. Fairness assessments and trust can be influenced by prompt acknowledgment, clear explanations, consistent communication, and skillful research. As a result, banks should keep an eye on closure times that are longer than usual. Time to first response, adherence to advertised resolution timelines, update frequency, and escalation rates are all helpful operational indicators.</w:t>
      </w:r>
    </w:p>
    <w:p w:rsidR="00483F3F" w:rsidRPr="00B70760" w:rsidRDefault="00263A13">
      <w:pPr>
        <w:jc w:val="both"/>
        <w:rPr>
          <w:rFonts w:ascii="Arial" w:hAnsi="Arial" w:cs="Arial"/>
          <w:sz w:val="24"/>
          <w:szCs w:val="24"/>
        </w:rPr>
      </w:pPr>
      <w:r w:rsidRPr="00B70760">
        <w:rPr>
          <w:rFonts w:ascii="Arial" w:hAnsi="Arial" w:cs="Arial"/>
          <w:sz w:val="24"/>
          <w:szCs w:val="24"/>
        </w:rPr>
        <w:t>Additionally, the unsupported mediation outcome warns banks not to rely just on procedural justice to rebuild confidence. Evidence of institutional competency and dependability should accompany a fair procedure. In the same way, a high level of fraud worry should not be taken as a sign of mistrust. Clear information on safeguards, reporting routes, investigative procedures, and customer-protection systems can be combined with fraud-awareness communication. Lastly, rather than being handled as individual incidents, dispute data can be utilized organizationally to find recurrent transaction failures and coordination bottlenecks.</w:t>
      </w:r>
    </w:p>
    <w:p w:rsidR="00483F3F" w:rsidRPr="00B70760" w:rsidRDefault="00263A13">
      <w:pPr>
        <w:jc w:val="both"/>
        <w:rPr>
          <w:rFonts w:ascii="Arial" w:hAnsi="Arial" w:cs="Arial"/>
          <w:sz w:val="24"/>
          <w:szCs w:val="24"/>
        </w:rPr>
      </w:pPr>
      <w:r w:rsidRPr="00B70760">
        <w:rPr>
          <w:rFonts w:ascii="Arial" w:hAnsi="Arial" w:cs="Arial"/>
          <w:sz w:val="24"/>
          <w:szCs w:val="24"/>
        </w:rPr>
        <w:t>Banks can use these findings to create a recovery architecture that is more integrated. A client should be able to report an issue via a clear channel, get timely acknowledgment, comprehend the anticipated timeframe, receive insightful updates, and be given an explanation of the final decision. When many organizational units or outside payment providers are involved, the customer should not be given more responsibility for coordination; instead, it should remain invisible to them. This results from the discovery that fairness and trust are associated with the perceived quality of the entire handling process, not just the final result.</w:t>
      </w:r>
    </w:p>
    <w:p w:rsidR="00483F3F" w:rsidRPr="00B70760" w:rsidRDefault="00263A13">
      <w:pPr>
        <w:jc w:val="both"/>
        <w:rPr>
          <w:rFonts w:ascii="Arial" w:hAnsi="Arial" w:cs="Arial"/>
          <w:sz w:val="24"/>
          <w:szCs w:val="24"/>
        </w:rPr>
      </w:pPr>
      <w:r w:rsidRPr="00B70760">
        <w:rPr>
          <w:rFonts w:ascii="Arial" w:hAnsi="Arial" w:cs="Arial"/>
          <w:sz w:val="24"/>
          <w:szCs w:val="24"/>
        </w:rPr>
        <w:t>The outcome has various implications when it comes to fraud concerns. Concern should not be equated with mistrust in security communications. While still having faith in their bank, customers may have serious concerns about fraud. Therefore, banks might gain by combining threat awareness with efficacy information, such as what preventive procedures are in place, what customers should do, how quickly suspicious activity can be reported, and what recovery support is available. These suggestions are still applications of the observed pattern rather than assertions of causation because the current study did not evaluate such interventions.</w:t>
      </w:r>
    </w:p>
    <w:p w:rsidR="00483F3F" w:rsidRDefault="00000000">
      <w:pPr>
        <w:pStyle w:val="Heading2"/>
      </w:pPr>
      <w:bookmarkStart w:id="38" w:name="_Toc238592656"/>
      <w:r>
        <w:lastRenderedPageBreak/>
        <w:t>5.7 Limitations and Future Research</w:t>
      </w:r>
      <w:bookmarkEnd w:id="38"/>
    </w:p>
    <w:p w:rsidR="00483F3F" w:rsidRPr="00B70760" w:rsidRDefault="00263A13">
      <w:pPr>
        <w:jc w:val="both"/>
        <w:rPr>
          <w:rFonts w:ascii="Arial" w:hAnsi="Arial" w:cs="Arial"/>
          <w:sz w:val="24"/>
          <w:szCs w:val="24"/>
        </w:rPr>
      </w:pPr>
      <w:r w:rsidRPr="00B70760">
        <w:rPr>
          <w:rFonts w:ascii="Arial" w:hAnsi="Arial" w:cs="Arial"/>
          <w:sz w:val="24"/>
          <w:szCs w:val="24"/>
        </w:rPr>
        <w:t>The results were limited by a number of factors. First, for a 31-item EFA and for mediation, interaction, and moderated-mediation effects, the analytical sample of 49 was tiny; this low precision is reflected in the large bootstrap intervals. Future research should employ a far bigger sample size and perform an a priori power analysis to establish sample size. Second, representativeness is constrained by convenience-based hiring through personal connections. External validity would be enhanced by more extensive sample across geographies, banks, and socioeconomic classes.</w:t>
      </w:r>
    </w:p>
    <w:p w:rsidR="00483F3F" w:rsidRPr="00B70760" w:rsidRDefault="00263A13">
      <w:pPr>
        <w:jc w:val="both"/>
        <w:rPr>
          <w:rFonts w:ascii="Arial" w:hAnsi="Arial" w:cs="Arial"/>
          <w:sz w:val="24"/>
          <w:szCs w:val="24"/>
        </w:rPr>
      </w:pPr>
      <w:r w:rsidRPr="00B70760">
        <w:rPr>
          <w:rFonts w:ascii="Arial" w:hAnsi="Arial" w:cs="Arial"/>
          <w:sz w:val="24"/>
          <w:szCs w:val="24"/>
        </w:rPr>
        <w:t>Third, temporal ordering cannot be established by the cross-sectional design. In order to assess healing over time, longitudinal study could measure trust surrounding an actual disagreement, fairness following resolution, and subsequent trust. Fourth, it was not necessary for respondents to have encountered a recent conflict firsthand. Future studies should capture the type, severity, financial value, outcome, and settlement time of disputes and separate real complainants from regular users. Fifth, despite strong reliability, EFA revealed an insufficient separation between PDRQ, Fairness, and Trust. Prior to structural testing, future studies should improve semantically overlapping items and assess convergent and discriminant validity using CFA. Lastly, there may have been a common-method influence because all constructs were self-reported in a single survey. When it is both morally and practically possible, combining perceptions with independently recorded recovery markers would improve inference.</w:t>
      </w:r>
    </w:p>
    <w:p w:rsidR="00483F3F" w:rsidRPr="00B70760" w:rsidRDefault="00263A13">
      <w:pPr>
        <w:jc w:val="both"/>
        <w:rPr>
          <w:rFonts w:ascii="Arial" w:hAnsi="Arial" w:cs="Arial"/>
          <w:sz w:val="24"/>
          <w:szCs w:val="24"/>
        </w:rPr>
      </w:pPr>
      <w:r w:rsidRPr="00B70760">
        <w:rPr>
          <w:rFonts w:ascii="Arial" w:hAnsi="Arial" w:cs="Arial"/>
          <w:sz w:val="24"/>
          <w:szCs w:val="24"/>
        </w:rPr>
        <w:t>Future studies should not only apply the same model to additional scenarios. The unsupported routes point to the importance of logically investigating alternate causes, such as more proximal risk conditions and post-recovery satisfaction or perceived institutional competency. Rather than being added to the current model after the fact, these options need to be developed independently.</w:t>
      </w:r>
    </w:p>
    <w:p w:rsidR="00483F3F" w:rsidRPr="00B70760" w:rsidRDefault="00263A13">
      <w:pPr>
        <w:jc w:val="both"/>
        <w:rPr>
          <w:rFonts w:ascii="Arial" w:hAnsi="Arial" w:cs="Arial"/>
          <w:sz w:val="24"/>
          <w:szCs w:val="24"/>
        </w:rPr>
      </w:pPr>
      <w:r w:rsidRPr="00B70760">
        <w:rPr>
          <w:rFonts w:ascii="Arial" w:hAnsi="Arial" w:cs="Arial"/>
          <w:sz w:val="24"/>
          <w:szCs w:val="24"/>
        </w:rPr>
        <w:t>Additionally, the pilot draws attention to an interpretive constraint brought forth by the population definition. PDRQ is best defined as perceived competence because both experienced and inexperienced consumers were eligible. While some respondents relied on predictions regarding their primary bank, more seasoned respondents might have drawn from actual happenings. Although this increases the viability of recruiting, the results should not be interpreted as proof that every respondent's faith has been restored after a conflict. In the future, an experience-specific design might examine if prior fraud or dispute experience alters measurement or structural relationships by comparing real complainants with regular users.</w:t>
      </w:r>
    </w:p>
    <w:p w:rsidR="00483F3F" w:rsidRPr="00B70760" w:rsidRDefault="00263A13">
      <w:pPr>
        <w:jc w:val="both"/>
        <w:rPr>
          <w:rFonts w:ascii="Arial" w:hAnsi="Arial" w:cs="Arial"/>
          <w:sz w:val="24"/>
          <w:szCs w:val="24"/>
        </w:rPr>
      </w:pPr>
      <w:r w:rsidRPr="00B70760">
        <w:rPr>
          <w:rFonts w:ascii="Arial" w:hAnsi="Arial" w:cs="Arial"/>
          <w:sz w:val="24"/>
          <w:szCs w:val="24"/>
        </w:rPr>
        <w:t xml:space="preserve">Lastly, the module context should be taken into account while evaluating the analytical complexity. A conditional indirect process with multiple coefficients and an interaction term is estimated using PROCESS Model 14. Failure to get moderated mediation or significant moderation with N=49 may indicate both poor statistical precision and a truly weak effect. That uncertainty is effectively communicated by the bootstrap intervals. Therefore, rather than assuming that a sample adequate for direct regression is also adequate for </w:t>
      </w:r>
      <w:r w:rsidRPr="00B70760">
        <w:rPr>
          <w:rFonts w:ascii="Arial" w:hAnsi="Arial" w:cs="Arial"/>
          <w:sz w:val="24"/>
          <w:szCs w:val="24"/>
        </w:rPr>
        <w:lastRenderedPageBreak/>
        <w:t>moderated mediation, larger studies should be powered particularly for the interaction and indirect effects.</w:t>
      </w:r>
    </w:p>
    <w:p w:rsidR="00483F3F" w:rsidRDefault="00000000">
      <w:pPr>
        <w:pStyle w:val="Heading1"/>
      </w:pPr>
      <w:bookmarkStart w:id="39" w:name="_Toc238592657"/>
      <w:r>
        <w:t>6. Conclusion</w:t>
      </w:r>
      <w:bookmarkEnd w:id="39"/>
    </w:p>
    <w:p w:rsidR="00483F3F" w:rsidRPr="00B70760" w:rsidRDefault="00263A13">
      <w:pPr>
        <w:jc w:val="both"/>
        <w:rPr>
          <w:rFonts w:ascii="Arial" w:hAnsi="Arial" w:cs="Arial"/>
          <w:sz w:val="24"/>
          <w:szCs w:val="24"/>
        </w:rPr>
      </w:pPr>
      <w:r w:rsidRPr="00B70760">
        <w:rPr>
          <w:rFonts w:ascii="Arial" w:hAnsi="Arial" w:cs="Arial"/>
          <w:sz w:val="24"/>
          <w:szCs w:val="24"/>
        </w:rPr>
        <w:t>This quantitative pilot study investigated whether customer trust among young digital-payment users in Nepalese banks is correlated with the quality of digital payment dispute resolution, and whether this relationship is explained or conditioned by perceived fairness and fraud concern. PDRQ itself was the subject of the strongest evidence. Stronger views of justice and increased consumer trust were substantially correlated with higher PDRQ. These results bolster the theoretical and practical significance of how banks are thought to handle issues related to digital payments.</w:t>
      </w:r>
    </w:p>
    <w:p w:rsidR="00483F3F" w:rsidRPr="00B70760" w:rsidRDefault="00263A13">
      <w:pPr>
        <w:jc w:val="both"/>
        <w:rPr>
          <w:rFonts w:ascii="Arial" w:hAnsi="Arial" w:cs="Arial"/>
          <w:sz w:val="24"/>
          <w:szCs w:val="24"/>
        </w:rPr>
      </w:pPr>
      <w:r w:rsidRPr="00B70760">
        <w:rPr>
          <w:rFonts w:ascii="Arial" w:hAnsi="Arial" w:cs="Arial"/>
          <w:sz w:val="24"/>
          <w:szCs w:val="24"/>
        </w:rPr>
        <w:t>There was no statistical proof of the more intricate psychological mechanism. After controlling for PDRQ, perceived fairness did not independently predict customer trust at the 5% level, and the bootstrap confidence interval for the indirect effect contained zero. The Fairness–Trust link was not significantly moderated by Fraud Concern, and zero was included in the moderated mediation index. Thus, in this sample, H1 and H3 were supported but H2, H4, H5, and H6 were not.</w:t>
      </w:r>
    </w:p>
    <w:p w:rsidR="00483F3F" w:rsidRPr="00B70760" w:rsidRDefault="009B1E81">
      <w:pPr>
        <w:jc w:val="both"/>
        <w:rPr>
          <w:rFonts w:ascii="Arial" w:hAnsi="Arial" w:cs="Arial"/>
          <w:sz w:val="24"/>
          <w:szCs w:val="24"/>
        </w:rPr>
      </w:pPr>
      <w:r w:rsidRPr="00B70760">
        <w:rPr>
          <w:rFonts w:ascii="Arial" w:hAnsi="Arial" w:cs="Arial"/>
          <w:sz w:val="24"/>
          <w:szCs w:val="24"/>
        </w:rPr>
        <w:t>Because perceived dispute resolution quality is positively correlated with both fairness and trust, the research issue can be tentatively answered. However, this pilot does not show that fairness extends the relationship into trust or that fraud concerns alter that process. By analyzing the direct PDRQ–Fairness, Fairness–Trust, and PDRQ–Trust correlations, the suggested mediating role of fairness, the moderating role of fraud concern, and the ensuing conditional indirect effect, the analyzes collectively addressed the six research objectives. The results suggest a more comprehensive, maybe multichannel interaction in which dispute resolution may concurrently communicate expertise, fairness, responsiveness, and dependability. This emphasizes the necessity for banks to handle disputes promptly, openly, and communicatively</w:t>
      </w:r>
      <w:r w:rsidR="005205B0" w:rsidRPr="00B70760">
        <w:rPr>
          <w:rFonts w:ascii="Arial" w:hAnsi="Arial" w:cs="Arial"/>
          <w:sz w:val="24"/>
          <w:szCs w:val="24"/>
        </w:rPr>
        <w:t xml:space="preserve">. </w:t>
      </w:r>
      <w:r w:rsidRPr="00B70760">
        <w:rPr>
          <w:rFonts w:ascii="Arial" w:hAnsi="Arial" w:cs="Arial"/>
          <w:sz w:val="24"/>
          <w:szCs w:val="24"/>
        </w:rPr>
        <w:t>Larger</w:t>
      </w:r>
      <w:r w:rsidR="005205B0" w:rsidRPr="00B70760">
        <w:rPr>
          <w:rFonts w:ascii="Arial" w:hAnsi="Arial" w:cs="Arial"/>
          <w:sz w:val="24"/>
          <w:szCs w:val="24"/>
        </w:rPr>
        <w:t xml:space="preserve"> </w:t>
      </w:r>
      <w:r w:rsidRPr="00B70760">
        <w:rPr>
          <w:rFonts w:ascii="Arial" w:hAnsi="Arial" w:cs="Arial"/>
          <w:sz w:val="24"/>
          <w:szCs w:val="24"/>
        </w:rPr>
        <w:t>samples, more precise measurement separation, real dispute-experience designs, and more robust temporal evidence are required for research before the suggested process can be validated.</w:t>
      </w:r>
    </w:p>
    <w:p w:rsidR="00483F3F" w:rsidRDefault="00483F3F">
      <w:pPr>
        <w:ind w:left="360" w:hanging="360"/>
        <w:jc w:val="both"/>
      </w:pPr>
    </w:p>
    <w:p w:rsidR="00A80C1B" w:rsidRPr="007828DA" w:rsidRDefault="00A80C1B" w:rsidP="007828DA">
      <w:pPr>
        <w:pStyle w:val="Heading2"/>
      </w:pPr>
      <w:bookmarkStart w:id="40" w:name="OLE_LINK4"/>
      <w:bookmarkStart w:id="41" w:name="OLE_LINK5"/>
      <w:bookmarkStart w:id="42" w:name="_Toc238592658"/>
      <w:r w:rsidRPr="007828DA">
        <w:t>References</w:t>
      </w:r>
      <w:bookmarkEnd w:id="42"/>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Abdelkader Ali, A., Andrei, A.G., Ruiz-Moreno, F. and </w:t>
      </w:r>
      <w:proofErr w:type="spellStart"/>
      <w:r w:rsidRPr="00B70760">
        <w:rPr>
          <w:rFonts w:ascii="Arial" w:hAnsi="Arial" w:cs="Arial"/>
          <w:color w:val="000000"/>
        </w:rPr>
        <w:t>Zingone</w:t>
      </w:r>
      <w:proofErr w:type="spellEnd"/>
      <w:r w:rsidRPr="00B70760">
        <w:rPr>
          <w:rFonts w:ascii="Arial" w:hAnsi="Arial" w:cs="Arial"/>
          <w:color w:val="000000"/>
        </w:rPr>
        <w:t>, L. (2025) ‘Exploring justice perceptions in online banking recovery: gender moderation and behavioral outcomes’,</w:t>
      </w:r>
      <w:r w:rsidRPr="00B70760">
        <w:rPr>
          <w:rStyle w:val="apple-converted-space"/>
          <w:rFonts w:ascii="Arial" w:hAnsi="Arial" w:cs="Arial"/>
          <w:color w:val="000000"/>
        </w:rPr>
        <w:t> </w:t>
      </w:r>
      <w:r w:rsidRPr="00B70760">
        <w:rPr>
          <w:rStyle w:val="Emphasis"/>
          <w:rFonts w:ascii="Arial" w:eastAsiaTheme="majorEastAsia" w:hAnsi="Arial" w:cs="Arial"/>
          <w:color w:val="000000"/>
        </w:rPr>
        <w:t>Journal of Business Economics and Management</w:t>
      </w:r>
      <w:r w:rsidRPr="00B70760">
        <w:rPr>
          <w:rFonts w:ascii="Arial" w:hAnsi="Arial" w:cs="Arial"/>
          <w:color w:val="000000"/>
        </w:rPr>
        <w:t>, 26(1), pp. 164–185. doi:10.3846/jbem.2025.22831.</w:t>
      </w:r>
    </w:p>
    <w:p w:rsidR="00A80C1B" w:rsidRPr="00B70760" w:rsidRDefault="00A80C1B" w:rsidP="00A80C1B">
      <w:pPr>
        <w:pStyle w:val="NormalWeb"/>
        <w:rPr>
          <w:rFonts w:ascii="Arial" w:hAnsi="Arial" w:cs="Arial"/>
          <w:color w:val="000000"/>
        </w:rPr>
      </w:pPr>
      <w:proofErr w:type="spellStart"/>
      <w:r w:rsidRPr="00B70760">
        <w:rPr>
          <w:rFonts w:ascii="Arial" w:hAnsi="Arial" w:cs="Arial"/>
          <w:color w:val="000000"/>
        </w:rPr>
        <w:t>Aljaradat</w:t>
      </w:r>
      <w:proofErr w:type="spellEnd"/>
      <w:r w:rsidRPr="00B70760">
        <w:rPr>
          <w:rFonts w:ascii="Arial" w:hAnsi="Arial" w:cs="Arial"/>
          <w:color w:val="000000"/>
        </w:rPr>
        <w:t>, A. and Shukla, S.K. (2025) ‘Trust and cybersecurity in digital payment adoption: socioeconomic insights from India’,</w:t>
      </w:r>
      <w:r w:rsidRPr="00B70760">
        <w:rPr>
          <w:rStyle w:val="apple-converted-space"/>
          <w:rFonts w:ascii="Arial" w:hAnsi="Arial" w:cs="Arial"/>
          <w:color w:val="000000"/>
        </w:rPr>
        <w:t> </w:t>
      </w:r>
      <w:r w:rsidRPr="00B70760">
        <w:rPr>
          <w:rStyle w:val="Emphasis"/>
          <w:rFonts w:ascii="Arial" w:eastAsiaTheme="majorEastAsia" w:hAnsi="Arial" w:cs="Arial"/>
          <w:color w:val="000000"/>
        </w:rPr>
        <w:t>Journal of Business and Socio-economic Development</w:t>
      </w:r>
      <w:r w:rsidRPr="00B70760">
        <w:rPr>
          <w:rFonts w:ascii="Arial" w:hAnsi="Arial" w:cs="Arial"/>
          <w:color w:val="000000"/>
        </w:rPr>
        <w:t>, 5(4), pp. 372–386. doi:10.1108/JBSED-04-2025-0119.</w:t>
      </w:r>
    </w:p>
    <w:p w:rsidR="00A80C1B" w:rsidRPr="00B70760" w:rsidRDefault="00A80C1B" w:rsidP="00A80C1B">
      <w:pPr>
        <w:pStyle w:val="NormalWeb"/>
        <w:rPr>
          <w:rFonts w:ascii="Arial" w:hAnsi="Arial" w:cs="Arial"/>
          <w:color w:val="000000"/>
        </w:rPr>
      </w:pPr>
      <w:proofErr w:type="spellStart"/>
      <w:r w:rsidRPr="00B70760">
        <w:rPr>
          <w:rFonts w:ascii="Arial" w:hAnsi="Arial" w:cs="Arial"/>
          <w:color w:val="000000"/>
        </w:rPr>
        <w:lastRenderedPageBreak/>
        <w:t>Bajracharya</w:t>
      </w:r>
      <w:proofErr w:type="spellEnd"/>
      <w:r w:rsidRPr="00B70760">
        <w:rPr>
          <w:rFonts w:ascii="Arial" w:hAnsi="Arial" w:cs="Arial"/>
          <w:color w:val="000000"/>
        </w:rPr>
        <w:t>, R. (2024)</w:t>
      </w:r>
      <w:r w:rsidRPr="00B70760">
        <w:rPr>
          <w:rStyle w:val="apple-converted-space"/>
          <w:rFonts w:ascii="Arial" w:hAnsi="Arial" w:cs="Arial"/>
          <w:color w:val="000000"/>
        </w:rPr>
        <w:t> </w:t>
      </w:r>
      <w:r w:rsidRPr="00B70760">
        <w:rPr>
          <w:rStyle w:val="Emphasis"/>
          <w:rFonts w:ascii="Arial" w:eastAsiaTheme="majorEastAsia" w:hAnsi="Arial" w:cs="Arial"/>
          <w:color w:val="000000"/>
        </w:rPr>
        <w:t>Online Payment System in Nepal: A Study of Factor Influencing Customer Trust in Online Transaction</w:t>
      </w:r>
      <w:r w:rsidRPr="00B70760">
        <w:rPr>
          <w:rFonts w:ascii="Arial" w:hAnsi="Arial" w:cs="Arial"/>
          <w:color w:val="000000"/>
        </w:rPr>
        <w:t>. Master’s dissertation. Kathmandu: Shanker Dev Campus, Tribhuvan University.</w:t>
      </w:r>
    </w:p>
    <w:p w:rsidR="00A80C1B" w:rsidRPr="00B70760" w:rsidRDefault="00A80C1B" w:rsidP="00A80C1B">
      <w:pPr>
        <w:pStyle w:val="NormalWeb"/>
        <w:rPr>
          <w:rFonts w:ascii="Arial" w:hAnsi="Arial" w:cs="Arial"/>
          <w:color w:val="000000"/>
        </w:rPr>
      </w:pPr>
      <w:r w:rsidRPr="00B70760">
        <w:rPr>
          <w:rFonts w:ascii="Arial" w:hAnsi="Arial" w:cs="Arial"/>
          <w:color w:val="000000"/>
        </w:rPr>
        <w:t>Breusch, T.S. and Pagan, A.R. (1979) ‘A simple test for heteroscedasticity and random coefficient variation’,</w:t>
      </w:r>
      <w:r w:rsidRPr="00B70760">
        <w:rPr>
          <w:rStyle w:val="apple-converted-space"/>
          <w:rFonts w:ascii="Arial" w:hAnsi="Arial" w:cs="Arial"/>
          <w:color w:val="000000"/>
        </w:rPr>
        <w:t> </w:t>
      </w:r>
      <w:proofErr w:type="spellStart"/>
      <w:r w:rsidRPr="00B70760">
        <w:rPr>
          <w:rStyle w:val="Emphasis"/>
          <w:rFonts w:ascii="Arial" w:eastAsiaTheme="majorEastAsia" w:hAnsi="Arial" w:cs="Arial"/>
          <w:color w:val="000000"/>
        </w:rPr>
        <w:t>Econometrica</w:t>
      </w:r>
      <w:proofErr w:type="spellEnd"/>
      <w:r w:rsidRPr="00B70760">
        <w:rPr>
          <w:rFonts w:ascii="Arial" w:hAnsi="Arial" w:cs="Arial"/>
          <w:color w:val="000000"/>
        </w:rPr>
        <w:t>, 47(5), pp. 1287–1294.</w:t>
      </w:r>
    </w:p>
    <w:p w:rsidR="00A80C1B" w:rsidRPr="00B70760" w:rsidRDefault="00A80C1B" w:rsidP="00A80C1B">
      <w:pPr>
        <w:pStyle w:val="NormalWeb"/>
        <w:rPr>
          <w:rFonts w:ascii="Arial" w:hAnsi="Arial" w:cs="Arial"/>
          <w:color w:val="000000"/>
        </w:rPr>
      </w:pPr>
      <w:r w:rsidRPr="00B70760">
        <w:rPr>
          <w:rFonts w:ascii="Arial" w:hAnsi="Arial" w:cs="Arial"/>
          <w:color w:val="000000"/>
        </w:rPr>
        <w:t>Creswell, J.W. and Creswell, J.D. (2018)</w:t>
      </w:r>
      <w:r w:rsidRPr="00B70760">
        <w:rPr>
          <w:rStyle w:val="apple-converted-space"/>
          <w:rFonts w:ascii="Arial" w:hAnsi="Arial" w:cs="Arial"/>
          <w:color w:val="000000"/>
        </w:rPr>
        <w:t> </w:t>
      </w:r>
      <w:r w:rsidRPr="00B70760">
        <w:rPr>
          <w:rStyle w:val="Emphasis"/>
          <w:rFonts w:ascii="Arial" w:eastAsiaTheme="majorEastAsia" w:hAnsi="Arial" w:cs="Arial"/>
          <w:color w:val="000000"/>
        </w:rPr>
        <w:t>Research Design: Qualitative, Quantitative, and Mixed Methods Approaches</w:t>
      </w:r>
      <w:r w:rsidRPr="00B70760">
        <w:rPr>
          <w:rFonts w:ascii="Arial" w:hAnsi="Arial" w:cs="Arial"/>
          <w:color w:val="000000"/>
        </w:rPr>
        <w:t xml:space="preserve">. 5th </w:t>
      </w:r>
      <w:proofErr w:type="spellStart"/>
      <w:r w:rsidRPr="00B70760">
        <w:rPr>
          <w:rFonts w:ascii="Arial" w:hAnsi="Arial" w:cs="Arial"/>
          <w:color w:val="000000"/>
        </w:rPr>
        <w:t>edn</w:t>
      </w:r>
      <w:proofErr w:type="spellEnd"/>
      <w:r w:rsidRPr="00B70760">
        <w:rPr>
          <w:rFonts w:ascii="Arial" w:hAnsi="Arial" w:cs="Arial"/>
          <w:color w:val="000000"/>
        </w:rPr>
        <w:t>. Thousand Oaks, CA: Sage.</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Das, M., </w:t>
      </w:r>
      <w:proofErr w:type="spellStart"/>
      <w:r w:rsidRPr="00B70760">
        <w:rPr>
          <w:rFonts w:ascii="Arial" w:hAnsi="Arial" w:cs="Arial"/>
          <w:color w:val="000000"/>
        </w:rPr>
        <w:t>Jebarajarkirthy</w:t>
      </w:r>
      <w:proofErr w:type="spellEnd"/>
      <w:r w:rsidRPr="00B70760">
        <w:rPr>
          <w:rFonts w:ascii="Arial" w:hAnsi="Arial" w:cs="Arial"/>
          <w:color w:val="000000"/>
        </w:rPr>
        <w:t>, C., Maseeh, H.I., Lim, W.M. and Shah, J.S. (2026) ‘Online service failure and recovery: an integrated meta-analytic perspective of attribution and justice theories’,</w:t>
      </w:r>
      <w:r w:rsidRPr="00B70760">
        <w:rPr>
          <w:rStyle w:val="apple-converted-space"/>
          <w:rFonts w:ascii="Arial" w:hAnsi="Arial" w:cs="Arial"/>
          <w:color w:val="000000"/>
        </w:rPr>
        <w:t> </w:t>
      </w:r>
      <w:r w:rsidRPr="00B70760">
        <w:rPr>
          <w:rStyle w:val="Emphasis"/>
          <w:rFonts w:ascii="Arial" w:eastAsiaTheme="majorEastAsia" w:hAnsi="Arial" w:cs="Arial"/>
          <w:color w:val="000000"/>
        </w:rPr>
        <w:t>Journal of Business Research</w:t>
      </w:r>
      <w:r w:rsidRPr="00B70760">
        <w:rPr>
          <w:rFonts w:ascii="Arial" w:hAnsi="Arial" w:cs="Arial"/>
          <w:color w:val="000000"/>
        </w:rPr>
        <w:t xml:space="preserve">, 202, 115752. </w:t>
      </w:r>
      <w:proofErr w:type="gramStart"/>
      <w:r w:rsidRPr="00B70760">
        <w:rPr>
          <w:rFonts w:ascii="Arial" w:hAnsi="Arial" w:cs="Arial"/>
          <w:color w:val="000000"/>
        </w:rPr>
        <w:t>doi:10.1016/j.jbusres</w:t>
      </w:r>
      <w:proofErr w:type="gramEnd"/>
      <w:r w:rsidRPr="00B70760">
        <w:rPr>
          <w:rFonts w:ascii="Arial" w:hAnsi="Arial" w:cs="Arial"/>
          <w:color w:val="000000"/>
        </w:rPr>
        <w:t>.2025.115752.</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Devlin, J.F., Roy, S.K., </w:t>
      </w:r>
      <w:proofErr w:type="spellStart"/>
      <w:r w:rsidRPr="00B70760">
        <w:rPr>
          <w:rFonts w:ascii="Arial" w:hAnsi="Arial" w:cs="Arial"/>
          <w:color w:val="000000"/>
        </w:rPr>
        <w:t>Sekhon</w:t>
      </w:r>
      <w:proofErr w:type="spellEnd"/>
      <w:r w:rsidRPr="00B70760">
        <w:rPr>
          <w:rFonts w:ascii="Arial" w:hAnsi="Arial" w:cs="Arial"/>
          <w:color w:val="000000"/>
        </w:rPr>
        <w:t xml:space="preserve">, H., </w:t>
      </w:r>
      <w:proofErr w:type="spellStart"/>
      <w:r w:rsidRPr="00B70760">
        <w:rPr>
          <w:rFonts w:ascii="Arial" w:hAnsi="Arial" w:cs="Arial"/>
          <w:color w:val="000000"/>
        </w:rPr>
        <w:t>Moin</w:t>
      </w:r>
      <w:proofErr w:type="spellEnd"/>
      <w:r w:rsidRPr="00B70760">
        <w:rPr>
          <w:rFonts w:ascii="Arial" w:hAnsi="Arial" w:cs="Arial"/>
          <w:color w:val="000000"/>
        </w:rPr>
        <w:t xml:space="preserve">, S.M.A. and </w:t>
      </w:r>
      <w:proofErr w:type="spellStart"/>
      <w:r w:rsidRPr="00B70760">
        <w:rPr>
          <w:rFonts w:ascii="Arial" w:hAnsi="Arial" w:cs="Arial"/>
          <w:color w:val="000000"/>
        </w:rPr>
        <w:t>Sahiner</w:t>
      </w:r>
      <w:proofErr w:type="spellEnd"/>
      <w:r w:rsidRPr="00B70760">
        <w:rPr>
          <w:rFonts w:ascii="Arial" w:hAnsi="Arial" w:cs="Arial"/>
          <w:color w:val="000000"/>
        </w:rPr>
        <w:t>, M. (2025) ‘Trust and FinTech: a review and research agenda’,</w:t>
      </w:r>
      <w:r w:rsidRPr="00B70760">
        <w:rPr>
          <w:rStyle w:val="apple-converted-space"/>
          <w:rFonts w:ascii="Arial" w:hAnsi="Arial" w:cs="Arial"/>
          <w:color w:val="000000"/>
        </w:rPr>
        <w:t> </w:t>
      </w:r>
      <w:r w:rsidRPr="00B70760">
        <w:rPr>
          <w:rStyle w:val="Emphasis"/>
          <w:rFonts w:ascii="Arial" w:eastAsiaTheme="majorEastAsia" w:hAnsi="Arial" w:cs="Arial"/>
          <w:color w:val="000000"/>
        </w:rPr>
        <w:t>Electronic Markets</w:t>
      </w:r>
      <w:r w:rsidRPr="00B70760">
        <w:rPr>
          <w:rFonts w:ascii="Arial" w:hAnsi="Arial" w:cs="Arial"/>
          <w:color w:val="000000"/>
        </w:rPr>
        <w:t>, 35, 62. doi:10.1007/s12525-025-00803-w.</w:t>
      </w:r>
    </w:p>
    <w:p w:rsidR="00A80C1B" w:rsidRPr="00B70760" w:rsidRDefault="00A80C1B" w:rsidP="00A80C1B">
      <w:pPr>
        <w:pStyle w:val="NormalWeb"/>
        <w:rPr>
          <w:rFonts w:ascii="Arial" w:hAnsi="Arial" w:cs="Arial"/>
          <w:color w:val="000000"/>
        </w:rPr>
      </w:pPr>
      <w:proofErr w:type="spellStart"/>
      <w:r w:rsidRPr="00B70760">
        <w:rPr>
          <w:rFonts w:ascii="Arial" w:hAnsi="Arial" w:cs="Arial"/>
          <w:color w:val="000000"/>
        </w:rPr>
        <w:t>Dhakal</w:t>
      </w:r>
      <w:proofErr w:type="spellEnd"/>
      <w:r w:rsidRPr="00B70760">
        <w:rPr>
          <w:rFonts w:ascii="Arial" w:hAnsi="Arial" w:cs="Arial"/>
          <w:color w:val="000000"/>
        </w:rPr>
        <w:t>, S. and Acharya, S. (2024)</w:t>
      </w:r>
      <w:r w:rsidRPr="00B70760">
        <w:rPr>
          <w:rStyle w:val="apple-converted-space"/>
          <w:rFonts w:ascii="Arial" w:hAnsi="Arial" w:cs="Arial"/>
          <w:color w:val="000000"/>
        </w:rPr>
        <w:t> </w:t>
      </w:r>
      <w:r w:rsidRPr="00B70760">
        <w:rPr>
          <w:rStyle w:val="Emphasis"/>
          <w:rFonts w:ascii="Arial" w:eastAsiaTheme="majorEastAsia" w:hAnsi="Arial" w:cs="Arial"/>
          <w:color w:val="000000"/>
        </w:rPr>
        <w:t>Digital Transformation and Customer Experience in Nepalese Banking</w:t>
      </w:r>
      <w:r w:rsidRPr="00B70760">
        <w:rPr>
          <w:rFonts w:ascii="Arial" w:hAnsi="Arial" w:cs="Arial"/>
          <w:color w:val="000000"/>
        </w:rPr>
        <w:t>. MBA thesis.</w:t>
      </w:r>
    </w:p>
    <w:p w:rsidR="00A80C1B" w:rsidRPr="00B70760" w:rsidRDefault="00A80C1B" w:rsidP="00A80C1B">
      <w:pPr>
        <w:pStyle w:val="NormalWeb"/>
        <w:rPr>
          <w:rFonts w:ascii="Arial" w:hAnsi="Arial" w:cs="Arial"/>
          <w:color w:val="000000"/>
        </w:rPr>
      </w:pPr>
      <w:r w:rsidRPr="00B70760">
        <w:rPr>
          <w:rFonts w:ascii="Arial" w:hAnsi="Arial" w:cs="Arial"/>
          <w:color w:val="000000"/>
        </w:rPr>
        <w:t>Field, A. (2018)</w:t>
      </w:r>
      <w:r w:rsidRPr="00B70760">
        <w:rPr>
          <w:rStyle w:val="apple-converted-space"/>
          <w:rFonts w:ascii="Arial" w:hAnsi="Arial" w:cs="Arial"/>
          <w:color w:val="000000"/>
        </w:rPr>
        <w:t> </w:t>
      </w:r>
      <w:r w:rsidRPr="00B70760">
        <w:rPr>
          <w:rStyle w:val="Emphasis"/>
          <w:rFonts w:ascii="Arial" w:eastAsiaTheme="majorEastAsia" w:hAnsi="Arial" w:cs="Arial"/>
          <w:color w:val="000000"/>
        </w:rPr>
        <w:t>Discovering Statistics Using IBM SPSS Statistics</w:t>
      </w:r>
      <w:r w:rsidRPr="00B70760">
        <w:rPr>
          <w:rFonts w:ascii="Arial" w:hAnsi="Arial" w:cs="Arial"/>
          <w:color w:val="000000"/>
        </w:rPr>
        <w:t xml:space="preserve">. 5th </w:t>
      </w:r>
      <w:proofErr w:type="spellStart"/>
      <w:r w:rsidRPr="00B70760">
        <w:rPr>
          <w:rFonts w:ascii="Arial" w:hAnsi="Arial" w:cs="Arial"/>
          <w:color w:val="000000"/>
        </w:rPr>
        <w:t>edn</w:t>
      </w:r>
      <w:proofErr w:type="spellEnd"/>
      <w:r w:rsidRPr="00B70760">
        <w:rPr>
          <w:rFonts w:ascii="Arial" w:hAnsi="Arial" w:cs="Arial"/>
          <w:color w:val="000000"/>
        </w:rPr>
        <w:t>. London: Sage.</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Hair, J.F., Black, W.C., </w:t>
      </w:r>
      <w:proofErr w:type="spellStart"/>
      <w:r w:rsidRPr="00B70760">
        <w:rPr>
          <w:rFonts w:ascii="Arial" w:hAnsi="Arial" w:cs="Arial"/>
          <w:color w:val="000000"/>
        </w:rPr>
        <w:t>Babin</w:t>
      </w:r>
      <w:proofErr w:type="spellEnd"/>
      <w:r w:rsidRPr="00B70760">
        <w:rPr>
          <w:rFonts w:ascii="Arial" w:hAnsi="Arial" w:cs="Arial"/>
          <w:color w:val="000000"/>
        </w:rPr>
        <w:t>, B.J. and Anderson, R.E. (2019)</w:t>
      </w:r>
      <w:r w:rsidRPr="00B70760">
        <w:rPr>
          <w:rStyle w:val="apple-converted-space"/>
          <w:rFonts w:ascii="Arial" w:hAnsi="Arial" w:cs="Arial"/>
          <w:color w:val="000000"/>
        </w:rPr>
        <w:t> </w:t>
      </w:r>
      <w:r w:rsidRPr="00B70760">
        <w:rPr>
          <w:rStyle w:val="Emphasis"/>
          <w:rFonts w:ascii="Arial" w:eastAsiaTheme="majorEastAsia" w:hAnsi="Arial" w:cs="Arial"/>
          <w:color w:val="000000"/>
        </w:rPr>
        <w:t>Multivariate Data Analysis</w:t>
      </w:r>
      <w:r w:rsidRPr="00B70760">
        <w:rPr>
          <w:rFonts w:ascii="Arial" w:hAnsi="Arial" w:cs="Arial"/>
          <w:color w:val="000000"/>
        </w:rPr>
        <w:t xml:space="preserve">. 8th </w:t>
      </w:r>
      <w:proofErr w:type="spellStart"/>
      <w:r w:rsidRPr="00B70760">
        <w:rPr>
          <w:rFonts w:ascii="Arial" w:hAnsi="Arial" w:cs="Arial"/>
          <w:color w:val="000000"/>
        </w:rPr>
        <w:t>edn</w:t>
      </w:r>
      <w:proofErr w:type="spellEnd"/>
      <w:r w:rsidRPr="00B70760">
        <w:rPr>
          <w:rFonts w:ascii="Arial" w:hAnsi="Arial" w:cs="Arial"/>
          <w:color w:val="000000"/>
        </w:rPr>
        <w:t>. Andover: Cengage.</w:t>
      </w:r>
    </w:p>
    <w:p w:rsidR="00A80C1B" w:rsidRPr="00B70760" w:rsidRDefault="00A80C1B" w:rsidP="00A80C1B">
      <w:pPr>
        <w:pStyle w:val="NormalWeb"/>
        <w:rPr>
          <w:rFonts w:ascii="Arial" w:hAnsi="Arial" w:cs="Arial"/>
          <w:color w:val="000000"/>
        </w:rPr>
      </w:pPr>
      <w:r w:rsidRPr="00B70760">
        <w:rPr>
          <w:rFonts w:ascii="Arial" w:hAnsi="Arial" w:cs="Arial"/>
          <w:color w:val="000000"/>
        </w:rPr>
        <w:t>Hayes, A.F. (2015) ‘An index and test of linear moderated mediation’,</w:t>
      </w:r>
      <w:r w:rsidRPr="00B70760">
        <w:rPr>
          <w:rStyle w:val="apple-converted-space"/>
          <w:rFonts w:ascii="Arial" w:hAnsi="Arial" w:cs="Arial"/>
          <w:color w:val="000000"/>
        </w:rPr>
        <w:t> </w:t>
      </w:r>
      <w:r w:rsidRPr="00B70760">
        <w:rPr>
          <w:rStyle w:val="Emphasis"/>
          <w:rFonts w:ascii="Arial" w:eastAsiaTheme="majorEastAsia" w:hAnsi="Arial" w:cs="Arial"/>
          <w:color w:val="000000"/>
        </w:rPr>
        <w:t>Multivariate Behavioral Research</w:t>
      </w:r>
      <w:r w:rsidRPr="00B70760">
        <w:rPr>
          <w:rFonts w:ascii="Arial" w:hAnsi="Arial" w:cs="Arial"/>
          <w:color w:val="000000"/>
        </w:rPr>
        <w:t>, 50(1), pp. 1–22.</w:t>
      </w:r>
    </w:p>
    <w:p w:rsidR="00A80C1B" w:rsidRPr="00B70760" w:rsidRDefault="00A80C1B" w:rsidP="00A80C1B">
      <w:pPr>
        <w:pStyle w:val="NormalWeb"/>
        <w:rPr>
          <w:rFonts w:ascii="Arial" w:hAnsi="Arial" w:cs="Arial"/>
          <w:color w:val="000000"/>
        </w:rPr>
      </w:pPr>
      <w:r w:rsidRPr="00B70760">
        <w:rPr>
          <w:rFonts w:ascii="Arial" w:hAnsi="Arial" w:cs="Arial"/>
          <w:color w:val="000000"/>
        </w:rPr>
        <w:t>Hayes, A.F. (2022)</w:t>
      </w:r>
      <w:r w:rsidRPr="00B70760">
        <w:rPr>
          <w:rStyle w:val="apple-converted-space"/>
          <w:rFonts w:ascii="Arial" w:hAnsi="Arial" w:cs="Arial"/>
          <w:color w:val="000000"/>
        </w:rPr>
        <w:t> </w:t>
      </w:r>
      <w:r w:rsidRPr="00B70760">
        <w:rPr>
          <w:rStyle w:val="Emphasis"/>
          <w:rFonts w:ascii="Arial" w:eastAsiaTheme="majorEastAsia" w:hAnsi="Arial" w:cs="Arial"/>
          <w:color w:val="000000"/>
        </w:rPr>
        <w:t>Introduction to Mediation, Moderation, and Conditional Process Analysis: A Regression-Based Approach</w:t>
      </w:r>
      <w:r w:rsidRPr="00B70760">
        <w:rPr>
          <w:rFonts w:ascii="Arial" w:hAnsi="Arial" w:cs="Arial"/>
          <w:color w:val="000000"/>
        </w:rPr>
        <w:t xml:space="preserve">. 3rd </w:t>
      </w:r>
      <w:proofErr w:type="spellStart"/>
      <w:r w:rsidRPr="00B70760">
        <w:rPr>
          <w:rFonts w:ascii="Arial" w:hAnsi="Arial" w:cs="Arial"/>
          <w:color w:val="000000"/>
        </w:rPr>
        <w:t>edn</w:t>
      </w:r>
      <w:proofErr w:type="spellEnd"/>
      <w:r w:rsidRPr="00B70760">
        <w:rPr>
          <w:rFonts w:ascii="Arial" w:hAnsi="Arial" w:cs="Arial"/>
          <w:color w:val="000000"/>
        </w:rPr>
        <w:t>. New York: Guilford Press.</w:t>
      </w:r>
    </w:p>
    <w:p w:rsidR="00A80C1B" w:rsidRPr="00B70760" w:rsidRDefault="00A80C1B" w:rsidP="00A80C1B">
      <w:pPr>
        <w:pStyle w:val="NormalWeb"/>
        <w:rPr>
          <w:rFonts w:ascii="Arial" w:hAnsi="Arial" w:cs="Arial"/>
          <w:color w:val="000000"/>
        </w:rPr>
      </w:pPr>
      <w:r w:rsidRPr="00B70760">
        <w:rPr>
          <w:rFonts w:ascii="Arial" w:hAnsi="Arial" w:cs="Arial"/>
          <w:color w:val="000000"/>
        </w:rPr>
        <w:t>Hayes, A.F. and Cai, L. (2007) ‘Using heteroskedasticity-consistent standard error estimators in OLS regression: an introduction and software implementation’,</w:t>
      </w:r>
      <w:r w:rsidRPr="00B70760">
        <w:rPr>
          <w:rStyle w:val="apple-converted-space"/>
          <w:rFonts w:ascii="Arial" w:hAnsi="Arial" w:cs="Arial"/>
          <w:color w:val="000000"/>
        </w:rPr>
        <w:t> </w:t>
      </w:r>
      <w:r w:rsidRPr="00B70760">
        <w:rPr>
          <w:rStyle w:val="Emphasis"/>
          <w:rFonts w:ascii="Arial" w:eastAsiaTheme="majorEastAsia" w:hAnsi="Arial" w:cs="Arial"/>
          <w:color w:val="000000"/>
        </w:rPr>
        <w:t>Behavior Research Methods</w:t>
      </w:r>
      <w:r w:rsidRPr="00B70760">
        <w:rPr>
          <w:rFonts w:ascii="Arial" w:hAnsi="Arial" w:cs="Arial"/>
          <w:color w:val="000000"/>
        </w:rPr>
        <w:t>, 39(4), pp. 709–722.</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Kumar, R., </w:t>
      </w:r>
      <w:proofErr w:type="spellStart"/>
      <w:r w:rsidRPr="00B70760">
        <w:rPr>
          <w:rFonts w:ascii="Arial" w:hAnsi="Arial" w:cs="Arial"/>
          <w:color w:val="000000"/>
        </w:rPr>
        <w:t>Boro</w:t>
      </w:r>
      <w:proofErr w:type="spellEnd"/>
      <w:r w:rsidRPr="00B70760">
        <w:rPr>
          <w:rFonts w:ascii="Arial" w:hAnsi="Arial" w:cs="Arial"/>
          <w:color w:val="000000"/>
        </w:rPr>
        <w:t xml:space="preserve">, L., Saud, H.S. and </w:t>
      </w:r>
      <w:proofErr w:type="spellStart"/>
      <w:r w:rsidRPr="00B70760">
        <w:rPr>
          <w:rFonts w:ascii="Arial" w:hAnsi="Arial" w:cs="Arial"/>
          <w:color w:val="000000"/>
        </w:rPr>
        <w:t>Chapagain</w:t>
      </w:r>
      <w:proofErr w:type="spellEnd"/>
      <w:r w:rsidRPr="00B70760">
        <w:rPr>
          <w:rFonts w:ascii="Arial" w:hAnsi="Arial" w:cs="Arial"/>
          <w:color w:val="000000"/>
        </w:rPr>
        <w:t xml:space="preserve">, R. (2026) ‘Examining the influence of mobile wallet adoption on </w:t>
      </w:r>
      <w:proofErr w:type="spellStart"/>
      <w:r w:rsidRPr="00B70760">
        <w:rPr>
          <w:rFonts w:ascii="Arial" w:hAnsi="Arial" w:cs="Arial"/>
          <w:color w:val="000000"/>
        </w:rPr>
        <w:t>behavioural</w:t>
      </w:r>
      <w:proofErr w:type="spellEnd"/>
      <w:r w:rsidRPr="00B70760">
        <w:rPr>
          <w:rFonts w:ascii="Arial" w:hAnsi="Arial" w:cs="Arial"/>
          <w:color w:val="000000"/>
        </w:rPr>
        <w:t xml:space="preserve"> intention and customer satisfaction in Nepal’,</w:t>
      </w:r>
      <w:r w:rsidRPr="00B70760">
        <w:rPr>
          <w:rStyle w:val="apple-converted-space"/>
          <w:rFonts w:ascii="Arial" w:hAnsi="Arial" w:cs="Arial"/>
          <w:color w:val="000000"/>
        </w:rPr>
        <w:t> </w:t>
      </w:r>
      <w:r w:rsidRPr="00B70760">
        <w:rPr>
          <w:rStyle w:val="Emphasis"/>
          <w:rFonts w:ascii="Arial" w:eastAsiaTheme="majorEastAsia" w:hAnsi="Arial" w:cs="Arial"/>
          <w:color w:val="000000"/>
        </w:rPr>
        <w:t>Multidisciplinary Reviews</w:t>
      </w:r>
      <w:r w:rsidRPr="00B70760">
        <w:rPr>
          <w:rFonts w:ascii="Arial" w:hAnsi="Arial" w:cs="Arial"/>
          <w:color w:val="000000"/>
        </w:rPr>
        <w:t>, 9(5), 2026245. doi:10.31893/multirev.2026245.</w:t>
      </w:r>
    </w:p>
    <w:p w:rsidR="00A80C1B" w:rsidRPr="00B70760" w:rsidRDefault="00A80C1B" w:rsidP="00A80C1B">
      <w:pPr>
        <w:pStyle w:val="NormalWeb"/>
        <w:rPr>
          <w:rFonts w:ascii="Arial" w:hAnsi="Arial" w:cs="Arial"/>
          <w:color w:val="000000"/>
        </w:rPr>
      </w:pPr>
      <w:r w:rsidRPr="00B70760">
        <w:rPr>
          <w:rFonts w:ascii="Arial" w:hAnsi="Arial" w:cs="Arial"/>
          <w:color w:val="000000"/>
        </w:rPr>
        <w:t>Lin, Y.-C. and Liu, Y. (2025) ‘Beyond the courtroom: exploring consumers’ trust and usage of ADR in financial dispute resolution’,</w:t>
      </w:r>
      <w:r w:rsidRPr="00B70760">
        <w:rPr>
          <w:rStyle w:val="apple-converted-space"/>
          <w:rFonts w:ascii="Arial" w:hAnsi="Arial" w:cs="Arial"/>
          <w:color w:val="000000"/>
        </w:rPr>
        <w:t> </w:t>
      </w:r>
      <w:r w:rsidRPr="00B70760">
        <w:rPr>
          <w:rStyle w:val="Emphasis"/>
          <w:rFonts w:ascii="Arial" w:eastAsiaTheme="majorEastAsia" w:hAnsi="Arial" w:cs="Arial"/>
          <w:color w:val="000000"/>
        </w:rPr>
        <w:t>Finance Research Letters</w:t>
      </w:r>
      <w:r w:rsidRPr="00B70760">
        <w:rPr>
          <w:rFonts w:ascii="Arial" w:hAnsi="Arial" w:cs="Arial"/>
          <w:color w:val="000000"/>
        </w:rPr>
        <w:t xml:space="preserve">, 85, 107872. </w:t>
      </w:r>
      <w:proofErr w:type="gramStart"/>
      <w:r w:rsidRPr="00B70760">
        <w:rPr>
          <w:rFonts w:ascii="Arial" w:hAnsi="Arial" w:cs="Arial"/>
          <w:color w:val="000000"/>
        </w:rPr>
        <w:t>doi:10.1016/j.frl</w:t>
      </w:r>
      <w:proofErr w:type="gramEnd"/>
      <w:r w:rsidRPr="00B70760">
        <w:rPr>
          <w:rFonts w:ascii="Arial" w:hAnsi="Arial" w:cs="Arial"/>
          <w:color w:val="000000"/>
        </w:rPr>
        <w:t>.2025.107872.</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Mayer, R.C., Davis, J.H. and </w:t>
      </w:r>
      <w:proofErr w:type="spellStart"/>
      <w:r w:rsidRPr="00B70760">
        <w:rPr>
          <w:rFonts w:ascii="Arial" w:hAnsi="Arial" w:cs="Arial"/>
          <w:color w:val="000000"/>
        </w:rPr>
        <w:t>Schoorman</w:t>
      </w:r>
      <w:proofErr w:type="spellEnd"/>
      <w:r w:rsidRPr="00B70760">
        <w:rPr>
          <w:rFonts w:ascii="Arial" w:hAnsi="Arial" w:cs="Arial"/>
          <w:color w:val="000000"/>
        </w:rPr>
        <w:t>, F.D. (1995) ‘An integrative model of organizational trust’,</w:t>
      </w:r>
      <w:r w:rsidRPr="00B70760">
        <w:rPr>
          <w:rStyle w:val="apple-converted-space"/>
          <w:rFonts w:ascii="Arial" w:hAnsi="Arial" w:cs="Arial"/>
          <w:color w:val="000000"/>
        </w:rPr>
        <w:t> </w:t>
      </w:r>
      <w:r w:rsidRPr="00B70760">
        <w:rPr>
          <w:rStyle w:val="Emphasis"/>
          <w:rFonts w:ascii="Arial" w:eastAsiaTheme="majorEastAsia" w:hAnsi="Arial" w:cs="Arial"/>
          <w:color w:val="000000"/>
        </w:rPr>
        <w:t>Academy of Management Review</w:t>
      </w:r>
      <w:r w:rsidRPr="00B70760">
        <w:rPr>
          <w:rFonts w:ascii="Arial" w:hAnsi="Arial" w:cs="Arial"/>
          <w:color w:val="000000"/>
        </w:rPr>
        <w:t>, 20(3), pp. 709–734.</w:t>
      </w:r>
    </w:p>
    <w:p w:rsidR="00A80C1B" w:rsidRPr="00B70760" w:rsidRDefault="00A80C1B" w:rsidP="00A80C1B">
      <w:pPr>
        <w:pStyle w:val="NormalWeb"/>
        <w:rPr>
          <w:rFonts w:ascii="Arial" w:hAnsi="Arial" w:cs="Arial"/>
          <w:color w:val="000000"/>
        </w:rPr>
      </w:pPr>
      <w:r w:rsidRPr="00B70760">
        <w:rPr>
          <w:rFonts w:ascii="Arial" w:hAnsi="Arial" w:cs="Arial"/>
          <w:color w:val="000000"/>
        </w:rPr>
        <w:lastRenderedPageBreak/>
        <w:t>Morgan, R.M. and Hunt, S.D. (1994) ‘The commitment-trust theory of relationship marketing’,</w:t>
      </w:r>
      <w:r w:rsidRPr="00B70760">
        <w:rPr>
          <w:rStyle w:val="apple-converted-space"/>
          <w:rFonts w:ascii="Arial" w:hAnsi="Arial" w:cs="Arial"/>
          <w:color w:val="000000"/>
        </w:rPr>
        <w:t> </w:t>
      </w:r>
      <w:r w:rsidRPr="00B70760">
        <w:rPr>
          <w:rStyle w:val="Emphasis"/>
          <w:rFonts w:ascii="Arial" w:eastAsiaTheme="majorEastAsia" w:hAnsi="Arial" w:cs="Arial"/>
          <w:color w:val="000000"/>
        </w:rPr>
        <w:t>Journal of Marketing</w:t>
      </w:r>
      <w:r w:rsidRPr="00B70760">
        <w:rPr>
          <w:rFonts w:ascii="Arial" w:hAnsi="Arial" w:cs="Arial"/>
          <w:color w:val="000000"/>
        </w:rPr>
        <w:t>, 58(3), pp. 20–38.</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Naseer, H., </w:t>
      </w:r>
      <w:proofErr w:type="spellStart"/>
      <w:r w:rsidRPr="00B70760">
        <w:rPr>
          <w:rFonts w:ascii="Arial" w:hAnsi="Arial" w:cs="Arial"/>
          <w:color w:val="000000"/>
        </w:rPr>
        <w:t>Wijayanayake</w:t>
      </w:r>
      <w:proofErr w:type="spellEnd"/>
      <w:r w:rsidRPr="00B70760">
        <w:rPr>
          <w:rFonts w:ascii="Arial" w:hAnsi="Arial" w:cs="Arial"/>
          <w:color w:val="000000"/>
        </w:rPr>
        <w:t>, J. and Jayasinghe, S.A. (2025) ‘Antecedents of customer awareness in banking security: a Protection Motivation Theory-based systematic review’,</w:t>
      </w:r>
      <w:r w:rsidRPr="00B70760">
        <w:rPr>
          <w:rStyle w:val="apple-converted-space"/>
          <w:rFonts w:ascii="Arial" w:hAnsi="Arial" w:cs="Arial"/>
          <w:color w:val="000000"/>
        </w:rPr>
        <w:t> </w:t>
      </w:r>
      <w:r w:rsidRPr="00B70760">
        <w:rPr>
          <w:rStyle w:val="Emphasis"/>
          <w:rFonts w:ascii="Arial" w:eastAsiaTheme="majorEastAsia" w:hAnsi="Arial" w:cs="Arial"/>
          <w:color w:val="000000"/>
        </w:rPr>
        <w:t>Kelaniya Journal of Management</w:t>
      </w:r>
      <w:r w:rsidRPr="00B70760">
        <w:rPr>
          <w:rFonts w:ascii="Arial" w:hAnsi="Arial" w:cs="Arial"/>
          <w:color w:val="000000"/>
        </w:rPr>
        <w:t>, 14(3), pp. 151–167. doi:10.4038/</w:t>
      </w:r>
      <w:proofErr w:type="gramStart"/>
      <w:r w:rsidRPr="00B70760">
        <w:rPr>
          <w:rFonts w:ascii="Arial" w:hAnsi="Arial" w:cs="Arial"/>
          <w:color w:val="000000"/>
        </w:rPr>
        <w:t>kjm.v</w:t>
      </w:r>
      <w:proofErr w:type="gramEnd"/>
      <w:r w:rsidRPr="00B70760">
        <w:rPr>
          <w:rFonts w:ascii="Arial" w:hAnsi="Arial" w:cs="Arial"/>
          <w:color w:val="000000"/>
        </w:rPr>
        <w:t>14i3.7922.</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Poudel, H.K., </w:t>
      </w:r>
      <w:proofErr w:type="spellStart"/>
      <w:r w:rsidRPr="00B70760">
        <w:rPr>
          <w:rFonts w:ascii="Arial" w:hAnsi="Arial" w:cs="Arial"/>
          <w:color w:val="000000"/>
        </w:rPr>
        <w:t>Ranabhat</w:t>
      </w:r>
      <w:proofErr w:type="spellEnd"/>
      <w:r w:rsidRPr="00B70760">
        <w:rPr>
          <w:rFonts w:ascii="Arial" w:hAnsi="Arial" w:cs="Arial"/>
          <w:color w:val="000000"/>
        </w:rPr>
        <w:t xml:space="preserve">, D., Sapkota, P. and </w:t>
      </w:r>
      <w:proofErr w:type="spellStart"/>
      <w:r w:rsidRPr="00B70760">
        <w:rPr>
          <w:rFonts w:ascii="Arial" w:hAnsi="Arial" w:cs="Arial"/>
          <w:color w:val="000000"/>
        </w:rPr>
        <w:t>Ranabhat</w:t>
      </w:r>
      <w:proofErr w:type="spellEnd"/>
      <w:r w:rsidRPr="00B70760">
        <w:rPr>
          <w:rFonts w:ascii="Arial" w:hAnsi="Arial" w:cs="Arial"/>
          <w:color w:val="000000"/>
        </w:rPr>
        <w:t>, M. (2023) ‘Adoption of digital payment system among the youths in Pokhara Metropolitan City’,</w:t>
      </w:r>
      <w:r w:rsidRPr="00B70760">
        <w:rPr>
          <w:rStyle w:val="apple-converted-space"/>
          <w:rFonts w:ascii="Arial" w:hAnsi="Arial" w:cs="Arial"/>
          <w:color w:val="000000"/>
        </w:rPr>
        <w:t> </w:t>
      </w:r>
      <w:r w:rsidRPr="00B70760">
        <w:rPr>
          <w:rStyle w:val="Emphasis"/>
          <w:rFonts w:ascii="Arial" w:eastAsiaTheme="majorEastAsia" w:hAnsi="Arial" w:cs="Arial"/>
          <w:color w:val="000000"/>
        </w:rPr>
        <w:t>Interdisciplinary Journal of Innovation in Nepalese Academia</w:t>
      </w:r>
      <w:r w:rsidRPr="00B70760">
        <w:rPr>
          <w:rFonts w:ascii="Arial" w:hAnsi="Arial" w:cs="Arial"/>
          <w:color w:val="000000"/>
        </w:rPr>
        <w:t>, 2(2), pp. 160–172. doi:10.3126/</w:t>
      </w:r>
      <w:proofErr w:type="gramStart"/>
      <w:r w:rsidRPr="00B70760">
        <w:rPr>
          <w:rFonts w:ascii="Arial" w:hAnsi="Arial" w:cs="Arial"/>
          <w:color w:val="000000"/>
        </w:rPr>
        <w:t>idjina.v</w:t>
      </w:r>
      <w:proofErr w:type="gramEnd"/>
      <w:r w:rsidRPr="00B70760">
        <w:rPr>
          <w:rFonts w:ascii="Arial" w:hAnsi="Arial" w:cs="Arial"/>
          <w:color w:val="000000"/>
        </w:rPr>
        <w:t>2i2.59495.</w:t>
      </w:r>
    </w:p>
    <w:p w:rsidR="00A80C1B" w:rsidRPr="00B70760" w:rsidRDefault="00A80C1B" w:rsidP="00A80C1B">
      <w:pPr>
        <w:pStyle w:val="NormalWeb"/>
        <w:rPr>
          <w:rFonts w:ascii="Arial" w:hAnsi="Arial" w:cs="Arial"/>
          <w:color w:val="000000"/>
        </w:rPr>
      </w:pPr>
      <w:r w:rsidRPr="00B70760">
        <w:rPr>
          <w:rFonts w:ascii="Arial" w:hAnsi="Arial" w:cs="Arial"/>
          <w:color w:val="000000"/>
        </w:rPr>
        <w:t>Preacher, K.J. and Hayes, A.F. (2008) ‘Asymptotic and resampling strategies for assessing and comparing indirect effects in multiple mediator models’,</w:t>
      </w:r>
      <w:r w:rsidRPr="00B70760">
        <w:rPr>
          <w:rStyle w:val="apple-converted-space"/>
          <w:rFonts w:ascii="Arial" w:hAnsi="Arial" w:cs="Arial"/>
          <w:color w:val="000000"/>
        </w:rPr>
        <w:t> </w:t>
      </w:r>
      <w:r w:rsidRPr="00B70760">
        <w:rPr>
          <w:rStyle w:val="Emphasis"/>
          <w:rFonts w:ascii="Arial" w:eastAsiaTheme="majorEastAsia" w:hAnsi="Arial" w:cs="Arial"/>
          <w:color w:val="000000"/>
        </w:rPr>
        <w:t>Behavior Research Methods</w:t>
      </w:r>
      <w:r w:rsidRPr="00B70760">
        <w:rPr>
          <w:rFonts w:ascii="Arial" w:hAnsi="Arial" w:cs="Arial"/>
          <w:color w:val="000000"/>
        </w:rPr>
        <w:t>, 40(3), pp. 879–891.</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Rao, A.S., Pai P, Y., R Kamath, P., </w:t>
      </w:r>
      <w:proofErr w:type="spellStart"/>
      <w:r w:rsidRPr="00B70760">
        <w:rPr>
          <w:rFonts w:ascii="Arial" w:hAnsi="Arial" w:cs="Arial"/>
          <w:color w:val="000000"/>
        </w:rPr>
        <w:t>Sethumadhavan</w:t>
      </w:r>
      <w:proofErr w:type="spellEnd"/>
      <w:r w:rsidRPr="00B70760">
        <w:rPr>
          <w:rFonts w:ascii="Arial" w:hAnsi="Arial" w:cs="Arial"/>
          <w:color w:val="000000"/>
        </w:rPr>
        <w:t>, L., Prabhu, N. and Pai, R.Y. (2024) ‘Service recovery system and service recovery in retail banks: a multilevel analysis’,</w:t>
      </w:r>
      <w:r w:rsidRPr="00B70760">
        <w:rPr>
          <w:rStyle w:val="apple-converted-space"/>
          <w:rFonts w:ascii="Arial" w:hAnsi="Arial" w:cs="Arial"/>
          <w:color w:val="000000"/>
        </w:rPr>
        <w:t> </w:t>
      </w:r>
      <w:r w:rsidRPr="00B70760">
        <w:rPr>
          <w:rStyle w:val="Emphasis"/>
          <w:rFonts w:ascii="Arial" w:eastAsiaTheme="majorEastAsia" w:hAnsi="Arial" w:cs="Arial"/>
          <w:color w:val="000000"/>
        </w:rPr>
        <w:t>Cogent Business &amp; Management</w:t>
      </w:r>
      <w:r w:rsidRPr="00B70760">
        <w:rPr>
          <w:rFonts w:ascii="Arial" w:hAnsi="Arial" w:cs="Arial"/>
          <w:color w:val="000000"/>
        </w:rPr>
        <w:t>, 11(1), 2349260. doi:10.1080/23311975.2024.2349260.</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Raza, A., </w:t>
      </w:r>
      <w:proofErr w:type="spellStart"/>
      <w:r w:rsidRPr="00B70760">
        <w:rPr>
          <w:rFonts w:ascii="Arial" w:hAnsi="Arial" w:cs="Arial"/>
          <w:color w:val="000000"/>
        </w:rPr>
        <w:t>Tsiotsou</w:t>
      </w:r>
      <w:proofErr w:type="spellEnd"/>
      <w:r w:rsidRPr="00B70760">
        <w:rPr>
          <w:rFonts w:ascii="Arial" w:hAnsi="Arial" w:cs="Arial"/>
          <w:color w:val="000000"/>
        </w:rPr>
        <w:t xml:space="preserve">, R., Sarfraz, M. and </w:t>
      </w:r>
      <w:proofErr w:type="spellStart"/>
      <w:r w:rsidRPr="00B70760">
        <w:rPr>
          <w:rFonts w:ascii="Arial" w:hAnsi="Arial" w:cs="Arial"/>
          <w:color w:val="000000"/>
        </w:rPr>
        <w:t>Ishaq</w:t>
      </w:r>
      <w:proofErr w:type="spellEnd"/>
      <w:r w:rsidRPr="00B70760">
        <w:rPr>
          <w:rFonts w:ascii="Arial" w:hAnsi="Arial" w:cs="Arial"/>
          <w:color w:val="000000"/>
        </w:rPr>
        <w:t>, M.I. (2023) ‘Trust recovery tactics in financial services: the moderating role of service failure severity’,</w:t>
      </w:r>
      <w:r w:rsidRPr="00B70760">
        <w:rPr>
          <w:rStyle w:val="apple-converted-space"/>
          <w:rFonts w:ascii="Arial" w:hAnsi="Arial" w:cs="Arial"/>
          <w:color w:val="000000"/>
        </w:rPr>
        <w:t> </w:t>
      </w:r>
      <w:r w:rsidRPr="00B70760">
        <w:rPr>
          <w:rStyle w:val="Emphasis"/>
          <w:rFonts w:ascii="Arial" w:eastAsiaTheme="majorEastAsia" w:hAnsi="Arial" w:cs="Arial"/>
          <w:color w:val="000000"/>
        </w:rPr>
        <w:t>International Journal of Bank Marketing</w:t>
      </w:r>
      <w:r w:rsidRPr="00B70760">
        <w:rPr>
          <w:rFonts w:ascii="Arial" w:hAnsi="Arial" w:cs="Arial"/>
          <w:color w:val="000000"/>
        </w:rPr>
        <w:t>, 41(7), pp. 1611–1639. doi:10.1108/IJBM-10-2022-0447.</w:t>
      </w:r>
    </w:p>
    <w:p w:rsidR="00A80C1B" w:rsidRPr="00B70760" w:rsidRDefault="00A80C1B" w:rsidP="00A80C1B">
      <w:pPr>
        <w:pStyle w:val="NormalWeb"/>
        <w:rPr>
          <w:rFonts w:ascii="Arial" w:hAnsi="Arial" w:cs="Arial"/>
          <w:color w:val="000000"/>
        </w:rPr>
      </w:pPr>
      <w:r w:rsidRPr="00B70760">
        <w:rPr>
          <w:rFonts w:ascii="Arial" w:hAnsi="Arial" w:cs="Arial"/>
          <w:color w:val="000000"/>
        </w:rPr>
        <w:t>Rogers, R.W. (1975) ‘A protection motivation theory of fear appeals and attitude change’,</w:t>
      </w:r>
      <w:r w:rsidRPr="00B70760">
        <w:rPr>
          <w:rStyle w:val="apple-converted-space"/>
          <w:rFonts w:ascii="Arial" w:hAnsi="Arial" w:cs="Arial"/>
          <w:color w:val="000000"/>
        </w:rPr>
        <w:t> </w:t>
      </w:r>
      <w:r w:rsidRPr="00B70760">
        <w:rPr>
          <w:rStyle w:val="Emphasis"/>
          <w:rFonts w:ascii="Arial" w:eastAsiaTheme="majorEastAsia" w:hAnsi="Arial" w:cs="Arial"/>
          <w:color w:val="000000"/>
        </w:rPr>
        <w:t>The Journal of Psychology</w:t>
      </w:r>
      <w:r w:rsidRPr="00B70760">
        <w:rPr>
          <w:rFonts w:ascii="Arial" w:hAnsi="Arial" w:cs="Arial"/>
          <w:color w:val="000000"/>
        </w:rPr>
        <w:t>, 91(1), pp. 93–114.</w:t>
      </w:r>
    </w:p>
    <w:p w:rsidR="00A80C1B" w:rsidRPr="00B70760" w:rsidRDefault="00A80C1B" w:rsidP="00A80C1B">
      <w:pPr>
        <w:pStyle w:val="NormalWeb"/>
        <w:rPr>
          <w:rFonts w:ascii="Arial" w:hAnsi="Arial" w:cs="Arial"/>
          <w:color w:val="000000"/>
        </w:rPr>
      </w:pPr>
      <w:r w:rsidRPr="00B70760">
        <w:rPr>
          <w:rFonts w:ascii="Arial" w:hAnsi="Arial" w:cs="Arial"/>
          <w:color w:val="000000"/>
        </w:rPr>
        <w:t>Saunders, M., Lewis, P. and Thornhill, A. (2019)</w:t>
      </w:r>
      <w:r w:rsidRPr="00B70760">
        <w:rPr>
          <w:rStyle w:val="apple-converted-space"/>
          <w:rFonts w:ascii="Arial" w:hAnsi="Arial" w:cs="Arial"/>
          <w:color w:val="000000"/>
        </w:rPr>
        <w:t> </w:t>
      </w:r>
      <w:r w:rsidRPr="00B70760">
        <w:rPr>
          <w:rStyle w:val="Emphasis"/>
          <w:rFonts w:ascii="Arial" w:eastAsiaTheme="majorEastAsia" w:hAnsi="Arial" w:cs="Arial"/>
          <w:color w:val="000000"/>
        </w:rPr>
        <w:t>Research Methods for Business Students</w:t>
      </w:r>
      <w:r w:rsidRPr="00B70760">
        <w:rPr>
          <w:rFonts w:ascii="Arial" w:hAnsi="Arial" w:cs="Arial"/>
          <w:color w:val="000000"/>
        </w:rPr>
        <w:t xml:space="preserve">. 8th </w:t>
      </w:r>
      <w:proofErr w:type="spellStart"/>
      <w:r w:rsidRPr="00B70760">
        <w:rPr>
          <w:rFonts w:ascii="Arial" w:hAnsi="Arial" w:cs="Arial"/>
          <w:color w:val="000000"/>
        </w:rPr>
        <w:t>edn</w:t>
      </w:r>
      <w:proofErr w:type="spellEnd"/>
      <w:r w:rsidRPr="00B70760">
        <w:rPr>
          <w:rFonts w:ascii="Arial" w:hAnsi="Arial" w:cs="Arial"/>
          <w:color w:val="000000"/>
        </w:rPr>
        <w:t>. Harlow: Pearson.</w:t>
      </w:r>
    </w:p>
    <w:p w:rsidR="00A80C1B" w:rsidRPr="00B70760" w:rsidRDefault="00A80C1B" w:rsidP="00A80C1B">
      <w:pPr>
        <w:pStyle w:val="NormalWeb"/>
        <w:rPr>
          <w:rFonts w:ascii="Arial" w:hAnsi="Arial" w:cs="Arial"/>
          <w:color w:val="000000"/>
        </w:rPr>
      </w:pPr>
      <w:r w:rsidRPr="00B70760">
        <w:rPr>
          <w:rFonts w:ascii="Arial" w:hAnsi="Arial" w:cs="Arial"/>
          <w:color w:val="000000"/>
        </w:rPr>
        <w:t>Smith, A.K., Bolton, R.N. and Wagner, J. (1999) ‘A model of customer satisfaction with service encounters involving failure and recovery’,</w:t>
      </w:r>
      <w:r w:rsidRPr="00B70760">
        <w:rPr>
          <w:rStyle w:val="apple-converted-space"/>
          <w:rFonts w:ascii="Arial" w:hAnsi="Arial" w:cs="Arial"/>
          <w:color w:val="000000"/>
        </w:rPr>
        <w:t> </w:t>
      </w:r>
      <w:r w:rsidRPr="00B70760">
        <w:rPr>
          <w:rStyle w:val="Emphasis"/>
          <w:rFonts w:ascii="Arial" w:eastAsiaTheme="majorEastAsia" w:hAnsi="Arial" w:cs="Arial"/>
          <w:color w:val="000000"/>
        </w:rPr>
        <w:t>Journal of Marketing Research</w:t>
      </w:r>
      <w:r w:rsidRPr="00B70760">
        <w:rPr>
          <w:rFonts w:ascii="Arial" w:hAnsi="Arial" w:cs="Arial"/>
          <w:color w:val="000000"/>
        </w:rPr>
        <w:t>, 36(3), pp. 356–372.</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Tax, S.S., Brown, S.W. and </w:t>
      </w:r>
      <w:proofErr w:type="spellStart"/>
      <w:r w:rsidRPr="00B70760">
        <w:rPr>
          <w:rFonts w:ascii="Arial" w:hAnsi="Arial" w:cs="Arial"/>
          <w:color w:val="000000"/>
        </w:rPr>
        <w:t>Chandrashekaran</w:t>
      </w:r>
      <w:proofErr w:type="spellEnd"/>
      <w:r w:rsidRPr="00B70760">
        <w:rPr>
          <w:rFonts w:ascii="Arial" w:hAnsi="Arial" w:cs="Arial"/>
          <w:color w:val="000000"/>
        </w:rPr>
        <w:t>, M. (1998) ‘Customer evaluations of service complaint experiences: implications for relationship marketing’,</w:t>
      </w:r>
      <w:r w:rsidRPr="00B70760">
        <w:rPr>
          <w:rStyle w:val="apple-converted-space"/>
          <w:rFonts w:ascii="Arial" w:hAnsi="Arial" w:cs="Arial"/>
          <w:color w:val="000000"/>
        </w:rPr>
        <w:t> </w:t>
      </w:r>
      <w:r w:rsidRPr="00B70760">
        <w:rPr>
          <w:rStyle w:val="Emphasis"/>
          <w:rFonts w:ascii="Arial" w:eastAsiaTheme="majorEastAsia" w:hAnsi="Arial" w:cs="Arial"/>
          <w:color w:val="000000"/>
        </w:rPr>
        <w:t>Journal of Marketing</w:t>
      </w:r>
      <w:r w:rsidRPr="00B70760">
        <w:rPr>
          <w:rFonts w:ascii="Arial" w:hAnsi="Arial" w:cs="Arial"/>
          <w:color w:val="000000"/>
        </w:rPr>
        <w:t>, 62(2), pp. 60–76.</w:t>
      </w:r>
    </w:p>
    <w:p w:rsidR="00A80C1B" w:rsidRPr="00B70760" w:rsidRDefault="00A80C1B" w:rsidP="00A80C1B">
      <w:pPr>
        <w:pStyle w:val="NormalWeb"/>
        <w:rPr>
          <w:rFonts w:ascii="Arial" w:hAnsi="Arial" w:cs="Arial"/>
          <w:color w:val="000000"/>
        </w:rPr>
      </w:pPr>
      <w:r w:rsidRPr="00B70760">
        <w:rPr>
          <w:rFonts w:ascii="Arial" w:hAnsi="Arial" w:cs="Arial"/>
          <w:color w:val="000000"/>
        </w:rPr>
        <w:t xml:space="preserve">Van </w:t>
      </w:r>
      <w:proofErr w:type="spellStart"/>
      <w:r w:rsidRPr="00B70760">
        <w:rPr>
          <w:rFonts w:ascii="Arial" w:hAnsi="Arial" w:cs="Arial"/>
          <w:color w:val="000000"/>
        </w:rPr>
        <w:t>Vaerenbergh</w:t>
      </w:r>
      <w:proofErr w:type="spellEnd"/>
      <w:r w:rsidRPr="00B70760">
        <w:rPr>
          <w:rFonts w:ascii="Arial" w:hAnsi="Arial" w:cs="Arial"/>
          <w:color w:val="000000"/>
        </w:rPr>
        <w:t xml:space="preserve">, Y. and </w:t>
      </w:r>
      <w:proofErr w:type="spellStart"/>
      <w:r w:rsidRPr="00B70760">
        <w:rPr>
          <w:rFonts w:ascii="Arial" w:hAnsi="Arial" w:cs="Arial"/>
          <w:color w:val="000000"/>
        </w:rPr>
        <w:t>Orsingher</w:t>
      </w:r>
      <w:proofErr w:type="spellEnd"/>
      <w:r w:rsidRPr="00B70760">
        <w:rPr>
          <w:rFonts w:ascii="Arial" w:hAnsi="Arial" w:cs="Arial"/>
          <w:color w:val="000000"/>
        </w:rPr>
        <w:t>, C. (2016) ‘Service recovery: an integrative framework and research agenda’,</w:t>
      </w:r>
      <w:r w:rsidRPr="00B70760">
        <w:rPr>
          <w:rStyle w:val="apple-converted-space"/>
          <w:rFonts w:ascii="Arial" w:hAnsi="Arial" w:cs="Arial"/>
          <w:color w:val="000000"/>
        </w:rPr>
        <w:t> </w:t>
      </w:r>
      <w:r w:rsidRPr="00B70760">
        <w:rPr>
          <w:rStyle w:val="Emphasis"/>
          <w:rFonts w:ascii="Arial" w:eastAsiaTheme="majorEastAsia" w:hAnsi="Arial" w:cs="Arial"/>
          <w:color w:val="000000"/>
        </w:rPr>
        <w:t>Academy of Management Perspectives</w:t>
      </w:r>
      <w:r w:rsidRPr="00B70760">
        <w:rPr>
          <w:rFonts w:ascii="Arial" w:hAnsi="Arial" w:cs="Arial"/>
          <w:color w:val="000000"/>
        </w:rPr>
        <w:t>, 30(3), pp. 328–346.</w:t>
      </w:r>
    </w:p>
    <w:p w:rsidR="007828DA" w:rsidRDefault="007828DA">
      <w:pPr>
        <w:ind w:left="360" w:hanging="360"/>
        <w:jc w:val="both"/>
      </w:pPr>
    </w:p>
    <w:p w:rsidR="00C52476" w:rsidRDefault="00C52476" w:rsidP="00C52476">
      <w:pPr>
        <w:pStyle w:val="Heading2"/>
      </w:pPr>
      <w:bookmarkStart w:id="43" w:name="_Toc238592659"/>
      <w:r>
        <w:t>Appendix</w:t>
      </w:r>
      <w:bookmarkEnd w:id="43"/>
    </w:p>
    <w:p w:rsidR="00C52476" w:rsidRDefault="00C52476" w:rsidP="00C52476">
      <w:pPr>
        <w:pStyle w:val="Heading2"/>
      </w:pPr>
      <w:bookmarkStart w:id="44" w:name="_Toc238592660"/>
      <w:r>
        <w:t>Appendix A - Survey questionnaire</w:t>
      </w:r>
      <w:bookmarkEnd w:id="44"/>
    </w:p>
    <w:p w:rsidR="00C52476" w:rsidRPr="00B70760" w:rsidRDefault="00C52476" w:rsidP="00214018">
      <w:pPr>
        <w:rPr>
          <w:rFonts w:ascii="Arial" w:hAnsi="Arial" w:cs="Arial"/>
          <w:sz w:val="24"/>
          <w:szCs w:val="24"/>
        </w:rPr>
      </w:pPr>
      <w:r w:rsidRPr="00B70760">
        <w:rPr>
          <w:rFonts w:ascii="Arial" w:hAnsi="Arial" w:cs="Arial"/>
          <w:sz w:val="24"/>
          <w:szCs w:val="24"/>
        </w:rPr>
        <w:t>Participant Information</w:t>
      </w:r>
    </w:p>
    <w:p w:rsidR="00C52476" w:rsidRPr="00B70760" w:rsidRDefault="00C52476" w:rsidP="00214018">
      <w:pPr>
        <w:rPr>
          <w:rFonts w:ascii="Arial" w:hAnsi="Arial" w:cs="Arial"/>
          <w:sz w:val="24"/>
          <w:szCs w:val="24"/>
        </w:rPr>
      </w:pPr>
      <w:r w:rsidRPr="00B70760">
        <w:rPr>
          <w:rFonts w:ascii="Arial" w:hAnsi="Arial" w:cs="Arial"/>
          <w:sz w:val="24"/>
          <w:szCs w:val="24"/>
        </w:rPr>
        <w:lastRenderedPageBreak/>
        <w:t>You are invited to participate in this research as part of a Doctor of Business Administration (DBA) program.</w:t>
      </w:r>
    </w:p>
    <w:p w:rsidR="00C52476" w:rsidRPr="00B70760" w:rsidRDefault="00C52476" w:rsidP="00214018">
      <w:pPr>
        <w:rPr>
          <w:rFonts w:ascii="Arial" w:hAnsi="Arial" w:cs="Arial"/>
          <w:sz w:val="24"/>
          <w:szCs w:val="24"/>
        </w:rPr>
      </w:pPr>
      <w:r w:rsidRPr="00B70760">
        <w:rPr>
          <w:rStyle w:val="Strong"/>
          <w:rFonts w:ascii="Arial" w:hAnsi="Arial" w:cs="Arial"/>
          <w:color w:val="000000" w:themeColor="text1"/>
          <w:sz w:val="24"/>
          <w:szCs w:val="24"/>
        </w:rPr>
        <w:t>Purpose:</w:t>
      </w:r>
      <w:r w:rsidRPr="00B70760">
        <w:rPr>
          <w:rStyle w:val="apple-converted-space"/>
          <w:rFonts w:ascii="Arial" w:hAnsi="Arial" w:cs="Arial"/>
          <w:color w:val="000000" w:themeColor="text1"/>
          <w:sz w:val="24"/>
          <w:szCs w:val="24"/>
        </w:rPr>
        <w:t> </w:t>
      </w:r>
      <w:r w:rsidRPr="00B70760">
        <w:rPr>
          <w:rFonts w:ascii="Arial" w:hAnsi="Arial" w:cs="Arial"/>
          <w:sz w:val="24"/>
          <w:szCs w:val="24"/>
        </w:rPr>
        <w:t>This study examines how young digital-payment users perceive the ability of Nepalese banks to resolve digital-payment disputes and how these perceptions influence customer trust. It also examines the roles of perceived fairness and fraud concern.</w:t>
      </w:r>
    </w:p>
    <w:p w:rsidR="00C52476" w:rsidRPr="00B70760" w:rsidRDefault="00C52476" w:rsidP="00214018">
      <w:pPr>
        <w:rPr>
          <w:rFonts w:ascii="Arial" w:hAnsi="Arial" w:cs="Arial"/>
          <w:sz w:val="24"/>
          <w:szCs w:val="24"/>
        </w:rPr>
      </w:pPr>
      <w:r w:rsidRPr="00B70760">
        <w:rPr>
          <w:rStyle w:val="Strong"/>
          <w:rFonts w:ascii="Arial" w:hAnsi="Arial" w:cs="Arial"/>
          <w:color w:val="000000" w:themeColor="text1"/>
          <w:sz w:val="24"/>
          <w:szCs w:val="24"/>
        </w:rPr>
        <w:t>Participation:</w:t>
      </w:r>
      <w:r w:rsidRPr="00B70760">
        <w:rPr>
          <w:rStyle w:val="apple-converted-space"/>
          <w:rFonts w:ascii="Arial" w:hAnsi="Arial" w:cs="Arial"/>
          <w:color w:val="000000" w:themeColor="text1"/>
          <w:sz w:val="24"/>
          <w:szCs w:val="24"/>
        </w:rPr>
        <w:t> </w:t>
      </w:r>
      <w:r w:rsidRPr="00B70760">
        <w:rPr>
          <w:rFonts w:ascii="Arial" w:hAnsi="Arial" w:cs="Arial"/>
          <w:sz w:val="24"/>
          <w:szCs w:val="24"/>
        </w:rPr>
        <w:t>Participation is voluntary. The survey requires approximately 7–9 minutes. You may stop completing the questionnaire at any time before submitting your responses.</w:t>
      </w:r>
    </w:p>
    <w:p w:rsidR="00C52476" w:rsidRPr="00B70760" w:rsidRDefault="00C52476" w:rsidP="00214018">
      <w:pPr>
        <w:rPr>
          <w:rFonts w:ascii="Arial" w:hAnsi="Arial" w:cs="Arial"/>
          <w:sz w:val="24"/>
          <w:szCs w:val="24"/>
        </w:rPr>
      </w:pPr>
      <w:r w:rsidRPr="00B70760">
        <w:rPr>
          <w:rStyle w:val="Strong"/>
          <w:rFonts w:ascii="Arial" w:hAnsi="Arial" w:cs="Arial"/>
          <w:color w:val="000000" w:themeColor="text1"/>
          <w:sz w:val="24"/>
          <w:szCs w:val="24"/>
        </w:rPr>
        <w:t>Confidentiality:</w:t>
      </w:r>
      <w:r w:rsidRPr="00B70760">
        <w:rPr>
          <w:rStyle w:val="apple-converted-space"/>
          <w:rFonts w:ascii="Arial" w:hAnsi="Arial" w:cs="Arial"/>
          <w:color w:val="000000" w:themeColor="text1"/>
          <w:sz w:val="24"/>
          <w:szCs w:val="24"/>
        </w:rPr>
        <w:t> </w:t>
      </w:r>
      <w:r w:rsidRPr="00B70760">
        <w:rPr>
          <w:rFonts w:ascii="Arial" w:hAnsi="Arial" w:cs="Arial"/>
          <w:sz w:val="24"/>
          <w:szCs w:val="24"/>
        </w:rPr>
        <w:t>Your responses are anonymous and confidential. No personally identifiable information or banking credentials will be collected.</w:t>
      </w:r>
    </w:p>
    <w:p w:rsidR="00C52476" w:rsidRPr="00B70760" w:rsidRDefault="00C52476" w:rsidP="00214018">
      <w:pPr>
        <w:rPr>
          <w:rFonts w:ascii="Arial" w:hAnsi="Arial" w:cs="Arial"/>
          <w:sz w:val="24"/>
          <w:szCs w:val="24"/>
        </w:rPr>
      </w:pPr>
      <w:r w:rsidRPr="00B70760">
        <w:rPr>
          <w:rStyle w:val="Strong"/>
          <w:rFonts w:ascii="Arial" w:hAnsi="Arial" w:cs="Arial"/>
          <w:color w:val="000000" w:themeColor="text1"/>
          <w:sz w:val="24"/>
          <w:szCs w:val="24"/>
        </w:rPr>
        <w:t>Risks:</w:t>
      </w:r>
      <w:r w:rsidRPr="00B70760">
        <w:rPr>
          <w:rStyle w:val="apple-converted-space"/>
          <w:rFonts w:ascii="Arial" w:hAnsi="Arial" w:cs="Arial"/>
          <w:color w:val="000000" w:themeColor="text1"/>
          <w:sz w:val="24"/>
          <w:szCs w:val="24"/>
        </w:rPr>
        <w:t> </w:t>
      </w:r>
      <w:r w:rsidRPr="00B70760">
        <w:rPr>
          <w:rFonts w:ascii="Arial" w:hAnsi="Arial" w:cs="Arial"/>
          <w:sz w:val="24"/>
          <w:szCs w:val="24"/>
        </w:rPr>
        <w:t>The study involves minimal risk. Some questions regarding fraud may cause minor discomfort.</w:t>
      </w:r>
    </w:p>
    <w:p w:rsidR="00C52476" w:rsidRPr="00B70760" w:rsidRDefault="00C52476" w:rsidP="00214018">
      <w:pPr>
        <w:rPr>
          <w:rFonts w:ascii="Arial" w:hAnsi="Arial" w:cs="Arial"/>
          <w:sz w:val="24"/>
          <w:szCs w:val="24"/>
        </w:rPr>
      </w:pPr>
      <w:r w:rsidRPr="00B70760">
        <w:rPr>
          <w:rStyle w:val="Strong"/>
          <w:rFonts w:ascii="Arial" w:hAnsi="Arial" w:cs="Arial"/>
          <w:color w:val="000000" w:themeColor="text1"/>
          <w:sz w:val="24"/>
          <w:szCs w:val="24"/>
        </w:rPr>
        <w:t>Benefits:</w:t>
      </w:r>
      <w:r w:rsidRPr="00B70760">
        <w:rPr>
          <w:rStyle w:val="apple-converted-space"/>
          <w:rFonts w:ascii="Arial" w:hAnsi="Arial" w:cs="Arial"/>
          <w:color w:val="000000" w:themeColor="text1"/>
          <w:sz w:val="24"/>
          <w:szCs w:val="24"/>
        </w:rPr>
        <w:t> </w:t>
      </w:r>
      <w:r w:rsidRPr="00B70760">
        <w:rPr>
          <w:rFonts w:ascii="Arial" w:hAnsi="Arial" w:cs="Arial"/>
          <w:sz w:val="24"/>
          <w:szCs w:val="24"/>
        </w:rPr>
        <w:t>Your responses will contribute to research that may help improve digital-payment dispute management in Nepalese banks.</w:t>
      </w:r>
    </w:p>
    <w:p w:rsidR="00C52476" w:rsidRPr="00B70760" w:rsidRDefault="00C52476" w:rsidP="00214018">
      <w:pPr>
        <w:rPr>
          <w:rFonts w:ascii="Arial" w:hAnsi="Arial" w:cs="Arial"/>
          <w:sz w:val="24"/>
          <w:szCs w:val="24"/>
        </w:rPr>
      </w:pPr>
      <w:r w:rsidRPr="00B70760">
        <w:rPr>
          <w:rFonts w:ascii="Arial" w:hAnsi="Arial" w:cs="Arial"/>
          <w:sz w:val="24"/>
          <w:szCs w:val="24"/>
        </w:rPr>
        <w:t>Consent (Required)</w:t>
      </w:r>
    </w:p>
    <w:p w:rsidR="00C52476" w:rsidRPr="00B70760" w:rsidRDefault="00C52476" w:rsidP="00214018">
      <w:pPr>
        <w:rPr>
          <w:rFonts w:ascii="Arial" w:hAnsi="Arial" w:cs="Arial"/>
          <w:sz w:val="24"/>
          <w:szCs w:val="24"/>
        </w:rPr>
      </w:pPr>
      <w:r w:rsidRPr="00B70760">
        <w:rPr>
          <w:rFonts w:ascii="Segoe UI Symbol" w:hAnsi="Segoe UI Symbol" w:cs="Segoe UI Symbol"/>
          <w:sz w:val="24"/>
          <w:szCs w:val="24"/>
        </w:rPr>
        <w:t>☐</w:t>
      </w:r>
      <w:r w:rsidRPr="00B70760">
        <w:rPr>
          <w:rFonts w:ascii="Arial" w:hAnsi="Arial" w:cs="Arial"/>
          <w:sz w:val="24"/>
          <w:szCs w:val="24"/>
        </w:rPr>
        <w:t xml:space="preserve"> I confirm that I am between 18 and 35 years old.</w:t>
      </w:r>
      <w:r w:rsidRPr="00B70760">
        <w:rPr>
          <w:rFonts w:ascii="Arial" w:hAnsi="Arial" w:cs="Arial"/>
          <w:sz w:val="24"/>
          <w:szCs w:val="24"/>
        </w:rPr>
        <w:br/>
      </w:r>
      <w:r w:rsidRPr="00B70760">
        <w:rPr>
          <w:rFonts w:ascii="Segoe UI Symbol" w:hAnsi="Segoe UI Symbol" w:cs="Segoe UI Symbol"/>
          <w:sz w:val="24"/>
          <w:szCs w:val="24"/>
        </w:rPr>
        <w:t>☐</w:t>
      </w:r>
      <w:r w:rsidRPr="00B70760">
        <w:rPr>
          <w:rFonts w:ascii="Arial" w:hAnsi="Arial" w:cs="Arial"/>
          <w:sz w:val="24"/>
          <w:szCs w:val="24"/>
        </w:rPr>
        <w:t xml:space="preserve"> I currently use digital-payment services provided by a Nepalese bank.</w:t>
      </w:r>
      <w:r w:rsidRPr="00B70760">
        <w:rPr>
          <w:rFonts w:ascii="Arial" w:hAnsi="Arial" w:cs="Arial"/>
          <w:sz w:val="24"/>
          <w:szCs w:val="24"/>
        </w:rPr>
        <w:br/>
      </w:r>
      <w:r w:rsidRPr="00B70760">
        <w:rPr>
          <w:rFonts w:ascii="Segoe UI Symbol" w:hAnsi="Segoe UI Symbol" w:cs="Segoe UI Symbol"/>
          <w:sz w:val="24"/>
          <w:szCs w:val="24"/>
        </w:rPr>
        <w:t>☐</w:t>
      </w:r>
      <w:r w:rsidRPr="00B70760">
        <w:rPr>
          <w:rFonts w:ascii="Arial" w:hAnsi="Arial" w:cs="Arial"/>
          <w:sz w:val="24"/>
          <w:szCs w:val="24"/>
        </w:rPr>
        <w:t xml:space="preserve"> I have read and understood the participant information.</w:t>
      </w:r>
      <w:r w:rsidRPr="00B70760">
        <w:rPr>
          <w:rFonts w:ascii="Arial" w:hAnsi="Arial" w:cs="Arial"/>
          <w:sz w:val="24"/>
          <w:szCs w:val="24"/>
        </w:rPr>
        <w:br/>
      </w:r>
      <w:r w:rsidRPr="00B70760">
        <w:rPr>
          <w:rFonts w:ascii="Segoe UI Symbol" w:hAnsi="Segoe UI Symbol" w:cs="Segoe UI Symbol"/>
          <w:sz w:val="24"/>
          <w:szCs w:val="24"/>
        </w:rPr>
        <w:t>☐</w:t>
      </w:r>
      <w:r w:rsidRPr="00B70760">
        <w:rPr>
          <w:rFonts w:ascii="Arial" w:hAnsi="Arial" w:cs="Arial"/>
          <w:sz w:val="24"/>
          <w:szCs w:val="24"/>
        </w:rPr>
        <w:t xml:space="preserve"> I voluntarily agree to participate in this study.</w:t>
      </w:r>
    </w:p>
    <w:p w:rsidR="00C52476" w:rsidRPr="00B70760" w:rsidRDefault="00C52476" w:rsidP="00214018">
      <w:pPr>
        <w:rPr>
          <w:rFonts w:ascii="Arial" w:hAnsi="Arial" w:cs="Arial"/>
          <w:b/>
          <w:bCs/>
          <w:sz w:val="24"/>
          <w:szCs w:val="24"/>
        </w:rPr>
      </w:pPr>
      <w:r w:rsidRPr="00B70760">
        <w:rPr>
          <w:rFonts w:ascii="Arial" w:hAnsi="Arial" w:cs="Arial"/>
          <w:b/>
          <w:bCs/>
          <w:sz w:val="24"/>
          <w:szCs w:val="24"/>
        </w:rPr>
        <w:t>Section A: Digital-Payment Profile</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A1. Age</w:t>
      </w:r>
      <w:r w:rsidRPr="00B70760">
        <w:rPr>
          <w:rFonts w:ascii="Arial" w:hAnsi="Arial" w:cs="Arial"/>
          <w:b/>
          <w:bCs/>
          <w:sz w:val="24"/>
          <w:szCs w:val="24"/>
        </w:rPr>
        <w:br/>
      </w:r>
      <w:r w:rsidRPr="00B70760">
        <w:rPr>
          <w:rFonts w:ascii="Arial" w:hAnsi="Arial" w:cs="Arial"/>
          <w:sz w:val="24"/>
          <w:szCs w:val="24"/>
        </w:rPr>
        <w:t>○ 18–21</w:t>
      </w:r>
      <w:r w:rsidRPr="00B70760">
        <w:rPr>
          <w:rFonts w:ascii="Arial" w:hAnsi="Arial" w:cs="Arial"/>
          <w:sz w:val="24"/>
          <w:szCs w:val="24"/>
        </w:rPr>
        <w:br/>
        <w:t>○ 22–25</w:t>
      </w:r>
      <w:r w:rsidRPr="00B70760">
        <w:rPr>
          <w:rFonts w:ascii="Arial" w:hAnsi="Arial" w:cs="Arial"/>
          <w:sz w:val="24"/>
          <w:szCs w:val="24"/>
        </w:rPr>
        <w:br/>
        <w:t>○ 26–30</w:t>
      </w:r>
      <w:r w:rsidRPr="00B70760">
        <w:rPr>
          <w:rFonts w:ascii="Arial" w:hAnsi="Arial" w:cs="Arial"/>
          <w:sz w:val="24"/>
          <w:szCs w:val="24"/>
        </w:rPr>
        <w:br/>
        <w:t>○ 31–35</w:t>
      </w:r>
      <w:r w:rsidRPr="00B70760">
        <w:rPr>
          <w:rFonts w:ascii="Arial" w:hAnsi="Arial" w:cs="Arial"/>
          <w:sz w:val="24"/>
          <w:szCs w:val="24"/>
        </w:rPr>
        <w:br/>
        <w:t>○ Outside this age range (End survey)</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A2. Do you currently use digital-payment services provided by a Nepalese bank?</w:t>
      </w:r>
      <w:r w:rsidRPr="00B70760">
        <w:rPr>
          <w:rFonts w:ascii="Arial" w:hAnsi="Arial" w:cs="Arial"/>
          <w:sz w:val="24"/>
          <w:szCs w:val="24"/>
        </w:rPr>
        <w:br/>
        <w:t>○ Yes</w:t>
      </w:r>
      <w:r w:rsidRPr="00B70760">
        <w:rPr>
          <w:rFonts w:ascii="Arial" w:hAnsi="Arial" w:cs="Arial"/>
          <w:sz w:val="24"/>
          <w:szCs w:val="24"/>
        </w:rPr>
        <w:br/>
        <w:t>○ No (End survey)</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A3. Which digital-payment services do you currently use? (Select all that apply)</w:t>
      </w:r>
      <w:r w:rsidRPr="00B70760">
        <w:rPr>
          <w:rFonts w:ascii="Arial" w:hAnsi="Arial" w:cs="Arial"/>
          <w:sz w:val="24"/>
          <w:szCs w:val="24"/>
        </w:rPr>
        <w:br/>
        <w:t>○ Mobile banking</w:t>
      </w:r>
      <w:r w:rsidRPr="00B70760">
        <w:rPr>
          <w:rFonts w:ascii="Arial" w:hAnsi="Arial" w:cs="Arial"/>
          <w:sz w:val="24"/>
          <w:szCs w:val="24"/>
        </w:rPr>
        <w:br/>
        <w:t>○ Internet banking</w:t>
      </w:r>
      <w:r w:rsidRPr="00B70760">
        <w:rPr>
          <w:rFonts w:ascii="Arial" w:hAnsi="Arial" w:cs="Arial"/>
          <w:sz w:val="24"/>
          <w:szCs w:val="24"/>
        </w:rPr>
        <w:br/>
        <w:t>○ QR payment</w:t>
      </w:r>
      <w:r w:rsidRPr="00B70760">
        <w:rPr>
          <w:rFonts w:ascii="Arial" w:hAnsi="Arial" w:cs="Arial"/>
          <w:sz w:val="24"/>
          <w:szCs w:val="24"/>
        </w:rPr>
        <w:br/>
        <w:t>○ Debit card</w:t>
      </w:r>
      <w:r w:rsidRPr="00B70760">
        <w:rPr>
          <w:rFonts w:ascii="Arial" w:hAnsi="Arial" w:cs="Arial"/>
          <w:sz w:val="24"/>
          <w:szCs w:val="24"/>
        </w:rPr>
        <w:br/>
        <w:t>○ Credit card</w:t>
      </w:r>
      <w:r w:rsidRPr="00B70760">
        <w:rPr>
          <w:rFonts w:ascii="Arial" w:hAnsi="Arial" w:cs="Arial"/>
          <w:sz w:val="24"/>
          <w:szCs w:val="24"/>
        </w:rPr>
        <w:br/>
        <w:t>○ Interbank transfer</w:t>
      </w:r>
      <w:r w:rsidRPr="00B70760">
        <w:rPr>
          <w:rFonts w:ascii="Arial" w:hAnsi="Arial" w:cs="Arial"/>
          <w:sz w:val="24"/>
          <w:szCs w:val="24"/>
        </w:rPr>
        <w:br/>
        <w:t>○ Digital wallet linked to a bank</w:t>
      </w:r>
      <w:r w:rsidRPr="00B70760">
        <w:rPr>
          <w:rFonts w:ascii="Arial" w:hAnsi="Arial" w:cs="Arial"/>
          <w:sz w:val="24"/>
          <w:szCs w:val="24"/>
        </w:rPr>
        <w:br/>
        <w:t>○ Other</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lastRenderedPageBreak/>
        <w:t>A4. How frequently do you use digital-payment services?</w:t>
      </w:r>
      <w:r w:rsidRPr="00B70760">
        <w:rPr>
          <w:rFonts w:ascii="Arial" w:hAnsi="Arial" w:cs="Arial"/>
          <w:sz w:val="24"/>
          <w:szCs w:val="24"/>
        </w:rPr>
        <w:br/>
        <w:t>○ Daily</w:t>
      </w:r>
      <w:r w:rsidRPr="00B70760">
        <w:rPr>
          <w:rFonts w:ascii="Arial" w:hAnsi="Arial" w:cs="Arial"/>
          <w:sz w:val="24"/>
          <w:szCs w:val="24"/>
        </w:rPr>
        <w:br/>
        <w:t>○ 3–5 times per week</w:t>
      </w:r>
      <w:r w:rsidRPr="00B70760">
        <w:rPr>
          <w:rFonts w:ascii="Arial" w:hAnsi="Arial" w:cs="Arial"/>
          <w:sz w:val="24"/>
          <w:szCs w:val="24"/>
        </w:rPr>
        <w:br/>
        <w:t>○ 1–2 times per week</w:t>
      </w:r>
      <w:r w:rsidRPr="00B70760">
        <w:rPr>
          <w:rFonts w:ascii="Arial" w:hAnsi="Arial" w:cs="Arial"/>
          <w:sz w:val="24"/>
          <w:szCs w:val="24"/>
        </w:rPr>
        <w:br/>
        <w:t>○ Several times per month</w:t>
      </w:r>
      <w:r w:rsidRPr="00B70760">
        <w:rPr>
          <w:rFonts w:ascii="Arial" w:hAnsi="Arial" w:cs="Arial"/>
          <w:sz w:val="24"/>
          <w:szCs w:val="24"/>
        </w:rPr>
        <w:br/>
        <w:t>○ Less than once per month</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A5. How long have you used digital-payment services?</w:t>
      </w:r>
      <w:r w:rsidRPr="00B70760">
        <w:rPr>
          <w:rFonts w:ascii="Arial" w:hAnsi="Arial" w:cs="Arial"/>
          <w:sz w:val="24"/>
          <w:szCs w:val="24"/>
        </w:rPr>
        <w:br/>
        <w:t>○ less than 1 year</w:t>
      </w:r>
      <w:r w:rsidRPr="00B70760">
        <w:rPr>
          <w:rFonts w:ascii="Arial" w:hAnsi="Arial" w:cs="Arial"/>
          <w:sz w:val="24"/>
          <w:szCs w:val="24"/>
        </w:rPr>
        <w:br/>
        <w:t>○ 1–2 years</w:t>
      </w:r>
      <w:r w:rsidRPr="00B70760">
        <w:rPr>
          <w:rFonts w:ascii="Arial" w:hAnsi="Arial" w:cs="Arial"/>
          <w:sz w:val="24"/>
          <w:szCs w:val="24"/>
        </w:rPr>
        <w:br/>
        <w:t>○ 3–4 years</w:t>
      </w:r>
      <w:r w:rsidRPr="00B70760">
        <w:rPr>
          <w:rFonts w:ascii="Arial" w:hAnsi="Arial" w:cs="Arial"/>
          <w:sz w:val="24"/>
          <w:szCs w:val="24"/>
        </w:rPr>
        <w:br/>
        <w:t>○ 5 years or more</w:t>
      </w:r>
    </w:p>
    <w:p w:rsidR="00C52476" w:rsidRPr="00B70760" w:rsidRDefault="00C52476" w:rsidP="00214018">
      <w:pPr>
        <w:rPr>
          <w:rFonts w:ascii="Arial" w:hAnsi="Arial" w:cs="Arial"/>
          <w:b/>
          <w:bCs/>
          <w:sz w:val="24"/>
          <w:szCs w:val="24"/>
        </w:rPr>
      </w:pPr>
      <w:r w:rsidRPr="00B70760">
        <w:rPr>
          <w:rFonts w:ascii="Arial" w:hAnsi="Arial" w:cs="Arial"/>
          <w:b/>
          <w:bCs/>
          <w:sz w:val="24"/>
          <w:szCs w:val="24"/>
        </w:rPr>
        <w:t>Section B: Previous Experience</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B1. Have you ever experienced a digital-payment problem or dispute?</w:t>
      </w:r>
      <w:r w:rsidRPr="00B70760">
        <w:rPr>
          <w:rFonts w:ascii="Arial" w:hAnsi="Arial" w:cs="Arial"/>
          <w:sz w:val="24"/>
          <w:szCs w:val="24"/>
        </w:rPr>
        <w:br/>
        <w:t>○ Yes</w:t>
      </w:r>
      <w:r w:rsidRPr="00B70760">
        <w:rPr>
          <w:rFonts w:ascii="Arial" w:hAnsi="Arial" w:cs="Arial"/>
          <w:sz w:val="24"/>
          <w:szCs w:val="24"/>
        </w:rPr>
        <w:br/>
        <w:t>○ No</w:t>
      </w:r>
      <w:r w:rsidRPr="00B70760">
        <w:rPr>
          <w:rFonts w:ascii="Arial" w:hAnsi="Arial" w:cs="Arial"/>
          <w:sz w:val="24"/>
          <w:szCs w:val="24"/>
        </w:rPr>
        <w:br/>
        <w:t>○ Unsure</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B2. Which problems have you experienced? (Select all that apply)</w:t>
      </w:r>
      <w:r w:rsidRPr="00B70760">
        <w:rPr>
          <w:rFonts w:ascii="Arial" w:hAnsi="Arial" w:cs="Arial"/>
          <w:sz w:val="24"/>
          <w:szCs w:val="24"/>
        </w:rPr>
        <w:br/>
        <w:t>○ Failed transaction (amount deducted)</w:t>
      </w:r>
      <w:r w:rsidRPr="00B70760">
        <w:rPr>
          <w:rFonts w:ascii="Arial" w:hAnsi="Arial" w:cs="Arial"/>
          <w:sz w:val="24"/>
          <w:szCs w:val="24"/>
        </w:rPr>
        <w:br/>
        <w:t>○ Delayed payment</w:t>
      </w:r>
      <w:r w:rsidRPr="00B70760">
        <w:rPr>
          <w:rFonts w:ascii="Arial" w:hAnsi="Arial" w:cs="Arial"/>
          <w:sz w:val="24"/>
          <w:szCs w:val="24"/>
        </w:rPr>
        <w:br/>
        <w:t>○ Duplicate debit</w:t>
      </w:r>
      <w:r w:rsidRPr="00B70760">
        <w:rPr>
          <w:rFonts w:ascii="Arial" w:hAnsi="Arial" w:cs="Arial"/>
          <w:sz w:val="24"/>
          <w:szCs w:val="24"/>
        </w:rPr>
        <w:br/>
        <w:t>○ Delayed refund</w:t>
      </w:r>
      <w:r w:rsidRPr="00B70760">
        <w:rPr>
          <w:rFonts w:ascii="Arial" w:hAnsi="Arial" w:cs="Arial"/>
          <w:sz w:val="24"/>
          <w:szCs w:val="24"/>
        </w:rPr>
        <w:br/>
        <w:t>○ Incorrect transfer</w:t>
      </w:r>
      <w:r w:rsidRPr="00B70760">
        <w:rPr>
          <w:rFonts w:ascii="Arial" w:hAnsi="Arial" w:cs="Arial"/>
          <w:sz w:val="24"/>
          <w:szCs w:val="24"/>
        </w:rPr>
        <w:br/>
        <w:t xml:space="preserve">○ </w:t>
      </w:r>
      <w:proofErr w:type="spellStart"/>
      <w:r w:rsidRPr="00B70760">
        <w:rPr>
          <w:rFonts w:ascii="Arial" w:hAnsi="Arial" w:cs="Arial"/>
          <w:sz w:val="24"/>
          <w:szCs w:val="24"/>
        </w:rPr>
        <w:t>Unauthorised</w:t>
      </w:r>
      <w:proofErr w:type="spellEnd"/>
      <w:r w:rsidRPr="00B70760">
        <w:rPr>
          <w:rFonts w:ascii="Arial" w:hAnsi="Arial" w:cs="Arial"/>
          <w:sz w:val="24"/>
          <w:szCs w:val="24"/>
        </w:rPr>
        <w:t xml:space="preserve"> transaction</w:t>
      </w:r>
      <w:r w:rsidRPr="00B70760">
        <w:rPr>
          <w:rFonts w:ascii="Arial" w:hAnsi="Arial" w:cs="Arial"/>
          <w:sz w:val="24"/>
          <w:szCs w:val="24"/>
        </w:rPr>
        <w:br/>
        <w:t>○ Other</w:t>
      </w:r>
      <w:r w:rsidRPr="00B70760">
        <w:rPr>
          <w:rFonts w:ascii="Arial" w:hAnsi="Arial" w:cs="Arial"/>
          <w:sz w:val="24"/>
          <w:szCs w:val="24"/>
        </w:rPr>
        <w:br/>
        <w:t>○ I have not experienced any problem</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B3. Have you ever reported a digital-payment problem to your bank’s customer service or dispute resolution department</w:t>
      </w:r>
      <w:r w:rsidRPr="00B70760">
        <w:rPr>
          <w:rStyle w:val="Strong"/>
          <w:rFonts w:ascii="Arial" w:hAnsi="Arial" w:cs="Arial"/>
          <w:color w:val="000000" w:themeColor="text1"/>
          <w:sz w:val="24"/>
          <w:szCs w:val="24"/>
        </w:rPr>
        <w:t>?</w:t>
      </w:r>
      <w:r w:rsidRPr="00B70760">
        <w:rPr>
          <w:rFonts w:ascii="Arial" w:hAnsi="Arial" w:cs="Arial"/>
          <w:sz w:val="24"/>
          <w:szCs w:val="24"/>
        </w:rPr>
        <w:br/>
        <w:t>○ Yes</w:t>
      </w:r>
      <w:r w:rsidRPr="00B70760">
        <w:rPr>
          <w:rFonts w:ascii="Arial" w:hAnsi="Arial" w:cs="Arial"/>
          <w:sz w:val="24"/>
          <w:szCs w:val="24"/>
        </w:rPr>
        <w:br/>
        <w:t>○ No</w:t>
      </w:r>
      <w:r w:rsidRPr="00B70760">
        <w:rPr>
          <w:rFonts w:ascii="Arial" w:hAnsi="Arial" w:cs="Arial"/>
          <w:sz w:val="24"/>
          <w:szCs w:val="24"/>
        </w:rPr>
        <w:br/>
        <w:t>○ Not applicable</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B4. Have you ever experienced digital-payment fraud?</w:t>
      </w:r>
      <w:r w:rsidRPr="00B70760">
        <w:rPr>
          <w:rFonts w:ascii="Arial" w:hAnsi="Arial" w:cs="Arial"/>
          <w:b/>
          <w:bCs/>
          <w:sz w:val="24"/>
          <w:szCs w:val="24"/>
        </w:rPr>
        <w:br/>
      </w:r>
      <w:r w:rsidRPr="00B70760">
        <w:rPr>
          <w:rFonts w:ascii="Arial" w:hAnsi="Arial" w:cs="Arial"/>
          <w:sz w:val="24"/>
          <w:szCs w:val="24"/>
        </w:rPr>
        <w:t>○ Yes</w:t>
      </w:r>
      <w:r w:rsidRPr="00B70760">
        <w:rPr>
          <w:rFonts w:ascii="Arial" w:hAnsi="Arial" w:cs="Arial"/>
          <w:sz w:val="24"/>
          <w:szCs w:val="24"/>
        </w:rPr>
        <w:br/>
        <w:t>○ No</w:t>
      </w:r>
      <w:r w:rsidRPr="00B70760">
        <w:rPr>
          <w:rFonts w:ascii="Arial" w:hAnsi="Arial" w:cs="Arial"/>
          <w:sz w:val="24"/>
          <w:szCs w:val="24"/>
        </w:rPr>
        <w:br/>
        <w:t>○ Unsure</w:t>
      </w:r>
    </w:p>
    <w:p w:rsidR="00C52476" w:rsidRPr="00B70760" w:rsidRDefault="00C52476" w:rsidP="00214018">
      <w:pPr>
        <w:rPr>
          <w:rFonts w:ascii="Arial" w:hAnsi="Arial" w:cs="Arial"/>
          <w:b/>
          <w:bCs/>
          <w:sz w:val="24"/>
          <w:szCs w:val="24"/>
        </w:rPr>
      </w:pPr>
      <w:r w:rsidRPr="00B70760">
        <w:rPr>
          <w:rFonts w:ascii="Arial" w:hAnsi="Arial" w:cs="Arial"/>
          <w:b/>
          <w:bCs/>
          <w:sz w:val="24"/>
          <w:szCs w:val="24"/>
        </w:rPr>
        <w:t>Instructions for Sections C–G</w:t>
      </w:r>
    </w:p>
    <w:p w:rsidR="00C52476" w:rsidRPr="00B70760" w:rsidRDefault="00C52476" w:rsidP="00214018">
      <w:pPr>
        <w:rPr>
          <w:rFonts w:ascii="Arial" w:hAnsi="Arial" w:cs="Arial"/>
          <w:sz w:val="24"/>
          <w:szCs w:val="24"/>
        </w:rPr>
      </w:pPr>
      <w:r w:rsidRPr="00B70760">
        <w:rPr>
          <w:rFonts w:ascii="Arial" w:hAnsi="Arial" w:cs="Arial"/>
          <w:sz w:val="24"/>
          <w:szCs w:val="24"/>
        </w:rPr>
        <w:t>Please answer the following statements based on your general perceptions and experiences with your main bank’s digital-payment services. If you have previously experienced a digital-payment problem, you may consider that experience when answering.</w:t>
      </w:r>
    </w:p>
    <w:p w:rsidR="00C52476" w:rsidRPr="00B70760" w:rsidRDefault="00C52476" w:rsidP="00214018">
      <w:pPr>
        <w:rPr>
          <w:rFonts w:ascii="Arial" w:hAnsi="Arial" w:cs="Arial"/>
          <w:sz w:val="24"/>
          <w:szCs w:val="24"/>
        </w:rPr>
      </w:pPr>
      <w:r w:rsidRPr="00B70760">
        <w:rPr>
          <w:rStyle w:val="Strong"/>
          <w:rFonts w:ascii="Arial" w:hAnsi="Arial" w:cs="Arial"/>
          <w:color w:val="000000" w:themeColor="text1"/>
          <w:sz w:val="24"/>
          <w:szCs w:val="24"/>
        </w:rPr>
        <w:lastRenderedPageBreak/>
        <w:t>Scale:</w:t>
      </w:r>
      <w:r w:rsidRPr="00B70760">
        <w:rPr>
          <w:rStyle w:val="apple-converted-space"/>
          <w:rFonts w:ascii="Arial" w:hAnsi="Arial" w:cs="Arial"/>
          <w:color w:val="000000" w:themeColor="text1"/>
          <w:sz w:val="24"/>
          <w:szCs w:val="24"/>
        </w:rPr>
        <w:t> </w:t>
      </w:r>
      <w:r w:rsidRPr="00B70760">
        <w:rPr>
          <w:rFonts w:ascii="Arial" w:hAnsi="Arial" w:cs="Arial"/>
          <w:sz w:val="24"/>
          <w:szCs w:val="24"/>
        </w:rPr>
        <w:t>1 = Strongly Disagree, 2 = Disagree, 3 = Neither Agree nor Disagree, 4 = Agree, 5 = Strongly Agree</w:t>
      </w:r>
    </w:p>
    <w:p w:rsidR="00C52476" w:rsidRPr="00B70760" w:rsidRDefault="00C52476" w:rsidP="00214018">
      <w:pPr>
        <w:rPr>
          <w:rFonts w:ascii="Arial" w:hAnsi="Arial" w:cs="Arial"/>
          <w:b/>
          <w:bCs/>
          <w:sz w:val="24"/>
          <w:szCs w:val="24"/>
        </w:rPr>
      </w:pPr>
      <w:r w:rsidRPr="00B70760">
        <w:rPr>
          <w:rFonts w:ascii="Arial" w:hAnsi="Arial" w:cs="Arial"/>
          <w:b/>
          <w:bCs/>
          <w:sz w:val="24"/>
          <w:szCs w:val="24"/>
        </w:rPr>
        <w:t>Section C: Perceived Digital-Payment Dispute Resolution Quality</w:t>
      </w:r>
    </w:p>
    <w:tbl>
      <w:tblPr>
        <w:tblW w:w="0" w:type="auto"/>
        <w:tblInd w:w="90" w:type="dxa"/>
        <w:tblCellMar>
          <w:top w:w="15" w:type="dxa"/>
          <w:left w:w="15" w:type="dxa"/>
          <w:bottom w:w="15" w:type="dxa"/>
          <w:right w:w="15" w:type="dxa"/>
        </w:tblCellMar>
        <w:tblLook w:val="04A0" w:firstRow="1" w:lastRow="0" w:firstColumn="1" w:lastColumn="0" w:noHBand="0" w:noVBand="1"/>
      </w:tblPr>
      <w:tblGrid>
        <w:gridCol w:w="1117"/>
        <w:gridCol w:w="5567"/>
        <w:gridCol w:w="625"/>
        <w:gridCol w:w="625"/>
        <w:gridCol w:w="625"/>
        <w:gridCol w:w="625"/>
        <w:gridCol w:w="614"/>
      </w:tblGrid>
      <w:tr w:rsidR="00C52476" w:rsidRPr="00B70760" w:rsidTr="0000364F">
        <w:trPr>
          <w:tblHeader/>
        </w:trPr>
        <w:tc>
          <w:tcPr>
            <w:tcW w:w="1117" w:type="dxa"/>
            <w:tcBorders>
              <w:top w:val="nil"/>
            </w:tcBorders>
            <w:tcMar>
              <w:top w:w="150" w:type="dxa"/>
              <w:left w:w="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Code</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Statement</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1</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2</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3</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4</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5</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PDRQ1</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acknowledge a digital-payment complaint promptly.</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PDRQ2</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investigate a digital-payment problem without unnecessary delay.</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PDRQ3</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resolve a digital-payment dispute within a reasonable period.</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PDRQ4</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clearly explain the dispute-resolution process to me.</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PDRQ5</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provide me with clear information about the expected resolution time.</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PDRQ6</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clearly explain the reason for its final decision to me.</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PDRQ7</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keep me informed throughout the dispute-resolution process.</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PDRQ8</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bank representatives would answer my questions clearly and adequately.</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1117" w:type="dxa"/>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PDRQ9</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my bank would communicate with me respectfully and consistently during dispute resolution.</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bl>
    <w:p w:rsidR="00C52476" w:rsidRPr="00B70760" w:rsidRDefault="00C52476" w:rsidP="00214018">
      <w:pPr>
        <w:rPr>
          <w:rFonts w:ascii="Arial" w:hAnsi="Arial" w:cs="Arial"/>
          <w:sz w:val="24"/>
          <w:szCs w:val="24"/>
        </w:rPr>
      </w:pPr>
    </w:p>
    <w:p w:rsidR="00C52476" w:rsidRPr="00B70760" w:rsidRDefault="00C52476" w:rsidP="00214018">
      <w:pPr>
        <w:rPr>
          <w:rFonts w:ascii="Arial" w:hAnsi="Arial" w:cs="Arial"/>
          <w:b/>
          <w:bCs/>
          <w:sz w:val="24"/>
          <w:szCs w:val="24"/>
        </w:rPr>
      </w:pPr>
      <w:r w:rsidRPr="00B70760">
        <w:rPr>
          <w:rFonts w:ascii="Arial" w:hAnsi="Arial" w:cs="Arial"/>
          <w:b/>
          <w:bCs/>
          <w:sz w:val="24"/>
          <w:szCs w:val="24"/>
        </w:rPr>
        <w:t>Section D: Perceived Fairness</w:t>
      </w:r>
    </w:p>
    <w:tbl>
      <w:tblPr>
        <w:tblW w:w="0" w:type="auto"/>
        <w:tblCellMar>
          <w:top w:w="15" w:type="dxa"/>
          <w:left w:w="15" w:type="dxa"/>
          <w:bottom w:w="15" w:type="dxa"/>
          <w:right w:w="15" w:type="dxa"/>
        </w:tblCellMar>
        <w:tblLook w:val="04A0" w:firstRow="1" w:lastRow="0" w:firstColumn="1" w:lastColumn="0" w:noHBand="0" w:noVBand="1"/>
      </w:tblPr>
      <w:tblGrid>
        <w:gridCol w:w="840"/>
        <w:gridCol w:w="5934"/>
        <w:gridCol w:w="625"/>
        <w:gridCol w:w="625"/>
        <w:gridCol w:w="625"/>
        <w:gridCol w:w="625"/>
        <w:gridCol w:w="614"/>
      </w:tblGrid>
      <w:tr w:rsidR="00C52476" w:rsidRPr="00B70760" w:rsidTr="0000364F">
        <w:trPr>
          <w:tblHeader/>
        </w:trPr>
        <w:tc>
          <w:tcPr>
            <w:tcW w:w="0" w:type="auto"/>
            <w:tcBorders>
              <w:top w:val="nil"/>
            </w:tcBorders>
            <w:tcMar>
              <w:top w:w="150" w:type="dxa"/>
              <w:left w:w="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Code</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Statement</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1</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2</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3</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4</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5</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lastRenderedPageBreak/>
              <w:t>PF1</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I would have an adequate opportunity to explain a digital-payment problem.</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PF2</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my bank would consider all relevant information before making a dispute decision.</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PF3</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the final decision would fairly reflect the payment problem I experienced.</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PF4</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any refund, correction or remedy I receive would be appropriate.</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PF5</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bank representatives would treat me with dignity and respect.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PF6</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my bank would provide an honest and reasonable explanation for its dispute decision.</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bl>
    <w:p w:rsidR="00C52476" w:rsidRPr="00B70760" w:rsidRDefault="00C52476" w:rsidP="00214018">
      <w:pPr>
        <w:rPr>
          <w:rFonts w:ascii="Arial" w:hAnsi="Arial" w:cs="Arial"/>
          <w:sz w:val="24"/>
          <w:szCs w:val="24"/>
        </w:rPr>
      </w:pPr>
    </w:p>
    <w:p w:rsidR="00C52476" w:rsidRPr="00B70760" w:rsidRDefault="00C52476" w:rsidP="00214018">
      <w:pPr>
        <w:rPr>
          <w:rFonts w:ascii="Arial" w:hAnsi="Arial" w:cs="Arial"/>
          <w:b/>
          <w:bCs/>
          <w:sz w:val="24"/>
          <w:szCs w:val="24"/>
        </w:rPr>
      </w:pPr>
      <w:r w:rsidRPr="00B70760">
        <w:rPr>
          <w:rFonts w:ascii="Arial" w:hAnsi="Arial" w:cs="Arial"/>
          <w:b/>
          <w:bCs/>
          <w:sz w:val="24"/>
          <w:szCs w:val="24"/>
        </w:rPr>
        <w:t>Section E: Customer Trust</w:t>
      </w:r>
    </w:p>
    <w:tbl>
      <w:tblPr>
        <w:tblW w:w="0" w:type="auto"/>
        <w:tblCellMar>
          <w:top w:w="15" w:type="dxa"/>
          <w:left w:w="15" w:type="dxa"/>
          <w:bottom w:w="15" w:type="dxa"/>
          <w:right w:w="15" w:type="dxa"/>
        </w:tblCellMar>
        <w:tblLook w:val="04A0" w:firstRow="1" w:lastRow="0" w:firstColumn="1" w:lastColumn="0" w:noHBand="0" w:noVBand="1"/>
      </w:tblPr>
      <w:tblGrid>
        <w:gridCol w:w="840"/>
        <w:gridCol w:w="5934"/>
        <w:gridCol w:w="625"/>
        <w:gridCol w:w="625"/>
        <w:gridCol w:w="625"/>
        <w:gridCol w:w="625"/>
        <w:gridCol w:w="614"/>
      </w:tblGrid>
      <w:tr w:rsidR="00C52476" w:rsidRPr="00B70760" w:rsidTr="0000364F">
        <w:trPr>
          <w:tblHeader/>
        </w:trPr>
        <w:tc>
          <w:tcPr>
            <w:tcW w:w="0" w:type="auto"/>
            <w:tcBorders>
              <w:top w:val="nil"/>
            </w:tcBorders>
            <w:tcMar>
              <w:top w:w="150" w:type="dxa"/>
              <w:left w:w="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Code</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Statement</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1</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2</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3</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4</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5</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CT1</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my bank is capable of handling digital-payment problems effectively.</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CT2</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can rely on my bank when a digital-payment problem occurs.</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CT3</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my bank would act honestly when handling a digital-payment dispute.</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CT4</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my bank takes my legitimate interests into account.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lastRenderedPageBreak/>
              <w:t>CT5</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have confidence in my bank’s ability to manage digital-payment disputes.</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CT6</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Overall, I trust my bank.</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bl>
    <w:p w:rsidR="00C52476" w:rsidRPr="00B70760" w:rsidRDefault="00C52476" w:rsidP="00214018">
      <w:pPr>
        <w:rPr>
          <w:rFonts w:ascii="Arial" w:hAnsi="Arial" w:cs="Arial"/>
          <w:sz w:val="24"/>
          <w:szCs w:val="24"/>
        </w:rPr>
      </w:pPr>
    </w:p>
    <w:p w:rsidR="00C52476" w:rsidRPr="00B70760" w:rsidRDefault="00C52476" w:rsidP="00214018">
      <w:pPr>
        <w:rPr>
          <w:rFonts w:ascii="Arial" w:hAnsi="Arial" w:cs="Arial"/>
          <w:b/>
          <w:bCs/>
          <w:sz w:val="24"/>
          <w:szCs w:val="24"/>
        </w:rPr>
      </w:pPr>
      <w:r w:rsidRPr="00B70760">
        <w:rPr>
          <w:rFonts w:ascii="Arial" w:hAnsi="Arial" w:cs="Arial"/>
          <w:b/>
          <w:bCs/>
          <w:sz w:val="24"/>
          <w:szCs w:val="24"/>
        </w:rPr>
        <w:t>Section F: Fraud Concern</w:t>
      </w:r>
    </w:p>
    <w:tbl>
      <w:tblPr>
        <w:tblW w:w="0" w:type="auto"/>
        <w:tblCellMar>
          <w:top w:w="15" w:type="dxa"/>
          <w:left w:w="15" w:type="dxa"/>
          <w:bottom w:w="15" w:type="dxa"/>
          <w:right w:w="15" w:type="dxa"/>
        </w:tblCellMar>
        <w:tblLook w:val="04A0" w:firstRow="1" w:lastRow="0" w:firstColumn="1" w:lastColumn="0" w:noHBand="0" w:noVBand="1"/>
      </w:tblPr>
      <w:tblGrid>
        <w:gridCol w:w="840"/>
        <w:gridCol w:w="5934"/>
        <w:gridCol w:w="625"/>
        <w:gridCol w:w="625"/>
        <w:gridCol w:w="625"/>
        <w:gridCol w:w="625"/>
        <w:gridCol w:w="614"/>
      </w:tblGrid>
      <w:tr w:rsidR="00C52476" w:rsidRPr="00B70760" w:rsidTr="0000364F">
        <w:trPr>
          <w:tblHeader/>
        </w:trPr>
        <w:tc>
          <w:tcPr>
            <w:tcW w:w="0" w:type="auto"/>
            <w:tcBorders>
              <w:top w:val="nil"/>
            </w:tcBorders>
            <w:tcMar>
              <w:top w:w="150" w:type="dxa"/>
              <w:left w:w="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Code</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Statement</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1</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2</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3</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4</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5</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FC1</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I could become a victim of digital-payment fraud.</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FC2</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 xml:space="preserve">I worry that </w:t>
            </w:r>
            <w:proofErr w:type="spellStart"/>
            <w:r w:rsidRPr="00B70760">
              <w:rPr>
                <w:rFonts w:ascii="Arial" w:hAnsi="Arial" w:cs="Arial"/>
                <w:sz w:val="24"/>
                <w:szCs w:val="24"/>
              </w:rPr>
              <w:t>unauthorised</w:t>
            </w:r>
            <w:proofErr w:type="spellEnd"/>
            <w:r w:rsidRPr="00B70760">
              <w:rPr>
                <w:rFonts w:ascii="Arial" w:hAnsi="Arial" w:cs="Arial"/>
                <w:sz w:val="24"/>
                <w:szCs w:val="24"/>
              </w:rPr>
              <w:t xml:space="preserve"> persons could gain access to my digital-payment account.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FC3</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believe digital-payment fraud could happen to me even when I take reasonable precautions.</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FC4</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Digital-payment fraud could cause me serious financial loss.</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FC5</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Recovering money lost through digital-payment fraud could be difficult for me.</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FC6</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A digital-payment fraud incident would seriously disrupt my financial activities.</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bl>
    <w:p w:rsidR="00C52476" w:rsidRPr="00B70760" w:rsidRDefault="00C52476" w:rsidP="00214018">
      <w:pPr>
        <w:rPr>
          <w:rFonts w:ascii="Arial" w:hAnsi="Arial" w:cs="Arial"/>
          <w:sz w:val="24"/>
          <w:szCs w:val="24"/>
        </w:rPr>
      </w:pPr>
    </w:p>
    <w:p w:rsidR="00C52476" w:rsidRPr="00B70760" w:rsidRDefault="00C52476" w:rsidP="00214018">
      <w:pPr>
        <w:rPr>
          <w:rFonts w:ascii="Arial" w:hAnsi="Arial" w:cs="Arial"/>
          <w:b/>
          <w:bCs/>
          <w:sz w:val="24"/>
          <w:szCs w:val="24"/>
        </w:rPr>
      </w:pPr>
      <w:r w:rsidRPr="00B70760">
        <w:rPr>
          <w:rFonts w:ascii="Arial" w:hAnsi="Arial" w:cs="Arial"/>
          <w:b/>
          <w:bCs/>
          <w:sz w:val="24"/>
          <w:szCs w:val="24"/>
        </w:rPr>
        <w:t>Section G: Digital-Payment Literacy (Control Variable)</w:t>
      </w:r>
    </w:p>
    <w:tbl>
      <w:tblPr>
        <w:tblW w:w="0" w:type="auto"/>
        <w:tblCellMar>
          <w:top w:w="15" w:type="dxa"/>
          <w:left w:w="15" w:type="dxa"/>
          <w:bottom w:w="15" w:type="dxa"/>
          <w:right w:w="15" w:type="dxa"/>
        </w:tblCellMar>
        <w:tblLook w:val="04A0" w:firstRow="1" w:lastRow="0" w:firstColumn="1" w:lastColumn="0" w:noHBand="0" w:noVBand="1"/>
      </w:tblPr>
      <w:tblGrid>
        <w:gridCol w:w="841"/>
        <w:gridCol w:w="5933"/>
        <w:gridCol w:w="625"/>
        <w:gridCol w:w="625"/>
        <w:gridCol w:w="625"/>
        <w:gridCol w:w="625"/>
        <w:gridCol w:w="614"/>
      </w:tblGrid>
      <w:tr w:rsidR="00C52476" w:rsidRPr="00B70760" w:rsidTr="0000364F">
        <w:trPr>
          <w:tblHeader/>
        </w:trPr>
        <w:tc>
          <w:tcPr>
            <w:tcW w:w="0" w:type="auto"/>
            <w:tcBorders>
              <w:top w:val="nil"/>
            </w:tcBorders>
            <w:tcMar>
              <w:top w:w="150" w:type="dxa"/>
              <w:left w:w="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Code</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Statement</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1</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2</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3</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4</w:t>
            </w:r>
          </w:p>
        </w:tc>
        <w:tc>
          <w:tcPr>
            <w:tcW w:w="0" w:type="auto"/>
            <w:tcBorders>
              <w:top w:val="nil"/>
            </w:tcBorders>
            <w:tcMar>
              <w:top w:w="150" w:type="dxa"/>
              <w:left w:w="240" w:type="dxa"/>
              <w:bottom w:w="150" w:type="dxa"/>
              <w:right w:w="240" w:type="dxa"/>
            </w:tcMar>
            <w:vAlign w:val="center"/>
            <w:hideMark/>
          </w:tcPr>
          <w:p w:rsidR="00C52476" w:rsidRPr="00B70760" w:rsidRDefault="00C52476" w:rsidP="00214018">
            <w:pPr>
              <w:rPr>
                <w:rFonts w:ascii="Arial" w:hAnsi="Arial" w:cs="Arial"/>
                <w:b/>
                <w:bCs/>
                <w:sz w:val="24"/>
                <w:szCs w:val="24"/>
              </w:rPr>
            </w:pPr>
            <w:r w:rsidRPr="00B70760">
              <w:rPr>
                <w:rFonts w:ascii="Arial" w:hAnsi="Arial" w:cs="Arial"/>
                <w:b/>
                <w:bCs/>
                <w:sz w:val="24"/>
                <w:szCs w:val="24"/>
              </w:rPr>
              <w:t>5</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DPL1</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can confidently use the digital-payment services provided by my bank.</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lastRenderedPageBreak/>
              <w:t>DPL2</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understand the basic security precautions required when using digital payments.</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DPL3</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 xml:space="preserve">I can </w:t>
            </w:r>
            <w:proofErr w:type="spellStart"/>
            <w:r w:rsidRPr="00B70760">
              <w:rPr>
                <w:rFonts w:ascii="Arial" w:hAnsi="Arial" w:cs="Arial"/>
                <w:sz w:val="24"/>
                <w:szCs w:val="24"/>
              </w:rPr>
              <w:t>recognise</w:t>
            </w:r>
            <w:proofErr w:type="spellEnd"/>
            <w:r w:rsidRPr="00B70760">
              <w:rPr>
                <w:rFonts w:ascii="Arial" w:hAnsi="Arial" w:cs="Arial"/>
                <w:sz w:val="24"/>
                <w:szCs w:val="24"/>
              </w:rPr>
              <w:t xml:space="preserve"> common signs of suspicious digital-payment activity.</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r w:rsidR="00C52476" w:rsidRPr="00B70760" w:rsidTr="0000364F">
        <w:tc>
          <w:tcPr>
            <w:tcW w:w="0" w:type="auto"/>
            <w:tcMar>
              <w:top w:w="150" w:type="dxa"/>
              <w:left w:w="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DPL4</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I know how to report a digital-payment problem to my bank.</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24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c>
          <w:tcPr>
            <w:tcW w:w="0" w:type="auto"/>
            <w:tcMar>
              <w:top w:w="150" w:type="dxa"/>
              <w:left w:w="240" w:type="dxa"/>
              <w:bottom w:w="150" w:type="dxa"/>
              <w:right w:w="0" w:type="dxa"/>
            </w:tcMar>
            <w:vAlign w:val="center"/>
            <w:hideMark/>
          </w:tcPr>
          <w:p w:rsidR="00C52476" w:rsidRPr="00B70760" w:rsidRDefault="00C52476" w:rsidP="00214018">
            <w:pPr>
              <w:rPr>
                <w:rFonts w:ascii="Arial" w:hAnsi="Arial" w:cs="Arial"/>
                <w:sz w:val="24"/>
                <w:szCs w:val="24"/>
              </w:rPr>
            </w:pPr>
            <w:r w:rsidRPr="00B70760">
              <w:rPr>
                <w:rFonts w:ascii="Arial" w:hAnsi="Arial" w:cs="Arial"/>
                <w:sz w:val="24"/>
                <w:szCs w:val="24"/>
              </w:rPr>
              <w:t>○</w:t>
            </w:r>
          </w:p>
        </w:tc>
      </w:tr>
    </w:tbl>
    <w:p w:rsidR="00C52476" w:rsidRPr="00B70760" w:rsidRDefault="00C52476" w:rsidP="00214018">
      <w:pPr>
        <w:rPr>
          <w:rFonts w:ascii="Arial" w:hAnsi="Arial" w:cs="Arial"/>
          <w:b/>
          <w:bCs/>
          <w:sz w:val="24"/>
          <w:szCs w:val="24"/>
        </w:rPr>
      </w:pPr>
      <w:r w:rsidRPr="00B70760">
        <w:rPr>
          <w:rFonts w:ascii="Arial" w:hAnsi="Arial" w:cs="Arial"/>
          <w:b/>
          <w:bCs/>
          <w:sz w:val="24"/>
          <w:szCs w:val="24"/>
        </w:rPr>
        <w:t>Section H: Respondent Profile</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H1. Gender</w:t>
      </w:r>
      <w:r w:rsidRPr="00B70760">
        <w:rPr>
          <w:rFonts w:ascii="Arial" w:hAnsi="Arial" w:cs="Arial"/>
          <w:sz w:val="24"/>
          <w:szCs w:val="24"/>
        </w:rPr>
        <w:br/>
        <w:t>○ Male</w:t>
      </w:r>
      <w:r w:rsidRPr="00B70760">
        <w:rPr>
          <w:rFonts w:ascii="Arial" w:hAnsi="Arial" w:cs="Arial"/>
          <w:sz w:val="24"/>
          <w:szCs w:val="24"/>
        </w:rPr>
        <w:br/>
        <w:t>○ Female</w:t>
      </w:r>
      <w:r w:rsidRPr="00B70760">
        <w:rPr>
          <w:rFonts w:ascii="Arial" w:hAnsi="Arial" w:cs="Arial"/>
          <w:sz w:val="24"/>
          <w:szCs w:val="24"/>
        </w:rPr>
        <w:br/>
        <w:t xml:space="preserve">○ </w:t>
      </w:r>
      <w:proofErr w:type="gramStart"/>
      <w:r w:rsidRPr="00B70760">
        <w:rPr>
          <w:rFonts w:ascii="Arial" w:hAnsi="Arial" w:cs="Arial"/>
          <w:sz w:val="24"/>
          <w:szCs w:val="24"/>
        </w:rPr>
        <w:t>Non-binary</w:t>
      </w:r>
      <w:proofErr w:type="gramEnd"/>
      <w:r w:rsidRPr="00B70760">
        <w:rPr>
          <w:rFonts w:ascii="Arial" w:hAnsi="Arial" w:cs="Arial"/>
          <w:sz w:val="24"/>
          <w:szCs w:val="24"/>
        </w:rPr>
        <w:br/>
        <w:t>○ Prefer not to say</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H2. Highest educational qualification</w:t>
      </w:r>
      <w:r w:rsidRPr="00B70760">
        <w:rPr>
          <w:rFonts w:ascii="Arial" w:hAnsi="Arial" w:cs="Arial"/>
          <w:sz w:val="24"/>
          <w:szCs w:val="24"/>
        </w:rPr>
        <w:br/>
        <w:t>○ Secondary or below</w:t>
      </w:r>
      <w:r w:rsidRPr="00B70760">
        <w:rPr>
          <w:rFonts w:ascii="Arial" w:hAnsi="Arial" w:cs="Arial"/>
          <w:sz w:val="24"/>
          <w:szCs w:val="24"/>
        </w:rPr>
        <w:br/>
        <w:t>○ Higher Secondary</w:t>
      </w:r>
      <w:r w:rsidRPr="00B70760">
        <w:rPr>
          <w:rFonts w:ascii="Arial" w:hAnsi="Arial" w:cs="Arial"/>
          <w:sz w:val="24"/>
          <w:szCs w:val="24"/>
        </w:rPr>
        <w:br/>
        <w:t>○ Bachelor’s</w:t>
      </w:r>
      <w:r w:rsidRPr="00B70760">
        <w:rPr>
          <w:rFonts w:ascii="Arial" w:hAnsi="Arial" w:cs="Arial"/>
          <w:sz w:val="24"/>
          <w:szCs w:val="24"/>
        </w:rPr>
        <w:br/>
        <w:t>○ Master’s</w:t>
      </w:r>
      <w:r w:rsidRPr="00B70760">
        <w:rPr>
          <w:rFonts w:ascii="Arial" w:hAnsi="Arial" w:cs="Arial"/>
          <w:sz w:val="24"/>
          <w:szCs w:val="24"/>
        </w:rPr>
        <w:br/>
        <w:t>○ Doctoral/Professional</w:t>
      </w:r>
      <w:r w:rsidRPr="00B70760">
        <w:rPr>
          <w:rFonts w:ascii="Arial" w:hAnsi="Arial" w:cs="Arial"/>
          <w:sz w:val="24"/>
          <w:szCs w:val="24"/>
        </w:rPr>
        <w:br/>
        <w:t>○ Other</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H3. Employment status</w:t>
      </w:r>
      <w:r w:rsidRPr="00B70760">
        <w:rPr>
          <w:rFonts w:ascii="Arial" w:hAnsi="Arial" w:cs="Arial"/>
          <w:sz w:val="24"/>
          <w:szCs w:val="24"/>
        </w:rPr>
        <w:br/>
        <w:t>○ Student</w:t>
      </w:r>
      <w:r w:rsidRPr="00B70760">
        <w:rPr>
          <w:rFonts w:ascii="Arial" w:hAnsi="Arial" w:cs="Arial"/>
          <w:sz w:val="24"/>
          <w:szCs w:val="24"/>
        </w:rPr>
        <w:br/>
        <w:t>○ Employed full-time</w:t>
      </w:r>
      <w:r w:rsidRPr="00B70760">
        <w:rPr>
          <w:rFonts w:ascii="Arial" w:hAnsi="Arial" w:cs="Arial"/>
          <w:sz w:val="24"/>
          <w:szCs w:val="24"/>
        </w:rPr>
        <w:br/>
        <w:t>○ Employed part-time</w:t>
      </w:r>
      <w:r w:rsidRPr="00B70760">
        <w:rPr>
          <w:rFonts w:ascii="Arial" w:hAnsi="Arial" w:cs="Arial"/>
          <w:sz w:val="24"/>
          <w:szCs w:val="24"/>
        </w:rPr>
        <w:br/>
        <w:t>○ Self-employed</w:t>
      </w:r>
      <w:r w:rsidRPr="00B70760">
        <w:rPr>
          <w:rFonts w:ascii="Arial" w:hAnsi="Arial" w:cs="Arial"/>
          <w:sz w:val="24"/>
          <w:szCs w:val="24"/>
        </w:rPr>
        <w:br/>
        <w:t>○ Unemployed</w:t>
      </w:r>
      <w:r w:rsidRPr="00B70760">
        <w:rPr>
          <w:rFonts w:ascii="Arial" w:hAnsi="Arial" w:cs="Arial"/>
          <w:sz w:val="24"/>
          <w:szCs w:val="24"/>
        </w:rPr>
        <w:br/>
        <w:t>○ Other</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H4. Monthly personal income (NPR)</w:t>
      </w:r>
      <w:r w:rsidRPr="00B70760">
        <w:rPr>
          <w:rFonts w:ascii="Arial" w:hAnsi="Arial" w:cs="Arial"/>
          <w:sz w:val="24"/>
          <w:szCs w:val="24"/>
        </w:rPr>
        <w:br/>
        <w:t>○ less than NPR 25,000</w:t>
      </w:r>
      <w:r w:rsidRPr="00B70760">
        <w:rPr>
          <w:rFonts w:ascii="Arial" w:hAnsi="Arial" w:cs="Arial"/>
          <w:sz w:val="24"/>
          <w:szCs w:val="24"/>
        </w:rPr>
        <w:br/>
        <w:t>○ NPR 25,000–49,999</w:t>
      </w:r>
      <w:r w:rsidRPr="00B70760">
        <w:rPr>
          <w:rFonts w:ascii="Arial" w:hAnsi="Arial" w:cs="Arial"/>
          <w:sz w:val="24"/>
          <w:szCs w:val="24"/>
        </w:rPr>
        <w:br/>
        <w:t>○ NPR 50,000–74,999</w:t>
      </w:r>
      <w:r w:rsidRPr="00B70760">
        <w:rPr>
          <w:rFonts w:ascii="Arial" w:hAnsi="Arial" w:cs="Arial"/>
          <w:sz w:val="24"/>
          <w:szCs w:val="24"/>
        </w:rPr>
        <w:br/>
        <w:t>○ NPR 75,000–99,999</w:t>
      </w:r>
      <w:r w:rsidRPr="00B70760">
        <w:rPr>
          <w:rFonts w:ascii="Arial" w:hAnsi="Arial" w:cs="Arial"/>
          <w:sz w:val="24"/>
          <w:szCs w:val="24"/>
        </w:rPr>
        <w:br/>
        <w:t>○ Above NPR 100,000</w:t>
      </w:r>
      <w:r w:rsidRPr="00B70760">
        <w:rPr>
          <w:rFonts w:ascii="Arial" w:hAnsi="Arial" w:cs="Arial"/>
          <w:sz w:val="24"/>
          <w:szCs w:val="24"/>
        </w:rPr>
        <w:br/>
        <w:t>○ Prefer not to say</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lastRenderedPageBreak/>
        <w:t>H5. Main financial institution used</w:t>
      </w:r>
      <w:r w:rsidRPr="00B70760">
        <w:rPr>
          <w:rFonts w:ascii="Arial" w:hAnsi="Arial" w:cs="Arial"/>
          <w:sz w:val="24"/>
          <w:szCs w:val="24"/>
        </w:rPr>
        <w:br/>
        <w:t>○ Commercial bank</w:t>
      </w:r>
      <w:r w:rsidRPr="00B70760">
        <w:rPr>
          <w:rFonts w:ascii="Arial" w:hAnsi="Arial" w:cs="Arial"/>
          <w:sz w:val="24"/>
          <w:szCs w:val="24"/>
        </w:rPr>
        <w:br/>
        <w:t>○ Development bank</w:t>
      </w:r>
      <w:r w:rsidRPr="00B70760">
        <w:rPr>
          <w:rFonts w:ascii="Arial" w:hAnsi="Arial" w:cs="Arial"/>
          <w:sz w:val="24"/>
          <w:szCs w:val="24"/>
        </w:rPr>
        <w:br/>
        <w:t>○ Finance company</w:t>
      </w:r>
      <w:r w:rsidRPr="00B70760">
        <w:rPr>
          <w:rFonts w:ascii="Arial" w:hAnsi="Arial" w:cs="Arial"/>
          <w:sz w:val="24"/>
          <w:szCs w:val="24"/>
        </w:rPr>
        <w:br/>
        <w:t xml:space="preserve">○ </w:t>
      </w:r>
      <w:proofErr w:type="gramStart"/>
      <w:r w:rsidRPr="00B70760">
        <w:rPr>
          <w:rFonts w:ascii="Arial" w:hAnsi="Arial" w:cs="Arial"/>
          <w:sz w:val="24"/>
          <w:szCs w:val="24"/>
        </w:rPr>
        <w:t>Other</w:t>
      </w:r>
      <w:proofErr w:type="gramEnd"/>
      <w:r w:rsidRPr="00B70760">
        <w:rPr>
          <w:rFonts w:ascii="Arial" w:hAnsi="Arial" w:cs="Arial"/>
          <w:sz w:val="24"/>
          <w:szCs w:val="24"/>
        </w:rPr>
        <w:t xml:space="preserve"> regulated provider</w:t>
      </w:r>
      <w:r w:rsidRPr="00B70760">
        <w:rPr>
          <w:rFonts w:ascii="Arial" w:hAnsi="Arial" w:cs="Arial"/>
          <w:sz w:val="24"/>
          <w:szCs w:val="24"/>
        </w:rPr>
        <w:br/>
        <w:t>○ Unsure</w:t>
      </w:r>
    </w:p>
    <w:p w:rsidR="00C52476" w:rsidRPr="00B70760" w:rsidRDefault="00C52476" w:rsidP="00214018">
      <w:pPr>
        <w:rPr>
          <w:rFonts w:ascii="Arial" w:hAnsi="Arial" w:cs="Arial"/>
          <w:sz w:val="24"/>
          <w:szCs w:val="24"/>
        </w:rPr>
      </w:pPr>
      <w:r w:rsidRPr="00B70760">
        <w:rPr>
          <w:rStyle w:val="Strong"/>
          <w:rFonts w:ascii="Arial" w:hAnsi="Arial" w:cs="Arial"/>
          <w:b w:val="0"/>
          <w:bCs w:val="0"/>
          <w:color w:val="000000" w:themeColor="text1"/>
          <w:sz w:val="24"/>
          <w:szCs w:val="24"/>
        </w:rPr>
        <w:t>H6. How familiar are you with your bank’s dispute-resolution procedure?</w:t>
      </w:r>
      <w:r w:rsidRPr="00B70760">
        <w:rPr>
          <w:rFonts w:ascii="Arial" w:hAnsi="Arial" w:cs="Arial"/>
          <w:b/>
          <w:bCs/>
          <w:sz w:val="24"/>
          <w:szCs w:val="24"/>
        </w:rPr>
        <w:br/>
      </w:r>
      <w:r w:rsidRPr="00B70760">
        <w:rPr>
          <w:rFonts w:ascii="Arial" w:hAnsi="Arial" w:cs="Arial"/>
          <w:sz w:val="24"/>
          <w:szCs w:val="24"/>
        </w:rPr>
        <w:t>○ Not at all</w:t>
      </w:r>
      <w:r w:rsidRPr="00B70760">
        <w:rPr>
          <w:rFonts w:ascii="Arial" w:hAnsi="Arial" w:cs="Arial"/>
          <w:sz w:val="24"/>
          <w:szCs w:val="24"/>
        </w:rPr>
        <w:br/>
        <w:t>○ Slightly</w:t>
      </w:r>
      <w:r w:rsidRPr="00B70760">
        <w:rPr>
          <w:rFonts w:ascii="Arial" w:hAnsi="Arial" w:cs="Arial"/>
          <w:sz w:val="24"/>
          <w:szCs w:val="24"/>
        </w:rPr>
        <w:br/>
        <w:t>○ Moderately</w:t>
      </w:r>
      <w:r w:rsidRPr="00B70760">
        <w:rPr>
          <w:rFonts w:ascii="Arial" w:hAnsi="Arial" w:cs="Arial"/>
          <w:sz w:val="24"/>
          <w:szCs w:val="24"/>
        </w:rPr>
        <w:br/>
        <w:t>○ Very</w:t>
      </w:r>
      <w:r w:rsidRPr="00B70760">
        <w:rPr>
          <w:rFonts w:ascii="Arial" w:hAnsi="Arial" w:cs="Arial"/>
          <w:sz w:val="24"/>
          <w:szCs w:val="24"/>
        </w:rPr>
        <w:br/>
        <w:t>○ Extremely</w:t>
      </w:r>
    </w:p>
    <w:p w:rsidR="00C52476" w:rsidRPr="00B70760" w:rsidRDefault="00C52476" w:rsidP="00214018">
      <w:pPr>
        <w:rPr>
          <w:rFonts w:ascii="Arial" w:hAnsi="Arial" w:cs="Arial"/>
          <w:sz w:val="24"/>
          <w:szCs w:val="24"/>
        </w:rPr>
      </w:pPr>
      <w:r w:rsidRPr="00B70760">
        <w:rPr>
          <w:rFonts w:ascii="Arial" w:hAnsi="Arial" w:cs="Arial"/>
          <w:sz w:val="24"/>
          <w:szCs w:val="24"/>
        </w:rPr>
        <w:t>Closing</w:t>
      </w:r>
    </w:p>
    <w:p w:rsidR="00C52476" w:rsidRPr="00B70760" w:rsidRDefault="00C52476" w:rsidP="00214018">
      <w:pPr>
        <w:rPr>
          <w:rFonts w:ascii="Arial" w:hAnsi="Arial" w:cs="Arial"/>
          <w:sz w:val="24"/>
          <w:szCs w:val="24"/>
        </w:rPr>
      </w:pPr>
      <w:r w:rsidRPr="00B70760">
        <w:rPr>
          <w:rFonts w:ascii="Arial" w:hAnsi="Arial" w:cs="Arial"/>
          <w:sz w:val="24"/>
          <w:szCs w:val="24"/>
        </w:rPr>
        <w:t>Thank you for participating in this research. Please do</w:t>
      </w:r>
      <w:r w:rsidRPr="00B70760">
        <w:rPr>
          <w:rStyle w:val="apple-converted-space"/>
          <w:rFonts w:ascii="Arial" w:hAnsi="Arial" w:cs="Arial"/>
          <w:color w:val="000000" w:themeColor="text1"/>
          <w:sz w:val="24"/>
          <w:szCs w:val="24"/>
        </w:rPr>
        <w:t> </w:t>
      </w:r>
      <w:r w:rsidRPr="00B70760">
        <w:rPr>
          <w:rStyle w:val="Strong"/>
          <w:rFonts w:ascii="Arial" w:hAnsi="Arial" w:cs="Arial"/>
          <w:color w:val="000000" w:themeColor="text1"/>
          <w:sz w:val="24"/>
          <w:szCs w:val="24"/>
        </w:rPr>
        <w:t>not</w:t>
      </w:r>
      <w:r w:rsidRPr="00B70760">
        <w:rPr>
          <w:rStyle w:val="apple-converted-space"/>
          <w:rFonts w:ascii="Arial" w:hAnsi="Arial" w:cs="Arial"/>
          <w:color w:val="000000" w:themeColor="text1"/>
          <w:sz w:val="24"/>
          <w:szCs w:val="24"/>
        </w:rPr>
        <w:t> </w:t>
      </w:r>
      <w:r w:rsidRPr="00B70760">
        <w:rPr>
          <w:rFonts w:ascii="Arial" w:hAnsi="Arial" w:cs="Arial"/>
          <w:sz w:val="24"/>
          <w:szCs w:val="24"/>
        </w:rPr>
        <w:t>provide any personal banking information such as account numbers, card details, passwords, PINs or transaction references.</w:t>
      </w:r>
    </w:p>
    <w:p w:rsidR="00C52476" w:rsidRPr="00B70760" w:rsidRDefault="00C52476" w:rsidP="00C52476">
      <w:pPr>
        <w:rPr>
          <w:rFonts w:ascii="Arial" w:hAnsi="Arial" w:cs="Arial"/>
          <w:color w:val="000000" w:themeColor="text1"/>
          <w:sz w:val="24"/>
          <w:szCs w:val="24"/>
        </w:rPr>
      </w:pPr>
    </w:p>
    <w:p w:rsidR="00C52476" w:rsidRPr="00C52476" w:rsidRDefault="00C52476" w:rsidP="00C52476"/>
    <w:p w:rsidR="00C52476" w:rsidRPr="00C52476" w:rsidRDefault="00C52476" w:rsidP="00C52476"/>
    <w:p w:rsidR="00C52476" w:rsidRPr="006C6A70" w:rsidRDefault="00C52476" w:rsidP="00C52476">
      <w:pPr>
        <w:pStyle w:val="Heading2"/>
      </w:pPr>
      <w:bookmarkStart w:id="45" w:name="_Toc238592661"/>
      <w:r w:rsidRPr="006C6A70">
        <w:t>Appendix B — Selected Reliability and Exploratory Factor Analysis Output</w:t>
      </w:r>
      <w:bookmarkEnd w:id="45"/>
    </w:p>
    <w:p w:rsidR="00C52476" w:rsidRPr="006C6A70" w:rsidRDefault="00C52476" w:rsidP="00C52476">
      <w:pPr>
        <w:spacing w:after="0" w:line="240" w:lineRule="auto"/>
        <w:rPr>
          <w:rFonts w:ascii="Times New Roman" w:eastAsia="Times New Roman" w:hAnsi="Times New Roman" w:cs="Times New Roman"/>
          <w:sz w:val="24"/>
          <w:szCs w:val="24"/>
        </w:rPr>
      </w:pPr>
      <w:r w:rsidRPr="006C6A70">
        <w:rPr>
          <w:rFonts w:ascii="Times New Roman" w:eastAsia="Times New Roman" w:hAnsi="Times New Roman" w:cs="Times New Roman"/>
          <w:sz w:val="24"/>
          <w:szCs w:val="24"/>
        </w:rPr>
        <w:t xml:space="preserve">  </w:t>
      </w:r>
    </w:p>
    <w:p w:rsidR="00C52476" w:rsidRPr="00D435F4" w:rsidRDefault="00C52476" w:rsidP="00C52476">
      <w:pPr>
        <w:autoSpaceDE w:val="0"/>
        <w:autoSpaceDN w:val="0"/>
        <w:adjustRightInd w:val="0"/>
        <w:spacing w:after="0" w:line="400" w:lineRule="atLeast"/>
        <w:rPr>
          <w:rFonts w:ascii="Times New Roman" w:hAnsi="Times New Roman" w:cs="Times New Roman"/>
          <w:sz w:val="24"/>
          <w:szCs w:val="24"/>
        </w:rPr>
      </w:pPr>
    </w:p>
    <w:p w:rsidR="00C52476" w:rsidRPr="007A575C" w:rsidRDefault="00C52476" w:rsidP="00C52476">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bl>
      <w:tblPr>
        <w:tblW w:w="4778" w:type="dxa"/>
        <w:tblInd w:w="2132" w:type="dxa"/>
        <w:tblLayout w:type="fixed"/>
        <w:tblCellMar>
          <w:left w:w="0" w:type="dxa"/>
          <w:right w:w="0" w:type="dxa"/>
        </w:tblCellMar>
        <w:tblLook w:val="0000" w:firstRow="0" w:lastRow="0" w:firstColumn="0" w:lastColumn="0" w:noHBand="0" w:noVBand="0"/>
      </w:tblPr>
      <w:tblGrid>
        <w:gridCol w:w="1740"/>
        <w:gridCol w:w="1741"/>
        <w:gridCol w:w="1297"/>
      </w:tblGrid>
      <w:tr w:rsidR="00C52476" w:rsidRPr="007A575C" w:rsidTr="0000364F">
        <w:trPr>
          <w:cantSplit/>
        </w:trPr>
        <w:tc>
          <w:tcPr>
            <w:tcW w:w="4778" w:type="dxa"/>
            <w:gridSpan w:val="3"/>
            <w:tcBorders>
              <w:top w:val="nil"/>
              <w:left w:val="nil"/>
              <w:bottom w:val="nil"/>
              <w:right w:val="nil"/>
            </w:tcBorders>
            <w:shd w:val="clear" w:color="auto" w:fill="FFFFFF"/>
            <w:vAlign w:val="center"/>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010205"/>
                <w:sz w:val="28"/>
                <w:szCs w:val="28"/>
                <w14:ligatures w14:val="standardContextual"/>
              </w:rPr>
            </w:pPr>
            <w:r w:rsidRPr="007A575C">
              <w:rPr>
                <w:rFonts w:ascii="Arial" w:eastAsiaTheme="minorHAnsi" w:hAnsi="Arial" w:cs="Arial"/>
                <w:b/>
                <w:bCs/>
                <w:color w:val="010205"/>
                <w:sz w:val="28"/>
                <w:szCs w:val="28"/>
                <w14:ligatures w14:val="standardContextual"/>
              </w:rPr>
              <w:t>Reliability Statistics</w:t>
            </w:r>
          </w:p>
        </w:tc>
      </w:tr>
      <w:tr w:rsidR="00C52476" w:rsidRPr="007A575C" w:rsidTr="0000364F">
        <w:trPr>
          <w:cantSplit/>
        </w:trPr>
        <w:tc>
          <w:tcPr>
            <w:tcW w:w="1740" w:type="dxa"/>
            <w:tcBorders>
              <w:top w:val="nil"/>
              <w:left w:val="nil"/>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Cronbach's Alpha</w:t>
            </w:r>
          </w:p>
        </w:tc>
        <w:tc>
          <w:tcPr>
            <w:tcW w:w="1741"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Cronbach's Alpha Based on Standardized Items</w:t>
            </w:r>
          </w:p>
        </w:tc>
        <w:tc>
          <w:tcPr>
            <w:tcW w:w="1297" w:type="dxa"/>
            <w:tcBorders>
              <w:top w:val="nil"/>
              <w:left w:val="single" w:sz="8" w:space="0" w:color="E0E0E0"/>
              <w:bottom w:val="single" w:sz="8" w:space="0" w:color="152935"/>
              <w:right w:val="nil"/>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N of Items</w:t>
            </w:r>
          </w:p>
        </w:tc>
      </w:tr>
      <w:tr w:rsidR="00C52476" w:rsidRPr="007A575C" w:rsidTr="0000364F">
        <w:trPr>
          <w:cantSplit/>
        </w:trPr>
        <w:tc>
          <w:tcPr>
            <w:tcW w:w="1740" w:type="dxa"/>
            <w:tcBorders>
              <w:top w:val="single" w:sz="8" w:space="0" w:color="152935"/>
              <w:left w:val="nil"/>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.878</w:t>
            </w:r>
          </w:p>
        </w:tc>
        <w:tc>
          <w:tcPr>
            <w:tcW w:w="1741" w:type="dxa"/>
            <w:tcBorders>
              <w:top w:val="single" w:sz="8" w:space="0" w:color="152935"/>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.880</w:t>
            </w:r>
          </w:p>
        </w:tc>
        <w:tc>
          <w:tcPr>
            <w:tcW w:w="1297" w:type="dxa"/>
            <w:tcBorders>
              <w:top w:val="single" w:sz="8" w:space="0" w:color="152935"/>
              <w:left w:val="single" w:sz="8" w:space="0" w:color="E0E0E0"/>
              <w:bottom w:val="single" w:sz="8" w:space="0" w:color="152935"/>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9</w:t>
            </w:r>
          </w:p>
        </w:tc>
      </w:tr>
    </w:tbl>
    <w:p w:rsidR="00C52476" w:rsidRPr="007A575C" w:rsidRDefault="00C52476" w:rsidP="00C52476">
      <w:pPr>
        <w:autoSpaceDE w:val="0"/>
        <w:autoSpaceDN w:val="0"/>
        <w:adjustRightInd w:val="0"/>
        <w:spacing w:after="0" w:line="400" w:lineRule="atLeast"/>
        <w:rPr>
          <w:rFonts w:ascii="Times New Roman" w:eastAsiaTheme="minorHAnsi" w:hAnsi="Times New Roman" w:cs="Times New Roman"/>
          <w:sz w:val="24"/>
          <w:szCs w:val="24"/>
          <w14:ligatures w14:val="standardContextual"/>
        </w:rPr>
      </w:pPr>
    </w:p>
    <w:p w:rsidR="00C52476" w:rsidRPr="007A575C" w:rsidRDefault="00C52476" w:rsidP="00C52476">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bl>
      <w:tblPr>
        <w:tblW w:w="9362" w:type="dxa"/>
        <w:tblLayout w:type="fixed"/>
        <w:tblCellMar>
          <w:left w:w="0" w:type="dxa"/>
          <w:right w:w="0" w:type="dxa"/>
        </w:tblCellMar>
        <w:tblLook w:val="0000" w:firstRow="0" w:lastRow="0" w:firstColumn="0" w:lastColumn="0" w:noHBand="0" w:noVBand="0"/>
      </w:tblPr>
      <w:tblGrid>
        <w:gridCol w:w="1170"/>
        <w:gridCol w:w="1456"/>
        <w:gridCol w:w="1684"/>
        <w:gridCol w:w="1684"/>
        <w:gridCol w:w="1684"/>
        <w:gridCol w:w="1684"/>
      </w:tblGrid>
      <w:tr w:rsidR="00C52476" w:rsidRPr="007A575C" w:rsidTr="0000364F">
        <w:trPr>
          <w:cantSplit/>
        </w:trPr>
        <w:tc>
          <w:tcPr>
            <w:tcW w:w="9362" w:type="dxa"/>
            <w:gridSpan w:val="6"/>
            <w:tcBorders>
              <w:top w:val="nil"/>
              <w:left w:val="nil"/>
              <w:bottom w:val="nil"/>
              <w:right w:val="nil"/>
            </w:tcBorders>
            <w:shd w:val="clear" w:color="auto" w:fill="FFFFFF"/>
            <w:vAlign w:val="center"/>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010205"/>
                <w:sz w:val="28"/>
                <w:szCs w:val="28"/>
                <w14:ligatures w14:val="standardContextual"/>
              </w:rPr>
            </w:pPr>
            <w:r w:rsidRPr="007A575C">
              <w:rPr>
                <w:rFonts w:ascii="Arial" w:eastAsiaTheme="minorHAnsi" w:hAnsi="Arial" w:cs="Arial"/>
                <w:b/>
                <w:bCs/>
                <w:color w:val="010205"/>
                <w:sz w:val="28"/>
                <w:szCs w:val="28"/>
                <w14:ligatures w14:val="standardContextual"/>
              </w:rPr>
              <w:t>Item-Total Statistics</w:t>
            </w:r>
          </w:p>
        </w:tc>
      </w:tr>
      <w:tr w:rsidR="00C52476" w:rsidRPr="007A575C" w:rsidTr="0000364F">
        <w:trPr>
          <w:cantSplit/>
        </w:trPr>
        <w:tc>
          <w:tcPr>
            <w:tcW w:w="1170" w:type="dxa"/>
            <w:tcBorders>
              <w:top w:val="nil"/>
              <w:left w:val="nil"/>
              <w:bottom w:val="single" w:sz="8" w:space="0" w:color="152935"/>
              <w:right w:val="nil"/>
            </w:tcBorders>
            <w:shd w:val="clear" w:color="auto" w:fill="FFFFFF"/>
            <w:vAlign w:val="bottom"/>
          </w:tcPr>
          <w:p w:rsidR="00C52476" w:rsidRPr="007A575C" w:rsidRDefault="00C52476" w:rsidP="0000364F">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c>
        <w:tc>
          <w:tcPr>
            <w:tcW w:w="1456" w:type="dxa"/>
            <w:tcBorders>
              <w:top w:val="nil"/>
              <w:left w:val="nil"/>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Scale Mean if Item Deleted</w:t>
            </w:r>
          </w:p>
        </w:tc>
        <w:tc>
          <w:tcPr>
            <w:tcW w:w="1684"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Scale Variance if Item Deleted</w:t>
            </w:r>
          </w:p>
        </w:tc>
        <w:tc>
          <w:tcPr>
            <w:tcW w:w="1684"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Corrected Item-Total Correlation</w:t>
            </w:r>
          </w:p>
        </w:tc>
        <w:tc>
          <w:tcPr>
            <w:tcW w:w="1684"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Squared Multiple Correlation</w:t>
            </w:r>
          </w:p>
        </w:tc>
        <w:tc>
          <w:tcPr>
            <w:tcW w:w="1684" w:type="dxa"/>
            <w:tcBorders>
              <w:top w:val="nil"/>
              <w:left w:val="single" w:sz="8" w:space="0" w:color="E0E0E0"/>
              <w:bottom w:val="single" w:sz="8" w:space="0" w:color="152935"/>
              <w:right w:val="nil"/>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Cronbach's Alpha if Item Deleted</w:t>
            </w:r>
          </w:p>
        </w:tc>
      </w:tr>
      <w:tr w:rsidR="00C52476" w:rsidRPr="007A575C" w:rsidTr="0000364F">
        <w:trPr>
          <w:cantSplit/>
        </w:trPr>
        <w:tc>
          <w:tcPr>
            <w:tcW w:w="1170" w:type="dxa"/>
            <w:tcBorders>
              <w:top w:val="single" w:sz="8" w:space="0" w:color="152935"/>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PDRQ1</w:t>
            </w:r>
          </w:p>
        </w:tc>
        <w:tc>
          <w:tcPr>
            <w:tcW w:w="1456" w:type="dxa"/>
            <w:tcBorders>
              <w:top w:val="single" w:sz="8" w:space="0" w:color="152935"/>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31.49</w:t>
            </w:r>
          </w:p>
        </w:tc>
        <w:tc>
          <w:tcPr>
            <w:tcW w:w="1684" w:type="dxa"/>
            <w:tcBorders>
              <w:top w:val="single" w:sz="8" w:space="0" w:color="152935"/>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22.797</w:t>
            </w:r>
          </w:p>
        </w:tc>
        <w:tc>
          <w:tcPr>
            <w:tcW w:w="1684" w:type="dxa"/>
            <w:tcBorders>
              <w:top w:val="single" w:sz="8" w:space="0" w:color="152935"/>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.584</w:t>
            </w:r>
          </w:p>
        </w:tc>
        <w:tc>
          <w:tcPr>
            <w:tcW w:w="1684" w:type="dxa"/>
            <w:tcBorders>
              <w:top w:val="single" w:sz="8" w:space="0" w:color="152935"/>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.685</w:t>
            </w:r>
          </w:p>
        </w:tc>
        <w:tc>
          <w:tcPr>
            <w:tcW w:w="1684" w:type="dxa"/>
            <w:tcBorders>
              <w:top w:val="single" w:sz="8" w:space="0" w:color="152935"/>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.869</w:t>
            </w:r>
          </w:p>
        </w:tc>
      </w:tr>
      <w:tr w:rsidR="00C52476" w:rsidRPr="007A575C" w:rsidTr="0000364F">
        <w:trPr>
          <w:cantSplit/>
        </w:trPr>
        <w:tc>
          <w:tcPr>
            <w:tcW w:w="1170"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PDRQ2</w:t>
            </w:r>
          </w:p>
        </w:tc>
        <w:tc>
          <w:tcPr>
            <w:tcW w:w="1456"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31.78</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21.719</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.724</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.646</w:t>
            </w:r>
          </w:p>
        </w:tc>
        <w:tc>
          <w:tcPr>
            <w:tcW w:w="1684"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.855</w:t>
            </w:r>
          </w:p>
        </w:tc>
      </w:tr>
      <w:tr w:rsidR="00C52476" w:rsidRPr="007A575C" w:rsidTr="0000364F">
        <w:trPr>
          <w:cantSplit/>
        </w:trPr>
        <w:tc>
          <w:tcPr>
            <w:tcW w:w="1170"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lastRenderedPageBreak/>
              <w:t>PDRQ3</w:t>
            </w:r>
          </w:p>
        </w:tc>
        <w:tc>
          <w:tcPr>
            <w:tcW w:w="1456"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31.76</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22.980</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.733</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.718</w:t>
            </w:r>
          </w:p>
        </w:tc>
        <w:tc>
          <w:tcPr>
            <w:tcW w:w="1684"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.856</w:t>
            </w:r>
          </w:p>
        </w:tc>
      </w:tr>
      <w:tr w:rsidR="00C52476" w:rsidRPr="007A575C" w:rsidTr="0000364F">
        <w:trPr>
          <w:cantSplit/>
        </w:trPr>
        <w:tc>
          <w:tcPr>
            <w:tcW w:w="1170"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PDRQ4</w:t>
            </w:r>
          </w:p>
        </w:tc>
        <w:tc>
          <w:tcPr>
            <w:tcW w:w="1456"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31.53</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25.713</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.393</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.415</w:t>
            </w:r>
          </w:p>
        </w:tc>
        <w:tc>
          <w:tcPr>
            <w:tcW w:w="1684"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.882</w:t>
            </w:r>
          </w:p>
        </w:tc>
      </w:tr>
      <w:tr w:rsidR="00C52476" w:rsidRPr="007A575C" w:rsidTr="0000364F">
        <w:trPr>
          <w:cantSplit/>
        </w:trPr>
        <w:tc>
          <w:tcPr>
            <w:tcW w:w="1170"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PDRQ5</w:t>
            </w:r>
          </w:p>
        </w:tc>
        <w:tc>
          <w:tcPr>
            <w:tcW w:w="1456"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31.57</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25.000</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.620</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.586</w:t>
            </w:r>
          </w:p>
        </w:tc>
        <w:tc>
          <w:tcPr>
            <w:tcW w:w="1684"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.868</w:t>
            </w:r>
          </w:p>
        </w:tc>
      </w:tr>
      <w:tr w:rsidR="00C52476" w:rsidRPr="007A575C" w:rsidTr="0000364F">
        <w:trPr>
          <w:cantSplit/>
        </w:trPr>
        <w:tc>
          <w:tcPr>
            <w:tcW w:w="1170"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PDRQ6</w:t>
            </w:r>
          </w:p>
        </w:tc>
        <w:tc>
          <w:tcPr>
            <w:tcW w:w="1456"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31.76</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22.980</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.678</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.566</w:t>
            </w:r>
          </w:p>
        </w:tc>
        <w:tc>
          <w:tcPr>
            <w:tcW w:w="1684"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.860</w:t>
            </w:r>
          </w:p>
        </w:tc>
      </w:tr>
      <w:tr w:rsidR="00C52476" w:rsidRPr="007A575C" w:rsidTr="0000364F">
        <w:trPr>
          <w:cantSplit/>
        </w:trPr>
        <w:tc>
          <w:tcPr>
            <w:tcW w:w="1170"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PDRQ7</w:t>
            </w:r>
          </w:p>
        </w:tc>
        <w:tc>
          <w:tcPr>
            <w:tcW w:w="1456"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31.98</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22.312</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.662</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.558</w:t>
            </w:r>
          </w:p>
        </w:tc>
        <w:tc>
          <w:tcPr>
            <w:tcW w:w="1684"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.862</w:t>
            </w:r>
          </w:p>
        </w:tc>
      </w:tr>
      <w:tr w:rsidR="00C52476" w:rsidRPr="007A575C" w:rsidTr="0000364F">
        <w:trPr>
          <w:cantSplit/>
        </w:trPr>
        <w:tc>
          <w:tcPr>
            <w:tcW w:w="1170"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PDRQ8</w:t>
            </w:r>
          </w:p>
        </w:tc>
        <w:tc>
          <w:tcPr>
            <w:tcW w:w="1456"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31.55</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23.753</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.564</w:t>
            </w:r>
          </w:p>
        </w:tc>
        <w:tc>
          <w:tcPr>
            <w:tcW w:w="1684"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.733</w:t>
            </w:r>
          </w:p>
        </w:tc>
        <w:tc>
          <w:tcPr>
            <w:tcW w:w="1684"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.870</w:t>
            </w:r>
          </w:p>
        </w:tc>
      </w:tr>
      <w:tr w:rsidR="00C52476" w:rsidRPr="007A575C" w:rsidTr="0000364F">
        <w:trPr>
          <w:cantSplit/>
        </w:trPr>
        <w:tc>
          <w:tcPr>
            <w:tcW w:w="1170" w:type="dxa"/>
            <w:tcBorders>
              <w:top w:val="single" w:sz="8" w:space="0" w:color="AEAEAE"/>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PDRQ9</w:t>
            </w:r>
          </w:p>
        </w:tc>
        <w:tc>
          <w:tcPr>
            <w:tcW w:w="1456" w:type="dxa"/>
            <w:tcBorders>
              <w:top w:val="single" w:sz="8" w:space="0" w:color="AEAEAE"/>
              <w:left w:val="nil"/>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31.49</w:t>
            </w:r>
          </w:p>
        </w:tc>
        <w:tc>
          <w:tcPr>
            <w:tcW w:w="1684"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23.255</w:t>
            </w:r>
          </w:p>
        </w:tc>
        <w:tc>
          <w:tcPr>
            <w:tcW w:w="1684"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.675</w:t>
            </w:r>
          </w:p>
        </w:tc>
        <w:tc>
          <w:tcPr>
            <w:tcW w:w="1684"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.775</w:t>
            </w:r>
          </w:p>
        </w:tc>
        <w:tc>
          <w:tcPr>
            <w:tcW w:w="1684" w:type="dxa"/>
            <w:tcBorders>
              <w:top w:val="single" w:sz="8" w:space="0" w:color="AEAEAE"/>
              <w:left w:val="single" w:sz="8" w:space="0" w:color="E0E0E0"/>
              <w:bottom w:val="single" w:sz="8" w:space="0" w:color="152935"/>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.861</w:t>
            </w:r>
          </w:p>
        </w:tc>
      </w:tr>
    </w:tbl>
    <w:p w:rsidR="00C52476" w:rsidRPr="00925035" w:rsidRDefault="00C52476" w:rsidP="00C52476">
      <w:pPr>
        <w:autoSpaceDE w:val="0"/>
        <w:autoSpaceDN w:val="0"/>
        <w:adjustRightInd w:val="0"/>
        <w:spacing w:after="0" w:line="240" w:lineRule="auto"/>
        <w:rPr>
          <w:rFonts w:ascii="Times New Roman" w:hAnsi="Times New Roman" w:cs="Times New Roman"/>
          <w:sz w:val="24"/>
          <w:szCs w:val="24"/>
        </w:rPr>
      </w:pPr>
    </w:p>
    <w:tbl>
      <w:tblPr>
        <w:tblW w:w="7830" w:type="dxa"/>
        <w:tblLayout w:type="fixed"/>
        <w:tblCellMar>
          <w:left w:w="0" w:type="dxa"/>
          <w:right w:w="0" w:type="dxa"/>
        </w:tblCellMar>
        <w:tblLook w:val="0000" w:firstRow="0" w:lastRow="0" w:firstColumn="0" w:lastColumn="0" w:noHBand="0" w:noVBand="0"/>
      </w:tblPr>
      <w:tblGrid>
        <w:gridCol w:w="4189"/>
        <w:gridCol w:w="2381"/>
        <w:gridCol w:w="1260"/>
      </w:tblGrid>
      <w:tr w:rsidR="00C52476" w:rsidRPr="00925035" w:rsidTr="0000364F">
        <w:trPr>
          <w:cantSplit/>
        </w:trPr>
        <w:tc>
          <w:tcPr>
            <w:tcW w:w="7830" w:type="dxa"/>
            <w:gridSpan w:val="3"/>
            <w:tcBorders>
              <w:top w:val="nil"/>
              <w:left w:val="nil"/>
              <w:bottom w:val="nil"/>
              <w:right w:val="nil"/>
            </w:tcBorders>
            <w:shd w:val="clear" w:color="auto" w:fill="FFFFFF"/>
            <w:vAlign w:val="center"/>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010205"/>
                <w:sz w:val="28"/>
                <w:szCs w:val="28"/>
              </w:rPr>
            </w:pPr>
            <w:r w:rsidRPr="00925035">
              <w:rPr>
                <w:rFonts w:ascii="Arial" w:hAnsi="Arial" w:cs="Arial"/>
                <w:b/>
                <w:bCs/>
                <w:color w:val="010205"/>
                <w:sz w:val="28"/>
                <w:szCs w:val="28"/>
              </w:rPr>
              <w:t>KMO and Bartlett's Test</w:t>
            </w:r>
          </w:p>
        </w:tc>
      </w:tr>
      <w:tr w:rsidR="00C52476" w:rsidRPr="00925035" w:rsidTr="0000364F">
        <w:trPr>
          <w:cantSplit/>
        </w:trPr>
        <w:tc>
          <w:tcPr>
            <w:tcW w:w="6570" w:type="dxa"/>
            <w:gridSpan w:val="2"/>
            <w:tcBorders>
              <w:top w:val="nil"/>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Kaiser-Meyer-Olkin Measure of Sampling Adequacy.</w:t>
            </w:r>
          </w:p>
        </w:tc>
        <w:tc>
          <w:tcPr>
            <w:tcW w:w="1260" w:type="dxa"/>
            <w:tcBorders>
              <w:top w:val="nil"/>
              <w:left w:val="nil"/>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.734</w:t>
            </w:r>
          </w:p>
        </w:tc>
      </w:tr>
      <w:tr w:rsidR="00C52476" w:rsidRPr="00925035" w:rsidTr="0000364F">
        <w:trPr>
          <w:cantSplit/>
        </w:trPr>
        <w:tc>
          <w:tcPr>
            <w:tcW w:w="4189" w:type="dxa"/>
            <w:vMerge w:val="restart"/>
            <w:tcBorders>
              <w:top w:val="single" w:sz="8" w:space="0" w:color="AEAEAE"/>
              <w:left w:val="nil"/>
              <w:bottom w:val="single" w:sz="8" w:space="0" w:color="152935"/>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Bartlett's Test of Sphericity</w:t>
            </w:r>
          </w:p>
        </w:tc>
        <w:tc>
          <w:tcPr>
            <w:tcW w:w="2381"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Approx. Chi-Square</w:t>
            </w:r>
          </w:p>
        </w:tc>
        <w:tc>
          <w:tcPr>
            <w:tcW w:w="1260" w:type="dxa"/>
            <w:tcBorders>
              <w:top w:val="single" w:sz="8" w:space="0" w:color="AEAEAE"/>
              <w:left w:val="nil"/>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1395.975</w:t>
            </w:r>
          </w:p>
        </w:tc>
      </w:tr>
      <w:tr w:rsidR="00C52476" w:rsidRPr="00925035" w:rsidTr="0000364F">
        <w:trPr>
          <w:cantSplit/>
        </w:trPr>
        <w:tc>
          <w:tcPr>
            <w:tcW w:w="4189" w:type="dxa"/>
            <w:vMerge/>
            <w:tcBorders>
              <w:top w:val="single" w:sz="8" w:space="0" w:color="AEAEAE"/>
              <w:left w:val="nil"/>
              <w:bottom w:val="single" w:sz="8" w:space="0" w:color="152935"/>
              <w:right w:val="nil"/>
            </w:tcBorders>
            <w:shd w:val="clear" w:color="auto" w:fill="E0E0E0"/>
          </w:tcPr>
          <w:p w:rsidR="00C52476" w:rsidRPr="00925035" w:rsidRDefault="00C52476" w:rsidP="0000364F">
            <w:pPr>
              <w:autoSpaceDE w:val="0"/>
              <w:autoSpaceDN w:val="0"/>
              <w:adjustRightInd w:val="0"/>
              <w:spacing w:after="0" w:line="240" w:lineRule="auto"/>
              <w:rPr>
                <w:rFonts w:ascii="Arial" w:hAnsi="Arial" w:cs="Arial"/>
                <w:color w:val="010205"/>
                <w:sz w:val="24"/>
                <w:szCs w:val="24"/>
              </w:rPr>
            </w:pPr>
          </w:p>
        </w:tc>
        <w:tc>
          <w:tcPr>
            <w:tcW w:w="2381"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proofErr w:type="spellStart"/>
            <w:r w:rsidRPr="00925035">
              <w:rPr>
                <w:rFonts w:ascii="Arial" w:hAnsi="Arial" w:cs="Arial"/>
                <w:color w:val="264A60"/>
                <w:sz w:val="24"/>
                <w:szCs w:val="24"/>
              </w:rPr>
              <w:t>df</w:t>
            </w:r>
            <w:proofErr w:type="spellEnd"/>
          </w:p>
        </w:tc>
        <w:tc>
          <w:tcPr>
            <w:tcW w:w="1260" w:type="dxa"/>
            <w:tcBorders>
              <w:top w:val="single" w:sz="8" w:space="0" w:color="AEAEAE"/>
              <w:left w:val="nil"/>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465</w:t>
            </w:r>
          </w:p>
        </w:tc>
      </w:tr>
      <w:tr w:rsidR="00C52476" w:rsidRPr="00925035" w:rsidTr="0000364F">
        <w:trPr>
          <w:cantSplit/>
        </w:trPr>
        <w:tc>
          <w:tcPr>
            <w:tcW w:w="4189" w:type="dxa"/>
            <w:vMerge/>
            <w:tcBorders>
              <w:top w:val="single" w:sz="8" w:space="0" w:color="AEAEAE"/>
              <w:left w:val="nil"/>
              <w:bottom w:val="single" w:sz="8" w:space="0" w:color="152935"/>
              <w:right w:val="nil"/>
            </w:tcBorders>
            <w:shd w:val="clear" w:color="auto" w:fill="E0E0E0"/>
          </w:tcPr>
          <w:p w:rsidR="00C52476" w:rsidRPr="00925035" w:rsidRDefault="00C52476" w:rsidP="0000364F">
            <w:pPr>
              <w:autoSpaceDE w:val="0"/>
              <w:autoSpaceDN w:val="0"/>
              <w:adjustRightInd w:val="0"/>
              <w:spacing w:after="0" w:line="240" w:lineRule="auto"/>
              <w:rPr>
                <w:rFonts w:ascii="Arial" w:hAnsi="Arial" w:cs="Arial"/>
                <w:color w:val="010205"/>
                <w:sz w:val="24"/>
                <w:szCs w:val="24"/>
              </w:rPr>
            </w:pPr>
          </w:p>
        </w:tc>
        <w:tc>
          <w:tcPr>
            <w:tcW w:w="2381" w:type="dxa"/>
            <w:tcBorders>
              <w:top w:val="single" w:sz="8" w:space="0" w:color="AEAEAE"/>
              <w:left w:val="nil"/>
              <w:bottom w:val="single" w:sz="8" w:space="0" w:color="152935"/>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Sig.</w:t>
            </w:r>
          </w:p>
        </w:tc>
        <w:tc>
          <w:tcPr>
            <w:tcW w:w="1260" w:type="dxa"/>
            <w:tcBorders>
              <w:top w:val="single" w:sz="8" w:space="0" w:color="AEAEAE"/>
              <w:left w:val="nil"/>
              <w:bottom w:val="single" w:sz="8" w:space="0" w:color="152935"/>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&lt;.001</w:t>
            </w:r>
          </w:p>
        </w:tc>
      </w:tr>
    </w:tbl>
    <w:tbl>
      <w:tblPr>
        <w:tblpPr w:leftFromText="180" w:rightFromText="180" w:vertAnchor="text" w:horzAnchor="margin" w:tblpXSpec="right" w:tblpY="-733"/>
        <w:tblW w:w="10140" w:type="dxa"/>
        <w:tblLayout w:type="fixed"/>
        <w:tblCellMar>
          <w:left w:w="0" w:type="dxa"/>
          <w:right w:w="0" w:type="dxa"/>
        </w:tblCellMar>
        <w:tblLook w:val="0000" w:firstRow="0" w:lastRow="0" w:firstColumn="0" w:lastColumn="0" w:noHBand="0" w:noVBand="0"/>
      </w:tblPr>
      <w:tblGrid>
        <w:gridCol w:w="900"/>
        <w:gridCol w:w="924"/>
        <w:gridCol w:w="1418"/>
        <w:gridCol w:w="1386"/>
        <w:gridCol w:w="1183"/>
        <w:gridCol w:w="1417"/>
        <w:gridCol w:w="1386"/>
        <w:gridCol w:w="1526"/>
      </w:tblGrid>
      <w:tr w:rsidR="00C52476" w:rsidRPr="00925035" w:rsidTr="0000364F">
        <w:trPr>
          <w:cantSplit/>
        </w:trPr>
        <w:tc>
          <w:tcPr>
            <w:tcW w:w="10140" w:type="dxa"/>
            <w:gridSpan w:val="8"/>
            <w:tcBorders>
              <w:top w:val="nil"/>
              <w:left w:val="nil"/>
              <w:bottom w:val="nil"/>
              <w:right w:val="nil"/>
            </w:tcBorders>
            <w:shd w:val="clear" w:color="auto" w:fill="FFFFFF"/>
            <w:vAlign w:val="center"/>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010205"/>
                <w:sz w:val="28"/>
                <w:szCs w:val="28"/>
              </w:rPr>
            </w:pPr>
            <w:r w:rsidRPr="00925035">
              <w:rPr>
                <w:rFonts w:ascii="Arial" w:hAnsi="Arial" w:cs="Arial"/>
                <w:b/>
                <w:bCs/>
                <w:color w:val="010205"/>
                <w:sz w:val="28"/>
                <w:szCs w:val="28"/>
              </w:rPr>
              <w:lastRenderedPageBreak/>
              <w:t>Total Variance Explained</w:t>
            </w:r>
          </w:p>
        </w:tc>
      </w:tr>
      <w:tr w:rsidR="00C52476" w:rsidRPr="00925035" w:rsidTr="0000364F">
        <w:trPr>
          <w:cantSplit/>
        </w:trPr>
        <w:tc>
          <w:tcPr>
            <w:tcW w:w="900" w:type="dxa"/>
            <w:vMerge w:val="restart"/>
            <w:tcBorders>
              <w:top w:val="nil"/>
              <w:left w:val="nil"/>
              <w:bottom w:val="nil"/>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Factor</w:t>
            </w:r>
          </w:p>
        </w:tc>
        <w:tc>
          <w:tcPr>
            <w:tcW w:w="3728" w:type="dxa"/>
            <w:gridSpan w:val="3"/>
            <w:tcBorders>
              <w:top w:val="nil"/>
              <w:left w:val="nil"/>
              <w:bottom w:val="nil"/>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Initial Eigenvalues</w:t>
            </w:r>
          </w:p>
        </w:tc>
        <w:tc>
          <w:tcPr>
            <w:tcW w:w="3986" w:type="dxa"/>
            <w:gridSpan w:val="3"/>
            <w:tcBorders>
              <w:top w:val="nil"/>
              <w:left w:val="single" w:sz="8" w:space="0" w:color="E0E0E0"/>
              <w:bottom w:val="nil"/>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Extraction Sums of Squared Loadings</w:t>
            </w:r>
          </w:p>
        </w:tc>
        <w:tc>
          <w:tcPr>
            <w:tcW w:w="1526" w:type="dxa"/>
            <w:tcBorders>
              <w:top w:val="nil"/>
              <w:left w:val="single" w:sz="8" w:space="0" w:color="E0E0E0"/>
              <w:bottom w:val="nil"/>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 xml:space="preserve">Rotation Sums of Squared </w:t>
            </w:r>
            <w:proofErr w:type="spellStart"/>
            <w:r w:rsidRPr="00925035">
              <w:rPr>
                <w:rFonts w:ascii="Arial" w:hAnsi="Arial" w:cs="Arial"/>
                <w:color w:val="264A60"/>
                <w:sz w:val="24"/>
                <w:szCs w:val="24"/>
              </w:rPr>
              <w:t>Loadings</w:t>
            </w:r>
            <w:r w:rsidRPr="00925035">
              <w:rPr>
                <w:rFonts w:ascii="Arial" w:hAnsi="Arial" w:cs="Arial"/>
                <w:color w:val="264A60"/>
                <w:sz w:val="24"/>
                <w:szCs w:val="24"/>
                <w:vertAlign w:val="superscript"/>
              </w:rPr>
              <w:t>a</w:t>
            </w:r>
            <w:proofErr w:type="spellEnd"/>
          </w:p>
        </w:tc>
      </w:tr>
      <w:tr w:rsidR="00C52476" w:rsidRPr="00925035" w:rsidTr="0000364F">
        <w:trPr>
          <w:cantSplit/>
        </w:trPr>
        <w:tc>
          <w:tcPr>
            <w:tcW w:w="900" w:type="dxa"/>
            <w:vMerge/>
            <w:tcBorders>
              <w:top w:val="nil"/>
              <w:left w:val="nil"/>
              <w:bottom w:val="nil"/>
              <w:right w:val="nil"/>
            </w:tcBorders>
            <w:shd w:val="clear" w:color="auto" w:fill="FFFFFF"/>
            <w:vAlign w:val="bottom"/>
          </w:tcPr>
          <w:p w:rsidR="00C52476" w:rsidRPr="00925035" w:rsidRDefault="00C52476" w:rsidP="0000364F">
            <w:pPr>
              <w:autoSpaceDE w:val="0"/>
              <w:autoSpaceDN w:val="0"/>
              <w:adjustRightInd w:val="0"/>
              <w:spacing w:after="0" w:line="240" w:lineRule="auto"/>
              <w:rPr>
                <w:rFonts w:ascii="Arial" w:hAnsi="Arial" w:cs="Arial"/>
                <w:color w:val="264A60"/>
                <w:sz w:val="24"/>
                <w:szCs w:val="24"/>
              </w:rPr>
            </w:pPr>
          </w:p>
        </w:tc>
        <w:tc>
          <w:tcPr>
            <w:tcW w:w="924" w:type="dxa"/>
            <w:tcBorders>
              <w:top w:val="nil"/>
              <w:left w:val="nil"/>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Total</w:t>
            </w:r>
          </w:p>
        </w:tc>
        <w:tc>
          <w:tcPr>
            <w:tcW w:w="1418" w:type="dxa"/>
            <w:tcBorders>
              <w:top w:val="nil"/>
              <w:left w:val="single" w:sz="8" w:space="0" w:color="E0E0E0"/>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 of Variance</w:t>
            </w:r>
          </w:p>
        </w:tc>
        <w:tc>
          <w:tcPr>
            <w:tcW w:w="1386" w:type="dxa"/>
            <w:tcBorders>
              <w:top w:val="nil"/>
              <w:left w:val="single" w:sz="8" w:space="0" w:color="E0E0E0"/>
              <w:bottom w:val="single" w:sz="8" w:space="0" w:color="152935"/>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Cumulative %</w:t>
            </w:r>
          </w:p>
        </w:tc>
        <w:tc>
          <w:tcPr>
            <w:tcW w:w="1183" w:type="dxa"/>
            <w:tcBorders>
              <w:top w:val="nil"/>
              <w:left w:val="single" w:sz="8" w:space="0" w:color="E0E0E0"/>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Total</w:t>
            </w:r>
          </w:p>
        </w:tc>
        <w:tc>
          <w:tcPr>
            <w:tcW w:w="1417" w:type="dxa"/>
            <w:tcBorders>
              <w:top w:val="nil"/>
              <w:left w:val="single" w:sz="8" w:space="0" w:color="E0E0E0"/>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 of Variance</w:t>
            </w:r>
          </w:p>
        </w:tc>
        <w:tc>
          <w:tcPr>
            <w:tcW w:w="1386" w:type="dxa"/>
            <w:tcBorders>
              <w:top w:val="nil"/>
              <w:left w:val="single" w:sz="8" w:space="0" w:color="E0E0E0"/>
              <w:bottom w:val="single" w:sz="8" w:space="0" w:color="152935"/>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Cumulative %</w:t>
            </w:r>
          </w:p>
        </w:tc>
        <w:tc>
          <w:tcPr>
            <w:tcW w:w="1526" w:type="dxa"/>
            <w:tcBorders>
              <w:top w:val="nil"/>
              <w:left w:val="single" w:sz="8" w:space="0" w:color="E0E0E0"/>
              <w:bottom w:val="single" w:sz="8" w:space="0" w:color="152935"/>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Total</w:t>
            </w:r>
          </w:p>
        </w:tc>
      </w:tr>
      <w:tr w:rsidR="00C52476" w:rsidRPr="00925035" w:rsidTr="0000364F">
        <w:trPr>
          <w:cantSplit/>
        </w:trPr>
        <w:tc>
          <w:tcPr>
            <w:tcW w:w="900" w:type="dxa"/>
            <w:tcBorders>
              <w:top w:val="single" w:sz="8" w:space="0" w:color="152935"/>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w:t>
            </w:r>
          </w:p>
        </w:tc>
        <w:tc>
          <w:tcPr>
            <w:tcW w:w="924" w:type="dxa"/>
            <w:tcBorders>
              <w:top w:val="single" w:sz="8" w:space="0" w:color="152935"/>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10.982</w:t>
            </w:r>
          </w:p>
        </w:tc>
        <w:tc>
          <w:tcPr>
            <w:tcW w:w="1418" w:type="dxa"/>
            <w:tcBorders>
              <w:top w:val="single" w:sz="8" w:space="0" w:color="152935"/>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35.427</w:t>
            </w:r>
          </w:p>
        </w:tc>
        <w:tc>
          <w:tcPr>
            <w:tcW w:w="1386" w:type="dxa"/>
            <w:tcBorders>
              <w:top w:val="single" w:sz="8" w:space="0" w:color="152935"/>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35.427</w:t>
            </w:r>
          </w:p>
        </w:tc>
        <w:tc>
          <w:tcPr>
            <w:tcW w:w="1183" w:type="dxa"/>
            <w:tcBorders>
              <w:top w:val="single" w:sz="8" w:space="0" w:color="152935"/>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10.639</w:t>
            </w:r>
          </w:p>
        </w:tc>
        <w:tc>
          <w:tcPr>
            <w:tcW w:w="1417" w:type="dxa"/>
            <w:tcBorders>
              <w:top w:val="single" w:sz="8" w:space="0" w:color="152935"/>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34.319</w:t>
            </w:r>
          </w:p>
        </w:tc>
        <w:tc>
          <w:tcPr>
            <w:tcW w:w="1386" w:type="dxa"/>
            <w:tcBorders>
              <w:top w:val="single" w:sz="8" w:space="0" w:color="152935"/>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34.319</w:t>
            </w:r>
          </w:p>
        </w:tc>
        <w:tc>
          <w:tcPr>
            <w:tcW w:w="1526" w:type="dxa"/>
            <w:tcBorders>
              <w:top w:val="single" w:sz="8" w:space="0" w:color="152935"/>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7.035</w:t>
            </w: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4.565</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14.726</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50.153</w:t>
            </w:r>
          </w:p>
        </w:tc>
        <w:tc>
          <w:tcPr>
            <w:tcW w:w="1183"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4.299</w:t>
            </w: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13.869</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48.189</w:t>
            </w:r>
          </w:p>
        </w:tc>
        <w:tc>
          <w:tcPr>
            <w:tcW w:w="152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4.767</w:t>
            </w: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3</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2.883</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9.300</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59.453</w:t>
            </w:r>
          </w:p>
        </w:tc>
        <w:tc>
          <w:tcPr>
            <w:tcW w:w="1183"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2.571</w:t>
            </w: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8.293</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56.482</w:t>
            </w:r>
          </w:p>
        </w:tc>
        <w:tc>
          <w:tcPr>
            <w:tcW w:w="152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5.047</w:t>
            </w: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4</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1.785</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5.758</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65.210</w:t>
            </w:r>
          </w:p>
        </w:tc>
        <w:tc>
          <w:tcPr>
            <w:tcW w:w="1183"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1.527</w:t>
            </w: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4.926</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61.407</w:t>
            </w:r>
          </w:p>
        </w:tc>
        <w:tc>
          <w:tcPr>
            <w:tcW w:w="152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4.382</w:t>
            </w: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5</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1.718</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5.543</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70.754</w:t>
            </w:r>
          </w:p>
        </w:tc>
        <w:tc>
          <w:tcPr>
            <w:tcW w:w="1183"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1.404</w:t>
            </w: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4.530</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65.937</w:t>
            </w:r>
          </w:p>
        </w:tc>
        <w:tc>
          <w:tcPr>
            <w:tcW w:w="152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7.049</w:t>
            </w: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6</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1.442</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4.651</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75.404</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7</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1.187</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3.831</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79.235</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8</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.924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2.979</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82.214</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9</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.786</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2.535</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84.749</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10</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.649</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2.095</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86.844</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11</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.605</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1.952</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88.796</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12</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.504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1.625</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90.421</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13</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.484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1.560</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91.981</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14</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.357</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1.152</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93.133</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15</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.336</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1.084</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94.217</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16</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.260</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.838</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95.055</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17</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.234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.755</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95.810</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18</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.207</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.668</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96.478</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19</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.190</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.614</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97.093</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20</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.181</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.583</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97.676</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21</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.150</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.483</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98.159</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22</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.125</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.402</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98.561</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23</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.090</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.292</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98.852</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24</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.080</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.260</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99.112</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25</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.071</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.227</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99.339</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26</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.049</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.157</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99.497</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27</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.041</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.131</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99.628</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28</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.111</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99.738</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29</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.031</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.100</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99.838</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30</w:t>
            </w:r>
          </w:p>
        </w:tc>
        <w:tc>
          <w:tcPr>
            <w:tcW w:w="924"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.026</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.084</w:t>
            </w:r>
          </w:p>
        </w:tc>
        <w:tc>
          <w:tcPr>
            <w:tcW w:w="1386"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99.922</w:t>
            </w:r>
          </w:p>
        </w:tc>
        <w:tc>
          <w:tcPr>
            <w:tcW w:w="118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AEAEAE"/>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900" w:type="dxa"/>
            <w:tcBorders>
              <w:top w:val="single" w:sz="8" w:space="0" w:color="AEAEAE"/>
              <w:left w:val="nil"/>
              <w:bottom w:val="single" w:sz="8" w:space="0" w:color="152935"/>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31</w:t>
            </w:r>
          </w:p>
        </w:tc>
        <w:tc>
          <w:tcPr>
            <w:tcW w:w="924" w:type="dxa"/>
            <w:tcBorders>
              <w:top w:val="single" w:sz="8" w:space="0" w:color="AEAEAE"/>
              <w:left w:val="nil"/>
              <w:bottom w:val="single" w:sz="8" w:space="0" w:color="152935"/>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.024</w:t>
            </w:r>
          </w:p>
        </w:tc>
        <w:tc>
          <w:tcPr>
            <w:tcW w:w="1418" w:type="dxa"/>
            <w:tcBorders>
              <w:top w:val="single" w:sz="8" w:space="0" w:color="AEAEAE"/>
              <w:left w:val="single" w:sz="8" w:space="0" w:color="E0E0E0"/>
              <w:bottom w:val="single" w:sz="8" w:space="0" w:color="152935"/>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.078</w:t>
            </w:r>
          </w:p>
        </w:tc>
        <w:tc>
          <w:tcPr>
            <w:tcW w:w="1386" w:type="dxa"/>
            <w:tcBorders>
              <w:top w:val="single" w:sz="8" w:space="0" w:color="AEAEAE"/>
              <w:left w:val="single" w:sz="8" w:space="0" w:color="E0E0E0"/>
              <w:bottom w:val="single" w:sz="8" w:space="0" w:color="152935"/>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100.000</w:t>
            </w:r>
          </w:p>
        </w:tc>
        <w:tc>
          <w:tcPr>
            <w:tcW w:w="1183"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152935"/>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1526" w:type="dxa"/>
            <w:tcBorders>
              <w:top w:val="single" w:sz="8" w:space="0" w:color="AEAEAE"/>
              <w:left w:val="single" w:sz="8" w:space="0" w:color="E0E0E0"/>
              <w:bottom w:val="single" w:sz="8" w:space="0" w:color="152935"/>
              <w:right w:val="nil"/>
            </w:tcBorders>
            <w:shd w:val="clear" w:color="auto" w:fill="F9F9FB"/>
            <w:vAlign w:val="center"/>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r>
      <w:tr w:rsidR="00C52476" w:rsidRPr="00925035" w:rsidTr="0000364F">
        <w:trPr>
          <w:cantSplit/>
        </w:trPr>
        <w:tc>
          <w:tcPr>
            <w:tcW w:w="10140" w:type="dxa"/>
            <w:gridSpan w:val="8"/>
            <w:tcBorders>
              <w:top w:val="nil"/>
              <w:left w:val="nil"/>
              <w:bottom w:val="nil"/>
              <w:right w:val="nil"/>
            </w:tcBorders>
            <w:shd w:val="clear" w:color="auto" w:fill="FFFFFF"/>
          </w:tcPr>
          <w:p w:rsidR="00C52476" w:rsidRPr="00925035" w:rsidRDefault="00C52476" w:rsidP="0000364F">
            <w:pPr>
              <w:autoSpaceDE w:val="0"/>
              <w:autoSpaceDN w:val="0"/>
              <w:adjustRightInd w:val="0"/>
              <w:spacing w:after="0" w:line="320" w:lineRule="atLeast"/>
              <w:ind w:left="60" w:right="60"/>
              <w:rPr>
                <w:rFonts w:ascii="Arial" w:hAnsi="Arial" w:cs="Arial"/>
                <w:color w:val="010205"/>
                <w:sz w:val="24"/>
                <w:szCs w:val="24"/>
              </w:rPr>
            </w:pPr>
            <w:r w:rsidRPr="00925035">
              <w:rPr>
                <w:rFonts w:ascii="Arial" w:hAnsi="Arial" w:cs="Arial"/>
                <w:color w:val="010205"/>
                <w:sz w:val="24"/>
                <w:szCs w:val="24"/>
              </w:rPr>
              <w:t>Extraction Method: Principal Axis Factoring.</w:t>
            </w:r>
          </w:p>
        </w:tc>
      </w:tr>
      <w:tr w:rsidR="00C52476" w:rsidRPr="00925035" w:rsidTr="0000364F">
        <w:trPr>
          <w:cantSplit/>
        </w:trPr>
        <w:tc>
          <w:tcPr>
            <w:tcW w:w="10140" w:type="dxa"/>
            <w:gridSpan w:val="8"/>
            <w:tcBorders>
              <w:top w:val="nil"/>
              <w:left w:val="nil"/>
              <w:bottom w:val="nil"/>
              <w:right w:val="nil"/>
            </w:tcBorders>
            <w:shd w:val="clear" w:color="auto" w:fill="FFFFFF"/>
          </w:tcPr>
          <w:p w:rsidR="00C52476" w:rsidRPr="00925035" w:rsidRDefault="00C52476" w:rsidP="0000364F">
            <w:pPr>
              <w:autoSpaceDE w:val="0"/>
              <w:autoSpaceDN w:val="0"/>
              <w:adjustRightInd w:val="0"/>
              <w:spacing w:after="0" w:line="320" w:lineRule="atLeast"/>
              <w:ind w:left="60" w:right="60"/>
              <w:rPr>
                <w:rFonts w:ascii="Arial" w:hAnsi="Arial" w:cs="Arial"/>
                <w:color w:val="010205"/>
                <w:sz w:val="24"/>
                <w:szCs w:val="24"/>
              </w:rPr>
            </w:pPr>
            <w:r w:rsidRPr="00925035">
              <w:rPr>
                <w:rFonts w:ascii="Arial" w:hAnsi="Arial" w:cs="Arial"/>
                <w:color w:val="010205"/>
                <w:sz w:val="24"/>
                <w:szCs w:val="24"/>
              </w:rPr>
              <w:t>a. When factors are correlated, sums of squared loadings cannot be added to obtain a total variance.</w:t>
            </w:r>
          </w:p>
        </w:tc>
      </w:tr>
    </w:tbl>
    <w:p w:rsidR="00C52476" w:rsidRPr="007828DA" w:rsidRDefault="00C52476" w:rsidP="00C52476">
      <w:pPr>
        <w:autoSpaceDE w:val="0"/>
        <w:autoSpaceDN w:val="0"/>
        <w:adjustRightInd w:val="0"/>
        <w:spacing w:after="0" w:line="400" w:lineRule="atLeast"/>
        <w:rPr>
          <w:rFonts w:ascii="Times New Roman" w:hAnsi="Times New Roman" w:cs="Times New Roman"/>
          <w:sz w:val="24"/>
          <w:szCs w:val="24"/>
        </w:rPr>
      </w:pPr>
    </w:p>
    <w:p w:rsidR="00C52476" w:rsidRPr="00925035" w:rsidRDefault="00C52476" w:rsidP="00C52476">
      <w:pPr>
        <w:autoSpaceDE w:val="0"/>
        <w:autoSpaceDN w:val="0"/>
        <w:adjustRightInd w:val="0"/>
        <w:spacing w:after="0" w:line="400" w:lineRule="atLeast"/>
        <w:rPr>
          <w:rFonts w:ascii="Times New Roman" w:hAnsi="Times New Roman" w:cs="Times New Roman"/>
          <w:sz w:val="24"/>
          <w:szCs w:val="24"/>
        </w:rPr>
      </w:pPr>
    </w:p>
    <w:p w:rsidR="00C52476" w:rsidRPr="00925035" w:rsidRDefault="00C52476" w:rsidP="00C52476">
      <w:pPr>
        <w:autoSpaceDE w:val="0"/>
        <w:autoSpaceDN w:val="0"/>
        <w:adjustRightInd w:val="0"/>
        <w:spacing w:after="0" w:line="240" w:lineRule="auto"/>
        <w:rPr>
          <w:rFonts w:ascii="Times New Roman" w:hAnsi="Times New Roman" w:cs="Times New Roman"/>
          <w:sz w:val="24"/>
          <w:szCs w:val="24"/>
        </w:rPr>
      </w:pPr>
    </w:p>
    <w:p w:rsidR="00C52476" w:rsidRPr="00925035" w:rsidRDefault="00C52476" w:rsidP="00C52476">
      <w:pPr>
        <w:autoSpaceDE w:val="0"/>
        <w:autoSpaceDN w:val="0"/>
        <w:adjustRightInd w:val="0"/>
        <w:spacing w:after="0" w:line="240" w:lineRule="auto"/>
        <w:rPr>
          <w:rFonts w:ascii="Times New Roman" w:hAnsi="Times New Roman" w:cs="Times New Roman"/>
          <w:sz w:val="24"/>
          <w:szCs w:val="24"/>
        </w:rPr>
      </w:pPr>
    </w:p>
    <w:tbl>
      <w:tblPr>
        <w:tblW w:w="6888" w:type="dxa"/>
        <w:tblLayout w:type="fixed"/>
        <w:tblCellMar>
          <w:left w:w="0" w:type="dxa"/>
          <w:right w:w="0" w:type="dxa"/>
        </w:tblCellMar>
        <w:tblLook w:val="0000" w:firstRow="0" w:lastRow="0" w:firstColumn="0" w:lastColumn="0" w:noHBand="0" w:noVBand="0"/>
      </w:tblPr>
      <w:tblGrid>
        <w:gridCol w:w="959"/>
        <w:gridCol w:w="1185"/>
        <w:gridCol w:w="1186"/>
        <w:gridCol w:w="1186"/>
        <w:gridCol w:w="1186"/>
        <w:gridCol w:w="1186"/>
      </w:tblGrid>
      <w:tr w:rsidR="00C52476" w:rsidRPr="00925035" w:rsidTr="0000364F">
        <w:trPr>
          <w:cantSplit/>
        </w:trPr>
        <w:tc>
          <w:tcPr>
            <w:tcW w:w="6884" w:type="dxa"/>
            <w:gridSpan w:val="6"/>
            <w:tcBorders>
              <w:top w:val="nil"/>
              <w:left w:val="nil"/>
              <w:bottom w:val="nil"/>
              <w:right w:val="nil"/>
            </w:tcBorders>
            <w:shd w:val="clear" w:color="auto" w:fill="FFFFFF"/>
            <w:vAlign w:val="center"/>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010205"/>
                <w:sz w:val="28"/>
                <w:szCs w:val="28"/>
              </w:rPr>
            </w:pPr>
            <w:r w:rsidRPr="00925035">
              <w:rPr>
                <w:rFonts w:ascii="Arial" w:hAnsi="Arial" w:cs="Arial"/>
                <w:b/>
                <w:bCs/>
                <w:color w:val="010205"/>
                <w:sz w:val="28"/>
                <w:szCs w:val="28"/>
              </w:rPr>
              <w:t xml:space="preserve">Pattern </w:t>
            </w:r>
            <w:proofErr w:type="spellStart"/>
            <w:r w:rsidRPr="00925035">
              <w:rPr>
                <w:rFonts w:ascii="Arial" w:hAnsi="Arial" w:cs="Arial"/>
                <w:b/>
                <w:bCs/>
                <w:color w:val="010205"/>
                <w:sz w:val="28"/>
                <w:szCs w:val="28"/>
              </w:rPr>
              <w:t>Matrix</w:t>
            </w:r>
            <w:r w:rsidRPr="00925035">
              <w:rPr>
                <w:rFonts w:ascii="Arial" w:hAnsi="Arial" w:cs="Arial"/>
                <w:b/>
                <w:bCs/>
                <w:color w:val="010205"/>
                <w:sz w:val="28"/>
                <w:szCs w:val="28"/>
                <w:vertAlign w:val="superscript"/>
              </w:rPr>
              <w:t>a</w:t>
            </w:r>
            <w:proofErr w:type="spellEnd"/>
          </w:p>
        </w:tc>
      </w:tr>
      <w:tr w:rsidR="00C52476" w:rsidRPr="00925035" w:rsidTr="0000364F">
        <w:trPr>
          <w:cantSplit/>
        </w:trPr>
        <w:tc>
          <w:tcPr>
            <w:tcW w:w="959" w:type="dxa"/>
            <w:vMerge w:val="restart"/>
            <w:tcBorders>
              <w:top w:val="nil"/>
              <w:left w:val="nil"/>
              <w:bottom w:val="nil"/>
              <w:right w:val="nil"/>
            </w:tcBorders>
            <w:shd w:val="clear" w:color="auto" w:fill="FFFFFF"/>
            <w:vAlign w:val="bottom"/>
          </w:tcPr>
          <w:p w:rsidR="00C52476" w:rsidRPr="00925035" w:rsidRDefault="00C52476" w:rsidP="0000364F">
            <w:pPr>
              <w:autoSpaceDE w:val="0"/>
              <w:autoSpaceDN w:val="0"/>
              <w:adjustRightInd w:val="0"/>
              <w:spacing w:after="0" w:line="240" w:lineRule="auto"/>
              <w:rPr>
                <w:rFonts w:ascii="Times New Roman" w:hAnsi="Times New Roman" w:cs="Times New Roman"/>
                <w:sz w:val="24"/>
                <w:szCs w:val="24"/>
              </w:rPr>
            </w:pPr>
          </w:p>
        </w:tc>
        <w:tc>
          <w:tcPr>
            <w:tcW w:w="5925" w:type="dxa"/>
            <w:gridSpan w:val="5"/>
            <w:tcBorders>
              <w:top w:val="nil"/>
              <w:left w:val="nil"/>
              <w:bottom w:val="nil"/>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Factor</w:t>
            </w:r>
          </w:p>
        </w:tc>
      </w:tr>
      <w:tr w:rsidR="00C52476" w:rsidRPr="00925035" w:rsidTr="0000364F">
        <w:trPr>
          <w:cantSplit/>
        </w:trPr>
        <w:tc>
          <w:tcPr>
            <w:tcW w:w="959" w:type="dxa"/>
            <w:vMerge/>
            <w:tcBorders>
              <w:top w:val="nil"/>
              <w:left w:val="nil"/>
              <w:bottom w:val="nil"/>
              <w:right w:val="nil"/>
            </w:tcBorders>
            <w:shd w:val="clear" w:color="auto" w:fill="FFFFFF"/>
            <w:vAlign w:val="bottom"/>
          </w:tcPr>
          <w:p w:rsidR="00C52476" w:rsidRPr="00925035" w:rsidRDefault="00C52476" w:rsidP="0000364F">
            <w:pPr>
              <w:autoSpaceDE w:val="0"/>
              <w:autoSpaceDN w:val="0"/>
              <w:adjustRightInd w:val="0"/>
              <w:spacing w:after="0" w:line="240" w:lineRule="auto"/>
              <w:rPr>
                <w:rFonts w:ascii="Arial" w:hAnsi="Arial" w:cs="Arial"/>
                <w:color w:val="264A60"/>
                <w:sz w:val="24"/>
                <w:szCs w:val="24"/>
              </w:rPr>
            </w:pPr>
          </w:p>
        </w:tc>
        <w:tc>
          <w:tcPr>
            <w:tcW w:w="1185" w:type="dxa"/>
            <w:tcBorders>
              <w:top w:val="nil"/>
              <w:left w:val="nil"/>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1</w:t>
            </w:r>
          </w:p>
        </w:tc>
        <w:tc>
          <w:tcPr>
            <w:tcW w:w="1185" w:type="dxa"/>
            <w:tcBorders>
              <w:top w:val="nil"/>
              <w:left w:val="single" w:sz="8" w:space="0" w:color="E0E0E0"/>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2</w:t>
            </w:r>
          </w:p>
        </w:tc>
        <w:tc>
          <w:tcPr>
            <w:tcW w:w="1185" w:type="dxa"/>
            <w:tcBorders>
              <w:top w:val="nil"/>
              <w:left w:val="single" w:sz="8" w:space="0" w:color="E0E0E0"/>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3</w:t>
            </w:r>
          </w:p>
        </w:tc>
        <w:tc>
          <w:tcPr>
            <w:tcW w:w="1185" w:type="dxa"/>
            <w:tcBorders>
              <w:top w:val="nil"/>
              <w:left w:val="single" w:sz="8" w:space="0" w:color="E0E0E0"/>
              <w:bottom w:val="single" w:sz="8" w:space="0" w:color="152935"/>
              <w:right w:val="single" w:sz="8" w:space="0" w:color="E0E0E0"/>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4</w:t>
            </w:r>
          </w:p>
        </w:tc>
        <w:tc>
          <w:tcPr>
            <w:tcW w:w="1185" w:type="dxa"/>
            <w:tcBorders>
              <w:top w:val="nil"/>
              <w:left w:val="single" w:sz="8" w:space="0" w:color="E0E0E0"/>
              <w:bottom w:val="single" w:sz="8" w:space="0" w:color="152935"/>
              <w:right w:val="nil"/>
            </w:tcBorders>
            <w:shd w:val="clear" w:color="auto" w:fill="FFFFFF"/>
            <w:vAlign w:val="bottom"/>
          </w:tcPr>
          <w:p w:rsidR="00C52476" w:rsidRPr="00925035" w:rsidRDefault="00C52476" w:rsidP="0000364F">
            <w:pPr>
              <w:autoSpaceDE w:val="0"/>
              <w:autoSpaceDN w:val="0"/>
              <w:adjustRightInd w:val="0"/>
              <w:spacing w:after="0" w:line="320" w:lineRule="atLeast"/>
              <w:ind w:left="60" w:right="60"/>
              <w:jc w:val="center"/>
              <w:rPr>
                <w:rFonts w:ascii="Arial" w:hAnsi="Arial" w:cs="Arial"/>
                <w:color w:val="264A60"/>
                <w:sz w:val="24"/>
                <w:szCs w:val="24"/>
              </w:rPr>
            </w:pPr>
            <w:r w:rsidRPr="00925035">
              <w:rPr>
                <w:rFonts w:ascii="Arial" w:hAnsi="Arial" w:cs="Arial"/>
                <w:color w:val="264A60"/>
                <w:sz w:val="24"/>
                <w:szCs w:val="24"/>
              </w:rPr>
              <w:t>5</w:t>
            </w:r>
          </w:p>
        </w:tc>
      </w:tr>
      <w:tr w:rsidR="00C52476" w:rsidRPr="00925035" w:rsidTr="0000364F">
        <w:trPr>
          <w:cantSplit/>
        </w:trPr>
        <w:tc>
          <w:tcPr>
            <w:tcW w:w="959" w:type="dxa"/>
            <w:tcBorders>
              <w:top w:val="single" w:sz="8" w:space="0" w:color="152935"/>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PDRQ1</w:t>
            </w:r>
          </w:p>
        </w:tc>
        <w:tc>
          <w:tcPr>
            <w:tcW w:w="1185" w:type="dxa"/>
            <w:tcBorders>
              <w:top w:val="single" w:sz="8" w:space="0" w:color="152935"/>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.707</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-.296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.248</w:t>
            </w:r>
          </w:p>
        </w:tc>
        <w:tc>
          <w:tcPr>
            <w:tcW w:w="1185" w:type="dxa"/>
            <w:tcBorders>
              <w:top w:val="single" w:sz="8" w:space="0" w:color="152935"/>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-.359</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PF6</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.704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-.342</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.099</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CT6</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.680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.263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-.170</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-.060</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CT1</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.671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.018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.151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.043</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-.076</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PF5</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.655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.056</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-.086</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PDRQ4</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.569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.054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-.070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-.173</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.060</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PF2</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.455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.054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-.212</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-.156</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FC3</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.322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.872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-.121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-.003</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.110</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FC2</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-.134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.866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-.019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.164</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-.069</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FC4</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-.064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.826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.191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-.016</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.032</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FC5</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-.150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.818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-.060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-.171</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-.097</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FC1</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.093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.810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-.054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.290</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-.128</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FC6</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.709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.097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-.241</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.056</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DPL2</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-.094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.936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-.085</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-.032</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DPL1</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.259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.279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.692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-.027</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.031</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DPL3</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.170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.001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.653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-.106</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.065</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DPL4</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-.076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.638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.127</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-.273</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PF1</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.402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.233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.409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.014</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-.037</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PF4</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-.052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-.938</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-.165</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PF3</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.303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.012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-.726</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-.046</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PDRQ5</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.168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.123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-.383</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-.327</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PDRQ3</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-.019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-.249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-.319</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-.724</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PDRQ9</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-.120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.239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.325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-.105</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-.667</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CT5</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.187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-.163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.277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.023</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-.650</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PDRQ8</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.057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.339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.193</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-.602</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PDRQ2</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.363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.025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-.341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-.133</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-.593</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PDRQ6</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.093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.283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-.148</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-.550</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PDRQ7</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.117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.043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-.340</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-.493</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CT4</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.333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-.180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.130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-.042</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-.413</w:t>
            </w:r>
          </w:p>
        </w:tc>
      </w:tr>
      <w:tr w:rsidR="00C52476" w:rsidRPr="00925035" w:rsidTr="0000364F">
        <w:trPr>
          <w:cantSplit/>
        </w:trPr>
        <w:tc>
          <w:tcPr>
            <w:tcW w:w="959" w:type="dxa"/>
            <w:tcBorders>
              <w:top w:val="single" w:sz="8" w:space="0" w:color="AEAEAE"/>
              <w:left w:val="nil"/>
              <w:bottom w:val="single" w:sz="8" w:space="0" w:color="AEAEAE"/>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CT2</w:t>
            </w:r>
          </w:p>
        </w:tc>
        <w:tc>
          <w:tcPr>
            <w:tcW w:w="1185" w:type="dxa"/>
            <w:tcBorders>
              <w:top w:val="single" w:sz="8" w:space="0" w:color="AEAEAE"/>
              <w:left w:val="nil"/>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.264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-.085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.374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-.209</w:t>
            </w:r>
          </w:p>
        </w:tc>
        <w:tc>
          <w:tcPr>
            <w:tcW w:w="1185" w:type="dxa"/>
            <w:tcBorders>
              <w:top w:val="single" w:sz="8" w:space="0" w:color="AEAEAE"/>
              <w:left w:val="single" w:sz="8" w:space="0" w:color="E0E0E0"/>
              <w:bottom w:val="single" w:sz="8" w:space="0" w:color="AEAEAE"/>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-.385</w:t>
            </w:r>
          </w:p>
        </w:tc>
      </w:tr>
      <w:tr w:rsidR="00C52476" w:rsidRPr="00925035" w:rsidTr="0000364F">
        <w:trPr>
          <w:cantSplit/>
        </w:trPr>
        <w:tc>
          <w:tcPr>
            <w:tcW w:w="959" w:type="dxa"/>
            <w:tcBorders>
              <w:top w:val="single" w:sz="8" w:space="0" w:color="AEAEAE"/>
              <w:left w:val="nil"/>
              <w:bottom w:val="single" w:sz="8" w:space="0" w:color="152935"/>
              <w:right w:val="nil"/>
            </w:tcBorders>
            <w:shd w:val="clear" w:color="auto" w:fill="E0E0E0"/>
          </w:tcPr>
          <w:p w:rsidR="00C52476" w:rsidRPr="00925035" w:rsidRDefault="00C52476" w:rsidP="0000364F">
            <w:pPr>
              <w:autoSpaceDE w:val="0"/>
              <w:autoSpaceDN w:val="0"/>
              <w:adjustRightInd w:val="0"/>
              <w:spacing w:after="0" w:line="320" w:lineRule="atLeast"/>
              <w:ind w:left="60" w:right="60"/>
              <w:rPr>
                <w:rFonts w:ascii="Arial" w:hAnsi="Arial" w:cs="Arial"/>
                <w:color w:val="264A60"/>
                <w:sz w:val="24"/>
                <w:szCs w:val="24"/>
              </w:rPr>
            </w:pPr>
            <w:r w:rsidRPr="00925035">
              <w:rPr>
                <w:rFonts w:ascii="Arial" w:hAnsi="Arial" w:cs="Arial"/>
                <w:color w:val="264A60"/>
                <w:sz w:val="24"/>
                <w:szCs w:val="24"/>
              </w:rPr>
              <w:t>CT3</w:t>
            </w:r>
          </w:p>
        </w:tc>
        <w:tc>
          <w:tcPr>
            <w:tcW w:w="1185" w:type="dxa"/>
            <w:tcBorders>
              <w:top w:val="single" w:sz="8" w:space="0" w:color="AEAEAE"/>
              <w:left w:val="nil"/>
              <w:bottom w:val="single" w:sz="8" w:space="0" w:color="152935"/>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.173</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-.161</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.345</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-.136</w:t>
            </w:r>
          </w:p>
        </w:tc>
        <w:tc>
          <w:tcPr>
            <w:tcW w:w="1185" w:type="dxa"/>
            <w:tcBorders>
              <w:top w:val="single" w:sz="8" w:space="0" w:color="AEAEAE"/>
              <w:left w:val="single" w:sz="8" w:space="0" w:color="E0E0E0"/>
              <w:bottom w:val="single" w:sz="8" w:space="0" w:color="152935"/>
              <w:right w:val="nil"/>
            </w:tcBorders>
            <w:shd w:val="clear" w:color="auto" w:fill="F9F9FB"/>
          </w:tcPr>
          <w:p w:rsidR="00C52476" w:rsidRPr="00925035" w:rsidRDefault="00C52476" w:rsidP="0000364F">
            <w:pPr>
              <w:autoSpaceDE w:val="0"/>
              <w:autoSpaceDN w:val="0"/>
              <w:adjustRightInd w:val="0"/>
              <w:spacing w:after="0" w:line="320" w:lineRule="atLeast"/>
              <w:ind w:left="60" w:right="60"/>
              <w:jc w:val="right"/>
              <w:rPr>
                <w:rFonts w:ascii="Arial" w:hAnsi="Arial" w:cs="Arial"/>
                <w:color w:val="010205"/>
                <w:sz w:val="24"/>
                <w:szCs w:val="24"/>
              </w:rPr>
            </w:pPr>
            <w:r w:rsidRPr="00925035">
              <w:rPr>
                <w:rFonts w:ascii="Arial" w:hAnsi="Arial" w:cs="Arial"/>
                <w:color w:val="010205"/>
                <w:sz w:val="24"/>
                <w:szCs w:val="24"/>
              </w:rPr>
              <w:t>-.360</w:t>
            </w:r>
          </w:p>
        </w:tc>
      </w:tr>
      <w:tr w:rsidR="00C52476" w:rsidRPr="00925035" w:rsidTr="0000364F">
        <w:trPr>
          <w:cantSplit/>
        </w:trPr>
        <w:tc>
          <w:tcPr>
            <w:tcW w:w="6884" w:type="dxa"/>
            <w:gridSpan w:val="6"/>
            <w:tcBorders>
              <w:top w:val="nil"/>
              <w:left w:val="nil"/>
              <w:bottom w:val="nil"/>
              <w:right w:val="nil"/>
            </w:tcBorders>
            <w:shd w:val="clear" w:color="auto" w:fill="FFFFFF"/>
          </w:tcPr>
          <w:p w:rsidR="00C52476" w:rsidRPr="00925035" w:rsidRDefault="00C52476" w:rsidP="0000364F">
            <w:pPr>
              <w:autoSpaceDE w:val="0"/>
              <w:autoSpaceDN w:val="0"/>
              <w:adjustRightInd w:val="0"/>
              <w:spacing w:after="0" w:line="320" w:lineRule="atLeast"/>
              <w:ind w:left="60" w:right="60"/>
              <w:rPr>
                <w:rFonts w:ascii="Arial" w:hAnsi="Arial" w:cs="Arial"/>
                <w:color w:val="010205"/>
                <w:sz w:val="24"/>
                <w:szCs w:val="24"/>
              </w:rPr>
            </w:pPr>
            <w:r w:rsidRPr="00925035">
              <w:rPr>
                <w:rFonts w:ascii="Arial" w:hAnsi="Arial" w:cs="Arial"/>
                <w:color w:val="010205"/>
                <w:sz w:val="24"/>
                <w:szCs w:val="24"/>
              </w:rPr>
              <w:t xml:space="preserve">Extraction Method: Principal Axis Factoring. </w:t>
            </w:r>
          </w:p>
          <w:p w:rsidR="00C52476" w:rsidRPr="00925035" w:rsidRDefault="00C52476" w:rsidP="0000364F">
            <w:pPr>
              <w:autoSpaceDE w:val="0"/>
              <w:autoSpaceDN w:val="0"/>
              <w:adjustRightInd w:val="0"/>
              <w:spacing w:after="0" w:line="320" w:lineRule="atLeast"/>
              <w:ind w:left="60" w:right="60"/>
              <w:rPr>
                <w:rFonts w:ascii="Arial" w:hAnsi="Arial" w:cs="Arial"/>
                <w:color w:val="010205"/>
                <w:sz w:val="24"/>
                <w:szCs w:val="24"/>
              </w:rPr>
            </w:pPr>
            <w:r w:rsidRPr="00925035">
              <w:rPr>
                <w:rFonts w:ascii="Arial" w:hAnsi="Arial" w:cs="Arial"/>
                <w:color w:val="010205"/>
                <w:sz w:val="24"/>
                <w:szCs w:val="24"/>
              </w:rPr>
              <w:t xml:space="preserve"> Rotation Method: </w:t>
            </w:r>
            <w:proofErr w:type="spellStart"/>
            <w:r w:rsidRPr="00925035">
              <w:rPr>
                <w:rFonts w:ascii="Arial" w:hAnsi="Arial" w:cs="Arial"/>
                <w:color w:val="010205"/>
                <w:sz w:val="24"/>
                <w:szCs w:val="24"/>
              </w:rPr>
              <w:t>Oblimin</w:t>
            </w:r>
            <w:proofErr w:type="spellEnd"/>
            <w:r w:rsidRPr="00925035">
              <w:rPr>
                <w:rFonts w:ascii="Arial" w:hAnsi="Arial" w:cs="Arial"/>
                <w:color w:val="010205"/>
                <w:sz w:val="24"/>
                <w:szCs w:val="24"/>
              </w:rPr>
              <w:t xml:space="preserve"> with Kaiser Normalization.</w:t>
            </w:r>
          </w:p>
        </w:tc>
      </w:tr>
      <w:tr w:rsidR="00C52476" w:rsidRPr="00925035" w:rsidTr="0000364F">
        <w:trPr>
          <w:cantSplit/>
        </w:trPr>
        <w:tc>
          <w:tcPr>
            <w:tcW w:w="6884" w:type="dxa"/>
            <w:gridSpan w:val="6"/>
            <w:tcBorders>
              <w:top w:val="nil"/>
              <w:left w:val="nil"/>
              <w:bottom w:val="nil"/>
              <w:right w:val="nil"/>
            </w:tcBorders>
            <w:shd w:val="clear" w:color="auto" w:fill="FFFFFF"/>
          </w:tcPr>
          <w:p w:rsidR="00C52476" w:rsidRPr="00925035" w:rsidRDefault="00C52476" w:rsidP="0000364F">
            <w:pPr>
              <w:autoSpaceDE w:val="0"/>
              <w:autoSpaceDN w:val="0"/>
              <w:adjustRightInd w:val="0"/>
              <w:spacing w:after="0" w:line="320" w:lineRule="atLeast"/>
              <w:ind w:left="60" w:right="60"/>
              <w:rPr>
                <w:rFonts w:ascii="Arial" w:hAnsi="Arial" w:cs="Arial"/>
                <w:color w:val="010205"/>
                <w:sz w:val="24"/>
                <w:szCs w:val="24"/>
              </w:rPr>
            </w:pPr>
            <w:r w:rsidRPr="00925035">
              <w:rPr>
                <w:rFonts w:ascii="Arial" w:hAnsi="Arial" w:cs="Arial"/>
                <w:color w:val="010205"/>
                <w:sz w:val="24"/>
                <w:szCs w:val="24"/>
              </w:rPr>
              <w:t>a. Rotation converged in 21 iterations.</w:t>
            </w:r>
          </w:p>
        </w:tc>
      </w:tr>
    </w:tbl>
    <w:p w:rsidR="00C52476" w:rsidRDefault="00C52476" w:rsidP="00C52476"/>
    <w:p w:rsidR="00C52476" w:rsidRDefault="00C52476" w:rsidP="00C52476"/>
    <w:p w:rsidR="00C52476" w:rsidRDefault="00C52476" w:rsidP="00C52476">
      <w:pPr>
        <w:pStyle w:val="Heading2"/>
        <w:rPr>
          <w:rFonts w:ascii="Times New Roman" w:eastAsia="Times New Roman" w:hAnsi="Times New Roman"/>
          <w:sz w:val="27"/>
          <w:szCs w:val="27"/>
        </w:rPr>
      </w:pPr>
      <w:bookmarkStart w:id="46" w:name="_Toc238592662"/>
      <w:r>
        <w:t>Appendix C — Selected Regression Diagnostic Output</w:t>
      </w:r>
      <w:bookmarkEnd w:id="46"/>
    </w:p>
    <w:p w:rsidR="00C52476" w:rsidRDefault="00C52476" w:rsidP="00C52476">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p w:rsidR="00C52476" w:rsidRPr="007A575C" w:rsidRDefault="00C52476" w:rsidP="00C52476">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bl>
      <w:tblPr>
        <w:tblW w:w="8353" w:type="dxa"/>
        <w:tblLayout w:type="fixed"/>
        <w:tblCellMar>
          <w:left w:w="0" w:type="dxa"/>
          <w:right w:w="0" w:type="dxa"/>
        </w:tblCellMar>
        <w:tblLook w:val="0000" w:firstRow="0" w:lastRow="0" w:firstColumn="0" w:lastColumn="0" w:noHBand="0" w:noVBand="0"/>
      </w:tblPr>
      <w:tblGrid>
        <w:gridCol w:w="854"/>
        <w:gridCol w:w="1186"/>
        <w:gridCol w:w="1186"/>
        <w:gridCol w:w="1709"/>
        <w:gridCol w:w="1709"/>
        <w:gridCol w:w="1709"/>
      </w:tblGrid>
      <w:tr w:rsidR="00C52476" w:rsidRPr="007A575C" w:rsidTr="0000364F">
        <w:trPr>
          <w:cantSplit/>
        </w:trPr>
        <w:tc>
          <w:tcPr>
            <w:tcW w:w="8348" w:type="dxa"/>
            <w:gridSpan w:val="6"/>
            <w:tcBorders>
              <w:top w:val="nil"/>
              <w:left w:val="nil"/>
              <w:bottom w:val="nil"/>
              <w:right w:val="nil"/>
            </w:tcBorders>
            <w:shd w:val="clear" w:color="auto" w:fill="FFFFFF"/>
            <w:vAlign w:val="center"/>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010205"/>
                <w:sz w:val="28"/>
                <w:szCs w:val="28"/>
                <w14:ligatures w14:val="standardContextual"/>
              </w:rPr>
            </w:pPr>
            <w:r w:rsidRPr="007A575C">
              <w:rPr>
                <w:rFonts w:ascii="Arial" w:eastAsiaTheme="minorHAnsi" w:hAnsi="Arial" w:cs="Arial"/>
                <w:b/>
                <w:bCs/>
                <w:color w:val="010205"/>
                <w:sz w:val="28"/>
                <w:szCs w:val="28"/>
                <w14:ligatures w14:val="standardContextual"/>
              </w:rPr>
              <w:t xml:space="preserve">Model </w:t>
            </w:r>
            <w:proofErr w:type="spellStart"/>
            <w:r w:rsidRPr="007A575C">
              <w:rPr>
                <w:rFonts w:ascii="Arial" w:eastAsiaTheme="minorHAnsi" w:hAnsi="Arial" w:cs="Arial"/>
                <w:b/>
                <w:bCs/>
                <w:color w:val="010205"/>
                <w:sz w:val="28"/>
                <w:szCs w:val="28"/>
                <w14:ligatures w14:val="standardContextual"/>
              </w:rPr>
              <w:t>Summary</w:t>
            </w:r>
            <w:r w:rsidRPr="007A575C">
              <w:rPr>
                <w:rFonts w:ascii="Arial" w:eastAsiaTheme="minorHAnsi" w:hAnsi="Arial" w:cs="Arial"/>
                <w:b/>
                <w:bCs/>
                <w:color w:val="010205"/>
                <w:sz w:val="28"/>
                <w:szCs w:val="28"/>
                <w:vertAlign w:val="superscript"/>
                <w14:ligatures w14:val="standardContextual"/>
              </w:rPr>
              <w:t>b</w:t>
            </w:r>
            <w:proofErr w:type="spellEnd"/>
          </w:p>
        </w:tc>
      </w:tr>
      <w:tr w:rsidR="00C52476" w:rsidRPr="007A575C" w:rsidTr="0000364F">
        <w:trPr>
          <w:cantSplit/>
        </w:trPr>
        <w:tc>
          <w:tcPr>
            <w:tcW w:w="854" w:type="dxa"/>
            <w:tcBorders>
              <w:top w:val="nil"/>
              <w:left w:val="nil"/>
              <w:bottom w:val="single" w:sz="8" w:space="0" w:color="152935"/>
              <w:right w:val="nil"/>
            </w:tcBorders>
            <w:shd w:val="clear" w:color="auto" w:fill="FFFFFF"/>
            <w:vAlign w:val="bottom"/>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Model</w:t>
            </w:r>
          </w:p>
        </w:tc>
        <w:tc>
          <w:tcPr>
            <w:tcW w:w="1185" w:type="dxa"/>
            <w:tcBorders>
              <w:top w:val="nil"/>
              <w:left w:val="nil"/>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R</w:t>
            </w:r>
          </w:p>
        </w:tc>
        <w:tc>
          <w:tcPr>
            <w:tcW w:w="1185"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R Square</w:t>
            </w:r>
          </w:p>
        </w:tc>
        <w:tc>
          <w:tcPr>
            <w:tcW w:w="1708"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Adjusted R Square</w:t>
            </w:r>
          </w:p>
        </w:tc>
        <w:tc>
          <w:tcPr>
            <w:tcW w:w="1708"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Std. Error of the Estimate</w:t>
            </w:r>
          </w:p>
        </w:tc>
        <w:tc>
          <w:tcPr>
            <w:tcW w:w="1708" w:type="dxa"/>
            <w:tcBorders>
              <w:top w:val="nil"/>
              <w:left w:val="single" w:sz="8" w:space="0" w:color="E0E0E0"/>
              <w:bottom w:val="single" w:sz="8" w:space="0" w:color="152935"/>
              <w:right w:val="nil"/>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Durbin-Watson</w:t>
            </w:r>
          </w:p>
        </w:tc>
      </w:tr>
      <w:tr w:rsidR="00C52476" w:rsidRPr="007A575C" w:rsidTr="0000364F">
        <w:trPr>
          <w:cantSplit/>
        </w:trPr>
        <w:tc>
          <w:tcPr>
            <w:tcW w:w="854" w:type="dxa"/>
            <w:tcBorders>
              <w:top w:val="single" w:sz="8" w:space="0" w:color="152935"/>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1</w:t>
            </w:r>
          </w:p>
        </w:tc>
        <w:tc>
          <w:tcPr>
            <w:tcW w:w="1185" w:type="dxa"/>
            <w:tcBorders>
              <w:top w:val="single" w:sz="8" w:space="0" w:color="152935"/>
              <w:left w:val="nil"/>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.827</w:t>
            </w:r>
            <w:r w:rsidRPr="007A575C">
              <w:rPr>
                <w:rFonts w:ascii="Arial" w:eastAsiaTheme="minorHAnsi" w:hAnsi="Arial" w:cs="Arial"/>
                <w:color w:val="010205"/>
                <w:sz w:val="24"/>
                <w:szCs w:val="24"/>
                <w:vertAlign w:val="superscript"/>
                <w14:ligatures w14:val="standardContextual"/>
              </w:rPr>
              <w:t>a</w:t>
            </w:r>
          </w:p>
        </w:tc>
        <w:tc>
          <w:tcPr>
            <w:tcW w:w="1185" w:type="dxa"/>
            <w:tcBorders>
              <w:top w:val="single" w:sz="8" w:space="0" w:color="152935"/>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.685</w:t>
            </w:r>
          </w:p>
        </w:tc>
        <w:tc>
          <w:tcPr>
            <w:tcW w:w="1708" w:type="dxa"/>
            <w:tcBorders>
              <w:top w:val="single" w:sz="8" w:space="0" w:color="152935"/>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.656</w:t>
            </w:r>
          </w:p>
        </w:tc>
        <w:tc>
          <w:tcPr>
            <w:tcW w:w="1708" w:type="dxa"/>
            <w:tcBorders>
              <w:top w:val="single" w:sz="8" w:space="0" w:color="152935"/>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.36428</w:t>
            </w:r>
          </w:p>
        </w:tc>
        <w:tc>
          <w:tcPr>
            <w:tcW w:w="1708" w:type="dxa"/>
            <w:tcBorders>
              <w:top w:val="single" w:sz="8" w:space="0" w:color="152935"/>
              <w:left w:val="single" w:sz="8" w:space="0" w:color="E0E0E0"/>
              <w:bottom w:val="single" w:sz="8" w:space="0" w:color="152935"/>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2.053</w:t>
            </w:r>
          </w:p>
        </w:tc>
      </w:tr>
      <w:tr w:rsidR="00C52476" w:rsidRPr="007A575C" w:rsidTr="0000364F">
        <w:trPr>
          <w:cantSplit/>
        </w:trPr>
        <w:tc>
          <w:tcPr>
            <w:tcW w:w="8348" w:type="dxa"/>
            <w:gridSpan w:val="6"/>
            <w:tcBorders>
              <w:top w:val="nil"/>
              <w:left w:val="nil"/>
              <w:bottom w:val="nil"/>
              <w:right w:val="nil"/>
            </w:tcBorders>
            <w:shd w:val="clear" w:color="auto" w:fill="FFFFFF"/>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a. Predictors: (Constant), DPL_MEAN, FC_MEAN, PF_MEAN, PDRQ_MEAN</w:t>
            </w:r>
          </w:p>
        </w:tc>
      </w:tr>
      <w:tr w:rsidR="00C52476" w:rsidRPr="007A575C" w:rsidTr="0000364F">
        <w:trPr>
          <w:cantSplit/>
        </w:trPr>
        <w:tc>
          <w:tcPr>
            <w:tcW w:w="8348" w:type="dxa"/>
            <w:gridSpan w:val="6"/>
            <w:tcBorders>
              <w:top w:val="nil"/>
              <w:left w:val="nil"/>
              <w:bottom w:val="nil"/>
              <w:right w:val="nil"/>
            </w:tcBorders>
            <w:shd w:val="clear" w:color="auto" w:fill="FFFFFF"/>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b. Dependent Variable: CT_MEAN</w:t>
            </w:r>
          </w:p>
        </w:tc>
      </w:tr>
    </w:tbl>
    <w:p w:rsidR="00C52476" w:rsidRPr="007A575C" w:rsidRDefault="00C52476" w:rsidP="00C52476">
      <w:pPr>
        <w:autoSpaceDE w:val="0"/>
        <w:autoSpaceDN w:val="0"/>
        <w:adjustRightInd w:val="0"/>
        <w:spacing w:after="0" w:line="400" w:lineRule="atLeast"/>
        <w:rPr>
          <w:rFonts w:ascii="Times New Roman" w:eastAsiaTheme="minorHAnsi" w:hAnsi="Times New Roman" w:cs="Times New Roman"/>
          <w:sz w:val="24"/>
          <w:szCs w:val="24"/>
          <w14:ligatures w14:val="standardContextual"/>
        </w:rPr>
      </w:pPr>
    </w:p>
    <w:p w:rsidR="00C52476" w:rsidRDefault="00C52476" w:rsidP="00C52476"/>
    <w:p w:rsidR="00C52476" w:rsidRPr="007A575C" w:rsidRDefault="00C52476" w:rsidP="00C52476">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bl>
      <w:tblPr>
        <w:tblW w:w="10520" w:type="dxa"/>
        <w:tblInd w:w="-890" w:type="dxa"/>
        <w:tblLayout w:type="fixed"/>
        <w:tblCellMar>
          <w:left w:w="0" w:type="dxa"/>
          <w:right w:w="0" w:type="dxa"/>
        </w:tblCellMar>
        <w:tblLook w:val="0000" w:firstRow="0" w:lastRow="0" w:firstColumn="0" w:lastColumn="0" w:noHBand="0" w:noVBand="0"/>
      </w:tblPr>
      <w:tblGrid>
        <w:gridCol w:w="774"/>
        <w:gridCol w:w="1286"/>
        <w:gridCol w:w="1170"/>
        <w:gridCol w:w="1350"/>
        <w:gridCol w:w="1710"/>
        <w:gridCol w:w="990"/>
        <w:gridCol w:w="1080"/>
        <w:gridCol w:w="1350"/>
        <w:gridCol w:w="810"/>
      </w:tblGrid>
      <w:tr w:rsidR="00C52476" w:rsidRPr="007A575C" w:rsidTr="0000364F">
        <w:trPr>
          <w:cantSplit/>
        </w:trPr>
        <w:tc>
          <w:tcPr>
            <w:tcW w:w="10520" w:type="dxa"/>
            <w:gridSpan w:val="9"/>
            <w:tcBorders>
              <w:top w:val="nil"/>
              <w:left w:val="nil"/>
              <w:bottom w:val="nil"/>
              <w:right w:val="nil"/>
            </w:tcBorders>
            <w:shd w:val="clear" w:color="auto" w:fill="FFFFFF"/>
            <w:vAlign w:val="center"/>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010205"/>
                <w:sz w:val="28"/>
                <w:szCs w:val="28"/>
                <w14:ligatures w14:val="standardContextual"/>
              </w:rPr>
            </w:pPr>
            <w:proofErr w:type="spellStart"/>
            <w:r w:rsidRPr="007A575C">
              <w:rPr>
                <w:rFonts w:ascii="Arial" w:eastAsiaTheme="minorHAnsi" w:hAnsi="Arial" w:cs="Arial"/>
                <w:b/>
                <w:bCs/>
                <w:color w:val="010205"/>
                <w:sz w:val="28"/>
                <w:szCs w:val="28"/>
                <w14:ligatures w14:val="standardContextual"/>
              </w:rPr>
              <w:t>Coefficients</w:t>
            </w:r>
            <w:r w:rsidRPr="007A575C">
              <w:rPr>
                <w:rFonts w:ascii="Arial" w:eastAsiaTheme="minorHAnsi" w:hAnsi="Arial" w:cs="Arial"/>
                <w:b/>
                <w:bCs/>
                <w:color w:val="010205"/>
                <w:sz w:val="28"/>
                <w:szCs w:val="28"/>
                <w:vertAlign w:val="superscript"/>
                <w14:ligatures w14:val="standardContextual"/>
              </w:rPr>
              <w:t>a</w:t>
            </w:r>
            <w:proofErr w:type="spellEnd"/>
          </w:p>
        </w:tc>
      </w:tr>
      <w:tr w:rsidR="00C52476" w:rsidRPr="007A575C" w:rsidTr="0000364F">
        <w:trPr>
          <w:cantSplit/>
        </w:trPr>
        <w:tc>
          <w:tcPr>
            <w:tcW w:w="2060" w:type="dxa"/>
            <w:gridSpan w:val="2"/>
            <w:vMerge w:val="restart"/>
            <w:tcBorders>
              <w:top w:val="nil"/>
              <w:left w:val="nil"/>
              <w:bottom w:val="nil"/>
              <w:right w:val="nil"/>
            </w:tcBorders>
            <w:shd w:val="clear" w:color="auto" w:fill="FFFFFF"/>
            <w:vAlign w:val="bottom"/>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Model</w:t>
            </w:r>
          </w:p>
        </w:tc>
        <w:tc>
          <w:tcPr>
            <w:tcW w:w="2520" w:type="dxa"/>
            <w:gridSpan w:val="2"/>
            <w:tcBorders>
              <w:top w:val="nil"/>
              <w:left w:val="nil"/>
              <w:bottom w:val="nil"/>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Unstandardized Coefficients</w:t>
            </w:r>
          </w:p>
        </w:tc>
        <w:tc>
          <w:tcPr>
            <w:tcW w:w="1710" w:type="dxa"/>
            <w:tcBorders>
              <w:top w:val="nil"/>
              <w:left w:val="single" w:sz="8" w:space="0" w:color="E0E0E0"/>
              <w:bottom w:val="nil"/>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Standardized Coefficients</w:t>
            </w:r>
          </w:p>
        </w:tc>
        <w:tc>
          <w:tcPr>
            <w:tcW w:w="990" w:type="dxa"/>
            <w:vMerge w:val="restart"/>
            <w:tcBorders>
              <w:top w:val="nil"/>
              <w:left w:val="single" w:sz="8" w:space="0" w:color="E0E0E0"/>
              <w:bottom w:val="nil"/>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t</w:t>
            </w:r>
          </w:p>
        </w:tc>
        <w:tc>
          <w:tcPr>
            <w:tcW w:w="1080" w:type="dxa"/>
            <w:vMerge w:val="restart"/>
            <w:tcBorders>
              <w:top w:val="nil"/>
              <w:left w:val="single" w:sz="8" w:space="0" w:color="E0E0E0"/>
              <w:bottom w:val="nil"/>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Sig.</w:t>
            </w:r>
          </w:p>
        </w:tc>
        <w:tc>
          <w:tcPr>
            <w:tcW w:w="2160" w:type="dxa"/>
            <w:gridSpan w:val="2"/>
            <w:tcBorders>
              <w:top w:val="nil"/>
              <w:left w:val="single" w:sz="8" w:space="0" w:color="E0E0E0"/>
              <w:bottom w:val="nil"/>
              <w:right w:val="nil"/>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Collinearity Statistics</w:t>
            </w:r>
          </w:p>
        </w:tc>
      </w:tr>
      <w:tr w:rsidR="00C52476" w:rsidRPr="007A575C" w:rsidTr="0000364F">
        <w:trPr>
          <w:cantSplit/>
        </w:trPr>
        <w:tc>
          <w:tcPr>
            <w:tcW w:w="2060" w:type="dxa"/>
            <w:gridSpan w:val="2"/>
            <w:vMerge/>
            <w:tcBorders>
              <w:top w:val="nil"/>
              <w:left w:val="nil"/>
              <w:bottom w:val="nil"/>
              <w:right w:val="nil"/>
            </w:tcBorders>
            <w:shd w:val="clear" w:color="auto" w:fill="FFFFFF"/>
            <w:vAlign w:val="bottom"/>
          </w:tcPr>
          <w:p w:rsidR="00C52476" w:rsidRPr="007A575C" w:rsidRDefault="00C52476" w:rsidP="0000364F">
            <w:pPr>
              <w:autoSpaceDE w:val="0"/>
              <w:autoSpaceDN w:val="0"/>
              <w:adjustRightInd w:val="0"/>
              <w:spacing w:after="0" w:line="240" w:lineRule="auto"/>
              <w:rPr>
                <w:rFonts w:ascii="Arial" w:eastAsiaTheme="minorHAnsi" w:hAnsi="Arial" w:cs="Arial"/>
                <w:color w:val="264A60"/>
                <w:sz w:val="24"/>
                <w:szCs w:val="24"/>
                <w14:ligatures w14:val="standardContextual"/>
              </w:rPr>
            </w:pPr>
          </w:p>
        </w:tc>
        <w:tc>
          <w:tcPr>
            <w:tcW w:w="1170" w:type="dxa"/>
            <w:tcBorders>
              <w:top w:val="nil"/>
              <w:left w:val="nil"/>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B</w:t>
            </w:r>
          </w:p>
        </w:tc>
        <w:tc>
          <w:tcPr>
            <w:tcW w:w="1350"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Std. Error</w:t>
            </w:r>
          </w:p>
        </w:tc>
        <w:tc>
          <w:tcPr>
            <w:tcW w:w="1710"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Beta</w:t>
            </w:r>
          </w:p>
        </w:tc>
        <w:tc>
          <w:tcPr>
            <w:tcW w:w="990" w:type="dxa"/>
            <w:vMerge/>
            <w:tcBorders>
              <w:top w:val="nil"/>
              <w:left w:val="single" w:sz="8" w:space="0" w:color="E0E0E0"/>
              <w:bottom w:val="nil"/>
              <w:right w:val="single" w:sz="8" w:space="0" w:color="E0E0E0"/>
            </w:tcBorders>
            <w:shd w:val="clear" w:color="auto" w:fill="FFFFFF"/>
            <w:vAlign w:val="bottom"/>
          </w:tcPr>
          <w:p w:rsidR="00C52476" w:rsidRPr="007A575C" w:rsidRDefault="00C52476" w:rsidP="0000364F">
            <w:pPr>
              <w:autoSpaceDE w:val="0"/>
              <w:autoSpaceDN w:val="0"/>
              <w:adjustRightInd w:val="0"/>
              <w:spacing w:after="0" w:line="240" w:lineRule="auto"/>
              <w:rPr>
                <w:rFonts w:ascii="Arial" w:eastAsiaTheme="minorHAnsi" w:hAnsi="Arial" w:cs="Arial"/>
                <w:color w:val="264A60"/>
                <w:sz w:val="24"/>
                <w:szCs w:val="24"/>
                <w14:ligatures w14:val="standardContextual"/>
              </w:rPr>
            </w:pPr>
          </w:p>
        </w:tc>
        <w:tc>
          <w:tcPr>
            <w:tcW w:w="1080" w:type="dxa"/>
            <w:vMerge/>
            <w:tcBorders>
              <w:top w:val="nil"/>
              <w:left w:val="single" w:sz="8" w:space="0" w:color="E0E0E0"/>
              <w:bottom w:val="nil"/>
              <w:right w:val="single" w:sz="8" w:space="0" w:color="E0E0E0"/>
            </w:tcBorders>
            <w:shd w:val="clear" w:color="auto" w:fill="FFFFFF"/>
            <w:vAlign w:val="bottom"/>
          </w:tcPr>
          <w:p w:rsidR="00C52476" w:rsidRPr="007A575C" w:rsidRDefault="00C52476" w:rsidP="0000364F">
            <w:pPr>
              <w:autoSpaceDE w:val="0"/>
              <w:autoSpaceDN w:val="0"/>
              <w:adjustRightInd w:val="0"/>
              <w:spacing w:after="0" w:line="240" w:lineRule="auto"/>
              <w:rPr>
                <w:rFonts w:ascii="Arial" w:eastAsiaTheme="minorHAnsi" w:hAnsi="Arial" w:cs="Arial"/>
                <w:color w:val="264A60"/>
                <w:sz w:val="24"/>
                <w:szCs w:val="24"/>
                <w14:ligatures w14:val="standardContextual"/>
              </w:rPr>
            </w:pPr>
          </w:p>
        </w:tc>
        <w:tc>
          <w:tcPr>
            <w:tcW w:w="1350" w:type="dxa"/>
            <w:tcBorders>
              <w:top w:val="nil"/>
              <w:left w:val="single" w:sz="8" w:space="0" w:color="E0E0E0"/>
              <w:bottom w:val="single" w:sz="8" w:space="0" w:color="152935"/>
              <w:right w:val="single" w:sz="8" w:space="0" w:color="E0E0E0"/>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Tolerance</w:t>
            </w:r>
          </w:p>
        </w:tc>
        <w:tc>
          <w:tcPr>
            <w:tcW w:w="810" w:type="dxa"/>
            <w:tcBorders>
              <w:top w:val="nil"/>
              <w:left w:val="single" w:sz="8" w:space="0" w:color="E0E0E0"/>
              <w:bottom w:val="single" w:sz="8" w:space="0" w:color="152935"/>
              <w:right w:val="nil"/>
            </w:tcBorders>
            <w:shd w:val="clear" w:color="auto" w:fill="FFFFFF"/>
            <w:vAlign w:val="bottom"/>
          </w:tcPr>
          <w:p w:rsidR="00C52476" w:rsidRPr="007A575C" w:rsidRDefault="00C52476" w:rsidP="0000364F">
            <w:pPr>
              <w:autoSpaceDE w:val="0"/>
              <w:autoSpaceDN w:val="0"/>
              <w:adjustRightInd w:val="0"/>
              <w:spacing w:after="0" w:line="320" w:lineRule="atLeast"/>
              <w:ind w:left="60" w:right="60"/>
              <w:jc w:val="center"/>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VIF</w:t>
            </w:r>
          </w:p>
        </w:tc>
      </w:tr>
      <w:tr w:rsidR="00C52476" w:rsidRPr="007A575C" w:rsidTr="0000364F">
        <w:trPr>
          <w:cantSplit/>
        </w:trPr>
        <w:tc>
          <w:tcPr>
            <w:tcW w:w="774" w:type="dxa"/>
            <w:vMerge w:val="restart"/>
            <w:tcBorders>
              <w:top w:val="single" w:sz="8" w:space="0" w:color="152935"/>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1</w:t>
            </w:r>
          </w:p>
        </w:tc>
        <w:tc>
          <w:tcPr>
            <w:tcW w:w="1286" w:type="dxa"/>
            <w:tcBorders>
              <w:top w:val="single" w:sz="8" w:space="0" w:color="152935"/>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(Constant)</w:t>
            </w:r>
          </w:p>
        </w:tc>
        <w:tc>
          <w:tcPr>
            <w:tcW w:w="1170" w:type="dxa"/>
            <w:tcBorders>
              <w:top w:val="single" w:sz="8" w:space="0" w:color="152935"/>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.360</w:t>
            </w:r>
          </w:p>
        </w:tc>
        <w:tc>
          <w:tcPr>
            <w:tcW w:w="1350" w:type="dxa"/>
            <w:tcBorders>
              <w:top w:val="single" w:sz="8" w:space="0" w:color="152935"/>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.481</w:t>
            </w:r>
          </w:p>
        </w:tc>
        <w:tc>
          <w:tcPr>
            <w:tcW w:w="1710" w:type="dxa"/>
            <w:tcBorders>
              <w:top w:val="single" w:sz="8" w:space="0" w:color="152935"/>
              <w:left w:val="single" w:sz="8" w:space="0" w:color="E0E0E0"/>
              <w:bottom w:val="single" w:sz="8" w:space="0" w:color="AEAEAE"/>
              <w:right w:val="single" w:sz="8" w:space="0" w:color="E0E0E0"/>
            </w:tcBorders>
            <w:shd w:val="clear" w:color="auto" w:fill="F9F9FB"/>
            <w:vAlign w:val="center"/>
          </w:tcPr>
          <w:p w:rsidR="00C52476" w:rsidRPr="007A575C" w:rsidRDefault="00C52476" w:rsidP="0000364F">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c>
        <w:tc>
          <w:tcPr>
            <w:tcW w:w="990" w:type="dxa"/>
            <w:tcBorders>
              <w:top w:val="single" w:sz="8" w:space="0" w:color="152935"/>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.748</w:t>
            </w:r>
          </w:p>
        </w:tc>
        <w:tc>
          <w:tcPr>
            <w:tcW w:w="1080" w:type="dxa"/>
            <w:tcBorders>
              <w:top w:val="single" w:sz="8" w:space="0" w:color="152935"/>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.458</w:t>
            </w:r>
          </w:p>
        </w:tc>
        <w:tc>
          <w:tcPr>
            <w:tcW w:w="1350" w:type="dxa"/>
            <w:tcBorders>
              <w:top w:val="single" w:sz="8" w:space="0" w:color="152935"/>
              <w:left w:val="single" w:sz="8" w:space="0" w:color="E0E0E0"/>
              <w:bottom w:val="single" w:sz="8" w:space="0" w:color="AEAEAE"/>
              <w:right w:val="single" w:sz="8" w:space="0" w:color="E0E0E0"/>
            </w:tcBorders>
            <w:shd w:val="clear" w:color="auto" w:fill="F9F9FB"/>
            <w:vAlign w:val="center"/>
          </w:tcPr>
          <w:p w:rsidR="00C52476" w:rsidRPr="007A575C" w:rsidRDefault="00C52476" w:rsidP="0000364F">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c>
        <w:tc>
          <w:tcPr>
            <w:tcW w:w="810" w:type="dxa"/>
            <w:tcBorders>
              <w:top w:val="single" w:sz="8" w:space="0" w:color="152935"/>
              <w:left w:val="single" w:sz="8" w:space="0" w:color="E0E0E0"/>
              <w:bottom w:val="single" w:sz="8" w:space="0" w:color="AEAEAE"/>
              <w:right w:val="nil"/>
            </w:tcBorders>
            <w:shd w:val="clear" w:color="auto" w:fill="F9F9FB"/>
            <w:vAlign w:val="center"/>
          </w:tcPr>
          <w:p w:rsidR="00C52476" w:rsidRPr="007A575C" w:rsidRDefault="00C52476" w:rsidP="0000364F">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c>
      </w:tr>
      <w:tr w:rsidR="00C52476" w:rsidRPr="007A575C" w:rsidTr="0000364F">
        <w:trPr>
          <w:cantSplit/>
        </w:trPr>
        <w:tc>
          <w:tcPr>
            <w:tcW w:w="774" w:type="dxa"/>
            <w:vMerge/>
            <w:tcBorders>
              <w:top w:val="single" w:sz="8" w:space="0" w:color="152935"/>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240" w:lineRule="auto"/>
              <w:rPr>
                <w:rFonts w:ascii="Times New Roman" w:eastAsiaTheme="minorHAnsi" w:hAnsi="Times New Roman" w:cs="Times New Roman"/>
                <w:sz w:val="24"/>
                <w:szCs w:val="24"/>
                <w14:ligatures w14:val="standardContextual"/>
              </w:rPr>
            </w:pPr>
          </w:p>
        </w:tc>
        <w:tc>
          <w:tcPr>
            <w:tcW w:w="1286"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PDRQ_MEAN</w:t>
            </w:r>
          </w:p>
        </w:tc>
        <w:tc>
          <w:tcPr>
            <w:tcW w:w="1170"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.502</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.131</w:t>
            </w:r>
          </w:p>
        </w:tc>
        <w:tc>
          <w:tcPr>
            <w:tcW w:w="171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.485</w:t>
            </w:r>
          </w:p>
        </w:tc>
        <w:tc>
          <w:tcPr>
            <w:tcW w:w="99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3.826</w:t>
            </w:r>
          </w:p>
        </w:tc>
        <w:tc>
          <w:tcPr>
            <w:tcW w:w="108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&lt;.001</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.446</w:t>
            </w:r>
          </w:p>
        </w:tc>
        <w:tc>
          <w:tcPr>
            <w:tcW w:w="810"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2.242</w:t>
            </w:r>
          </w:p>
        </w:tc>
      </w:tr>
      <w:tr w:rsidR="00C52476" w:rsidRPr="007A575C" w:rsidTr="0000364F">
        <w:trPr>
          <w:cantSplit/>
        </w:trPr>
        <w:tc>
          <w:tcPr>
            <w:tcW w:w="774" w:type="dxa"/>
            <w:vMerge/>
            <w:tcBorders>
              <w:top w:val="single" w:sz="8" w:space="0" w:color="152935"/>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240" w:lineRule="auto"/>
              <w:rPr>
                <w:rFonts w:ascii="Arial" w:eastAsiaTheme="minorHAnsi" w:hAnsi="Arial" w:cs="Arial"/>
                <w:color w:val="010205"/>
                <w:sz w:val="24"/>
                <w:szCs w:val="24"/>
                <w14:ligatures w14:val="standardContextual"/>
              </w:rPr>
            </w:pPr>
          </w:p>
        </w:tc>
        <w:tc>
          <w:tcPr>
            <w:tcW w:w="1286"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PF_MEAN</w:t>
            </w:r>
          </w:p>
        </w:tc>
        <w:tc>
          <w:tcPr>
            <w:tcW w:w="1170"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.317</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.138</w:t>
            </w:r>
          </w:p>
        </w:tc>
        <w:tc>
          <w:tcPr>
            <w:tcW w:w="171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.283</w:t>
            </w:r>
          </w:p>
        </w:tc>
        <w:tc>
          <w:tcPr>
            <w:tcW w:w="99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2.297</w:t>
            </w:r>
          </w:p>
        </w:tc>
        <w:tc>
          <w:tcPr>
            <w:tcW w:w="108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.026</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.471</w:t>
            </w:r>
          </w:p>
        </w:tc>
        <w:tc>
          <w:tcPr>
            <w:tcW w:w="810"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2.123</w:t>
            </w:r>
          </w:p>
        </w:tc>
      </w:tr>
      <w:tr w:rsidR="00C52476" w:rsidRPr="007A575C" w:rsidTr="0000364F">
        <w:trPr>
          <w:cantSplit/>
        </w:trPr>
        <w:tc>
          <w:tcPr>
            <w:tcW w:w="774" w:type="dxa"/>
            <w:vMerge/>
            <w:tcBorders>
              <w:top w:val="single" w:sz="8" w:space="0" w:color="152935"/>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240" w:lineRule="auto"/>
              <w:rPr>
                <w:rFonts w:ascii="Arial" w:eastAsiaTheme="minorHAnsi" w:hAnsi="Arial" w:cs="Arial"/>
                <w:color w:val="010205"/>
                <w:sz w:val="24"/>
                <w:szCs w:val="24"/>
                <w14:ligatures w14:val="standardContextual"/>
              </w:rPr>
            </w:pPr>
          </w:p>
        </w:tc>
        <w:tc>
          <w:tcPr>
            <w:tcW w:w="1286" w:type="dxa"/>
            <w:tcBorders>
              <w:top w:val="single" w:sz="8" w:space="0" w:color="AEAEAE"/>
              <w:left w:val="nil"/>
              <w:bottom w:val="single" w:sz="8" w:space="0" w:color="AEAEAE"/>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FC_MEAN</w:t>
            </w:r>
          </w:p>
        </w:tc>
        <w:tc>
          <w:tcPr>
            <w:tcW w:w="1170" w:type="dxa"/>
            <w:tcBorders>
              <w:top w:val="single" w:sz="8" w:space="0" w:color="AEAEAE"/>
              <w:left w:val="nil"/>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-.134</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.060</w:t>
            </w:r>
          </w:p>
        </w:tc>
        <w:tc>
          <w:tcPr>
            <w:tcW w:w="171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-.199</w:t>
            </w:r>
          </w:p>
        </w:tc>
        <w:tc>
          <w:tcPr>
            <w:tcW w:w="99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-2.213</w:t>
            </w:r>
          </w:p>
        </w:tc>
        <w:tc>
          <w:tcPr>
            <w:tcW w:w="108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.032</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.883</w:t>
            </w:r>
          </w:p>
        </w:tc>
        <w:tc>
          <w:tcPr>
            <w:tcW w:w="810" w:type="dxa"/>
            <w:tcBorders>
              <w:top w:val="single" w:sz="8" w:space="0" w:color="AEAEAE"/>
              <w:left w:val="single" w:sz="8" w:space="0" w:color="E0E0E0"/>
              <w:bottom w:val="single" w:sz="8" w:space="0" w:color="AEAEAE"/>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1.132</w:t>
            </w:r>
          </w:p>
        </w:tc>
      </w:tr>
      <w:tr w:rsidR="00C52476" w:rsidRPr="007A575C" w:rsidTr="0000364F">
        <w:trPr>
          <w:cantSplit/>
        </w:trPr>
        <w:tc>
          <w:tcPr>
            <w:tcW w:w="774" w:type="dxa"/>
            <w:vMerge/>
            <w:tcBorders>
              <w:top w:val="single" w:sz="8" w:space="0" w:color="152935"/>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240" w:lineRule="auto"/>
              <w:rPr>
                <w:rFonts w:ascii="Arial" w:eastAsiaTheme="minorHAnsi" w:hAnsi="Arial" w:cs="Arial"/>
                <w:color w:val="010205"/>
                <w:sz w:val="24"/>
                <w:szCs w:val="24"/>
                <w14:ligatures w14:val="standardContextual"/>
              </w:rPr>
            </w:pPr>
          </w:p>
        </w:tc>
        <w:tc>
          <w:tcPr>
            <w:tcW w:w="1286" w:type="dxa"/>
            <w:tcBorders>
              <w:top w:val="single" w:sz="8" w:space="0" w:color="AEAEAE"/>
              <w:left w:val="nil"/>
              <w:bottom w:val="single" w:sz="8" w:space="0" w:color="152935"/>
              <w:right w:val="nil"/>
            </w:tcBorders>
            <w:shd w:val="clear" w:color="auto" w:fill="E0E0E0"/>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264A60"/>
                <w:sz w:val="24"/>
                <w:szCs w:val="24"/>
                <w14:ligatures w14:val="standardContextual"/>
              </w:rPr>
            </w:pPr>
            <w:r w:rsidRPr="007A575C">
              <w:rPr>
                <w:rFonts w:ascii="Arial" w:eastAsiaTheme="minorHAnsi" w:hAnsi="Arial" w:cs="Arial"/>
                <w:color w:val="264A60"/>
                <w:sz w:val="24"/>
                <w:szCs w:val="24"/>
                <w14:ligatures w14:val="standardContextual"/>
              </w:rPr>
              <w:t>DPL_MEAN</w:t>
            </w:r>
          </w:p>
        </w:tc>
        <w:tc>
          <w:tcPr>
            <w:tcW w:w="1170" w:type="dxa"/>
            <w:tcBorders>
              <w:top w:val="single" w:sz="8" w:space="0" w:color="AEAEAE"/>
              <w:left w:val="nil"/>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.237</w:t>
            </w:r>
          </w:p>
        </w:tc>
        <w:tc>
          <w:tcPr>
            <w:tcW w:w="1350"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.091</w:t>
            </w:r>
          </w:p>
        </w:tc>
        <w:tc>
          <w:tcPr>
            <w:tcW w:w="1710"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.247</w:t>
            </w:r>
          </w:p>
        </w:tc>
        <w:tc>
          <w:tcPr>
            <w:tcW w:w="990"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2.613</w:t>
            </w:r>
          </w:p>
        </w:tc>
        <w:tc>
          <w:tcPr>
            <w:tcW w:w="1080"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.012</w:t>
            </w:r>
          </w:p>
        </w:tc>
        <w:tc>
          <w:tcPr>
            <w:tcW w:w="1350" w:type="dxa"/>
            <w:tcBorders>
              <w:top w:val="single" w:sz="8" w:space="0" w:color="AEAEAE"/>
              <w:left w:val="single" w:sz="8" w:space="0" w:color="E0E0E0"/>
              <w:bottom w:val="single" w:sz="8" w:space="0" w:color="152935"/>
              <w:right w:val="single" w:sz="8" w:space="0" w:color="E0E0E0"/>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.802</w:t>
            </w:r>
          </w:p>
        </w:tc>
        <w:tc>
          <w:tcPr>
            <w:tcW w:w="810" w:type="dxa"/>
            <w:tcBorders>
              <w:top w:val="single" w:sz="8" w:space="0" w:color="AEAEAE"/>
              <w:left w:val="single" w:sz="8" w:space="0" w:color="E0E0E0"/>
              <w:bottom w:val="single" w:sz="8" w:space="0" w:color="152935"/>
              <w:right w:val="nil"/>
            </w:tcBorders>
            <w:shd w:val="clear" w:color="auto" w:fill="F9F9FB"/>
          </w:tcPr>
          <w:p w:rsidR="00C52476" w:rsidRPr="007A575C" w:rsidRDefault="00C52476" w:rsidP="0000364F">
            <w:pPr>
              <w:autoSpaceDE w:val="0"/>
              <w:autoSpaceDN w:val="0"/>
              <w:adjustRightInd w:val="0"/>
              <w:spacing w:after="0" w:line="320" w:lineRule="atLeast"/>
              <w:ind w:left="60" w:right="60"/>
              <w:jc w:val="right"/>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1.247</w:t>
            </w:r>
          </w:p>
        </w:tc>
      </w:tr>
      <w:tr w:rsidR="00C52476" w:rsidRPr="007A575C" w:rsidTr="0000364F">
        <w:trPr>
          <w:cantSplit/>
        </w:trPr>
        <w:tc>
          <w:tcPr>
            <w:tcW w:w="10520" w:type="dxa"/>
            <w:gridSpan w:val="9"/>
            <w:tcBorders>
              <w:top w:val="nil"/>
              <w:left w:val="nil"/>
              <w:bottom w:val="nil"/>
              <w:right w:val="nil"/>
            </w:tcBorders>
            <w:shd w:val="clear" w:color="auto" w:fill="FFFFFF"/>
          </w:tcPr>
          <w:p w:rsidR="00C52476" w:rsidRPr="007A575C" w:rsidRDefault="00C52476" w:rsidP="0000364F">
            <w:pPr>
              <w:autoSpaceDE w:val="0"/>
              <w:autoSpaceDN w:val="0"/>
              <w:adjustRightInd w:val="0"/>
              <w:spacing w:after="0" w:line="320" w:lineRule="atLeast"/>
              <w:ind w:left="60" w:right="60"/>
              <w:rPr>
                <w:rFonts w:ascii="Arial" w:eastAsiaTheme="minorHAnsi" w:hAnsi="Arial" w:cs="Arial"/>
                <w:color w:val="010205"/>
                <w:sz w:val="24"/>
                <w:szCs w:val="24"/>
                <w14:ligatures w14:val="standardContextual"/>
              </w:rPr>
            </w:pPr>
            <w:r w:rsidRPr="007A575C">
              <w:rPr>
                <w:rFonts w:ascii="Arial" w:eastAsiaTheme="minorHAnsi" w:hAnsi="Arial" w:cs="Arial"/>
                <w:color w:val="010205"/>
                <w:sz w:val="24"/>
                <w:szCs w:val="24"/>
                <w14:ligatures w14:val="standardContextual"/>
              </w:rPr>
              <w:t>a. Dependent Variable: CT_MEAN</w:t>
            </w:r>
          </w:p>
        </w:tc>
      </w:tr>
    </w:tbl>
    <w:p w:rsidR="00C52476" w:rsidRPr="007A575C" w:rsidRDefault="00C52476" w:rsidP="00C52476">
      <w:pPr>
        <w:autoSpaceDE w:val="0"/>
        <w:autoSpaceDN w:val="0"/>
        <w:adjustRightInd w:val="0"/>
        <w:spacing w:after="0" w:line="400" w:lineRule="atLeast"/>
        <w:rPr>
          <w:rFonts w:ascii="Times New Roman" w:eastAsiaTheme="minorHAnsi" w:hAnsi="Times New Roman" w:cs="Times New Roman"/>
          <w:sz w:val="24"/>
          <w:szCs w:val="24"/>
          <w14:ligatures w14:val="standardContextual"/>
        </w:rPr>
      </w:pPr>
    </w:p>
    <w:p w:rsidR="00C52476" w:rsidRDefault="00C52476" w:rsidP="00C52476">
      <w:r>
        <w:rPr>
          <w:noProof/>
          <w14:ligatures w14:val="standardContextual"/>
        </w:rPr>
        <w:lastRenderedPageBreak/>
        <w:drawing>
          <wp:inline distT="0" distB="0" distL="0" distR="0" wp14:anchorId="13B62B98" wp14:editId="4EB3169F">
            <wp:extent cx="4572000" cy="2743200"/>
            <wp:effectExtent l="0" t="0" r="12700" b="12700"/>
            <wp:docPr id="129958446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C52476" w:rsidRDefault="00C52476" w:rsidP="00C52476"/>
    <w:p w:rsidR="00C52476" w:rsidRDefault="00C52476" w:rsidP="00C52476">
      <w:r>
        <w:rPr>
          <w:noProof/>
          <w14:ligatures w14:val="standardContextual"/>
        </w:rPr>
        <w:drawing>
          <wp:inline distT="0" distB="0" distL="0" distR="0" wp14:anchorId="4777B8A3" wp14:editId="56F32E1D">
            <wp:extent cx="4572000" cy="2743200"/>
            <wp:effectExtent l="0" t="0" r="12700" b="12700"/>
            <wp:docPr id="60147264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52476" w:rsidRDefault="00C52476" w:rsidP="00C52476">
      <w:pPr>
        <w:pStyle w:val="Heading2"/>
        <w:rPr>
          <w:rFonts w:ascii="Times New Roman" w:eastAsia="Times New Roman" w:hAnsi="Times New Roman"/>
          <w:sz w:val="27"/>
          <w:szCs w:val="27"/>
        </w:rPr>
      </w:pPr>
      <w:bookmarkStart w:id="47" w:name="_Toc238592663"/>
      <w:r>
        <w:t>Appendix D — PROCESS Model 4: Mediation Analysis</w:t>
      </w:r>
      <w:bookmarkEnd w:id="47"/>
    </w:p>
    <w:p w:rsidR="00C5247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PROCESS Procedure for SPSS Version 5.0 *****************</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Written by Andrew F. Hayes, Ph.D.       www.afhayes.com</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Documentation available in Hayes (2022). www.guilford.com/p/hayes3</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Model: 4</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Y: CT_MEAN</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lastRenderedPageBreak/>
        <w:t xml:space="preserve">      X: PDRQ_M</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M: PF_MEAN</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Sample</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Size:  49</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Variable descriptive statistics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CT_MEAN     PDRQ_M    PF_MEAN</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Mean     4.0850     3.9569     4.1565</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SD        .6209      .6000      .5553</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Min      2.3333     1.7778     2.0000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Max      5.0000     4.8889     5.0000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Variable intercorrelations (Pearson r)</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CT_MEAN     PDRQ_M    PF_MEAN</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CT_MEAN     1.0000      .7194      .7075</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PDRQ_M       .7194     1.0000      .7004</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PF_MEAN      .7075      .7004     1.0000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OUTCOME VARIABLE:</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PF_MEAN</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Model Summary</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R       R-sq        MSE     F(HC3)        df1        df2          p</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.7004      .4906      .1604    15.0650     1.0000    47.0000      .0003</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Model</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coeff</w:t>
      </w:r>
      <w:proofErr w:type="spellEnd"/>
      <w:r w:rsidRPr="007A575C">
        <w:rPr>
          <w:rFonts w:ascii="Courier New" w:eastAsiaTheme="minorHAnsi" w:hAnsi="Courier New" w:cs="Courier New"/>
          <w:color w:val="000000"/>
          <w:sz w:val="24"/>
          <w:szCs w:val="24"/>
          <w14:ligatures w14:val="standardContextual"/>
        </w:rPr>
        <w:t xml:space="preserve">    </w:t>
      </w:r>
      <w:proofErr w:type="gramStart"/>
      <w:r w:rsidRPr="007A575C">
        <w:rPr>
          <w:rFonts w:ascii="Courier New" w:eastAsiaTheme="minorHAnsi" w:hAnsi="Courier New" w:cs="Courier New"/>
          <w:color w:val="000000"/>
          <w:sz w:val="24"/>
          <w:szCs w:val="24"/>
          <w14:ligatures w14:val="standardContextual"/>
        </w:rPr>
        <w:t>se(</w:t>
      </w:r>
      <w:proofErr w:type="gramEnd"/>
      <w:r w:rsidRPr="007A575C">
        <w:rPr>
          <w:rFonts w:ascii="Courier New" w:eastAsiaTheme="minorHAnsi" w:hAnsi="Courier New" w:cs="Courier New"/>
          <w:color w:val="000000"/>
          <w:sz w:val="24"/>
          <w:szCs w:val="24"/>
          <w14:ligatures w14:val="standardContextual"/>
        </w:rPr>
        <w:t>HC3)          t          p       LLCI       ULCI</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constant     1.5916      .6943     2.2924      .0264      .1948     2.9883</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PDRQ_M        .6482      .1670     3.8814      .0003      .3122      .9842</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Some regression diagnostics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Min.       Max.</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fitted       2.7439     4.7606</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residual     -.9683      .8918</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t-</w:t>
      </w:r>
      <w:proofErr w:type="spellStart"/>
      <w:r w:rsidRPr="007A575C">
        <w:rPr>
          <w:rFonts w:ascii="Courier New" w:eastAsiaTheme="minorHAnsi" w:hAnsi="Courier New" w:cs="Courier New"/>
          <w:color w:val="000000"/>
          <w:sz w:val="24"/>
          <w:szCs w:val="24"/>
          <w14:ligatures w14:val="standardContextual"/>
        </w:rPr>
        <w:t>resid</w:t>
      </w:r>
      <w:proofErr w:type="spellEnd"/>
      <w:r w:rsidRPr="007A575C">
        <w:rPr>
          <w:rFonts w:ascii="Courier New" w:eastAsiaTheme="minorHAnsi" w:hAnsi="Courier New" w:cs="Courier New"/>
          <w:color w:val="000000"/>
          <w:sz w:val="24"/>
          <w:szCs w:val="24"/>
          <w14:ligatures w14:val="standardContextual"/>
        </w:rPr>
        <w:t xml:space="preserve">     -2.5936     2.4138</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Shape of residuals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Skewness   Kurtosis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lastRenderedPageBreak/>
        <w:t>Value     -.1116      .5010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se         .3398      .6681</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Bonferroni-corrected p for largest t-residual</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t-</w:t>
      </w:r>
      <w:proofErr w:type="spellStart"/>
      <w:r w:rsidRPr="007A575C">
        <w:rPr>
          <w:rFonts w:ascii="Courier New" w:eastAsiaTheme="minorHAnsi" w:hAnsi="Courier New" w:cs="Courier New"/>
          <w:color w:val="000000"/>
          <w:sz w:val="24"/>
          <w:szCs w:val="24"/>
          <w14:ligatures w14:val="standardContextual"/>
        </w:rPr>
        <w:t>resid</w:t>
      </w:r>
      <w:proofErr w:type="spellEnd"/>
      <w:r w:rsidRPr="007A575C">
        <w:rPr>
          <w:rFonts w:ascii="Courier New" w:eastAsiaTheme="minorHAnsi" w:hAnsi="Courier New" w:cs="Courier New"/>
          <w:color w:val="000000"/>
          <w:sz w:val="24"/>
          <w:szCs w:val="24"/>
          <w14:ligatures w14:val="standardContextual"/>
        </w:rPr>
        <w:t xml:space="preserve">    p-value    </w:t>
      </w:r>
      <w:proofErr w:type="spellStart"/>
      <w:r w:rsidRPr="007A575C">
        <w:rPr>
          <w:rFonts w:ascii="Courier New" w:eastAsiaTheme="minorHAnsi" w:hAnsi="Courier New" w:cs="Courier New"/>
          <w:color w:val="000000"/>
          <w:sz w:val="24"/>
          <w:szCs w:val="24"/>
          <w14:ligatures w14:val="standardContextual"/>
        </w:rPr>
        <w:t>casenum</w:t>
      </w:r>
      <w:proofErr w:type="spellEnd"/>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-2.5936      .6220    10.0000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Most influential observations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casenum</w:t>
      </w:r>
      <w:proofErr w:type="spellEnd"/>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dfbeta</w:t>
      </w:r>
      <w:proofErr w:type="spellEnd"/>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constant    11.0000     -.5483</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PDRQ_M      11.0000      .1331</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Variable tolerance and VIF</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Tol.        VIF</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PDRQ_M     1.0000     1.0000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Breusch-Pagan test of heteroskedasticity</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Chi-sq         </w:t>
      </w:r>
      <w:proofErr w:type="spellStart"/>
      <w:r w:rsidRPr="007A575C">
        <w:rPr>
          <w:rFonts w:ascii="Courier New" w:eastAsiaTheme="minorHAnsi" w:hAnsi="Courier New" w:cs="Courier New"/>
          <w:color w:val="000000"/>
          <w:sz w:val="24"/>
          <w:szCs w:val="24"/>
          <w14:ligatures w14:val="standardContextual"/>
        </w:rPr>
        <w:t>df</w:t>
      </w:r>
      <w:proofErr w:type="spellEnd"/>
      <w:r w:rsidRPr="007A575C">
        <w:rPr>
          <w:rFonts w:ascii="Courier New" w:eastAsiaTheme="minorHAnsi" w:hAnsi="Courier New" w:cs="Courier New"/>
          <w:color w:val="000000"/>
          <w:sz w:val="24"/>
          <w:szCs w:val="24"/>
          <w14:ligatures w14:val="standardContextual"/>
        </w:rPr>
        <w:t xml:space="preserve">          p</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Normal    10.5842     1.0000      .0011</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Robust     9.0801     1.0000      .0026</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OUTCOME VARIABLE:</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CT_MEAN</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Model Summary</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R       R-sq        MSE     F(HC3)        df1        df2          p</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.7739      .5989      .1614    28.7864     2.0000    46.0000      .0000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Model</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coeff</w:t>
      </w:r>
      <w:proofErr w:type="spellEnd"/>
      <w:r w:rsidRPr="007A575C">
        <w:rPr>
          <w:rFonts w:ascii="Courier New" w:eastAsiaTheme="minorHAnsi" w:hAnsi="Courier New" w:cs="Courier New"/>
          <w:color w:val="000000"/>
          <w:sz w:val="24"/>
          <w:szCs w:val="24"/>
          <w14:ligatures w14:val="standardContextual"/>
        </w:rPr>
        <w:t xml:space="preserve">    </w:t>
      </w:r>
      <w:proofErr w:type="gramStart"/>
      <w:r w:rsidRPr="007A575C">
        <w:rPr>
          <w:rFonts w:ascii="Courier New" w:eastAsiaTheme="minorHAnsi" w:hAnsi="Courier New" w:cs="Courier New"/>
          <w:color w:val="000000"/>
          <w:sz w:val="24"/>
          <w:szCs w:val="24"/>
          <w14:ligatures w14:val="standardContextual"/>
        </w:rPr>
        <w:t>se(</w:t>
      </w:r>
      <w:proofErr w:type="gramEnd"/>
      <w:r w:rsidRPr="007A575C">
        <w:rPr>
          <w:rFonts w:ascii="Courier New" w:eastAsiaTheme="minorHAnsi" w:hAnsi="Courier New" w:cs="Courier New"/>
          <w:color w:val="000000"/>
          <w:sz w:val="24"/>
          <w:szCs w:val="24"/>
          <w14:ligatures w14:val="standardContextual"/>
        </w:rPr>
        <w:t>HC3)          t          p       LLCI       ULCI</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constant      .4277      .5852      .7309      .4686     -.7503     1.6057</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PDRQ_M        .4548      .2013     2.2593      .0286      .0496      .8600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PF_MEAN       .4470      .2594     1.7234      .0915     -.0751      .9690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Some regression diagnostics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Min.       Max.</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fitted       2.1301     4.8859</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residual    -1.1028      .9627</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lastRenderedPageBreak/>
        <w:t>t-</w:t>
      </w:r>
      <w:proofErr w:type="spellStart"/>
      <w:r w:rsidRPr="007A575C">
        <w:rPr>
          <w:rFonts w:ascii="Courier New" w:eastAsiaTheme="minorHAnsi" w:hAnsi="Courier New" w:cs="Courier New"/>
          <w:color w:val="000000"/>
          <w:sz w:val="24"/>
          <w:szCs w:val="24"/>
          <w14:ligatures w14:val="standardContextual"/>
        </w:rPr>
        <w:t>resid</w:t>
      </w:r>
      <w:proofErr w:type="spellEnd"/>
      <w:r w:rsidRPr="007A575C">
        <w:rPr>
          <w:rFonts w:ascii="Courier New" w:eastAsiaTheme="minorHAnsi" w:hAnsi="Courier New" w:cs="Courier New"/>
          <w:color w:val="000000"/>
          <w:sz w:val="24"/>
          <w:szCs w:val="24"/>
          <w14:ligatures w14:val="standardContextual"/>
        </w:rPr>
        <w:t xml:space="preserve">     -3.2772     2.6924</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Shape of residuals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Skewness   Kurtosis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Value     -.0808      .7497</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se         .3398      .6681</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Bonferroni-corrected p for largest t-residual</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t-</w:t>
      </w:r>
      <w:proofErr w:type="spellStart"/>
      <w:r w:rsidRPr="007A575C">
        <w:rPr>
          <w:rFonts w:ascii="Courier New" w:eastAsiaTheme="minorHAnsi" w:hAnsi="Courier New" w:cs="Courier New"/>
          <w:color w:val="000000"/>
          <w:sz w:val="24"/>
          <w:szCs w:val="24"/>
          <w14:ligatures w14:val="standardContextual"/>
        </w:rPr>
        <w:t>resid</w:t>
      </w:r>
      <w:proofErr w:type="spellEnd"/>
      <w:r w:rsidRPr="007A575C">
        <w:rPr>
          <w:rFonts w:ascii="Courier New" w:eastAsiaTheme="minorHAnsi" w:hAnsi="Courier New" w:cs="Courier New"/>
          <w:color w:val="000000"/>
          <w:sz w:val="24"/>
          <w:szCs w:val="24"/>
          <w14:ligatures w14:val="standardContextual"/>
        </w:rPr>
        <w:t xml:space="preserve">    p-value    </w:t>
      </w:r>
      <w:proofErr w:type="spellStart"/>
      <w:r w:rsidRPr="007A575C">
        <w:rPr>
          <w:rFonts w:ascii="Courier New" w:eastAsiaTheme="minorHAnsi" w:hAnsi="Courier New" w:cs="Courier New"/>
          <w:color w:val="000000"/>
          <w:sz w:val="24"/>
          <w:szCs w:val="24"/>
          <w14:ligatures w14:val="standardContextual"/>
        </w:rPr>
        <w:t>casenum</w:t>
      </w:r>
      <w:proofErr w:type="spellEnd"/>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-3.2772      .0992    10.0000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Most influential observations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casenum</w:t>
      </w:r>
      <w:proofErr w:type="spellEnd"/>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dfbeta</w:t>
      </w:r>
      <w:proofErr w:type="spellEnd"/>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constant    11.0000      .3963</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PDRQ_M      21.0000      .0908</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PF_MEAN     10.0000      .1665</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Variable tolerance and VIF</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Tol.        VIF</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PDRQ_M       .5094     1.9629</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PF_MEAN      .5094     1.9629</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Breusch-Pagan test of heteroskedasticity</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Chi-sq         </w:t>
      </w:r>
      <w:proofErr w:type="spellStart"/>
      <w:r w:rsidRPr="007A575C">
        <w:rPr>
          <w:rFonts w:ascii="Courier New" w:eastAsiaTheme="minorHAnsi" w:hAnsi="Courier New" w:cs="Courier New"/>
          <w:color w:val="000000"/>
          <w:sz w:val="24"/>
          <w:szCs w:val="24"/>
          <w14:ligatures w14:val="standardContextual"/>
        </w:rPr>
        <w:t>df</w:t>
      </w:r>
      <w:proofErr w:type="spellEnd"/>
      <w:r w:rsidRPr="007A575C">
        <w:rPr>
          <w:rFonts w:ascii="Courier New" w:eastAsiaTheme="minorHAnsi" w:hAnsi="Courier New" w:cs="Courier New"/>
          <w:color w:val="000000"/>
          <w:sz w:val="24"/>
          <w:szCs w:val="24"/>
          <w14:ligatures w14:val="standardContextual"/>
        </w:rPr>
        <w:t xml:space="preserve">          p</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Normal     4.9226     2.0000      .0853</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Robust     3.8528     2.0000      .1457</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DIRECT AND INDIRECT EFFECTS OF X ON Y ******************</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Direct effect of X on Y</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Effect    </w:t>
      </w:r>
      <w:proofErr w:type="gramStart"/>
      <w:r w:rsidRPr="007A575C">
        <w:rPr>
          <w:rFonts w:ascii="Courier New" w:eastAsiaTheme="minorHAnsi" w:hAnsi="Courier New" w:cs="Courier New"/>
          <w:color w:val="000000"/>
          <w:sz w:val="24"/>
          <w:szCs w:val="24"/>
          <w14:ligatures w14:val="standardContextual"/>
        </w:rPr>
        <w:t>se(</w:t>
      </w:r>
      <w:proofErr w:type="gramEnd"/>
      <w:r w:rsidRPr="007A575C">
        <w:rPr>
          <w:rFonts w:ascii="Courier New" w:eastAsiaTheme="minorHAnsi" w:hAnsi="Courier New" w:cs="Courier New"/>
          <w:color w:val="000000"/>
          <w:sz w:val="24"/>
          <w:szCs w:val="24"/>
          <w14:ligatures w14:val="standardContextual"/>
        </w:rPr>
        <w:t>HC3)          t          p       LLCI       ULCI</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.4548      .2013     2.2593      .0286      .0496      .8600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Indirect effect(s) of X on Y:</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Effect     </w:t>
      </w:r>
      <w:proofErr w:type="spellStart"/>
      <w:r w:rsidRPr="007A575C">
        <w:rPr>
          <w:rFonts w:ascii="Courier New" w:eastAsiaTheme="minorHAnsi" w:hAnsi="Courier New" w:cs="Courier New"/>
          <w:color w:val="000000"/>
          <w:sz w:val="24"/>
          <w:szCs w:val="24"/>
          <w14:ligatures w14:val="standardContextual"/>
        </w:rPr>
        <w:t>BootSE</w:t>
      </w:r>
      <w:proofErr w:type="spellEnd"/>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BootLLCI</w:t>
      </w:r>
      <w:proofErr w:type="spellEnd"/>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BootULCI</w:t>
      </w:r>
      <w:proofErr w:type="spellEnd"/>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PF_MEAN      .2897      .1699     -.0056      .6481</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Cases with greatest influence on indirect effect(s):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casenum</w:t>
      </w:r>
      <w:proofErr w:type="spellEnd"/>
      <w:r w:rsidRPr="007A575C">
        <w:rPr>
          <w:rFonts w:ascii="Courier New" w:eastAsiaTheme="minorHAnsi" w:hAnsi="Courier New" w:cs="Courier New"/>
          <w:color w:val="000000"/>
          <w:sz w:val="24"/>
          <w:szCs w:val="24"/>
          <w14:ligatures w14:val="standardContextual"/>
        </w:rPr>
        <w:t xml:space="preserve">     </w:t>
      </w:r>
      <w:proofErr w:type="spellStart"/>
      <w:r w:rsidRPr="007A575C">
        <w:rPr>
          <w:rFonts w:ascii="Courier New" w:eastAsiaTheme="minorHAnsi" w:hAnsi="Courier New" w:cs="Courier New"/>
          <w:color w:val="000000"/>
          <w:sz w:val="24"/>
          <w:szCs w:val="24"/>
          <w14:ligatures w14:val="standardContextual"/>
        </w:rPr>
        <w:t>dfb_ie</w:t>
      </w:r>
      <w:proofErr w:type="spellEnd"/>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PF_MEAN    10.0000      .1126</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ANALYSIS NOTES AND ERRORS ************************</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Level of confidence for all confidence intervals in output:</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95.0000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lastRenderedPageBreak/>
        <w:t>Number of bootstrap samples for percentile bootstrap confidence intervals:</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5000</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NOTE: A heteroskedasticity-consistent standard error and covariance matrix</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xml:space="preserve">      estimator was used.</w:t>
      </w: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7A575C"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7A575C">
        <w:rPr>
          <w:rFonts w:ascii="Courier New" w:eastAsiaTheme="minorHAnsi" w:hAnsi="Courier New" w:cs="Courier New"/>
          <w:color w:val="000000"/>
          <w:sz w:val="24"/>
          <w:szCs w:val="24"/>
          <w14:ligatures w14:val="standardContextual"/>
        </w:rPr>
        <w:t>------ END MATRIX -----</w:t>
      </w:r>
    </w:p>
    <w:p w:rsidR="00C52476" w:rsidRDefault="00C52476" w:rsidP="00C52476">
      <w:pPr>
        <w:pStyle w:val="Heading2"/>
        <w:rPr>
          <w:rFonts w:ascii="Times New Roman" w:eastAsia="Times New Roman" w:hAnsi="Times New Roman"/>
          <w:sz w:val="27"/>
          <w:szCs w:val="27"/>
        </w:rPr>
      </w:pPr>
      <w:bookmarkStart w:id="48" w:name="_Toc238592664"/>
      <w:r>
        <w:t>Appendix E — PROCESS Model 14: Moderated-Mediation Analysis</w:t>
      </w:r>
      <w:bookmarkEnd w:id="48"/>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PROCESS Procedure for SPSS Version 5.0 *****************</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Written by Andrew F. Hayes, Ph.D.       www.afhayes.com</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Documentation available in Hayes (2022). www.guilford.com/p/hayes3</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Model: 14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Y: CT_MEAN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X: PDRQ_M</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M: PF_MEAN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W: FC_MEAN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Sample</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Size:  49</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Variable descriptive statistics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CT_MEAN     PDRQ_M    PF_MEAN    FC_MEAN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Mean     4.0850     3.9569     4.1565     4.2245</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SD        .6209      .6000      .5553      .9264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Min      2.3333     1.7778     2.0000     2.1667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Max      5.0000     4.8889     5.0000     5.0000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Variable intercorrelations (Pearson r)</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CT_MEAN     PDRQ_M    PF_MEAN    FC_MEAN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CT_MEAN     1.0000      .7194      .7075     -.0047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PDRQ_M       .7194     1.0000      .7004      .3044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PF_MEAN      .7075      .7004     1.0000      .1035</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FC_MEAN     -.0047      .3044      .1035     1.0000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OUTCOME VARIABLE:</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lastRenderedPageBreak/>
        <w:t xml:space="preserve"> PF_MEAN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Model Summary</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R       R-sq        MSE     F(HC3)        df1        df2          p</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.7004      .4906      .1604    15.0650     1.0000    47.0000      .0003</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Model</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coeff</w:t>
      </w:r>
      <w:proofErr w:type="spellEnd"/>
      <w:r w:rsidRPr="004537A6">
        <w:rPr>
          <w:rFonts w:ascii="Courier New" w:eastAsiaTheme="minorHAnsi" w:hAnsi="Courier New" w:cs="Courier New"/>
          <w:color w:val="000000"/>
          <w:sz w:val="24"/>
          <w:szCs w:val="24"/>
          <w14:ligatures w14:val="standardContextual"/>
        </w:rPr>
        <w:t xml:space="preserve">    </w:t>
      </w:r>
      <w:proofErr w:type="gramStart"/>
      <w:r w:rsidRPr="004537A6">
        <w:rPr>
          <w:rFonts w:ascii="Courier New" w:eastAsiaTheme="minorHAnsi" w:hAnsi="Courier New" w:cs="Courier New"/>
          <w:color w:val="000000"/>
          <w:sz w:val="24"/>
          <w:szCs w:val="24"/>
          <w14:ligatures w14:val="standardContextual"/>
        </w:rPr>
        <w:t>se(</w:t>
      </w:r>
      <w:proofErr w:type="gramEnd"/>
      <w:r w:rsidRPr="004537A6">
        <w:rPr>
          <w:rFonts w:ascii="Courier New" w:eastAsiaTheme="minorHAnsi" w:hAnsi="Courier New" w:cs="Courier New"/>
          <w:color w:val="000000"/>
          <w:sz w:val="24"/>
          <w:szCs w:val="24"/>
          <w14:ligatures w14:val="standardContextual"/>
        </w:rPr>
        <w:t>HC3)          t          p       LLCI       ULCI</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constant    -2.5649      .6943    -3.6943      .0006    -3.9616    -1.1682</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PDRQ_M        .6482      .1670     3.8814      .0003      .3122      .9842</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Some regression diagnostics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Min.       Max.</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fitted      -1.4125      .6041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residual     -.9683      .8918</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t-</w:t>
      </w:r>
      <w:proofErr w:type="spellStart"/>
      <w:r w:rsidRPr="004537A6">
        <w:rPr>
          <w:rFonts w:ascii="Courier New" w:eastAsiaTheme="minorHAnsi" w:hAnsi="Courier New" w:cs="Courier New"/>
          <w:color w:val="000000"/>
          <w:sz w:val="24"/>
          <w:szCs w:val="24"/>
          <w14:ligatures w14:val="standardContextual"/>
        </w:rPr>
        <w:t>resid</w:t>
      </w:r>
      <w:proofErr w:type="spellEnd"/>
      <w:r w:rsidRPr="004537A6">
        <w:rPr>
          <w:rFonts w:ascii="Courier New" w:eastAsiaTheme="minorHAnsi" w:hAnsi="Courier New" w:cs="Courier New"/>
          <w:color w:val="000000"/>
          <w:sz w:val="24"/>
          <w:szCs w:val="24"/>
          <w14:ligatures w14:val="standardContextual"/>
        </w:rPr>
        <w:t xml:space="preserve">     -2.5936     2.4138</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Shape of residuals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Skewness   Kurtosis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Value     -.1116      .5010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se         .3398      .6681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Bonferroni-corrected p for largest t-residual</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t-</w:t>
      </w:r>
      <w:proofErr w:type="spellStart"/>
      <w:r w:rsidRPr="004537A6">
        <w:rPr>
          <w:rFonts w:ascii="Courier New" w:eastAsiaTheme="minorHAnsi" w:hAnsi="Courier New" w:cs="Courier New"/>
          <w:color w:val="000000"/>
          <w:sz w:val="24"/>
          <w:szCs w:val="24"/>
          <w14:ligatures w14:val="standardContextual"/>
        </w:rPr>
        <w:t>resid</w:t>
      </w:r>
      <w:proofErr w:type="spellEnd"/>
      <w:r w:rsidRPr="004537A6">
        <w:rPr>
          <w:rFonts w:ascii="Courier New" w:eastAsiaTheme="minorHAnsi" w:hAnsi="Courier New" w:cs="Courier New"/>
          <w:color w:val="000000"/>
          <w:sz w:val="24"/>
          <w:szCs w:val="24"/>
          <w14:ligatures w14:val="standardContextual"/>
        </w:rPr>
        <w:t xml:space="preserve">    p-value    </w:t>
      </w:r>
      <w:proofErr w:type="spellStart"/>
      <w:r w:rsidRPr="004537A6">
        <w:rPr>
          <w:rFonts w:ascii="Courier New" w:eastAsiaTheme="minorHAnsi" w:hAnsi="Courier New" w:cs="Courier New"/>
          <w:color w:val="000000"/>
          <w:sz w:val="24"/>
          <w:szCs w:val="24"/>
          <w14:ligatures w14:val="standardContextual"/>
        </w:rPr>
        <w:t>casenum</w:t>
      </w:r>
      <w:proofErr w:type="spellEnd"/>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-2.5936      .6220    10.0000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Most influential observations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casenum</w:t>
      </w:r>
      <w:proofErr w:type="spellEnd"/>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dfbeta</w:t>
      </w:r>
      <w:proofErr w:type="spellEnd"/>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constant    11.0000     -.5483</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PDRQ_M      11.0000      .1331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Variable tolerance and VIF</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Tol.        VIF</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PDRQ_M     1.0000     1.0000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Breusch-Pagan test of heteroskedasticity</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Chi-sq         </w:t>
      </w:r>
      <w:proofErr w:type="spellStart"/>
      <w:r w:rsidRPr="004537A6">
        <w:rPr>
          <w:rFonts w:ascii="Courier New" w:eastAsiaTheme="minorHAnsi" w:hAnsi="Courier New" w:cs="Courier New"/>
          <w:color w:val="000000"/>
          <w:sz w:val="24"/>
          <w:szCs w:val="24"/>
          <w14:ligatures w14:val="standardContextual"/>
        </w:rPr>
        <w:t>df</w:t>
      </w:r>
      <w:proofErr w:type="spellEnd"/>
      <w:r w:rsidRPr="004537A6">
        <w:rPr>
          <w:rFonts w:ascii="Courier New" w:eastAsiaTheme="minorHAnsi" w:hAnsi="Courier New" w:cs="Courier New"/>
          <w:color w:val="000000"/>
          <w:sz w:val="24"/>
          <w:szCs w:val="24"/>
          <w14:ligatures w14:val="standardContextual"/>
        </w:rPr>
        <w:t xml:space="preserve">          p</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Normal    10.5842     1.0000      .0011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Robust     9.0801     1.0000      .0026</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OUTCOME VARIABLE:</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CT_MEAN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Model Summary</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R       R-sq        MSE     F(HC3)        df1        df2          p</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.8050      .6480      .1481    15.5337     4.0000    44.0000      .0000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Model</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coeff</w:t>
      </w:r>
      <w:proofErr w:type="spellEnd"/>
      <w:r w:rsidRPr="004537A6">
        <w:rPr>
          <w:rFonts w:ascii="Courier New" w:eastAsiaTheme="minorHAnsi" w:hAnsi="Courier New" w:cs="Courier New"/>
          <w:color w:val="000000"/>
          <w:sz w:val="24"/>
          <w:szCs w:val="24"/>
          <w14:ligatures w14:val="standardContextual"/>
        </w:rPr>
        <w:t xml:space="preserve">    </w:t>
      </w:r>
      <w:proofErr w:type="gramStart"/>
      <w:r w:rsidRPr="004537A6">
        <w:rPr>
          <w:rFonts w:ascii="Courier New" w:eastAsiaTheme="minorHAnsi" w:hAnsi="Courier New" w:cs="Courier New"/>
          <w:color w:val="000000"/>
          <w:sz w:val="24"/>
          <w:szCs w:val="24"/>
          <w14:ligatures w14:val="standardContextual"/>
        </w:rPr>
        <w:t>se(</w:t>
      </w:r>
      <w:proofErr w:type="gramEnd"/>
      <w:r w:rsidRPr="004537A6">
        <w:rPr>
          <w:rFonts w:ascii="Courier New" w:eastAsiaTheme="minorHAnsi" w:hAnsi="Courier New" w:cs="Courier New"/>
          <w:color w:val="000000"/>
          <w:sz w:val="24"/>
          <w:szCs w:val="24"/>
          <w14:ligatures w14:val="standardContextual"/>
        </w:rPr>
        <w:t>HC3)          t          p       LLCI       ULCI</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constant     1.8402      .7588     2.4252      .0195      .3110     3.3695</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PDRQ_M        .5657      .1950     2.9016      .0058      .1728      .9587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PF_MEAN       .4845      .2940     1.6479      .1065     -.1081     1.0771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FC_MEAN      -.1380      .0771    -1.7892      .0805     -.2934      .0174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Int_1         .1198      .1656      .7234      .4733     -.2140      .4536</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Product terms key:</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Int_1  </w:t>
      </w:r>
      <w:proofErr w:type="gramStart"/>
      <w:r w:rsidRPr="004537A6">
        <w:rPr>
          <w:rFonts w:ascii="Courier New" w:eastAsiaTheme="minorHAnsi" w:hAnsi="Courier New" w:cs="Courier New"/>
          <w:color w:val="000000"/>
          <w:sz w:val="24"/>
          <w:szCs w:val="24"/>
          <w14:ligatures w14:val="standardContextual"/>
        </w:rPr>
        <w:t xml:space="preserve">  :</w:t>
      </w:r>
      <w:proofErr w:type="gramEnd"/>
      <w:r w:rsidRPr="004537A6">
        <w:rPr>
          <w:rFonts w:ascii="Courier New" w:eastAsiaTheme="minorHAnsi" w:hAnsi="Courier New" w:cs="Courier New"/>
          <w:color w:val="000000"/>
          <w:sz w:val="24"/>
          <w:szCs w:val="24"/>
          <w14:ligatures w14:val="standardContextual"/>
        </w:rPr>
        <w:t xml:space="preserve">        PF_MEAN  x        FC_MEAN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Test(s) of highest order unconditional interaction(s):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R2-chng     F(HC3)        df1        df2          p</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M*W      .0125      .5232     1.0000    44.0000      .4733</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Focal predict: PF_</w:t>
      </w:r>
      <w:proofErr w:type="gramStart"/>
      <w:r w:rsidRPr="004537A6">
        <w:rPr>
          <w:rFonts w:ascii="Courier New" w:eastAsiaTheme="minorHAnsi" w:hAnsi="Courier New" w:cs="Courier New"/>
          <w:color w:val="000000"/>
          <w:sz w:val="24"/>
          <w:szCs w:val="24"/>
          <w14:ligatures w14:val="standardContextual"/>
        </w:rPr>
        <w:t>MEAN  (</w:t>
      </w:r>
      <w:proofErr w:type="gramEnd"/>
      <w:r w:rsidRPr="004537A6">
        <w:rPr>
          <w:rFonts w:ascii="Courier New" w:eastAsiaTheme="minorHAnsi" w:hAnsi="Courier New" w:cs="Courier New"/>
          <w:color w:val="000000"/>
          <w:sz w:val="24"/>
          <w:szCs w:val="24"/>
          <w14:ligatures w14:val="standardContextual"/>
        </w:rPr>
        <w:t>M)</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Mod var: FC_</w:t>
      </w:r>
      <w:proofErr w:type="gramStart"/>
      <w:r w:rsidRPr="004537A6">
        <w:rPr>
          <w:rFonts w:ascii="Courier New" w:eastAsiaTheme="minorHAnsi" w:hAnsi="Courier New" w:cs="Courier New"/>
          <w:color w:val="000000"/>
          <w:sz w:val="24"/>
          <w:szCs w:val="24"/>
          <w14:ligatures w14:val="standardContextual"/>
        </w:rPr>
        <w:t>MEAN  (</w:t>
      </w:r>
      <w:proofErr w:type="gramEnd"/>
      <w:r w:rsidRPr="004537A6">
        <w:rPr>
          <w:rFonts w:ascii="Courier New" w:eastAsiaTheme="minorHAnsi" w:hAnsi="Courier New" w:cs="Courier New"/>
          <w:color w:val="000000"/>
          <w:sz w:val="24"/>
          <w:szCs w:val="24"/>
          <w14:ligatures w14:val="standardContextual"/>
        </w:rPr>
        <w:t>W)</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Data for visualizing the conditional effect of the focal predictor:</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Paste text below into a SPSS syntax window and execute to produce plot.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DATA LIST FREE/</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PF_MEAN    FC_MEAN    CT_MEAN  </w:t>
      </w:r>
      <w:proofErr w:type="gramStart"/>
      <w:r w:rsidRPr="004537A6">
        <w:rPr>
          <w:rFonts w:ascii="Courier New" w:eastAsiaTheme="minorHAnsi" w:hAnsi="Courier New" w:cs="Courier New"/>
          <w:color w:val="000000"/>
          <w:sz w:val="24"/>
          <w:szCs w:val="24"/>
          <w14:ligatures w14:val="standardContextual"/>
        </w:rPr>
        <w:t xml:space="preserve">  .</w:t>
      </w:r>
      <w:proofErr w:type="gramEnd"/>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BEGIN DATA.</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-.3231    -1.3912     4.1680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.0102    -1.3912     4.2740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.5102    -1.3912     4.4329</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-.3231      .4422     3.8441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.0102      .4422     4.0233</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.5102      .4422     4.2920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-.3231      .7755     3.7852</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lastRenderedPageBreak/>
        <w:t xml:space="preserve">      .0102      .7755     3.9777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.5102      .7755     4.2664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END DATA.</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GRAPH/SCATTERPLOT=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PF_</w:t>
      </w:r>
      <w:proofErr w:type="gramStart"/>
      <w:r w:rsidRPr="004537A6">
        <w:rPr>
          <w:rFonts w:ascii="Courier New" w:eastAsiaTheme="minorHAnsi" w:hAnsi="Courier New" w:cs="Courier New"/>
          <w:color w:val="000000"/>
          <w:sz w:val="24"/>
          <w:szCs w:val="24"/>
          <w14:ligatures w14:val="standardContextual"/>
        </w:rPr>
        <w:t>MEAN  WITH</w:t>
      </w:r>
      <w:proofErr w:type="gramEnd"/>
      <w:r w:rsidRPr="004537A6">
        <w:rPr>
          <w:rFonts w:ascii="Courier New" w:eastAsiaTheme="minorHAnsi" w:hAnsi="Courier New" w:cs="Courier New"/>
          <w:color w:val="000000"/>
          <w:sz w:val="24"/>
          <w:szCs w:val="24"/>
          <w14:ligatures w14:val="standardContextual"/>
        </w:rPr>
        <w:t xml:space="preserve">     CT_MEAN  BY       FC_MEAN  .</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Some regression diagnostics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Min.       Max.</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fitted       2.6167     4.9861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residual     -.8986      .9056</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t-</w:t>
      </w:r>
      <w:proofErr w:type="spellStart"/>
      <w:r w:rsidRPr="004537A6">
        <w:rPr>
          <w:rFonts w:ascii="Courier New" w:eastAsiaTheme="minorHAnsi" w:hAnsi="Courier New" w:cs="Courier New"/>
          <w:color w:val="000000"/>
          <w:sz w:val="24"/>
          <w:szCs w:val="24"/>
          <w14:ligatures w14:val="standardContextual"/>
        </w:rPr>
        <w:t>resid</w:t>
      </w:r>
      <w:proofErr w:type="spellEnd"/>
      <w:r w:rsidRPr="004537A6">
        <w:rPr>
          <w:rFonts w:ascii="Courier New" w:eastAsiaTheme="minorHAnsi" w:hAnsi="Courier New" w:cs="Courier New"/>
          <w:color w:val="000000"/>
          <w:sz w:val="24"/>
          <w:szCs w:val="24"/>
          <w14:ligatures w14:val="standardContextual"/>
        </w:rPr>
        <w:t xml:space="preserve">     -2.9913     2.5778</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Shape of residuals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Skewness   Kurtosis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Value     -.0987      .3797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se         .3398      .6681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Bonferroni-corrected p for largest t-residual</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t-</w:t>
      </w:r>
      <w:proofErr w:type="spellStart"/>
      <w:r w:rsidRPr="004537A6">
        <w:rPr>
          <w:rFonts w:ascii="Courier New" w:eastAsiaTheme="minorHAnsi" w:hAnsi="Courier New" w:cs="Courier New"/>
          <w:color w:val="000000"/>
          <w:sz w:val="24"/>
          <w:szCs w:val="24"/>
          <w14:ligatures w14:val="standardContextual"/>
        </w:rPr>
        <w:t>resid</w:t>
      </w:r>
      <w:proofErr w:type="spellEnd"/>
      <w:r w:rsidRPr="004537A6">
        <w:rPr>
          <w:rFonts w:ascii="Courier New" w:eastAsiaTheme="minorHAnsi" w:hAnsi="Courier New" w:cs="Courier New"/>
          <w:color w:val="000000"/>
          <w:sz w:val="24"/>
          <w:szCs w:val="24"/>
          <w14:ligatures w14:val="standardContextual"/>
        </w:rPr>
        <w:t xml:space="preserve">    p-value    </w:t>
      </w:r>
      <w:proofErr w:type="spellStart"/>
      <w:r w:rsidRPr="004537A6">
        <w:rPr>
          <w:rFonts w:ascii="Courier New" w:eastAsiaTheme="minorHAnsi" w:hAnsi="Courier New" w:cs="Courier New"/>
          <w:color w:val="000000"/>
          <w:sz w:val="24"/>
          <w:szCs w:val="24"/>
          <w14:ligatures w14:val="standardContextual"/>
        </w:rPr>
        <w:t>casenum</w:t>
      </w:r>
      <w:proofErr w:type="spellEnd"/>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-2.9913      .2247    10.0000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Most influential observations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casenum</w:t>
      </w:r>
      <w:proofErr w:type="spellEnd"/>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dfbeta</w:t>
      </w:r>
      <w:proofErr w:type="spellEnd"/>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constant    21.0000     -.3960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PDRQ_M      21.0000      .1040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PF_MEAN     10.0000      .2384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FC_MEAN     21.0000     -.0453</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Int_1       10.0000      .1119</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Variable tolerance and VIF</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Tol.        VIF</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PDRQ_M       .4516     2.2144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PF_MEAN      .4007     2.4957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FC_MEAN      .8834     1.1320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Int_1        .6174     1.6198</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Breusch-Pagan test of heteroskedasticity</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Chi-sq         </w:t>
      </w:r>
      <w:proofErr w:type="spellStart"/>
      <w:r w:rsidRPr="004537A6">
        <w:rPr>
          <w:rFonts w:ascii="Courier New" w:eastAsiaTheme="minorHAnsi" w:hAnsi="Courier New" w:cs="Courier New"/>
          <w:color w:val="000000"/>
          <w:sz w:val="24"/>
          <w:szCs w:val="24"/>
          <w14:ligatures w14:val="standardContextual"/>
        </w:rPr>
        <w:t>df</w:t>
      </w:r>
      <w:proofErr w:type="spellEnd"/>
      <w:r w:rsidRPr="004537A6">
        <w:rPr>
          <w:rFonts w:ascii="Courier New" w:eastAsiaTheme="minorHAnsi" w:hAnsi="Courier New" w:cs="Courier New"/>
          <w:color w:val="000000"/>
          <w:sz w:val="24"/>
          <w:szCs w:val="24"/>
          <w14:ligatures w14:val="standardContextual"/>
        </w:rPr>
        <w:t xml:space="preserve">          p</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Normal     7.0036     4.0000      .1357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Robust     6.3036     4.0000      .1776</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DIRECT AND INDIRECT EFFECTS OF X ON Y ******************</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Direct effect of X on Y</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Effect    </w:t>
      </w:r>
      <w:proofErr w:type="gramStart"/>
      <w:r w:rsidRPr="004537A6">
        <w:rPr>
          <w:rFonts w:ascii="Courier New" w:eastAsiaTheme="minorHAnsi" w:hAnsi="Courier New" w:cs="Courier New"/>
          <w:color w:val="000000"/>
          <w:sz w:val="24"/>
          <w:szCs w:val="24"/>
          <w14:ligatures w14:val="standardContextual"/>
        </w:rPr>
        <w:t>se(</w:t>
      </w:r>
      <w:proofErr w:type="gramEnd"/>
      <w:r w:rsidRPr="004537A6">
        <w:rPr>
          <w:rFonts w:ascii="Courier New" w:eastAsiaTheme="minorHAnsi" w:hAnsi="Courier New" w:cs="Courier New"/>
          <w:color w:val="000000"/>
          <w:sz w:val="24"/>
          <w:szCs w:val="24"/>
          <w14:ligatures w14:val="standardContextual"/>
        </w:rPr>
        <w:t>HC3)          t          p       LLCI       ULCI</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lastRenderedPageBreak/>
        <w:t xml:space="preserve">      .5657      .1950     2.9016      .0058      .1728      .9587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Conditional indirect effects of X on Y:</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INDIRECT EFFECT: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PDRQ_M      -&gt;    PF_MEAN     -&gt;    CT_MEAN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FC_MEAN     Effect     </w:t>
      </w:r>
      <w:proofErr w:type="spellStart"/>
      <w:r w:rsidRPr="004537A6">
        <w:rPr>
          <w:rFonts w:ascii="Courier New" w:eastAsiaTheme="minorHAnsi" w:hAnsi="Courier New" w:cs="Courier New"/>
          <w:color w:val="000000"/>
          <w:sz w:val="24"/>
          <w:szCs w:val="24"/>
          <w14:ligatures w14:val="standardContextual"/>
        </w:rPr>
        <w:t>BootSE</w:t>
      </w:r>
      <w:proofErr w:type="spellEnd"/>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BootLLCI</w:t>
      </w:r>
      <w:proofErr w:type="spellEnd"/>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BootULCI</w:t>
      </w:r>
      <w:proofErr w:type="spellEnd"/>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-1.3912      .2060      .1711     -.1044      .5667</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.4422      .3484      .2044     -.0414      .7454</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.7755      .3743      .2260     -.0620      .8046</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Index of moderated mediation: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Index     </w:t>
      </w:r>
      <w:proofErr w:type="spellStart"/>
      <w:r w:rsidRPr="004537A6">
        <w:rPr>
          <w:rFonts w:ascii="Courier New" w:eastAsiaTheme="minorHAnsi" w:hAnsi="Courier New" w:cs="Courier New"/>
          <w:color w:val="000000"/>
          <w:sz w:val="24"/>
          <w:szCs w:val="24"/>
          <w14:ligatures w14:val="standardContextual"/>
        </w:rPr>
        <w:t>BootSE</w:t>
      </w:r>
      <w:proofErr w:type="spellEnd"/>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BootLLCI</w:t>
      </w:r>
      <w:proofErr w:type="spellEnd"/>
      <w:r w:rsidRPr="004537A6">
        <w:rPr>
          <w:rFonts w:ascii="Courier New" w:eastAsiaTheme="minorHAnsi" w:hAnsi="Courier New" w:cs="Courier New"/>
          <w:color w:val="000000"/>
          <w:sz w:val="24"/>
          <w:szCs w:val="24"/>
          <w14:ligatures w14:val="standardContextual"/>
        </w:rPr>
        <w:t xml:space="preserve">   </w:t>
      </w:r>
      <w:proofErr w:type="spellStart"/>
      <w:r w:rsidRPr="004537A6">
        <w:rPr>
          <w:rFonts w:ascii="Courier New" w:eastAsiaTheme="minorHAnsi" w:hAnsi="Courier New" w:cs="Courier New"/>
          <w:color w:val="000000"/>
          <w:sz w:val="24"/>
          <w:szCs w:val="24"/>
          <w14:ligatures w14:val="standardContextual"/>
        </w:rPr>
        <w:t>BootULCI</w:t>
      </w:r>
      <w:proofErr w:type="spellEnd"/>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FC_MEAN      .0777      .0986     -.1151      .2861</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ANALYSIS NOTES AND ERRORS ************************</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Level of confidence for all confidence intervals in output:</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95.0000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Number of bootstrap samples for percentile bootstrap confidence intervals: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5000</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W values in conditional tables are the 16th, 50th, and 84th percentiles.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NOTE: A heteroskedasticity-consistent standard error and covariance matrix</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estimator was used.</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NOTE: The following variables were mean centered prior to analysis:</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xml:space="preserve">          FC_</w:t>
      </w:r>
      <w:proofErr w:type="gramStart"/>
      <w:r w:rsidRPr="004537A6">
        <w:rPr>
          <w:rFonts w:ascii="Courier New" w:eastAsiaTheme="minorHAnsi" w:hAnsi="Courier New" w:cs="Courier New"/>
          <w:color w:val="000000"/>
          <w:sz w:val="24"/>
          <w:szCs w:val="24"/>
          <w14:ligatures w14:val="standardContextual"/>
        </w:rPr>
        <w:t>MEAN  PF</w:t>
      </w:r>
      <w:proofErr w:type="gramEnd"/>
      <w:r w:rsidRPr="004537A6">
        <w:rPr>
          <w:rFonts w:ascii="Courier New" w:eastAsiaTheme="minorHAnsi" w:hAnsi="Courier New" w:cs="Courier New"/>
          <w:color w:val="000000"/>
          <w:sz w:val="24"/>
          <w:szCs w:val="24"/>
          <w14:ligatures w14:val="standardContextual"/>
        </w:rPr>
        <w:t>_MEAN</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r w:rsidRPr="004537A6">
        <w:rPr>
          <w:rFonts w:ascii="Courier New" w:eastAsiaTheme="minorHAnsi" w:hAnsi="Courier New" w:cs="Courier New"/>
          <w:color w:val="000000"/>
          <w:sz w:val="24"/>
          <w:szCs w:val="24"/>
          <w14:ligatures w14:val="standardContextual"/>
        </w:rPr>
        <w:t>------ END MATRIX -----</w:t>
      </w:r>
    </w:p>
    <w:p w:rsidR="00C52476" w:rsidRPr="004537A6" w:rsidRDefault="00C52476" w:rsidP="00C52476">
      <w:pPr>
        <w:autoSpaceDE w:val="0"/>
        <w:autoSpaceDN w:val="0"/>
        <w:adjustRightInd w:val="0"/>
        <w:spacing w:after="0" w:line="240" w:lineRule="auto"/>
        <w:rPr>
          <w:rFonts w:ascii="Courier New" w:eastAsiaTheme="minorHAnsi" w:hAnsi="Courier New" w:cs="Courier New"/>
          <w:color w:val="000000"/>
          <w:sz w:val="24"/>
          <w:szCs w:val="24"/>
          <w14:ligatures w14:val="standardContextual"/>
        </w:rPr>
      </w:pPr>
    </w:p>
    <w:p w:rsidR="00C52476" w:rsidRPr="004537A6" w:rsidRDefault="00C52476" w:rsidP="00C52476">
      <w:pPr>
        <w:autoSpaceDE w:val="0"/>
        <w:autoSpaceDN w:val="0"/>
        <w:adjustRightInd w:val="0"/>
        <w:spacing w:after="0" w:line="400" w:lineRule="atLeast"/>
        <w:rPr>
          <w:rFonts w:ascii="Times New Roman" w:eastAsiaTheme="minorHAnsi" w:hAnsi="Times New Roman" w:cs="Times New Roman"/>
          <w:sz w:val="24"/>
          <w:szCs w:val="24"/>
          <w14:ligatures w14:val="standardContextual"/>
        </w:rPr>
      </w:pPr>
    </w:p>
    <w:p w:rsidR="00C52476" w:rsidRDefault="00C52476" w:rsidP="00C52476"/>
    <w:bookmarkEnd w:id="40"/>
    <w:bookmarkEnd w:id="41"/>
    <w:p w:rsidR="00925035" w:rsidRPr="00925035" w:rsidRDefault="00925035" w:rsidP="00925035">
      <w:pPr>
        <w:autoSpaceDE w:val="0"/>
        <w:autoSpaceDN w:val="0"/>
        <w:adjustRightInd w:val="0"/>
        <w:spacing w:after="0" w:line="400" w:lineRule="atLeast"/>
        <w:rPr>
          <w:rFonts w:ascii="Times New Roman" w:hAnsi="Times New Roman" w:cs="Times New Roman"/>
          <w:sz w:val="24"/>
          <w:szCs w:val="24"/>
        </w:rPr>
      </w:pPr>
    </w:p>
    <w:p w:rsidR="00925035" w:rsidRPr="00925035" w:rsidRDefault="00925035" w:rsidP="00925035">
      <w:pPr>
        <w:autoSpaceDE w:val="0"/>
        <w:autoSpaceDN w:val="0"/>
        <w:adjustRightInd w:val="0"/>
        <w:spacing w:after="0" w:line="240" w:lineRule="auto"/>
        <w:rPr>
          <w:rFonts w:ascii="Times New Roman" w:hAnsi="Times New Roman" w:cs="Times New Roman"/>
          <w:sz w:val="24"/>
          <w:szCs w:val="24"/>
        </w:rPr>
      </w:pPr>
    </w:p>
    <w:p w:rsidR="00925035" w:rsidRPr="00925035" w:rsidRDefault="00925035" w:rsidP="00925035">
      <w:pPr>
        <w:autoSpaceDE w:val="0"/>
        <w:autoSpaceDN w:val="0"/>
        <w:adjustRightInd w:val="0"/>
        <w:spacing w:after="0" w:line="400" w:lineRule="atLeast"/>
        <w:rPr>
          <w:rFonts w:ascii="Times New Roman" w:hAnsi="Times New Roman" w:cs="Times New Roman"/>
          <w:sz w:val="24"/>
          <w:szCs w:val="24"/>
        </w:rPr>
      </w:pPr>
    </w:p>
    <w:p w:rsidR="00925035" w:rsidRPr="00925035" w:rsidRDefault="00925035" w:rsidP="00925035">
      <w:pPr>
        <w:autoSpaceDE w:val="0"/>
        <w:autoSpaceDN w:val="0"/>
        <w:adjustRightInd w:val="0"/>
        <w:spacing w:after="0" w:line="400" w:lineRule="atLeast"/>
        <w:rPr>
          <w:rFonts w:ascii="Times New Roman" w:hAnsi="Times New Roman" w:cs="Times New Roman"/>
          <w:sz w:val="24"/>
          <w:szCs w:val="24"/>
        </w:rPr>
      </w:pPr>
    </w:p>
    <w:p w:rsidR="007828DA" w:rsidRDefault="007828DA">
      <w:pPr>
        <w:ind w:left="360" w:hanging="360"/>
        <w:jc w:val="both"/>
      </w:pPr>
    </w:p>
    <w:sectPr w:rsidR="007828DA" w:rsidSect="00B2129F">
      <w:footerReference w:type="default" r:id="rId13"/>
      <w:pgSz w:w="12240" w:h="15840"/>
      <w:pgMar w:top="1152" w:right="1296" w:bottom="1152" w:left="1296"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A5DD5" w:rsidRDefault="00DA5DD5">
      <w:pPr>
        <w:spacing w:after="0" w:line="240" w:lineRule="auto"/>
      </w:pPr>
      <w:r>
        <w:separator/>
      </w:r>
    </w:p>
  </w:endnote>
  <w:endnote w:type="continuationSeparator" w:id="0">
    <w:p w:rsidR="00DA5DD5" w:rsidRDefault="00DA5D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6474903"/>
      <w:docPartObj>
        <w:docPartGallery w:val="Page Numbers (Bottom of Page)"/>
        <w:docPartUnique/>
      </w:docPartObj>
    </w:sdtPr>
    <w:sdtContent>
      <w:p w:rsidR="00B2129F" w:rsidRDefault="00B2129F" w:rsidP="00B056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2129F" w:rsidRDefault="00B212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978856"/>
      <w:docPartObj>
        <w:docPartGallery w:val="Page Numbers (Bottom of Page)"/>
        <w:docPartUnique/>
      </w:docPartObj>
    </w:sdtPr>
    <w:sdtContent>
      <w:p w:rsidR="00B2129F" w:rsidRDefault="00B2129F" w:rsidP="00B056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rsidR="00483F3F" w:rsidRDefault="00483F3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5787831"/>
      <w:docPartObj>
        <w:docPartGallery w:val="Page Numbers (Bottom of Page)"/>
        <w:docPartUnique/>
      </w:docPartObj>
    </w:sdtPr>
    <w:sdtContent>
      <w:p w:rsidR="00B2129F" w:rsidRDefault="00B2129F" w:rsidP="00B056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rsidR="00B2129F" w:rsidRDefault="00B2129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A5DD5" w:rsidRDefault="00DA5DD5">
      <w:pPr>
        <w:spacing w:after="0" w:line="240" w:lineRule="auto"/>
      </w:pPr>
      <w:r>
        <w:separator/>
      </w:r>
    </w:p>
  </w:footnote>
  <w:footnote w:type="continuationSeparator" w:id="0">
    <w:p w:rsidR="00DA5DD5" w:rsidRDefault="00DA5D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B074F2C"/>
    <w:multiLevelType w:val="multilevel"/>
    <w:tmpl w:val="45C4D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8652BA"/>
    <w:multiLevelType w:val="hybridMultilevel"/>
    <w:tmpl w:val="017411E4"/>
    <w:lvl w:ilvl="0" w:tplc="8F16E43A">
      <w:start w:val="5"/>
      <w:numFmt w:val="bullet"/>
      <w:lvlText w:val="-"/>
      <w:lvlJc w:val="left"/>
      <w:pPr>
        <w:ind w:left="720" w:hanging="360"/>
      </w:pPr>
      <w:rPr>
        <w:rFonts w:ascii="Aptos" w:eastAsia="Times New Roman" w:hAnsi="Aptos"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333854">
    <w:abstractNumId w:val="8"/>
  </w:num>
  <w:num w:numId="2" w16cid:durableId="1580360880">
    <w:abstractNumId w:val="6"/>
  </w:num>
  <w:num w:numId="3" w16cid:durableId="993921416">
    <w:abstractNumId w:val="5"/>
  </w:num>
  <w:num w:numId="4" w16cid:durableId="1935895912">
    <w:abstractNumId w:val="4"/>
  </w:num>
  <w:num w:numId="5" w16cid:durableId="1535843435">
    <w:abstractNumId w:val="7"/>
  </w:num>
  <w:num w:numId="6" w16cid:durableId="636910496">
    <w:abstractNumId w:val="3"/>
  </w:num>
  <w:num w:numId="7" w16cid:durableId="1181967299">
    <w:abstractNumId w:val="2"/>
  </w:num>
  <w:num w:numId="8" w16cid:durableId="145440298">
    <w:abstractNumId w:val="1"/>
  </w:num>
  <w:num w:numId="9" w16cid:durableId="1258366839">
    <w:abstractNumId w:val="0"/>
  </w:num>
  <w:num w:numId="10" w16cid:durableId="542643471">
    <w:abstractNumId w:val="9"/>
  </w:num>
  <w:num w:numId="11" w16cid:durableId="210495540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209B"/>
    <w:rsid w:val="00034616"/>
    <w:rsid w:val="000561CE"/>
    <w:rsid w:val="0006063C"/>
    <w:rsid w:val="0015074B"/>
    <w:rsid w:val="00162021"/>
    <w:rsid w:val="00184C8B"/>
    <w:rsid w:val="001E4DFF"/>
    <w:rsid w:val="00206447"/>
    <w:rsid w:val="00214018"/>
    <w:rsid w:val="00223C80"/>
    <w:rsid w:val="00263A13"/>
    <w:rsid w:val="002746A1"/>
    <w:rsid w:val="0029639D"/>
    <w:rsid w:val="002C599E"/>
    <w:rsid w:val="00326F90"/>
    <w:rsid w:val="00347386"/>
    <w:rsid w:val="00450EB5"/>
    <w:rsid w:val="00483F3F"/>
    <w:rsid w:val="005205B0"/>
    <w:rsid w:val="005B2A4A"/>
    <w:rsid w:val="00697514"/>
    <w:rsid w:val="006A63A9"/>
    <w:rsid w:val="0071541C"/>
    <w:rsid w:val="00764D36"/>
    <w:rsid w:val="00770D72"/>
    <w:rsid w:val="00781217"/>
    <w:rsid w:val="007828DA"/>
    <w:rsid w:val="00790C4C"/>
    <w:rsid w:val="00795A4C"/>
    <w:rsid w:val="007D0DFE"/>
    <w:rsid w:val="007E77C5"/>
    <w:rsid w:val="00824A7E"/>
    <w:rsid w:val="00833138"/>
    <w:rsid w:val="00846211"/>
    <w:rsid w:val="00856DA9"/>
    <w:rsid w:val="008E7321"/>
    <w:rsid w:val="009064E6"/>
    <w:rsid w:val="00925035"/>
    <w:rsid w:val="009B1E81"/>
    <w:rsid w:val="009C54F0"/>
    <w:rsid w:val="009E3FE2"/>
    <w:rsid w:val="009E7987"/>
    <w:rsid w:val="00A4062C"/>
    <w:rsid w:val="00A80C1B"/>
    <w:rsid w:val="00A90953"/>
    <w:rsid w:val="00AA1D8D"/>
    <w:rsid w:val="00AB27E9"/>
    <w:rsid w:val="00AE7062"/>
    <w:rsid w:val="00B1009F"/>
    <w:rsid w:val="00B2129F"/>
    <w:rsid w:val="00B47730"/>
    <w:rsid w:val="00B61DB8"/>
    <w:rsid w:val="00B70760"/>
    <w:rsid w:val="00BB5C2B"/>
    <w:rsid w:val="00C321DB"/>
    <w:rsid w:val="00C4286B"/>
    <w:rsid w:val="00C52476"/>
    <w:rsid w:val="00CB0664"/>
    <w:rsid w:val="00CB0EF0"/>
    <w:rsid w:val="00D435F4"/>
    <w:rsid w:val="00DA5DD5"/>
    <w:rsid w:val="00DC4B7C"/>
    <w:rsid w:val="00E22B1E"/>
    <w:rsid w:val="00E270ED"/>
    <w:rsid w:val="00E54CC5"/>
    <w:rsid w:val="00FC27D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5B0280A"/>
  <w14:defaultImageDpi w14:val="300"/>
  <w15:docId w15:val="{377CDC14-97E8-9C4F-BF4D-5E4E8516F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ptos" w:hAnsi="Aptos"/>
    </w:rPr>
  </w:style>
  <w:style w:type="paragraph" w:styleId="Heading1">
    <w:name w:val="heading 1"/>
    <w:basedOn w:val="Normal"/>
    <w:next w:val="Normal"/>
    <w:link w:val="Heading1Char"/>
    <w:uiPriority w:val="9"/>
    <w:qFormat/>
    <w:rsid w:val="00FC693F"/>
    <w:pPr>
      <w:keepNext/>
      <w:keepLines/>
      <w:spacing w:before="200" w:after="100"/>
      <w:outlineLvl w:val="0"/>
    </w:pPr>
    <w:rPr>
      <w:rFonts w:asciiTheme="majorHAnsi" w:eastAsiaTheme="majorEastAsia" w:hAnsiTheme="majorHAnsi" w:cstheme="majorBidi"/>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b/>
      <w:bCs/>
      <w:color w:val="4F81BD" w:themeColor="accent1"/>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after="1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apple-converted-space">
    <w:name w:val="apple-converted-space"/>
    <w:basedOn w:val="DefaultParagraphFont"/>
    <w:rsid w:val="00A80C1B"/>
  </w:style>
  <w:style w:type="paragraph" w:customStyle="1" w:styleId="pdq2pgselectionanchorcontainer">
    <w:name w:val="pdq2pg_selectionanchorcontainer"/>
    <w:basedOn w:val="Normal"/>
    <w:rsid w:val="00A80C1B"/>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A80C1B"/>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B2129F"/>
    <w:pPr>
      <w:spacing w:before="120"/>
    </w:pPr>
    <w:rPr>
      <w:rFonts w:asciiTheme="minorHAnsi" w:hAnsiTheme="minorHAnsi"/>
      <w:b/>
      <w:bCs/>
      <w:caps/>
      <w:sz w:val="20"/>
      <w:szCs w:val="20"/>
    </w:rPr>
  </w:style>
  <w:style w:type="paragraph" w:styleId="TOC2">
    <w:name w:val="toc 2"/>
    <w:basedOn w:val="Normal"/>
    <w:next w:val="Normal"/>
    <w:autoRedefine/>
    <w:uiPriority w:val="39"/>
    <w:unhideWhenUsed/>
    <w:rsid w:val="00B2129F"/>
    <w:pPr>
      <w:spacing w:after="0"/>
      <w:ind w:left="220"/>
    </w:pPr>
    <w:rPr>
      <w:rFonts w:asciiTheme="minorHAnsi" w:hAnsiTheme="minorHAnsi"/>
      <w:smallCaps/>
      <w:sz w:val="20"/>
      <w:szCs w:val="20"/>
    </w:rPr>
  </w:style>
  <w:style w:type="character" w:styleId="Hyperlink">
    <w:name w:val="Hyperlink"/>
    <w:basedOn w:val="DefaultParagraphFont"/>
    <w:uiPriority w:val="99"/>
    <w:unhideWhenUsed/>
    <w:rsid w:val="00B2129F"/>
    <w:rPr>
      <w:color w:val="0000FF" w:themeColor="hyperlink"/>
      <w:u w:val="single"/>
    </w:rPr>
  </w:style>
  <w:style w:type="paragraph" w:styleId="TOC3">
    <w:name w:val="toc 3"/>
    <w:basedOn w:val="Normal"/>
    <w:next w:val="Normal"/>
    <w:autoRedefine/>
    <w:uiPriority w:val="39"/>
    <w:unhideWhenUsed/>
    <w:rsid w:val="00B2129F"/>
    <w:pPr>
      <w:spacing w:after="0"/>
      <w:ind w:left="440"/>
    </w:pPr>
    <w:rPr>
      <w:rFonts w:asciiTheme="minorHAnsi" w:hAnsiTheme="minorHAnsi"/>
      <w:i/>
      <w:iCs/>
      <w:sz w:val="20"/>
      <w:szCs w:val="20"/>
    </w:rPr>
  </w:style>
  <w:style w:type="paragraph" w:styleId="TOC4">
    <w:name w:val="toc 4"/>
    <w:basedOn w:val="Normal"/>
    <w:next w:val="Normal"/>
    <w:autoRedefine/>
    <w:uiPriority w:val="39"/>
    <w:semiHidden/>
    <w:unhideWhenUsed/>
    <w:rsid w:val="00B2129F"/>
    <w:pPr>
      <w:spacing w:after="0"/>
      <w:ind w:left="660"/>
    </w:pPr>
    <w:rPr>
      <w:rFonts w:asciiTheme="minorHAnsi" w:hAnsiTheme="minorHAnsi"/>
      <w:sz w:val="18"/>
      <w:szCs w:val="18"/>
    </w:rPr>
  </w:style>
  <w:style w:type="paragraph" w:styleId="TOC5">
    <w:name w:val="toc 5"/>
    <w:basedOn w:val="Normal"/>
    <w:next w:val="Normal"/>
    <w:autoRedefine/>
    <w:uiPriority w:val="39"/>
    <w:semiHidden/>
    <w:unhideWhenUsed/>
    <w:rsid w:val="00B2129F"/>
    <w:pPr>
      <w:spacing w:after="0"/>
      <w:ind w:left="880"/>
    </w:pPr>
    <w:rPr>
      <w:rFonts w:asciiTheme="minorHAnsi" w:hAnsiTheme="minorHAnsi"/>
      <w:sz w:val="18"/>
      <w:szCs w:val="18"/>
    </w:rPr>
  </w:style>
  <w:style w:type="paragraph" w:styleId="TOC6">
    <w:name w:val="toc 6"/>
    <w:basedOn w:val="Normal"/>
    <w:next w:val="Normal"/>
    <w:autoRedefine/>
    <w:uiPriority w:val="39"/>
    <w:semiHidden/>
    <w:unhideWhenUsed/>
    <w:rsid w:val="00B2129F"/>
    <w:pPr>
      <w:spacing w:after="0"/>
      <w:ind w:left="1100"/>
    </w:pPr>
    <w:rPr>
      <w:rFonts w:asciiTheme="minorHAnsi" w:hAnsiTheme="minorHAnsi"/>
      <w:sz w:val="18"/>
      <w:szCs w:val="18"/>
    </w:rPr>
  </w:style>
  <w:style w:type="paragraph" w:styleId="TOC7">
    <w:name w:val="toc 7"/>
    <w:basedOn w:val="Normal"/>
    <w:next w:val="Normal"/>
    <w:autoRedefine/>
    <w:uiPriority w:val="39"/>
    <w:semiHidden/>
    <w:unhideWhenUsed/>
    <w:rsid w:val="00B2129F"/>
    <w:pPr>
      <w:spacing w:after="0"/>
      <w:ind w:left="1320"/>
    </w:pPr>
    <w:rPr>
      <w:rFonts w:asciiTheme="minorHAnsi" w:hAnsiTheme="minorHAnsi"/>
      <w:sz w:val="18"/>
      <w:szCs w:val="18"/>
    </w:rPr>
  </w:style>
  <w:style w:type="paragraph" w:styleId="TOC8">
    <w:name w:val="toc 8"/>
    <w:basedOn w:val="Normal"/>
    <w:next w:val="Normal"/>
    <w:autoRedefine/>
    <w:uiPriority w:val="39"/>
    <w:semiHidden/>
    <w:unhideWhenUsed/>
    <w:rsid w:val="00B2129F"/>
    <w:pPr>
      <w:spacing w:after="0"/>
      <w:ind w:left="1540"/>
    </w:pPr>
    <w:rPr>
      <w:rFonts w:asciiTheme="minorHAnsi" w:hAnsiTheme="minorHAnsi"/>
      <w:sz w:val="18"/>
      <w:szCs w:val="18"/>
    </w:rPr>
  </w:style>
  <w:style w:type="paragraph" w:styleId="TOC9">
    <w:name w:val="toc 9"/>
    <w:basedOn w:val="Normal"/>
    <w:next w:val="Normal"/>
    <w:autoRedefine/>
    <w:uiPriority w:val="39"/>
    <w:semiHidden/>
    <w:unhideWhenUsed/>
    <w:rsid w:val="00B2129F"/>
    <w:pPr>
      <w:spacing w:after="0"/>
      <w:ind w:left="1760"/>
    </w:pPr>
    <w:rPr>
      <w:rFonts w:asciiTheme="minorHAnsi" w:hAnsiTheme="minorHAnsi"/>
      <w:sz w:val="18"/>
      <w:szCs w:val="18"/>
    </w:rPr>
  </w:style>
  <w:style w:type="character" w:styleId="PageNumber">
    <w:name w:val="page number"/>
    <w:basedOn w:val="DefaultParagraphFont"/>
    <w:uiPriority w:val="99"/>
    <w:semiHidden/>
    <w:unhideWhenUsed/>
    <w:rsid w:val="00B2129F"/>
  </w:style>
  <w:style w:type="paragraph" w:customStyle="1" w:styleId="ds-markdown-paragraph">
    <w:name w:val="ds-markdown-paragraph"/>
    <w:basedOn w:val="Normal"/>
    <w:rsid w:val="00C5247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54546">
      <w:bodyDiv w:val="1"/>
      <w:marLeft w:val="0"/>
      <w:marRight w:val="0"/>
      <w:marTop w:val="0"/>
      <w:marBottom w:val="0"/>
      <w:divBdr>
        <w:top w:val="none" w:sz="0" w:space="0" w:color="auto"/>
        <w:left w:val="none" w:sz="0" w:space="0" w:color="auto"/>
        <w:bottom w:val="none" w:sz="0" w:space="0" w:color="auto"/>
        <w:right w:val="none" w:sz="0" w:space="0" w:color="auto"/>
      </w:divBdr>
    </w:div>
    <w:div w:id="133917170">
      <w:bodyDiv w:val="1"/>
      <w:marLeft w:val="0"/>
      <w:marRight w:val="0"/>
      <w:marTop w:val="0"/>
      <w:marBottom w:val="0"/>
      <w:divBdr>
        <w:top w:val="none" w:sz="0" w:space="0" w:color="auto"/>
        <w:left w:val="none" w:sz="0" w:space="0" w:color="auto"/>
        <w:bottom w:val="none" w:sz="0" w:space="0" w:color="auto"/>
        <w:right w:val="none" w:sz="0" w:space="0" w:color="auto"/>
      </w:divBdr>
    </w:div>
    <w:div w:id="157229381">
      <w:bodyDiv w:val="1"/>
      <w:marLeft w:val="0"/>
      <w:marRight w:val="0"/>
      <w:marTop w:val="0"/>
      <w:marBottom w:val="0"/>
      <w:divBdr>
        <w:top w:val="none" w:sz="0" w:space="0" w:color="auto"/>
        <w:left w:val="none" w:sz="0" w:space="0" w:color="auto"/>
        <w:bottom w:val="none" w:sz="0" w:space="0" w:color="auto"/>
        <w:right w:val="none" w:sz="0" w:space="0" w:color="auto"/>
      </w:divBdr>
    </w:div>
    <w:div w:id="277950775">
      <w:bodyDiv w:val="1"/>
      <w:marLeft w:val="0"/>
      <w:marRight w:val="0"/>
      <w:marTop w:val="0"/>
      <w:marBottom w:val="0"/>
      <w:divBdr>
        <w:top w:val="none" w:sz="0" w:space="0" w:color="auto"/>
        <w:left w:val="none" w:sz="0" w:space="0" w:color="auto"/>
        <w:bottom w:val="none" w:sz="0" w:space="0" w:color="auto"/>
        <w:right w:val="none" w:sz="0" w:space="0" w:color="auto"/>
      </w:divBdr>
      <w:divsChild>
        <w:div w:id="8868428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98389084">
      <w:bodyDiv w:val="1"/>
      <w:marLeft w:val="0"/>
      <w:marRight w:val="0"/>
      <w:marTop w:val="0"/>
      <w:marBottom w:val="0"/>
      <w:divBdr>
        <w:top w:val="none" w:sz="0" w:space="0" w:color="auto"/>
        <w:left w:val="none" w:sz="0" w:space="0" w:color="auto"/>
        <w:bottom w:val="none" w:sz="0" w:space="0" w:color="auto"/>
        <w:right w:val="none" w:sz="0" w:space="0" w:color="auto"/>
      </w:divBdr>
    </w:div>
    <w:div w:id="1800143463">
      <w:bodyDiv w:val="1"/>
      <w:marLeft w:val="0"/>
      <w:marRight w:val="0"/>
      <w:marTop w:val="0"/>
      <w:marBottom w:val="0"/>
      <w:divBdr>
        <w:top w:val="none" w:sz="0" w:space="0" w:color="auto"/>
        <w:left w:val="none" w:sz="0" w:space="0" w:color="auto"/>
        <w:bottom w:val="none" w:sz="0" w:space="0" w:color="auto"/>
        <w:right w:val="none" w:sz="0" w:space="0" w:color="auto"/>
      </w:divBdr>
    </w:div>
    <w:div w:id="1821845761">
      <w:bodyDiv w:val="1"/>
      <w:marLeft w:val="0"/>
      <w:marRight w:val="0"/>
      <w:marTop w:val="0"/>
      <w:marBottom w:val="0"/>
      <w:divBdr>
        <w:top w:val="none" w:sz="0" w:space="0" w:color="auto"/>
        <w:left w:val="none" w:sz="0" w:space="0" w:color="auto"/>
        <w:bottom w:val="none" w:sz="0" w:space="0" w:color="auto"/>
        <w:right w:val="none" w:sz="0" w:space="0" w:color="auto"/>
      </w:divBdr>
      <w:divsChild>
        <w:div w:id="16991601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026444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Scatterplot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Lit>
              <c:formatCode>General</c:formatCode>
              <c:ptCount val="49"/>
              <c:pt idx="0">
                <c:v>-2.092598577621275</c:v>
              </c:pt>
              <c:pt idx="1">
                <c:v>-1.0094341569426151</c:v>
              </c:pt>
              <c:pt idx="2">
                <c:v>0.1628496015921676</c:v>
              </c:pt>
              <c:pt idx="3">
                <c:v>-9.7154043680453606E-2</c:v>
              </c:pt>
              <c:pt idx="4">
                <c:v>-0.30174959358754949</c:v>
              </c:pt>
              <c:pt idx="5">
                <c:v>0.6820525903677539</c:v>
              </c:pt>
              <c:pt idx="6">
                <c:v>-1.120189746188649</c:v>
              </c:pt>
              <c:pt idx="7">
                <c:v>-1.7675017014471739</c:v>
              </c:pt>
              <c:pt idx="8">
                <c:v>-0.86283881118157313</c:v>
              </c:pt>
              <c:pt idx="9">
                <c:v>-1.9928295875271069</c:v>
              </c:pt>
              <c:pt idx="10">
                <c:v>-3.8052904370681628</c:v>
              </c:pt>
              <c:pt idx="11">
                <c:v>0.31185918880052621</c:v>
              </c:pt>
              <c:pt idx="12">
                <c:v>8.9522423781086772E-3</c:v>
              </c:pt>
              <c:pt idx="13">
                <c:v>-1.2770131731213819E-2</c:v>
              </c:pt>
              <c:pt idx="14">
                <c:v>0.1026467912086846</c:v>
              </c:pt>
              <c:pt idx="15">
                <c:v>0.9197235425705047</c:v>
              </c:pt>
              <c:pt idx="16">
                <c:v>1.332150637215912</c:v>
              </c:pt>
              <c:pt idx="17">
                <c:v>1.6253064255095051</c:v>
              </c:pt>
              <c:pt idx="18">
                <c:v>6.2377235549708261E-2</c:v>
              </c:pt>
              <c:pt idx="19">
                <c:v>0.8260708312367514</c:v>
              </c:pt>
              <c:pt idx="20">
                <c:v>0.8595355352889712</c:v>
              </c:pt>
              <c:pt idx="21">
                <c:v>-0.40360281248353558</c:v>
              </c:pt>
              <c:pt idx="22">
                <c:v>-0.43222158202688021</c:v>
              </c:pt>
              <c:pt idx="23">
                <c:v>-0.2205182022624094</c:v>
              </c:pt>
              <c:pt idx="24">
                <c:v>-0.55932154579860949</c:v>
              </c:pt>
              <c:pt idx="25">
                <c:v>0.30397124226953942</c:v>
              </c:pt>
              <c:pt idx="26">
                <c:v>-0.4376778354963049</c:v>
              </c:pt>
              <c:pt idx="27">
                <c:v>-0.1990665516875112</c:v>
              </c:pt>
              <c:pt idx="28">
                <c:v>-0.32909801887935708</c:v>
              </c:pt>
              <c:pt idx="29">
                <c:v>-0.15572272929022921</c:v>
              </c:pt>
              <c:pt idx="30">
                <c:v>1.537127419259422</c:v>
              </c:pt>
              <c:pt idx="31">
                <c:v>0.89231582816762645</c:v>
              </c:pt>
              <c:pt idx="32">
                <c:v>-0.5135634819540118</c:v>
              </c:pt>
              <c:pt idx="33">
                <c:v>-0.1235109178752993</c:v>
              </c:pt>
              <c:pt idx="34">
                <c:v>-0.118775491968414</c:v>
              </c:pt>
              <c:pt idx="35">
                <c:v>1.6179695088279971</c:v>
              </c:pt>
              <c:pt idx="36">
                <c:v>0.34289219979118479</c:v>
              </c:pt>
              <c:pt idx="37">
                <c:v>-8.0167095478016426E-2</c:v>
              </c:pt>
              <c:pt idx="38">
                <c:v>0.87526959085412026</c:v>
              </c:pt>
              <c:pt idx="39">
                <c:v>0.32448256123839653</c:v>
              </c:pt>
              <c:pt idx="40">
                <c:v>-0.22630446837732729</c:v>
              </c:pt>
              <c:pt idx="41">
                <c:v>0.1004858216815486</c:v>
              </c:pt>
              <c:pt idx="42">
                <c:v>0.20906563829849639</c:v>
              </c:pt>
              <c:pt idx="43">
                <c:v>0.88684212308395627</c:v>
              </c:pt>
              <c:pt idx="44">
                <c:v>0.98963567358598437</c:v>
              </c:pt>
              <c:pt idx="45">
                <c:v>0.2032793721835767</c:v>
              </c:pt>
              <c:pt idx="46">
                <c:v>0.55581621747675214</c:v>
              </c:pt>
              <c:pt idx="47">
                <c:v>4.1036093576799923E-2</c:v>
              </c:pt>
              <c:pt idx="48">
                <c:v>1.0881936085396839</c:v>
              </c:pt>
            </c:numLit>
          </c:xVal>
          <c:yVal>
            <c:numLit>
              <c:formatCode>General</c:formatCode>
              <c:ptCount val="49"/>
              <c:pt idx="0">
                <c:v>-0.48499350239701761</c:v>
              </c:pt>
              <c:pt idx="1">
                <c:v>-1.0974867097369969</c:v>
              </c:pt>
              <c:pt idx="2">
                <c:v>0.45195699539299672</c:v>
              </c:pt>
              <c:pt idx="3">
                <c:v>0.8186290142288134</c:v>
              </c:pt>
              <c:pt idx="4">
                <c:v>-1.637980356558242</c:v>
              </c:pt>
              <c:pt idx="5">
                <c:v>-0.28025276989824832</c:v>
              </c:pt>
              <c:pt idx="6">
                <c:v>-0.48376921949561802</c:v>
              </c:pt>
              <c:pt idx="7">
                <c:v>-2.841647933332089E-2</c:v>
              </c:pt>
              <c:pt idx="8">
                <c:v>0.52587062693348896</c:v>
              </c:pt>
              <c:pt idx="9">
                <c:v>-1.9982643027924349</c:v>
              </c:pt>
              <c:pt idx="10">
                <c:v>1.01529532274538</c:v>
              </c:pt>
              <c:pt idx="11">
                <c:v>-1.1307557127634069</c:v>
              </c:pt>
              <c:pt idx="12">
                <c:v>-0.24605538309286989</c:v>
              </c:pt>
              <c:pt idx="13">
                <c:v>-1.587992109549049</c:v>
              </c:pt>
              <c:pt idx="14">
                <c:v>1.4519056845683069</c:v>
              </c:pt>
              <c:pt idx="15">
                <c:v>1.2146645349193681</c:v>
              </c:pt>
              <c:pt idx="16">
                <c:v>-0.73953461584966296</c:v>
              </c:pt>
              <c:pt idx="17">
                <c:v>0.21961117760214169</c:v>
              </c:pt>
              <c:pt idx="18">
                <c:v>-1.693969227070615</c:v>
              </c:pt>
              <c:pt idx="19">
                <c:v>-0.94087915485775941</c:v>
              </c:pt>
              <c:pt idx="20">
                <c:v>1.2995451069455199</c:v>
              </c:pt>
              <c:pt idx="21">
                <c:v>1.250800604011554</c:v>
              </c:pt>
              <c:pt idx="22">
                <c:v>-8.1410430968907238E-2</c:v>
              </c:pt>
              <c:pt idx="23">
                <c:v>7.7556969000377368E-2</c:v>
              </c:pt>
              <c:pt idx="24">
                <c:v>0.55535683150801596</c:v>
              </c:pt>
              <c:pt idx="25">
                <c:v>-0.66210805870705114</c:v>
              </c:pt>
              <c:pt idx="26">
                <c:v>0.38380791038247802</c:v>
              </c:pt>
              <c:pt idx="27">
                <c:v>4.7304623824943451E-2</c:v>
              </c:pt>
              <c:pt idx="28">
                <c:v>0.23068243969142771</c:v>
              </c:pt>
              <c:pt idx="29">
                <c:v>-1.3821314797217951E-2</c:v>
              </c:pt>
              <c:pt idx="30">
                <c:v>0.34396625811169479</c:v>
              </c:pt>
              <c:pt idx="31">
                <c:v>0.33826922116307512</c:v>
              </c:pt>
              <c:pt idx="32">
                <c:v>-0.42422104952177181</c:v>
              </c:pt>
              <c:pt idx="33">
                <c:v>-5.9248254521415397E-2</c:v>
              </c:pt>
              <c:pt idx="34">
                <c:v>2.6792152997910081</c:v>
              </c:pt>
              <c:pt idx="35">
                <c:v>0.22995811734915131</c:v>
              </c:pt>
              <c:pt idx="36">
                <c:v>-0.2594729997067145</c:v>
              </c:pt>
              <c:pt idx="37">
                <c:v>-0.120374193143578</c:v>
              </c:pt>
              <c:pt idx="38">
                <c:v>-0.55273844050279541</c:v>
              </c:pt>
              <c:pt idx="39">
                <c:v>1.139060187492664</c:v>
              </c:pt>
              <c:pt idx="40">
                <c:v>1.458287954036563</c:v>
              </c:pt>
              <c:pt idx="41">
                <c:v>0.53990596648562295</c:v>
              </c:pt>
              <c:pt idx="42">
                <c:v>1.301827736762279</c:v>
              </c:pt>
              <c:pt idx="43">
                <c:v>-0.111535067188197</c:v>
              </c:pt>
              <c:pt idx="44">
                <c:v>-0.71402403477847076</c:v>
              </c:pt>
              <c:pt idx="45">
                <c:v>-0.52010662158850174</c:v>
              </c:pt>
              <c:pt idx="46">
                <c:v>-1.0172742541504229</c:v>
              </c:pt>
              <c:pt idx="47">
                <c:v>0.62374537496988547</c:v>
              </c:pt>
              <c:pt idx="48">
                <c:v>-1.310539694946496</c:v>
              </c:pt>
            </c:numLit>
          </c:yVal>
          <c:smooth val="0"/>
          <c:extLst>
            <c:ext xmlns:c16="http://schemas.microsoft.com/office/drawing/2014/chart" uri="{C3380CC4-5D6E-409C-BE32-E72D297353CC}">
              <c16:uniqueId val="{00000000-4E0E-C14D-8584-9846ECA814B2}"/>
            </c:ext>
          </c:extLst>
        </c:ser>
        <c:dLbls>
          <c:showLegendKey val="0"/>
          <c:showVal val="0"/>
          <c:showCatName val="0"/>
          <c:showSerName val="0"/>
          <c:showPercent val="0"/>
          <c:showBubbleSize val="0"/>
        </c:dLbls>
        <c:axId val="552652384"/>
        <c:axId val="552625488"/>
      </c:scatterChart>
      <c:valAx>
        <c:axId val="552652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Regression Standardized Predicted Value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25488"/>
        <c:crosses val="autoZero"/>
        <c:crossBetween val="midCat"/>
      </c:valAx>
      <c:valAx>
        <c:axId val="552625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Regression Standardized Residual</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5238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Normal P-P Plot of Regression Standardized Residual</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Lit>
              <c:formatCode>General</c:formatCode>
              <c:ptCount val="53"/>
              <c:pt idx="2">
                <c:v>1.269035532994924E-2</c:v>
              </c:pt>
              <c:pt idx="3">
                <c:v>3.2994923857868022E-2</c:v>
              </c:pt>
              <c:pt idx="4">
                <c:v>5.3299492385786802E-2</c:v>
              </c:pt>
              <c:pt idx="5">
                <c:v>7.3604060913705582E-2</c:v>
              </c:pt>
              <c:pt idx="6">
                <c:v>9.3908629441624369E-2</c:v>
              </c:pt>
              <c:pt idx="7">
                <c:v>0.1142131979695431</c:v>
              </c:pt>
              <c:pt idx="8">
                <c:v>0.13451776649746189</c:v>
              </c:pt>
              <c:pt idx="9">
                <c:v>0.1548223350253807</c:v>
              </c:pt>
              <c:pt idx="10">
                <c:v>0.17512690355329949</c:v>
              </c:pt>
              <c:pt idx="11">
                <c:v>0.1954314720812183</c:v>
              </c:pt>
              <c:pt idx="12">
                <c:v>0.21573604060913709</c:v>
              </c:pt>
              <c:pt idx="13">
                <c:v>0.23604060913705591</c:v>
              </c:pt>
              <c:pt idx="14">
                <c:v>0.25634517766497461</c:v>
              </c:pt>
              <c:pt idx="15">
                <c:v>0.2766497461928934</c:v>
              </c:pt>
              <c:pt idx="16">
                <c:v>0.29695431472081218</c:v>
              </c:pt>
              <c:pt idx="17">
                <c:v>0.31725888324873103</c:v>
              </c:pt>
              <c:pt idx="18">
                <c:v>0.33756345177664981</c:v>
              </c:pt>
              <c:pt idx="19">
                <c:v>0.35786802030456849</c:v>
              </c:pt>
              <c:pt idx="20">
                <c:v>0.37817258883248728</c:v>
              </c:pt>
              <c:pt idx="21">
                <c:v>0.39847715736040612</c:v>
              </c:pt>
              <c:pt idx="22">
                <c:v>0.41878172588832491</c:v>
              </c:pt>
              <c:pt idx="23">
                <c:v>0.43908629441624358</c:v>
              </c:pt>
              <c:pt idx="24">
                <c:v>0.45939086294416243</c:v>
              </c:pt>
              <c:pt idx="25">
                <c:v>0.47969543147208121</c:v>
              </c:pt>
              <c:pt idx="26">
                <c:v>0.5</c:v>
              </c:pt>
              <c:pt idx="27">
                <c:v>0.52030456852791873</c:v>
              </c:pt>
              <c:pt idx="28">
                <c:v>0.54060913705583757</c:v>
              </c:pt>
              <c:pt idx="29">
                <c:v>0.56091370558375631</c:v>
              </c:pt>
              <c:pt idx="30">
                <c:v>0.58121827411167515</c:v>
              </c:pt>
              <c:pt idx="31">
                <c:v>0.60152284263959388</c:v>
              </c:pt>
              <c:pt idx="32">
                <c:v>0.62182741116751272</c:v>
              </c:pt>
              <c:pt idx="33">
                <c:v>0.64213197969543145</c:v>
              </c:pt>
              <c:pt idx="34">
                <c:v>0.6624365482233503</c:v>
              </c:pt>
              <c:pt idx="35">
                <c:v>0.68274111675126903</c:v>
              </c:pt>
              <c:pt idx="36">
                <c:v>0.70304568527918787</c:v>
              </c:pt>
              <c:pt idx="37">
                <c:v>0.7233502538071066</c:v>
              </c:pt>
              <c:pt idx="38">
                <c:v>0.74365482233502533</c:v>
              </c:pt>
              <c:pt idx="39">
                <c:v>0.76395939086294418</c:v>
              </c:pt>
              <c:pt idx="40">
                <c:v>0.78426395939086291</c:v>
              </c:pt>
              <c:pt idx="41">
                <c:v>0.80456852791878175</c:v>
              </c:pt>
              <c:pt idx="42">
                <c:v>0.82487309644670048</c:v>
              </c:pt>
              <c:pt idx="43">
                <c:v>0.84517766497461932</c:v>
              </c:pt>
              <c:pt idx="44">
                <c:v>0.86548223350253806</c:v>
              </c:pt>
              <c:pt idx="45">
                <c:v>0.8857868020304569</c:v>
              </c:pt>
              <c:pt idx="46">
                <c:v>0.90609137055837563</c:v>
              </c:pt>
              <c:pt idx="47">
                <c:v>0.92639593908629436</c:v>
              </c:pt>
              <c:pt idx="48">
                <c:v>0.9467005076142132</c:v>
              </c:pt>
              <c:pt idx="49">
                <c:v>0.96700507614213194</c:v>
              </c:pt>
              <c:pt idx="50">
                <c:v>0.98730964467005078</c:v>
              </c:pt>
            </c:numLit>
          </c:xVal>
          <c:yVal>
            <c:numLit>
              <c:formatCode>General</c:formatCode>
              <c:ptCount val="53"/>
              <c:pt idx="2">
                <c:v>2.2844006714795421E-2</c:v>
              </c:pt>
              <c:pt idx="3">
                <c:v>4.5135565383438637E-2</c:v>
              </c:pt>
              <c:pt idx="4">
                <c:v>5.0712895783169128E-2</c:v>
              </c:pt>
              <c:pt idx="5">
                <c:v>5.6144061684825247E-2</c:v>
              </c:pt>
              <c:pt idx="6">
                <c:v>9.500666241019208E-2</c:v>
              </c:pt>
              <c:pt idx="7">
                <c:v>0.12907896245773859</c:v>
              </c:pt>
              <c:pt idx="8">
                <c:v>0.1362143436721592</c:v>
              </c:pt>
              <c:pt idx="9">
                <c:v>0.15451149036466619</c:v>
              </c:pt>
              <c:pt idx="10">
                <c:v>0.17338339552575341</c:v>
              </c:pt>
              <c:pt idx="11">
                <c:v>0.22979121403877531</c:v>
              </c:pt>
              <c:pt idx="12">
                <c:v>0.23760615875456509</c:v>
              </c:pt>
              <c:pt idx="13">
                <c:v>0.25395098576213909</c:v>
              </c:pt>
              <c:pt idx="14">
                <c:v>0.29022126349579508</c:v>
              </c:pt>
              <c:pt idx="15">
                <c:v>0.30149463175177338</c:v>
              </c:pt>
              <c:pt idx="16">
                <c:v>0.31384047730333858</c:v>
              </c:pt>
              <c:pt idx="17">
                <c:v>0.31427483106996612</c:v>
              </c:pt>
              <c:pt idx="18">
                <c:v>0.33570230545943319</c:v>
              </c:pt>
              <c:pt idx="19">
                <c:v>0.38964179175306501</c:v>
              </c:pt>
              <c:pt idx="20">
                <c:v>0.39763515596317051</c:v>
              </c:pt>
              <c:pt idx="21">
                <c:v>0.40281968026653547</c:v>
              </c:pt>
              <c:pt idx="22">
                <c:v>0.45209336681082601</c:v>
              </c:pt>
              <c:pt idx="23">
                <c:v>0.45559602973594349</c:v>
              </c:pt>
              <c:pt idx="24">
                <c:v>0.46755777696704248</c:v>
              </c:pt>
              <c:pt idx="25">
                <c:v>0.47637718778471683</c:v>
              </c:pt>
              <c:pt idx="26">
                <c:v>0.48866499045068518</c:v>
              </c:pt>
              <c:pt idx="27">
                <c:v>0.4944862687040702</c:v>
              </c:pt>
              <c:pt idx="28">
                <c:v>0.51886477853459445</c:v>
              </c:pt>
              <c:pt idx="29">
                <c:v>0.53090976350462249</c:v>
              </c:pt>
              <c:pt idx="30">
                <c:v>0.58691300727277151</c:v>
              </c:pt>
              <c:pt idx="31">
                <c:v>0.59093784245654968</c:v>
              </c:pt>
              <c:pt idx="32">
                <c:v>0.59121924164147788</c:v>
              </c:pt>
              <c:pt idx="33">
                <c:v>0.63241984202090185</c:v>
              </c:pt>
              <c:pt idx="34">
                <c:v>0.63456416917429603</c:v>
              </c:pt>
              <c:pt idx="35">
                <c:v>0.64943958767431098</c:v>
              </c:pt>
              <c:pt idx="36">
                <c:v>0.67435001828738883</c:v>
              </c:pt>
              <c:pt idx="37">
                <c:v>0.70051095069556379</c:v>
              </c:pt>
              <c:pt idx="38">
                <c:v>0.70536905851261411</c:v>
              </c:pt>
              <c:pt idx="39">
                <c:v>0.71067469327533095</c:v>
              </c:pt>
              <c:pt idx="40">
                <c:v>0.73360259062933819</c:v>
              </c:pt>
              <c:pt idx="41">
                <c:v>0.79350094600310095</c:v>
              </c:pt>
              <c:pt idx="42">
                <c:v>0.84501746334501615</c:v>
              </c:pt>
              <c:pt idx="43">
                <c:v>0.8726609742893322</c:v>
              </c:pt>
              <c:pt idx="44">
                <c:v>0.88775296790531377</c:v>
              </c:pt>
              <c:pt idx="45">
                <c:v>0.89449638276240862</c:v>
              </c:pt>
              <c:pt idx="46">
                <c:v>0.90312153798066697</c:v>
              </c:pt>
              <c:pt idx="47">
                <c:v>0.90351236009997882</c:v>
              </c:pt>
              <c:pt idx="48">
                <c:v>0.92673608413505182</c:v>
              </c:pt>
              <c:pt idx="49">
                <c:v>0.92761940544200605</c:v>
              </c:pt>
              <c:pt idx="50">
                <c:v>0.99631025361318415</c:v>
              </c:pt>
            </c:numLit>
          </c:yVal>
          <c:smooth val="0"/>
          <c:extLst>
            <c:ext xmlns:c16="http://schemas.microsoft.com/office/drawing/2014/chart" uri="{C3380CC4-5D6E-409C-BE32-E72D297353CC}">
              <c16:uniqueId val="{00000000-AEA9-E944-A25A-61A04B57868A}"/>
            </c:ext>
          </c:extLst>
        </c:ser>
        <c:dLbls>
          <c:showLegendKey val="0"/>
          <c:showVal val="0"/>
          <c:showCatName val="0"/>
          <c:showSerName val="0"/>
          <c:showPercent val="0"/>
          <c:showBubbleSize val="0"/>
        </c:dLbls>
        <c:axId val="552652384"/>
        <c:axId val="552625488"/>
      </c:scatterChart>
      <c:valAx>
        <c:axId val="552652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Observed Cum Prob</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25488"/>
        <c:crosses val="autoZero"/>
        <c:crossBetween val="midCat"/>
      </c:valAx>
      <c:valAx>
        <c:axId val="552625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Expected Cum Prob</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5238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5422DD6-29C2-1345-84DA-8B7EB189BD50}">
  <we:reference id="wa200000368" version="1.0.0.0" store="en-US" storeType="OMEX"/>
  <we:alternateReferences>
    <we:reference id="wa200000368" version="1.0.0.0" store="en-US" storeType="OMEX"/>
  </we:alternateReferences>
  <we:properties>
    <we:property name="documentId" value="&quot;a5bf1b9db05168e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45</Pages>
  <Words>13227</Words>
  <Characters>75400</Characters>
  <Application>Microsoft Office Word</Application>
  <DocSecurity>0</DocSecurity>
  <Lines>628</Lines>
  <Paragraphs>176</Paragraphs>
  <ScaleCrop>false</ScaleCrop>
  <HeadingPairs>
    <vt:vector size="2" baseType="variant">
      <vt:variant>
        <vt:lpstr>Title</vt:lpstr>
      </vt:variant>
      <vt:variant>
        <vt:i4>1</vt:i4>
      </vt:variant>
    </vt:vector>
  </HeadingPairs>
  <TitlesOfParts>
    <vt:vector size="1" baseType="lpstr">
      <vt:lpstr>QRM Assignment Refined Draft</vt:lpstr>
    </vt:vector>
  </TitlesOfParts>
  <Manager/>
  <Company/>
  <LinksUpToDate>false</LinksUpToDate>
  <CharactersWithSpaces>88451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QRM Assignment Refined Draft</dc:title>
  <dc:subject>Quantitative Research Methods</dc:subject>
  <dc:creator/>
  <cp:keywords/>
  <dc:description>generated by python-docx</dc:description>
  <cp:lastModifiedBy>Microsoft Office User</cp:lastModifiedBy>
  <cp:revision>46</cp:revision>
  <dcterms:created xsi:type="dcterms:W3CDTF">2013-12-23T23:15:00Z</dcterms:created>
  <dcterms:modified xsi:type="dcterms:W3CDTF">2026-08-25T22:24:00Z</dcterms:modified>
  <cp:category/>
</cp:coreProperties>
</file>