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334A3" w14:textId="77777777" w:rsidR="0022108C" w:rsidRDefault="0022108C" w:rsidP="0022108C">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162650CD" w14:textId="77777777" w:rsidR="0022108C" w:rsidRDefault="0022108C" w:rsidP="0022108C">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4A767A02" w14:textId="77777777" w:rsidR="0022108C" w:rsidRDefault="0022108C" w:rsidP="0022108C">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572989E8" w14:textId="77777777" w:rsidR="0022108C" w:rsidRPr="0022108C" w:rsidRDefault="0022108C" w:rsidP="0022108C">
      <w:pPr>
        <w:spacing w:before="100" w:beforeAutospacing="1" w:after="100" w:afterAutospacing="1" w:line="360" w:lineRule="auto"/>
        <w:outlineLvl w:val="0"/>
        <w:rPr>
          <w:rFonts w:ascii="Arial" w:eastAsia="Times New Roman" w:hAnsi="Arial" w:cs="Arial"/>
          <w:b/>
          <w:bCs/>
          <w:color w:val="156082" w:themeColor="accent1"/>
          <w:kern w:val="36"/>
          <w:sz w:val="22"/>
          <w:szCs w:val="22"/>
          <w:lang w:eastAsia="en-GB"/>
          <w14:ligatures w14:val="none"/>
        </w:rPr>
      </w:pPr>
    </w:p>
    <w:p w14:paraId="07B3B6DD" w14:textId="6F9C7A6C" w:rsidR="0022108C" w:rsidRPr="0022108C" w:rsidRDefault="0022108C" w:rsidP="0022108C">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22108C">
        <w:rPr>
          <w:rFonts w:ascii="Arial" w:eastAsia="Times New Roman" w:hAnsi="Arial" w:cs="Arial"/>
          <w:b/>
          <w:bCs/>
          <w:color w:val="156082" w:themeColor="accent1"/>
          <w:kern w:val="36"/>
          <w:sz w:val="22"/>
          <w:szCs w:val="22"/>
          <w:lang w:eastAsia="en-GB"/>
          <w14:ligatures w14:val="none"/>
        </w:rPr>
        <w:t>Strategic Growth Strategies for Vodafone UK During a Period of Strategic Transformation</w:t>
      </w:r>
    </w:p>
    <w:p w14:paraId="4B3E5110" w14:textId="77777777" w:rsidR="0022108C" w:rsidRDefault="0022108C" w:rsidP="0022108C">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22108C">
        <w:rPr>
          <w:rFonts w:ascii="Arial" w:eastAsia="Times New Roman" w:hAnsi="Arial" w:cs="Arial"/>
          <w:b/>
          <w:bCs/>
          <w:color w:val="156082" w:themeColor="accent1"/>
          <w:kern w:val="0"/>
          <w:sz w:val="22"/>
          <w:szCs w:val="22"/>
          <w:lang w:eastAsia="en-GB"/>
          <w14:ligatures w14:val="none"/>
        </w:rPr>
        <w:t>Module:</w:t>
      </w:r>
      <w:r w:rsidRPr="0022108C">
        <w:rPr>
          <w:rFonts w:ascii="Arial" w:eastAsia="Times New Roman" w:hAnsi="Arial" w:cs="Arial"/>
          <w:color w:val="156082" w:themeColor="accent1"/>
          <w:kern w:val="0"/>
          <w:sz w:val="22"/>
          <w:szCs w:val="22"/>
          <w:lang w:eastAsia="en-GB"/>
          <w14:ligatures w14:val="none"/>
        </w:rPr>
        <w:t> </w:t>
      </w:r>
      <w:r w:rsidRPr="0022108C">
        <w:rPr>
          <w:rFonts w:ascii="Arial" w:eastAsia="Times New Roman" w:hAnsi="Arial" w:cs="Arial"/>
          <w:color w:val="000000"/>
          <w:kern w:val="0"/>
          <w:sz w:val="22"/>
          <w:szCs w:val="22"/>
          <w:lang w:eastAsia="en-GB"/>
          <w14:ligatures w14:val="none"/>
        </w:rPr>
        <w:t>Strategic Management for Business</w:t>
      </w:r>
      <w:r w:rsidRPr="0022108C">
        <w:rPr>
          <w:rFonts w:ascii="Arial" w:eastAsia="Times New Roman" w:hAnsi="Arial" w:cs="Arial"/>
          <w:color w:val="000000"/>
          <w:kern w:val="0"/>
          <w:sz w:val="22"/>
          <w:szCs w:val="22"/>
          <w:lang w:eastAsia="en-GB"/>
          <w14:ligatures w14:val="none"/>
        </w:rPr>
        <w:br/>
      </w:r>
      <w:r w:rsidRPr="0022108C">
        <w:rPr>
          <w:rFonts w:ascii="Arial" w:eastAsia="Times New Roman" w:hAnsi="Arial" w:cs="Arial"/>
          <w:b/>
          <w:bCs/>
          <w:color w:val="156082" w:themeColor="accent1"/>
          <w:kern w:val="0"/>
          <w:sz w:val="22"/>
          <w:szCs w:val="22"/>
          <w:lang w:eastAsia="en-GB"/>
          <w14:ligatures w14:val="none"/>
        </w:rPr>
        <w:t>Module Code:</w:t>
      </w:r>
      <w:r w:rsidRPr="0022108C">
        <w:rPr>
          <w:rFonts w:ascii="Arial" w:eastAsia="Times New Roman" w:hAnsi="Arial" w:cs="Arial"/>
          <w:color w:val="156082" w:themeColor="accent1"/>
          <w:kern w:val="0"/>
          <w:sz w:val="22"/>
          <w:szCs w:val="22"/>
          <w:lang w:eastAsia="en-GB"/>
          <w14:ligatures w14:val="none"/>
        </w:rPr>
        <w:t> </w:t>
      </w:r>
      <w:r w:rsidRPr="0022108C">
        <w:rPr>
          <w:rFonts w:ascii="Arial" w:eastAsia="Times New Roman" w:hAnsi="Arial" w:cs="Arial"/>
          <w:color w:val="000000"/>
          <w:kern w:val="0"/>
          <w:sz w:val="22"/>
          <w:szCs w:val="22"/>
          <w:lang w:eastAsia="en-GB"/>
          <w14:ligatures w14:val="none"/>
        </w:rPr>
        <w:t>LCLM 6001</w:t>
      </w:r>
    </w:p>
    <w:p w14:paraId="44585AD9" w14:textId="2B38C2DC" w:rsidR="0022108C" w:rsidRPr="0022108C" w:rsidRDefault="0022108C" w:rsidP="0022108C">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22108C">
        <w:rPr>
          <w:rFonts w:ascii="Arial" w:hAnsi="Arial" w:cs="Arial"/>
          <w:b/>
          <w:bCs/>
          <w:color w:val="156082" w:themeColor="accent1"/>
          <w:sz w:val="22"/>
          <w:szCs w:val="22"/>
        </w:rPr>
        <w:t xml:space="preserve">Module </w:t>
      </w:r>
      <w:r w:rsidRPr="0022108C">
        <w:rPr>
          <w:rFonts w:ascii="Arial" w:hAnsi="Arial" w:cs="Arial"/>
          <w:b/>
          <w:bCs/>
          <w:color w:val="156082" w:themeColor="accent1"/>
          <w:sz w:val="22"/>
          <w:szCs w:val="22"/>
        </w:rPr>
        <w:t>leaders:</w:t>
      </w:r>
      <w:r w:rsidRPr="0022108C">
        <w:rPr>
          <w:rStyle w:val="apple-converted-space"/>
          <w:rFonts w:ascii="Arial" w:hAnsi="Arial" w:cs="Arial"/>
          <w:b/>
          <w:bCs/>
          <w:color w:val="156082" w:themeColor="accent1"/>
          <w:sz w:val="22"/>
          <w:szCs w:val="22"/>
        </w:rPr>
        <w:t> </w:t>
      </w:r>
      <w:r w:rsidRPr="0022108C">
        <w:rPr>
          <w:rStyle w:val="apple-converted-space"/>
          <w:rFonts w:ascii="Arial" w:hAnsi="Arial" w:cs="Arial"/>
          <w:sz w:val="22"/>
          <w:szCs w:val="22"/>
        </w:rPr>
        <w:t>Laila Maazouz</w:t>
      </w:r>
    </w:p>
    <w:p w14:paraId="4C890F49" w14:textId="77777777" w:rsidR="0022108C" w:rsidRPr="0022108C" w:rsidRDefault="0022108C" w:rsidP="0022108C">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22108C">
        <w:rPr>
          <w:rFonts w:ascii="Arial" w:eastAsia="Times New Roman" w:hAnsi="Arial" w:cs="Arial"/>
          <w:b/>
          <w:bCs/>
          <w:color w:val="156082" w:themeColor="accent1"/>
          <w:kern w:val="0"/>
          <w:sz w:val="22"/>
          <w:szCs w:val="22"/>
          <w:lang w:eastAsia="en-GB"/>
          <w14:ligatures w14:val="none"/>
        </w:rPr>
        <w:t>Assignment Title:</w:t>
      </w:r>
      <w:r w:rsidRPr="0022108C">
        <w:rPr>
          <w:rFonts w:ascii="Arial" w:eastAsia="Times New Roman" w:hAnsi="Arial" w:cs="Arial"/>
          <w:color w:val="156082" w:themeColor="accent1"/>
          <w:kern w:val="0"/>
          <w:sz w:val="22"/>
          <w:szCs w:val="22"/>
          <w:lang w:eastAsia="en-GB"/>
          <w14:ligatures w14:val="none"/>
        </w:rPr>
        <w:t> </w:t>
      </w:r>
      <w:r w:rsidRPr="0022108C">
        <w:rPr>
          <w:rFonts w:ascii="Arial" w:eastAsia="Times New Roman" w:hAnsi="Arial" w:cs="Arial"/>
          <w:color w:val="000000"/>
          <w:kern w:val="0"/>
          <w:sz w:val="22"/>
          <w:szCs w:val="22"/>
          <w:lang w:eastAsia="en-GB"/>
          <w14:ligatures w14:val="none"/>
        </w:rPr>
        <w:t>Individual Report</w:t>
      </w:r>
    </w:p>
    <w:p w14:paraId="411C43F4" w14:textId="24E40AE0" w:rsidR="0022108C" w:rsidRPr="0022108C" w:rsidRDefault="0022108C" w:rsidP="0022108C">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22108C">
        <w:rPr>
          <w:rFonts w:ascii="Arial" w:eastAsia="Times New Roman" w:hAnsi="Arial" w:cs="Arial"/>
          <w:b/>
          <w:bCs/>
          <w:color w:val="156082" w:themeColor="accent1"/>
          <w:kern w:val="0"/>
          <w:sz w:val="22"/>
          <w:szCs w:val="22"/>
          <w:lang w:eastAsia="en-GB"/>
          <w14:ligatures w14:val="none"/>
        </w:rPr>
        <w:t>Student Name:</w:t>
      </w:r>
      <w:r w:rsidRPr="0022108C">
        <w:rPr>
          <w:rFonts w:ascii="Arial" w:eastAsia="Times New Roman" w:hAnsi="Arial" w:cs="Arial"/>
          <w:color w:val="156082" w:themeColor="accent1"/>
          <w:kern w:val="0"/>
          <w:sz w:val="22"/>
          <w:szCs w:val="22"/>
          <w:lang w:eastAsia="en-GB"/>
          <w14:ligatures w14:val="none"/>
        </w:rPr>
        <w:t> </w:t>
      </w:r>
      <w:r w:rsidRPr="0022108C">
        <w:rPr>
          <w:rFonts w:ascii="Arial" w:eastAsia="Times New Roman" w:hAnsi="Arial" w:cs="Arial"/>
          <w:color w:val="000000"/>
          <w:kern w:val="0"/>
          <w:sz w:val="22"/>
          <w:szCs w:val="22"/>
          <w:lang w:eastAsia="en-GB"/>
          <w14:ligatures w14:val="none"/>
        </w:rPr>
        <w:t>Viktoriia P</w:t>
      </w:r>
      <w:r>
        <w:rPr>
          <w:rFonts w:ascii="Arial" w:eastAsia="Times New Roman" w:hAnsi="Arial" w:cs="Arial"/>
          <w:color w:val="000000"/>
          <w:kern w:val="0"/>
          <w:sz w:val="22"/>
          <w:szCs w:val="22"/>
          <w:lang w:eastAsia="en-GB"/>
          <w14:ligatures w14:val="none"/>
        </w:rPr>
        <w:t>ohorila</w:t>
      </w:r>
      <w:r w:rsidRPr="0022108C">
        <w:rPr>
          <w:rFonts w:ascii="Arial" w:eastAsia="Times New Roman" w:hAnsi="Arial" w:cs="Arial"/>
          <w:color w:val="000000"/>
          <w:kern w:val="0"/>
          <w:sz w:val="22"/>
          <w:szCs w:val="22"/>
          <w:lang w:eastAsia="en-GB"/>
          <w14:ligatures w14:val="none"/>
        </w:rPr>
        <w:br/>
      </w:r>
      <w:r w:rsidRPr="0022108C">
        <w:rPr>
          <w:rFonts w:ascii="Arial" w:eastAsia="Times New Roman" w:hAnsi="Arial" w:cs="Arial"/>
          <w:b/>
          <w:bCs/>
          <w:color w:val="156082" w:themeColor="accent1"/>
          <w:kern w:val="0"/>
          <w:sz w:val="22"/>
          <w:szCs w:val="22"/>
          <w:lang w:eastAsia="en-GB"/>
          <w14:ligatures w14:val="none"/>
        </w:rPr>
        <w:t>Student Number:</w:t>
      </w:r>
      <w:r w:rsidRPr="0022108C">
        <w:rPr>
          <w:rFonts w:ascii="Arial" w:eastAsia="Times New Roman" w:hAnsi="Arial" w:cs="Arial"/>
          <w:color w:val="156082" w:themeColor="accent1"/>
          <w:kern w:val="0"/>
          <w:sz w:val="22"/>
          <w:szCs w:val="22"/>
          <w:lang w:eastAsia="en-GB"/>
          <w14:ligatures w14:val="none"/>
        </w:rPr>
        <w:t> </w:t>
      </w:r>
      <w:r w:rsidRPr="0022108C">
        <w:rPr>
          <w:rFonts w:ascii="Arial" w:eastAsia="Times New Roman" w:hAnsi="Arial" w:cs="Arial"/>
          <w:color w:val="000000"/>
          <w:kern w:val="0"/>
          <w:sz w:val="22"/>
          <w:szCs w:val="22"/>
          <w:lang w:eastAsia="en-GB"/>
          <w14:ligatures w14:val="none"/>
        </w:rPr>
        <w:t>2337074</w:t>
      </w:r>
    </w:p>
    <w:p w14:paraId="7467B8B6" w14:textId="5B81FFF3" w:rsidR="0022108C" w:rsidRDefault="0022108C" w:rsidP="0022108C">
      <w:pPr>
        <w:spacing w:after="0" w:line="360" w:lineRule="auto"/>
        <w:rPr>
          <w:rFonts w:ascii="Arial" w:eastAsia="Times New Roman" w:hAnsi="Arial" w:cs="Arial"/>
          <w:kern w:val="0"/>
          <w:sz w:val="22"/>
          <w:szCs w:val="22"/>
          <w:lang w:eastAsia="en-GB"/>
          <w14:ligatures w14:val="none"/>
        </w:rPr>
      </w:pPr>
    </w:p>
    <w:p w14:paraId="630C5169"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1A3B0036"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30F333CB"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6EFB44EE"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118D1F8C"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1138C6A1"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1A831CF0"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3692FF16"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51E99CC3"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64E6A88E"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62DB88A6"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3B0BF868"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67CCAC4B"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78142031"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782DA448"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643A65E0"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0DC75BE6" w14:textId="77777777"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4A260C7C" w14:textId="77777777" w:rsidR="0022108C" w:rsidRPr="0022108C" w:rsidRDefault="0022108C" w:rsidP="0022108C">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22108C">
        <w:rPr>
          <w:rFonts w:ascii="Arial" w:eastAsia="Times New Roman" w:hAnsi="Arial" w:cs="Arial"/>
          <w:b/>
          <w:bCs/>
          <w:color w:val="156082" w:themeColor="accent1"/>
          <w:kern w:val="36"/>
          <w:sz w:val="22"/>
          <w:szCs w:val="22"/>
          <w:lang w:eastAsia="en-GB"/>
          <w14:ligatures w14:val="none"/>
        </w:rPr>
        <w:lastRenderedPageBreak/>
        <w:t>Executive Summary</w:t>
      </w:r>
    </w:p>
    <w:p w14:paraId="30B9E051" w14:textId="07CDA309"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This report evaluates Vodafone UK’s strategic position following its merger with Three UK and proposes strategic growth options to strengthen its competitive advantage in the telecommunications sector. The formation of </w:t>
      </w:r>
      <w:r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in 2025 represents a significant transformation in the UK mobile market, creating the country’s largest mobile network operator with approximately 27 million customers and an investment commitment of £11 billion towards network development. The merger provides Vodafone with opportunities to improve operational efficiency, expand 5G capabilities, and create new revenue streams; however, it also introduces challenges relating to integration, regulatory scrutiny, competition, and customer retention.</w:t>
      </w:r>
    </w:p>
    <w:p w14:paraId="65DF5326"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analysis applies strategic management frameworks including PESTEL analysis, Porter’s Five Forces, SWOT analysis, Ansoff Matrix, Porter’s Generic Strategies, the SAF (Suitability, Acceptability, Feasibility) framework, and stakeholder analysis. The findings indicate that Vodafone operates in a highly competitive and rapidly changing telecommunications environment characterised by technological disruption, increasing customer expectations, regulatory pressure, and significant infrastructure investment requirements.</w:t>
      </w:r>
    </w:p>
    <w:p w14:paraId="4385BCD6" w14:textId="090546B1"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This report recommends that </w:t>
      </w:r>
      <w:r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adopts a differentiation-focused growth strategy based on digital ecosystem development, advanced 5G services, and customer-centric innovation. Rather than competing solely on price, Vodafone should use its expanded network capability to provide integrated solutions for consumers, businesses, and public sector organisations. Key strategic priorities should include accelerating 5G monetisation, expanding Internet of Things (IoT) services, improving customer experience through artificial intelligence, and leveraging the merger synergies to achieve operational efficiency.</w:t>
      </w:r>
    </w:p>
    <w:p w14:paraId="7CAA2406"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proposed strategy aligns with Vodafone’s vision of connecting people and businesses through innovative communication technologies while supporting long-term sustainable growth. Successful implementation will require effective stakeholder engagement, measurable performance indicators, and continuous monitoring of strategic outcomes.</w:t>
      </w:r>
    </w:p>
    <w:p w14:paraId="2634E28F" w14:textId="2A759BB7" w:rsidR="0022108C" w:rsidRDefault="0022108C" w:rsidP="0022108C">
      <w:pPr>
        <w:spacing w:after="0" w:line="360" w:lineRule="auto"/>
        <w:rPr>
          <w:rFonts w:ascii="Arial" w:eastAsia="Times New Roman" w:hAnsi="Arial" w:cs="Arial"/>
          <w:kern w:val="0"/>
          <w:sz w:val="22"/>
          <w:szCs w:val="22"/>
          <w:lang w:eastAsia="en-GB"/>
          <w14:ligatures w14:val="none"/>
        </w:rPr>
      </w:pPr>
    </w:p>
    <w:p w14:paraId="3F439AB9"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43B77030" w14:textId="77777777" w:rsidR="0022108C" w:rsidRDefault="0022108C" w:rsidP="0022108C">
      <w:pPr>
        <w:spacing w:after="0" w:line="360" w:lineRule="auto"/>
        <w:rPr>
          <w:rFonts w:ascii="Arial" w:eastAsia="Times New Roman" w:hAnsi="Arial" w:cs="Arial"/>
          <w:kern w:val="0"/>
          <w:sz w:val="22"/>
          <w:szCs w:val="22"/>
          <w:lang w:eastAsia="en-GB"/>
          <w14:ligatures w14:val="none"/>
        </w:rPr>
      </w:pPr>
    </w:p>
    <w:p w14:paraId="12E3AE0A" w14:textId="77777777"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6987B056" w14:textId="77777777" w:rsidR="00811992" w:rsidRDefault="00811992" w:rsidP="0022108C">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p>
    <w:p w14:paraId="55E43C79" w14:textId="3E3A9C37" w:rsidR="0022108C" w:rsidRPr="0022108C" w:rsidRDefault="0022108C" w:rsidP="0022108C">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22108C">
        <w:rPr>
          <w:rFonts w:ascii="Arial" w:eastAsia="Times New Roman" w:hAnsi="Arial" w:cs="Arial"/>
          <w:b/>
          <w:bCs/>
          <w:color w:val="156082" w:themeColor="accent1"/>
          <w:kern w:val="36"/>
          <w:sz w:val="22"/>
          <w:szCs w:val="22"/>
          <w:lang w:eastAsia="en-GB"/>
          <w14:ligatures w14:val="none"/>
        </w:rPr>
        <w:lastRenderedPageBreak/>
        <w:t xml:space="preserve"> Introduction to Vodafone</w:t>
      </w:r>
    </w:p>
    <w:p w14:paraId="2FF0D476"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Group is one of the world’s leading telecommunications companies, providing mobile, broadband, fixed-line, and digital communication services across multiple international markets. Founded in 1984 and headquartered in the United Kingdom, Vodafone has developed from a traditional mobile network operator into a technology-focused communications organisation. The company serves millions of customers globally and continues to transform its business model in response to changing consumer behaviour, technological advancement, and increasing competition.</w:t>
      </w:r>
    </w:p>
    <w:p w14:paraId="451378ED"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Vodafone’s vision is centred on building a connected and inclusive digital society where technology improves the lives of individuals, organisations, and communities. The organisation’s mission focuses on delivering reliable connectivity, improving customer experience, and enabling digital transformation through innovative telecommunications solutions. Vodafone’s strategic priorities include strengthening network leadership, simplifying operations, improving efficiency, and creating sustainable value for customers and shareholders.</w:t>
      </w:r>
    </w:p>
    <w:p w14:paraId="1712EF9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company’s values are based around customer commitment, innovation, inclusion, and responsible business practices. Vodafone has increasingly emphasised sustainability through initiatives relating to carbon reduction, digital inclusion, and responsible technology development. These values are particularly relevant following the merger with Three UK, as Vodafone must demonstrate that growth is achieved while maintaining positive relationships with customers, employees, regulators, and wider society.</w:t>
      </w:r>
    </w:p>
    <w:p w14:paraId="4C7D74DA"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2025 merger between Vodafone UK and Three UK represents a major strategic milestone. The creation of VodafoneThree provides increased scale, improved network capacity, and opportunities to compete more effectively against established competitors such as BT/EE and Virgin Media O2. The combined organisation aims to deliver a leading standalone 5G network supported by substantial investment. However, the success of the merger depends on Vodafone’s ability to integrate operations effectively, realise expected synergies, and convert infrastructure investment into profitable growth.</w:t>
      </w:r>
    </w:p>
    <w:p w14:paraId="03F8AD9C"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This report analyses Vodafone’s current strategic position and recommends growth strategies that support its long-term ambition of becoming a leading digital connectivity provider in the UK market.</w:t>
      </w:r>
    </w:p>
    <w:p w14:paraId="26BA82BF" w14:textId="77777777" w:rsidR="00811992" w:rsidRDefault="00811992" w:rsidP="0022108C">
      <w:pPr>
        <w:spacing w:before="100" w:beforeAutospacing="1" w:after="100" w:afterAutospacing="1" w:line="360" w:lineRule="auto"/>
        <w:outlineLvl w:val="0"/>
        <w:rPr>
          <w:rFonts w:ascii="Arial" w:eastAsia="Times New Roman" w:hAnsi="Arial" w:cs="Arial"/>
          <w:kern w:val="0"/>
          <w:sz w:val="22"/>
          <w:szCs w:val="22"/>
          <w:lang w:eastAsia="en-GB"/>
          <w14:ligatures w14:val="none"/>
        </w:rPr>
      </w:pPr>
    </w:p>
    <w:p w14:paraId="1A5B2546" w14:textId="37FC6B34"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lastRenderedPageBreak/>
        <w:t>Evaluation of Current Market Situation</w:t>
      </w:r>
    </w:p>
    <w:p w14:paraId="35B1AD25" w14:textId="0D4F5855" w:rsidR="0022108C" w:rsidRPr="00811992" w:rsidRDefault="0022108C" w:rsidP="00811992">
      <w:pPr>
        <w:spacing w:before="100" w:beforeAutospacing="1" w:after="100" w:afterAutospacing="1" w:line="360" w:lineRule="auto"/>
        <w:jc w:val="center"/>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PESTEL Analysis</w:t>
      </w:r>
    </w:p>
    <w:p w14:paraId="7C4C3F8D" w14:textId="77777777" w:rsidR="0022108C" w:rsidRPr="00811992" w:rsidRDefault="0022108C" w:rsidP="00811992">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Political Factors</w:t>
      </w:r>
    </w:p>
    <w:p w14:paraId="142EFFA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UK telecommunications sector operates under strong government and regulatory influence. Telecommunications infrastructure is considered strategically important because connectivity supports economic growth, national security, and digital transformation. Regulatory bodies such as Ofcom monitor competition, consumer protection, and spectrum allocation. Following the Vodafone and Three UK merger, regulatory attention remains significant because market consolidation may reduce competition.</w:t>
      </w:r>
    </w:p>
    <w:p w14:paraId="6A11A39E"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Although the merger creates financial and operational advantages, Vodafone must maintain compliance with regulatory requirements and demonstrate that customers will benefit from improved services rather than facing reduced competition. Government support for nationwide digital connectivity creates opportunities for Vodafone to expand network infrastructure, particularly in underserved rural areas.</w:t>
      </w:r>
    </w:p>
    <w:p w14:paraId="41BEE653"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Economic Factors</w:t>
      </w:r>
    </w:p>
    <w:p w14:paraId="5396D6A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telecommunications industry requires substantial capital investment due to the continuous development of mobile networks, particularly 5G technology. Vodafone’s planned £11 billion investment programme provides an opportunity to improve network quality and create new commercial opportunities. However, inflation, rising energy costs, and economic uncertainty increase operational pressures.</w:t>
      </w:r>
    </w:p>
    <w:p w14:paraId="5CB53F46"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merger with Three UK provides potential cost efficiencies through shared infrastructure and operational integration. Vodafone has identified significant synergy opportunities, including reductions in network costs and improved efficiency. Nevertheless, achieving these benefits requires careful management of integration costs and organisational change.</w:t>
      </w:r>
    </w:p>
    <w:p w14:paraId="30493746"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Social Factors</w:t>
      </w:r>
    </w:p>
    <w:p w14:paraId="03DA3FEA"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 expectations within telecommunications have changed significantly. Consumers increasingly demand faster connectivity, reliable coverage, flexible pricing, and personalised digital experiences. Poor customer service or network limitations can quickly damage brand reputation due to high levels of market competition.</w:t>
      </w:r>
    </w:p>
    <w:p w14:paraId="66D2B26C" w14:textId="41CB6BE1"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lastRenderedPageBreak/>
        <w:t xml:space="preserve">The combined </w:t>
      </w:r>
      <w:r w:rsidR="00811992"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customer base provides significant scale, but customer loyalty remains challenging because switching between providers has become easier. Vodafone must therefore focus on improving customer experience rather than relying only on network size.</w:t>
      </w:r>
    </w:p>
    <w:p w14:paraId="3C13BED6"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Technological Factors</w:t>
      </w:r>
    </w:p>
    <w:p w14:paraId="5C8CFD45"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Technology represents both Vodafone’s greatest opportunity and greatest challenge. The development of 5G, artificial intelligence, cloud computing, and Internet of Things applications is transforming the telecommunications industry. Vodafone’s investment in 5G infrastructure creates opportunities beyond traditional mobile services, including smart cities, industrial automation, healthcare technology, and connected vehicles.</w:t>
      </w:r>
    </w:p>
    <w:p w14:paraId="27DD1EA1"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However, competitors are also investing heavily in technology. Vodafone must ensure that infrastructure investment produces commercial returns through innovative services rather than becoming only a cost advantage.</w:t>
      </w:r>
    </w:p>
    <w:p w14:paraId="68ECC2CE"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Environmental Factors</w:t>
      </w:r>
    </w:p>
    <w:p w14:paraId="5DFA3B2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Telecommunications companies face increasing pressure to reduce environmental impact. Network operations require significant energy consumption, creating challenges relating to carbon emissions and sustainability. Vodafone has committed to reducing emissions and improving energy efficiency across its operations.</w:t>
      </w:r>
    </w:p>
    <w:p w14:paraId="63BBB9E7"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development of more efficient networks provides opportunities to reduce environmental costs while strengthening Vodafone’s reputation as a responsible technology provider.</w:t>
      </w:r>
    </w:p>
    <w:p w14:paraId="33D7CD5A"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Legal Factors</w:t>
      </w:r>
    </w:p>
    <w:p w14:paraId="78EDC7E3"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operates within a complex legal environment covering data protection, competition law, cybersecurity, and employment regulations. The introduction of advanced digital services increases responsibility regarding customer data security and privacy.</w:t>
      </w:r>
    </w:p>
    <w:p w14:paraId="551A59A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merger with Three UK requires continued legal compliance, particularly regarding competition obligations and employment considerations during operational integration.</w:t>
      </w:r>
    </w:p>
    <w:p w14:paraId="6EED7397" w14:textId="77777777" w:rsidR="0022108C" w:rsidRPr="0022108C" w:rsidRDefault="00FD2D78" w:rsidP="0022108C">
      <w:pPr>
        <w:spacing w:after="0" w:line="360" w:lineRule="auto"/>
        <w:rPr>
          <w:rFonts w:ascii="Arial" w:eastAsia="Times New Roman" w:hAnsi="Arial" w:cs="Arial"/>
          <w:kern w:val="0"/>
          <w:sz w:val="22"/>
          <w:szCs w:val="22"/>
          <w:lang w:eastAsia="en-GB"/>
          <w14:ligatures w14:val="none"/>
        </w:rPr>
      </w:pPr>
      <w:r w:rsidRPr="00FD2D78">
        <w:rPr>
          <w:rFonts w:ascii="Arial" w:eastAsia="Times New Roman" w:hAnsi="Arial" w:cs="Arial"/>
          <w:noProof/>
          <w:kern w:val="0"/>
          <w:sz w:val="22"/>
          <w:szCs w:val="22"/>
          <w:lang w:eastAsia="en-GB"/>
        </w:rPr>
        <w:pict w14:anchorId="48E0AF91">
          <v:rect id="_x0000_i1026" alt="" style="width:451.3pt;height:.05pt;mso-width-percent:0;mso-height-percent:0;mso-width-percent:0;mso-height-percent:0" o:hralign="center" o:hrstd="t" o:hr="t" fillcolor="#a0a0a0" stroked="f"/>
        </w:pict>
      </w:r>
    </w:p>
    <w:p w14:paraId="26785C98"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lastRenderedPageBreak/>
        <w:t>(Continue with Porter’s Five Forces, SWOT Analysis, Strategic Growth Options, SAF Evaluation, Stakeholder Analysis, Implementation Plan, Conclusion, and Reference List in the next section.)</w:t>
      </w:r>
    </w:p>
    <w:p w14:paraId="72850CE8"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 will continue with the remaining sections (Porter’s Five Forces, SWOT, recommended strategy, implementation plan, conclusion, and Harvard-style references) in the next part.</w:t>
      </w:r>
    </w:p>
    <w:p w14:paraId="1E659887" w14:textId="1D58B6F9"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Porter’s Five Forces Analysis of Vodafone UK</w:t>
      </w:r>
    </w:p>
    <w:p w14:paraId="3A993ECC"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Porter’s Five Forces framework (Porter, 1980) evaluates the competitive intensity of an industry by analysing five key forces: competitive rivalry, threat of new entrants, bargaining power of suppliers, bargaining power of buyers, and threat of substitutes. Applying this model helps Vodafone understand the strategic challenges and opportunities within the UK telecommunications market.</w:t>
      </w:r>
    </w:p>
    <w:p w14:paraId="240AE417"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Competitive Rivalry – High</w:t>
      </w:r>
    </w:p>
    <w:p w14:paraId="50DD00E0" w14:textId="21D934C9"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Competition within the UK telecommunications industry is intense. </w:t>
      </w:r>
      <w:r w:rsidR="00811992"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operates alongside major competitors including BT/EE and Virgin Media O2, both of which possess strong customer bases, extensive infrastructure, and established brand recognition. Price competition has historically reduced profit margins, with operators frequently offering discounts and bundled services to attract customers.</w:t>
      </w:r>
    </w:p>
    <w:p w14:paraId="497765E5" w14:textId="5A0E85CB"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The merger between Vodafone UK and Three UK changes the competitive landscape by creating the largest mobile operator in the UK by customer numbers. The increased scale provides </w:t>
      </w:r>
      <w:r w:rsidR="00811992"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with stronger bargaining power, greater network capacity, and improved ability to compete against rivals. However, competitors are also investing heavily in 5G technology, customer experience, and digital services. Therefore, Vodafone cannot rely solely on market size and must differentiate through innovation and service quality.</w:t>
      </w:r>
    </w:p>
    <w:p w14:paraId="048CD7D7"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Threat of New Entrants – Low</w:t>
      </w:r>
    </w:p>
    <w:p w14:paraId="2A40F7D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threat of new entrants into the UK mobile network market is relatively low due to significant barriers to entry. Establishing a national telecommunications network requires substantial capital investment, access to spectrum licences, infrastructure development, and regulatory approval.</w:t>
      </w:r>
    </w:p>
    <w:p w14:paraId="19700D48" w14:textId="09D77BD1"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Although digital companies can enter through mobile virtual network operator (MVNO) models, creating a full-scale network competitor remains extremely difficult. </w:t>
      </w:r>
      <w:r w:rsidR="00811992" w:rsidRPr="0022108C">
        <w:rPr>
          <w:rFonts w:ascii="Arial" w:eastAsia="Times New Roman" w:hAnsi="Arial" w:cs="Arial"/>
          <w:color w:val="000000"/>
          <w:kern w:val="0"/>
          <w:sz w:val="22"/>
          <w:szCs w:val="22"/>
          <w:lang w:eastAsia="en-GB"/>
          <w14:ligatures w14:val="none"/>
        </w:rPr>
        <w:t>These benefits</w:t>
      </w:r>
      <w:r w:rsidRPr="0022108C">
        <w:rPr>
          <w:rFonts w:ascii="Arial" w:eastAsia="Times New Roman" w:hAnsi="Arial" w:cs="Arial"/>
          <w:color w:val="000000"/>
          <w:kern w:val="0"/>
          <w:sz w:val="22"/>
          <w:szCs w:val="22"/>
          <w:lang w:eastAsia="en-GB"/>
          <w14:ligatures w14:val="none"/>
        </w:rPr>
        <w:t xml:space="preserve"> </w:t>
      </w:r>
      <w:r w:rsidRPr="0022108C">
        <w:rPr>
          <w:rFonts w:ascii="Arial" w:eastAsia="Times New Roman" w:hAnsi="Arial" w:cs="Arial"/>
          <w:color w:val="000000"/>
          <w:kern w:val="0"/>
          <w:sz w:val="22"/>
          <w:szCs w:val="22"/>
          <w:lang w:eastAsia="en-GB"/>
          <w14:ligatures w14:val="none"/>
        </w:rPr>
        <w:lastRenderedPageBreak/>
        <w:t>established operators such as VodafoneThree because their infrastructure investment creates competitive advantages. However, technology companies offering alternative connectivity solutions, such as satellite communication providers, may create future competitive pressure.</w:t>
      </w:r>
    </w:p>
    <w:p w14:paraId="7ABA3C66"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Bargaining Power of Suppliers – Moderate</w:t>
      </w:r>
    </w:p>
    <w:p w14:paraId="55AC0C90"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Telecommunications operators depend on suppliers of network equipment, technology platforms, and specialist infrastructure. Major suppliers include global technology companies providing network hardware, software solutions, and cybersecurity services.</w:t>
      </w:r>
    </w:p>
    <w:p w14:paraId="446AE5BA" w14:textId="04B0A0C9"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Supplier power is moderate because Vodafone’s size provides significant purchasing influence. The merger increases </w:t>
      </w:r>
      <w:r w:rsidR="00811992" w:rsidRPr="0022108C">
        <w:rPr>
          <w:rFonts w:ascii="Arial" w:eastAsia="Times New Roman" w:hAnsi="Arial" w:cs="Arial"/>
          <w:color w:val="000000"/>
          <w:kern w:val="0"/>
          <w:sz w:val="22"/>
          <w:szCs w:val="22"/>
          <w:lang w:eastAsia="en-GB"/>
          <w14:ligatures w14:val="none"/>
        </w:rPr>
        <w:t>Vodafone Three’s</w:t>
      </w:r>
      <w:r w:rsidRPr="0022108C">
        <w:rPr>
          <w:rFonts w:ascii="Arial" w:eastAsia="Times New Roman" w:hAnsi="Arial" w:cs="Arial"/>
          <w:color w:val="000000"/>
          <w:kern w:val="0"/>
          <w:sz w:val="22"/>
          <w:szCs w:val="22"/>
          <w:lang w:eastAsia="en-GB"/>
          <w14:ligatures w14:val="none"/>
        </w:rPr>
        <w:t xml:space="preserve"> scale, allowing it to negotiate better terms with suppliers. However, dependence on specialist technology providers, particularly for advanced 5G equipment, creates some supplier influence.</w:t>
      </w:r>
    </w:p>
    <w:p w14:paraId="53FBDC3F"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Bargaining Power of Buyers – High</w:t>
      </w:r>
    </w:p>
    <w:p w14:paraId="003D4843"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Customers have considerable bargaining power because switching between telecommunications providers is relatively simple. Mobile number portability enables customers to change providers without losing their existing phone numbers, increasing competitive pressure.</w:t>
      </w:r>
    </w:p>
    <w:p w14:paraId="4A09F0FB"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Furthermore, consumers increasingly compare prices, coverage, and customer service through online platforms. As a result, Vodafone must focus on customer loyalty, personalised services, and superior digital experiences. Investment in network quality alone may not be sufficient unless customers perceive direct benefits.</w:t>
      </w:r>
    </w:p>
    <w:p w14:paraId="7A6EA154"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Threat of Substitutes – Moderate</w:t>
      </w:r>
    </w:p>
    <w:p w14:paraId="012FFB1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Traditional mobile services face increasing substitution risks from alternative communication technologies. Applications such as WhatsApp, Microsoft Teams, and internet-based communication platforms reduce reliance on traditional voice and messaging services.</w:t>
      </w:r>
    </w:p>
    <w:p w14:paraId="28BF9611"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However, demand for reliable connectivity continues to increase due to remote working, streaming, smart devices, and business digitalisation. This means connectivity itself remains essential, but Vodafone must evolve beyond traditional mobile services towards integrated digital solutions.</w:t>
      </w:r>
    </w:p>
    <w:p w14:paraId="58ECCA50"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lastRenderedPageBreak/>
        <w:t>Overall, Porter’s Five Forces analysis demonstrates that Vodafone operates in a challenging but opportunity-rich environment. Competitive rivalry and buyer power are the strongest pressures, meaning Vodafone’s future success depends on differentiation, innovation, and effective use of its expanded network capabilities.</w:t>
      </w:r>
    </w:p>
    <w:p w14:paraId="0F1A56FD" w14:textId="0714F738"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0087E3B5" w14:textId="6EF461A0"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SWOT Analysis of VodafoneThree</w:t>
      </w:r>
    </w:p>
    <w:p w14:paraId="78374847"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 SWOT analysis identifies Vodafone’s internal strengths and weaknesses alongside external opportunities and threats.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62"/>
        <w:gridCol w:w="4064"/>
      </w:tblGrid>
      <w:tr w:rsidR="0022108C" w:rsidRPr="0022108C" w14:paraId="7FDB4DA3" w14:textId="77777777" w:rsidTr="00811992">
        <w:trPr>
          <w:tblHeader/>
          <w:tblCellSpacing w:w="15" w:type="dxa"/>
        </w:trPr>
        <w:tc>
          <w:tcPr>
            <w:tcW w:w="4917" w:type="dxa"/>
            <w:shd w:val="clear" w:color="auto" w:fill="DAE9F7" w:themeFill="text2" w:themeFillTint="1A"/>
            <w:vAlign w:val="center"/>
            <w:hideMark/>
          </w:tcPr>
          <w:p w14:paraId="7BDCCE77" w14:textId="77777777" w:rsidR="0022108C" w:rsidRPr="0022108C" w:rsidRDefault="0022108C" w:rsidP="0022108C">
            <w:pPr>
              <w:spacing w:after="0" w:line="360" w:lineRule="auto"/>
              <w:jc w:val="center"/>
              <w:rPr>
                <w:rFonts w:ascii="Arial" w:eastAsia="Times New Roman" w:hAnsi="Arial" w:cs="Arial"/>
                <w:b/>
                <w:bCs/>
                <w:color w:val="000000"/>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Strengths</w:t>
            </w:r>
          </w:p>
        </w:tc>
        <w:tc>
          <w:tcPr>
            <w:tcW w:w="4019" w:type="dxa"/>
            <w:shd w:val="clear" w:color="auto" w:fill="DAE9F7" w:themeFill="text2" w:themeFillTint="1A"/>
            <w:vAlign w:val="center"/>
            <w:hideMark/>
          </w:tcPr>
          <w:p w14:paraId="60E9AE94" w14:textId="77777777" w:rsidR="0022108C" w:rsidRPr="0022108C" w:rsidRDefault="0022108C" w:rsidP="0022108C">
            <w:pPr>
              <w:spacing w:after="0" w:line="360" w:lineRule="auto"/>
              <w:jc w:val="center"/>
              <w:rPr>
                <w:rFonts w:ascii="Arial" w:eastAsia="Times New Roman" w:hAnsi="Arial" w:cs="Arial"/>
                <w:b/>
                <w:bCs/>
                <w:color w:val="000000"/>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Weaknesses</w:t>
            </w:r>
          </w:p>
        </w:tc>
      </w:tr>
      <w:tr w:rsidR="0022108C" w:rsidRPr="0022108C" w14:paraId="6A229304" w14:textId="77777777" w:rsidTr="00811992">
        <w:trPr>
          <w:tblCellSpacing w:w="15" w:type="dxa"/>
        </w:trPr>
        <w:tc>
          <w:tcPr>
            <w:tcW w:w="4917" w:type="dxa"/>
            <w:vAlign w:val="center"/>
            <w:hideMark/>
          </w:tcPr>
          <w:p w14:paraId="1B3E594F"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Largest UK mobile operator following VodafoneThree merger with approximately 27 million customers</w:t>
            </w:r>
          </w:p>
        </w:tc>
        <w:tc>
          <w:tcPr>
            <w:tcW w:w="4019" w:type="dxa"/>
            <w:vAlign w:val="center"/>
            <w:hideMark/>
          </w:tcPr>
          <w:p w14:paraId="41F4DF2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Complex integration challenges following merger</w:t>
            </w:r>
          </w:p>
        </w:tc>
      </w:tr>
      <w:tr w:rsidR="0022108C" w:rsidRPr="0022108C" w14:paraId="33299D70" w14:textId="77777777" w:rsidTr="00811992">
        <w:trPr>
          <w:tblCellSpacing w:w="15" w:type="dxa"/>
        </w:trPr>
        <w:tc>
          <w:tcPr>
            <w:tcW w:w="4917" w:type="dxa"/>
            <w:vAlign w:val="center"/>
            <w:hideMark/>
          </w:tcPr>
          <w:p w14:paraId="4B6F0035"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Significant £11 billion investment commitment in 5G infrastructure</w:t>
            </w:r>
          </w:p>
        </w:tc>
        <w:tc>
          <w:tcPr>
            <w:tcW w:w="4019" w:type="dxa"/>
            <w:vAlign w:val="center"/>
            <w:hideMark/>
          </w:tcPr>
          <w:p w14:paraId="7C67BF7A"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Previous customer service and brand perception challenges</w:t>
            </w:r>
          </w:p>
        </w:tc>
      </w:tr>
      <w:tr w:rsidR="0022108C" w:rsidRPr="0022108C" w14:paraId="0DABC8FE" w14:textId="77777777" w:rsidTr="00811992">
        <w:trPr>
          <w:tblCellSpacing w:w="15" w:type="dxa"/>
        </w:trPr>
        <w:tc>
          <w:tcPr>
            <w:tcW w:w="4917" w:type="dxa"/>
            <w:vAlign w:val="center"/>
            <w:hideMark/>
          </w:tcPr>
          <w:p w14:paraId="5E899DB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Strong global Vodafone brand and technological expertise</w:t>
            </w:r>
          </w:p>
        </w:tc>
        <w:tc>
          <w:tcPr>
            <w:tcW w:w="4019" w:type="dxa"/>
            <w:vAlign w:val="center"/>
            <w:hideMark/>
          </w:tcPr>
          <w:p w14:paraId="60754382"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 capital expenditure requirements</w:t>
            </w:r>
          </w:p>
        </w:tc>
      </w:tr>
      <w:tr w:rsidR="0022108C" w:rsidRPr="0022108C" w14:paraId="5008CE33" w14:textId="77777777" w:rsidTr="00811992">
        <w:trPr>
          <w:tblCellSpacing w:w="15" w:type="dxa"/>
        </w:trPr>
        <w:tc>
          <w:tcPr>
            <w:tcW w:w="4917" w:type="dxa"/>
            <w:vAlign w:val="center"/>
            <w:hideMark/>
          </w:tcPr>
          <w:p w14:paraId="124A67EE"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Increased operational efficiency through network sharing and cost synergies</w:t>
            </w:r>
          </w:p>
        </w:tc>
        <w:tc>
          <w:tcPr>
            <w:tcW w:w="4019" w:type="dxa"/>
            <w:vAlign w:val="center"/>
            <w:hideMark/>
          </w:tcPr>
          <w:p w14:paraId="4B81DD04"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Dependence on successful execution of transformation strategy</w:t>
            </w:r>
          </w:p>
        </w:tc>
      </w:tr>
    </w:tbl>
    <w:p w14:paraId="7CDB5C01" w14:textId="77777777" w:rsidR="0022108C" w:rsidRPr="0022108C" w:rsidRDefault="0022108C" w:rsidP="0022108C">
      <w:pPr>
        <w:spacing w:after="0" w:line="360" w:lineRule="auto"/>
        <w:rPr>
          <w:rFonts w:ascii="Arial" w:eastAsia="Times New Roman" w:hAnsi="Arial" w:cs="Arial"/>
          <w:vanish/>
          <w:kern w:val="0"/>
          <w:sz w:val="22"/>
          <w:szCs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03"/>
        <w:gridCol w:w="4023"/>
      </w:tblGrid>
      <w:tr w:rsidR="0022108C" w:rsidRPr="0022108C" w14:paraId="6241461E" w14:textId="77777777" w:rsidTr="00811992">
        <w:trPr>
          <w:tblHeader/>
          <w:tblCellSpacing w:w="15" w:type="dxa"/>
        </w:trPr>
        <w:tc>
          <w:tcPr>
            <w:tcW w:w="4958" w:type="dxa"/>
            <w:shd w:val="clear" w:color="auto" w:fill="DAE9F7" w:themeFill="text2" w:themeFillTint="1A"/>
            <w:vAlign w:val="center"/>
            <w:hideMark/>
          </w:tcPr>
          <w:p w14:paraId="06659EA2" w14:textId="77777777" w:rsidR="0022108C" w:rsidRPr="0022108C" w:rsidRDefault="0022108C" w:rsidP="0022108C">
            <w:pPr>
              <w:spacing w:after="0" w:line="360" w:lineRule="auto"/>
              <w:jc w:val="center"/>
              <w:rPr>
                <w:rFonts w:ascii="Arial" w:eastAsia="Times New Roman" w:hAnsi="Arial" w:cs="Arial"/>
                <w:b/>
                <w:bCs/>
                <w:color w:val="000000"/>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Opportunities</w:t>
            </w:r>
          </w:p>
        </w:tc>
        <w:tc>
          <w:tcPr>
            <w:tcW w:w="3978" w:type="dxa"/>
            <w:shd w:val="clear" w:color="auto" w:fill="DAE9F7" w:themeFill="text2" w:themeFillTint="1A"/>
            <w:vAlign w:val="center"/>
            <w:hideMark/>
          </w:tcPr>
          <w:p w14:paraId="03836188" w14:textId="77777777" w:rsidR="0022108C" w:rsidRPr="0022108C" w:rsidRDefault="0022108C" w:rsidP="0022108C">
            <w:pPr>
              <w:spacing w:after="0" w:line="360" w:lineRule="auto"/>
              <w:jc w:val="center"/>
              <w:rPr>
                <w:rFonts w:ascii="Arial" w:eastAsia="Times New Roman" w:hAnsi="Arial" w:cs="Arial"/>
                <w:b/>
                <w:bCs/>
                <w:color w:val="000000"/>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Threats</w:t>
            </w:r>
          </w:p>
        </w:tc>
      </w:tr>
      <w:tr w:rsidR="0022108C" w:rsidRPr="0022108C" w14:paraId="58E5352E" w14:textId="77777777" w:rsidTr="00811992">
        <w:trPr>
          <w:tblCellSpacing w:w="15" w:type="dxa"/>
        </w:trPr>
        <w:tc>
          <w:tcPr>
            <w:tcW w:w="4958" w:type="dxa"/>
            <w:vAlign w:val="center"/>
            <w:hideMark/>
          </w:tcPr>
          <w:p w14:paraId="7D2BD113"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Expansion of 5G-enabled services including IoT and smart cities</w:t>
            </w:r>
          </w:p>
        </w:tc>
        <w:tc>
          <w:tcPr>
            <w:tcW w:w="3978" w:type="dxa"/>
            <w:vAlign w:val="center"/>
            <w:hideMark/>
          </w:tcPr>
          <w:p w14:paraId="1500C07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Strong competition from BT/EE and Virgin Media O2</w:t>
            </w:r>
          </w:p>
        </w:tc>
      </w:tr>
      <w:tr w:rsidR="0022108C" w:rsidRPr="0022108C" w14:paraId="7D6BCF23" w14:textId="77777777" w:rsidTr="00811992">
        <w:trPr>
          <w:tblCellSpacing w:w="15" w:type="dxa"/>
        </w:trPr>
        <w:tc>
          <w:tcPr>
            <w:tcW w:w="4958" w:type="dxa"/>
            <w:vAlign w:val="center"/>
            <w:hideMark/>
          </w:tcPr>
          <w:p w14:paraId="6C360145"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Growth in enterprise digital transformation services</w:t>
            </w:r>
          </w:p>
        </w:tc>
        <w:tc>
          <w:tcPr>
            <w:tcW w:w="3978" w:type="dxa"/>
            <w:vAlign w:val="center"/>
            <w:hideMark/>
          </w:tcPr>
          <w:p w14:paraId="6EDBB2EB"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Regulatory scrutiny following market consolidation</w:t>
            </w:r>
          </w:p>
        </w:tc>
      </w:tr>
      <w:tr w:rsidR="0022108C" w:rsidRPr="0022108C" w14:paraId="24A0B35B" w14:textId="77777777" w:rsidTr="00811992">
        <w:trPr>
          <w:tblCellSpacing w:w="15" w:type="dxa"/>
        </w:trPr>
        <w:tc>
          <w:tcPr>
            <w:tcW w:w="4958" w:type="dxa"/>
            <w:vAlign w:val="center"/>
            <w:hideMark/>
          </w:tcPr>
          <w:p w14:paraId="2BF675F7"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Development of AI-driven customer services</w:t>
            </w:r>
          </w:p>
        </w:tc>
        <w:tc>
          <w:tcPr>
            <w:tcW w:w="3978" w:type="dxa"/>
            <w:vAlign w:val="center"/>
            <w:hideMark/>
          </w:tcPr>
          <w:p w14:paraId="29184F23"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Rapid technological change</w:t>
            </w:r>
          </w:p>
        </w:tc>
      </w:tr>
      <w:tr w:rsidR="0022108C" w:rsidRPr="0022108C" w14:paraId="7118F3E1" w14:textId="77777777" w:rsidTr="00811992">
        <w:trPr>
          <w:tblCellSpacing w:w="15" w:type="dxa"/>
        </w:trPr>
        <w:tc>
          <w:tcPr>
            <w:tcW w:w="4958" w:type="dxa"/>
            <w:vAlign w:val="center"/>
            <w:hideMark/>
          </w:tcPr>
          <w:p w14:paraId="440D6208"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Increased demand for connected devices and digital infrastructure</w:t>
            </w:r>
          </w:p>
        </w:tc>
        <w:tc>
          <w:tcPr>
            <w:tcW w:w="3978" w:type="dxa"/>
            <w:vAlign w:val="center"/>
            <w:hideMark/>
          </w:tcPr>
          <w:p w14:paraId="50769AAE"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Economic uncertainty affecting customer spending</w:t>
            </w:r>
          </w:p>
        </w:tc>
      </w:tr>
    </w:tbl>
    <w:p w14:paraId="6550E371" w14:textId="67AAAD2B"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The SWOT analysis indicates that </w:t>
      </w:r>
      <w:r w:rsidR="00811992"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possesses significant strategic advantages, particularly its scale, infrastructure investment, and technological capabilities. However, these strengths must be converted into sustainable competitive advantages through effective execution. The merger creates opportunities for growth, but poor integration could reduce expected benefits and negatively affect customer confidence.</w:t>
      </w:r>
    </w:p>
    <w:p w14:paraId="6B3244AF" w14:textId="77777777" w:rsidR="0022108C" w:rsidRPr="0022108C" w:rsidRDefault="00FD2D78" w:rsidP="0022108C">
      <w:pPr>
        <w:spacing w:after="0" w:line="360" w:lineRule="auto"/>
        <w:rPr>
          <w:rFonts w:ascii="Arial" w:eastAsia="Times New Roman" w:hAnsi="Arial" w:cs="Arial"/>
          <w:kern w:val="0"/>
          <w:sz w:val="22"/>
          <w:szCs w:val="22"/>
          <w:lang w:eastAsia="en-GB"/>
          <w14:ligatures w14:val="none"/>
        </w:rPr>
      </w:pPr>
      <w:r w:rsidRPr="00FD2D78">
        <w:rPr>
          <w:rFonts w:ascii="Arial" w:eastAsia="Times New Roman" w:hAnsi="Arial" w:cs="Arial"/>
          <w:noProof/>
          <w:kern w:val="0"/>
          <w:sz w:val="22"/>
          <w:szCs w:val="22"/>
          <w:lang w:eastAsia="en-GB"/>
        </w:rPr>
        <w:lastRenderedPageBreak/>
        <w:pict w14:anchorId="21938754">
          <v:rect id="_x0000_i1025" alt="" style="width:451.3pt;height:.05pt;mso-width-percent:0;mso-height-percent:0;mso-width-percent:0;mso-height-percent:0" o:hralign="center" o:hrstd="t" o:hr="t" fillcolor="#a0a0a0" stroked="f"/>
        </w:pict>
      </w:r>
    </w:p>
    <w:p w14:paraId="0281D73A" w14:textId="43D458E4" w:rsidR="0022108C" w:rsidRPr="0022108C" w:rsidRDefault="0022108C" w:rsidP="00811992">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Strategic Growth Options and Proposed Strategy</w:t>
      </w:r>
    </w:p>
    <w:p w14:paraId="4A2A83E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has several potential strategic growth options following the merger with Three UK. These options can be evaluated using the Ansoff Matrix (Ansoff, 1957), which identifies four growth strategies: market penetration, market development, product development, and diversification.</w:t>
      </w:r>
    </w:p>
    <w:p w14:paraId="5C12A808"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Option 1: Market Penetration</w:t>
      </w:r>
    </w:p>
    <w:p w14:paraId="52C52275"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Market penetration involves increasing market share within existing markets through improved customer retention, pricing strategies, and service enhancement. VodafoneThree could use its larger network coverage and improved 5G performance to attract customers from competitors.</w:t>
      </w:r>
    </w:p>
    <w:p w14:paraId="6FC7BD6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advantage of this strategy is that it uses existing capabilities and involves relatively lower risk. However, the UK mobile market is mature, meaning significant customer growth through traditional mobile services may be limited.</w:t>
      </w:r>
    </w:p>
    <w:p w14:paraId="5CB98BD4"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Option 2: Product Development through Digital Services</w:t>
      </w:r>
    </w:p>
    <w:p w14:paraId="55363070"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Product development represents an opportunity for Vodafone to create new services for existing customers. This could include advanced 5G solutions, IoT services, cloud connectivity, cybersecurity solutions, and smart technology applications.</w:t>
      </w:r>
    </w:p>
    <w:p w14:paraId="1AED0C29"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This strategy aligns strongly with Vodafone’s transformation from a traditional telecom provider into a digital technology company. Businesses increasingly require secure connectivity solutions, creating opportunities for Vodafone to generate higher-value revenue streams.</w:t>
      </w:r>
    </w:p>
    <w:p w14:paraId="12F841B6"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Option 3: Market Development</w:t>
      </w:r>
    </w:p>
    <w:p w14:paraId="58FD9B2A"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could expand into new customer segments, particularly small businesses, large enterprises, and public sector organisations requiring digital infrastructure. The UK government’s focus on digital transformation provides opportunities for telecommunications providers to support smart cities and public services.</w:t>
      </w:r>
    </w:p>
    <w:p w14:paraId="25899207" w14:textId="77777777" w:rsidR="00811992" w:rsidRDefault="00811992" w:rsidP="0022108C">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14366F01" w14:textId="4463037C" w:rsidR="0022108C" w:rsidRPr="00811992" w:rsidRDefault="0022108C" w:rsidP="00811992">
      <w:pPr>
        <w:spacing w:before="100" w:beforeAutospacing="1" w:after="100" w:afterAutospacing="1" w:line="360" w:lineRule="auto"/>
        <w:jc w:val="center"/>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lastRenderedPageBreak/>
        <w:t>Option 4: Diversification</w:t>
      </w:r>
    </w:p>
    <w:p w14:paraId="074D3D8D"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Diversification involves entering completely new markets. Although this may create opportunities, it also involves higher risk because Vodafone would move beyond its core expertise.</w:t>
      </w:r>
    </w:p>
    <w:p w14:paraId="393F08F0" w14:textId="29B3D230"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4246BA4D" w14:textId="77777777"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Recommended Strategy: Differentiation through 5G Digital Ecosystem Development</w:t>
      </w:r>
    </w:p>
    <w:p w14:paraId="2E65F105" w14:textId="42213BCD"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This report recommends that </w:t>
      </w:r>
      <w:r w:rsidR="00811992" w:rsidRPr="0022108C">
        <w:rPr>
          <w:rFonts w:ascii="Arial" w:eastAsia="Times New Roman" w:hAnsi="Arial" w:cs="Arial"/>
          <w:color w:val="000000"/>
          <w:kern w:val="0"/>
          <w:sz w:val="22"/>
          <w:szCs w:val="22"/>
          <w:lang w:eastAsia="en-GB"/>
          <w14:ligatures w14:val="none"/>
        </w:rPr>
        <w:t>Vodafone Three</w:t>
      </w:r>
      <w:r w:rsidRPr="0022108C">
        <w:rPr>
          <w:rFonts w:ascii="Arial" w:eastAsia="Times New Roman" w:hAnsi="Arial" w:cs="Arial"/>
          <w:color w:val="000000"/>
          <w:kern w:val="0"/>
          <w:sz w:val="22"/>
          <w:szCs w:val="22"/>
          <w:lang w:eastAsia="en-GB"/>
          <w14:ligatures w14:val="none"/>
        </w:rPr>
        <w:t xml:space="preserve"> adopts a differentiation strategy based on advanced connectivity, digital services, and customer experience improvement.</w:t>
      </w:r>
    </w:p>
    <w:p w14:paraId="17DC068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According to Porter’s Generic Strategies (Porter, 1985), organisations achieve competitive advantage through cost leadership, differentiation, or focus strategies. Vodafone should avoid competing primarily on price because this approach has historically reduced profitability within telecommunications markets. Instead, Vodafone should differentiate itself through superior network capability, innovative digital solutions, and personalised customer experiences.</w:t>
      </w:r>
    </w:p>
    <w:p w14:paraId="6EF2A42E"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recommended strategy involves three strategic priorities:</w:t>
      </w:r>
    </w:p>
    <w:p w14:paraId="6D917BAF"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1. Monetising 5G Infrastructure</w:t>
      </w:r>
    </w:p>
    <w:p w14:paraId="0142D5E6"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should transform its £11 billion network investment into revenue-generating services. Rather than viewing 5G only as a faster mobile network, Vodafone should develop commercial applications for businesses, including industrial automation, connected vehicles, healthcare technology, and smart city infrastructure.</w:t>
      </w:r>
    </w:p>
    <w:p w14:paraId="7C148CA0"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2. Developing AI-Based Customer Experience</w:t>
      </w:r>
    </w:p>
    <w:p w14:paraId="3B63DF8C"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 satisfaction is a major competitive factor. Vodafone should expand artificial intelligence applications to provide personalised recommendations, faster customer support, and predictive service management. Improved customer experience can increase loyalty and reduce customer switching.</w:t>
      </w:r>
    </w:p>
    <w:p w14:paraId="691A246F" w14:textId="77777777" w:rsidR="00811992" w:rsidRDefault="00811992" w:rsidP="0022108C">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0633EB70" w14:textId="77777777" w:rsidR="00811992" w:rsidRDefault="00811992" w:rsidP="0022108C">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0183C1D3" w14:textId="2AF4A392"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lastRenderedPageBreak/>
        <w:t>3. Expanding Enterprise Digital Solutions</w:t>
      </w:r>
    </w:p>
    <w:p w14:paraId="36AF6577"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Business customers represent a significant growth opportunity. Vodafone should strengthen its enterprise services by offering integrated solutions combining connectivity, cybersecurity, cloud services, and IoT technology.</w:t>
      </w:r>
    </w:p>
    <w:p w14:paraId="01D44759"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This strategy aligns with Vodafone’s values of innovation, inclusion, and responsible connectivity. It also supports long-term growth by moving the organisation away from reliance on traditional mobile revenue and towards higher-value digital services.</w:t>
      </w:r>
    </w:p>
    <w:p w14:paraId="47C1DA5A" w14:textId="10DBE189"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7A9B5E44" w14:textId="77777777" w:rsidR="0022108C" w:rsidRPr="00811992" w:rsidRDefault="0022108C" w:rsidP="0022108C">
      <w:pPr>
        <w:spacing w:before="100" w:beforeAutospacing="1" w:after="100" w:afterAutospacing="1" w:line="360" w:lineRule="auto"/>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4. Strategy Evaluation Using SAF Framework</w:t>
      </w:r>
    </w:p>
    <w:p w14:paraId="357C409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proposed differentiation strategy based on 5G digital ecosystem development can be evaluated using the SAF framework, which assesses strategic decisions according to Suitability, Acceptability, and Feasibility (Johnson, Scholes and Whittington, 2008). This framework determines whether the recommended strategy is appropriate for VodafoneThree’s current position and future objectives.</w:t>
      </w:r>
    </w:p>
    <w:p w14:paraId="7AC63A90"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4.1 Suitability</w:t>
      </w:r>
    </w:p>
    <w:p w14:paraId="21C1AD7C"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Suitability considers whether the strategy addresses the organisation’s external environment and strategic challenges. The recommended strategy is suitable because it directly responds to major trends affecting the telecommunications sector, including increasing demand for digital connectivity, growth of artificial intelligence, expansion of Internet of Things applications, and the transition towards enterprise digital services.</w:t>
      </w:r>
    </w:p>
    <w:p w14:paraId="1E293B9A" w14:textId="7015D36B" w:rsidR="0022108C" w:rsidRPr="0022108C" w:rsidRDefault="00811992"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Three’s</w:t>
      </w:r>
      <w:r w:rsidR="0022108C" w:rsidRPr="0022108C">
        <w:rPr>
          <w:rFonts w:ascii="Arial" w:eastAsia="Times New Roman" w:hAnsi="Arial" w:cs="Arial"/>
          <w:color w:val="000000"/>
          <w:kern w:val="0"/>
          <w:sz w:val="22"/>
          <w:szCs w:val="22"/>
          <w:lang w:eastAsia="en-GB"/>
          <w14:ligatures w14:val="none"/>
        </w:rPr>
        <w:t xml:space="preserve"> merger creates significant network scale and provides an opportunity to differentiate itself through superior infrastructure. The proposed strategy allows Vodafone to maximise the value of its £11 billion 5G investment by developing new revenue streams rather than competing only in the saturated consumer mobile market.</w:t>
      </w:r>
    </w:p>
    <w:p w14:paraId="2EE03659"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strategy also addresses weaknesses identified in the SWOT analysis. Historically, Vodafone has faced challenges relating to customer satisfaction and market perception. Investment in AI-driven customer services and improved digital experiences can strengthen customer relationships and improve brand reputation.</w:t>
      </w:r>
    </w:p>
    <w:p w14:paraId="6A91BF09"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lastRenderedPageBreak/>
        <w:t>However, the strategy has limitations. The success of 5G-enabled services depends on customer adoption and business demand. While technological opportunities are significant, the commercial value of some emerging technologies remains uncertain. Vodafone must therefore balance innovation with realistic market expectations.</w:t>
      </w:r>
    </w:p>
    <w:p w14:paraId="745A99C7"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4.2 Acceptability</w:t>
      </w:r>
    </w:p>
    <w:p w14:paraId="52CA5B8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Acceptability evaluates whether the expected returns, risks, and stakeholder outcomes are acceptable. The proposed strategy has strong potential financial benefits because digital services typically generate higher margins compared with traditional mobile connectivity.</w:t>
      </w:r>
    </w:p>
    <w:p w14:paraId="3825599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For shareholders, the strategy provides opportunities for sustainable revenue growth through enterprise solutions, improved operational efficiency, and merger synergies. Vodafone’s ability to reduce duplicated costs following the merger strengthens the financial justification for further investment.</w:t>
      </w:r>
    </w:p>
    <w:p w14:paraId="0BEA43F5"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For customers, the strategy provides improved network quality, faster connectivity, and more personalised services. Businesses benefit from advanced solutions supporting automation, remote working, and digital transformation.</w:t>
      </w:r>
    </w:p>
    <w:p w14:paraId="353DC288"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However, risks exist. Large-scale technology investment requires significant financial resources, and returns may take several years to materialise. There is also potential stakeholder concern regarding job restructuring during operational integration. Vodafone must therefore ensure transparent communication and responsible change management.</w:t>
      </w:r>
    </w:p>
    <w:p w14:paraId="1D5C9B8C"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Overall, the expected benefits outweigh the risks because the strategy supports long-term competitiveness in a rapidly changing industry.</w:t>
      </w:r>
    </w:p>
    <w:p w14:paraId="04C80FEC"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4.3 Feasibility</w:t>
      </w:r>
    </w:p>
    <w:p w14:paraId="4BFF878F" w14:textId="77777777" w:rsidR="00811992"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Feasibility considers whether Vodafone has the resources and capabilities required to implement the strategy successfully.</w:t>
      </w:r>
    </w:p>
    <w:p w14:paraId="42438848" w14:textId="1416DBEB" w:rsidR="0022108C" w:rsidRPr="0022108C" w:rsidRDefault="00811992"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Three</w:t>
      </w:r>
      <w:r w:rsidR="0022108C" w:rsidRPr="0022108C">
        <w:rPr>
          <w:rFonts w:ascii="Arial" w:eastAsia="Times New Roman" w:hAnsi="Arial" w:cs="Arial"/>
          <w:color w:val="000000"/>
          <w:kern w:val="0"/>
          <w:sz w:val="22"/>
          <w:szCs w:val="22"/>
          <w:lang w:eastAsia="en-GB"/>
          <w14:ligatures w14:val="none"/>
        </w:rPr>
        <w:t xml:space="preserve"> has several advantages supporting feasibility:</w:t>
      </w:r>
    </w:p>
    <w:p w14:paraId="33D01091" w14:textId="77777777" w:rsidR="0022108C" w:rsidRPr="0022108C" w:rsidRDefault="0022108C" w:rsidP="0022108C">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Strong financial capability due to Vodafone Group’s international presence.</w:t>
      </w:r>
    </w:p>
    <w:p w14:paraId="50185F6B" w14:textId="77777777" w:rsidR="0022108C" w:rsidRPr="0022108C" w:rsidRDefault="0022108C" w:rsidP="0022108C">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Existing telecommunications infrastructure and technical expertise.</w:t>
      </w:r>
    </w:p>
    <w:p w14:paraId="5211766B" w14:textId="77777777" w:rsidR="0022108C" w:rsidRPr="0022108C" w:rsidRDefault="0022108C" w:rsidP="0022108C">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 large customer base providing opportunities for service adoption.</w:t>
      </w:r>
    </w:p>
    <w:p w14:paraId="02F8CBF4" w14:textId="77777777" w:rsidR="0022108C" w:rsidRPr="0022108C" w:rsidRDefault="0022108C" w:rsidP="0022108C">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Experienced employees with industry knowledge.</w:t>
      </w:r>
    </w:p>
    <w:p w14:paraId="1DB50464" w14:textId="77777777" w:rsidR="0022108C" w:rsidRPr="0022108C" w:rsidRDefault="0022108C" w:rsidP="0022108C">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lastRenderedPageBreak/>
        <w:t>Established partnerships with technology providers.</w:t>
      </w:r>
    </w:p>
    <w:p w14:paraId="44764560"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merger also creates operational advantages through network integration and cost efficiencies. These savings can support further investment into innovation and digital services.</w:t>
      </w:r>
    </w:p>
    <w:p w14:paraId="0850449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Nevertheless, implementation challenges remain. Integrating two large organisations requires effective leadership, cultural alignment, and careful management of employee concerns. Vodafone must also develop new digital capabilities and ensure cybersecurity standards remain strong as services become more complex.</w:t>
      </w:r>
    </w:p>
    <w:p w14:paraId="0A6386EF"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Overall, the SAF analysis suggests that the proposed strategy is suitable, acceptable, and feasible. While risks exist, Vodafone’s resources and market position provide a strong foundation for successful implementation.</w:t>
      </w:r>
    </w:p>
    <w:p w14:paraId="273C35E6" w14:textId="250053D7"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4BEC7F70" w14:textId="77777777" w:rsidR="0022108C" w:rsidRPr="00811992" w:rsidRDefault="0022108C" w:rsidP="0022108C">
      <w:pPr>
        <w:spacing w:before="100" w:beforeAutospacing="1" w:after="100" w:afterAutospacing="1" w:line="360" w:lineRule="auto"/>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5. Stakeholder Analysis</w:t>
      </w:r>
    </w:p>
    <w:p w14:paraId="4AE1BF15" w14:textId="32870C63"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 xml:space="preserve">Stakeholder management is essential because </w:t>
      </w:r>
      <w:r w:rsidR="00811992" w:rsidRPr="0022108C">
        <w:rPr>
          <w:rFonts w:ascii="Arial" w:eastAsia="Times New Roman" w:hAnsi="Arial" w:cs="Arial"/>
          <w:color w:val="000000"/>
          <w:kern w:val="0"/>
          <w:sz w:val="22"/>
          <w:szCs w:val="22"/>
          <w:lang w:eastAsia="en-GB"/>
          <w14:ligatures w14:val="none"/>
        </w:rPr>
        <w:t>Vodafone Three’s</w:t>
      </w:r>
      <w:r w:rsidRPr="0022108C">
        <w:rPr>
          <w:rFonts w:ascii="Arial" w:eastAsia="Times New Roman" w:hAnsi="Arial" w:cs="Arial"/>
          <w:color w:val="000000"/>
          <w:kern w:val="0"/>
          <w:sz w:val="22"/>
          <w:szCs w:val="22"/>
          <w:lang w:eastAsia="en-GB"/>
          <w14:ligatures w14:val="none"/>
        </w:rPr>
        <w:t xml:space="preserve"> transformation affects a wide range of groups, including customers, employees, shareholders, regulators, suppliers, and communities. Freeman’s stakeholder theory (1984) argues that organisations achieve long-term success by considering the interests of all stakeholders rather than focusing only on shareholder value.</w:t>
      </w:r>
    </w:p>
    <w:p w14:paraId="516C68D6" w14:textId="77777777" w:rsidR="0022108C" w:rsidRPr="00811992" w:rsidRDefault="0022108C" w:rsidP="0022108C">
      <w:pPr>
        <w:spacing w:before="100" w:beforeAutospacing="1" w:after="100" w:afterAutospacing="1" w:line="360" w:lineRule="auto"/>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5.1 Mendelow’s Matrix Analysis</w:t>
      </w:r>
    </w:p>
    <w:p w14:paraId="46FEBC46"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Mendelow’s Power-Interest Matrix (1991) categorises stakeholders according to their level of influence and interest.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2"/>
        <w:gridCol w:w="1127"/>
        <w:gridCol w:w="855"/>
        <w:gridCol w:w="4452"/>
      </w:tblGrid>
      <w:tr w:rsidR="0022108C" w:rsidRPr="0022108C" w14:paraId="55A5F318" w14:textId="77777777" w:rsidTr="00811992">
        <w:trPr>
          <w:tblHeader/>
          <w:tblCellSpacing w:w="15" w:type="dxa"/>
        </w:trPr>
        <w:tc>
          <w:tcPr>
            <w:tcW w:w="0" w:type="auto"/>
            <w:shd w:val="clear" w:color="auto" w:fill="DAE9F7" w:themeFill="text2" w:themeFillTint="1A"/>
            <w:vAlign w:val="center"/>
            <w:hideMark/>
          </w:tcPr>
          <w:p w14:paraId="35899DCD"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Stakeholder</w:t>
            </w:r>
          </w:p>
        </w:tc>
        <w:tc>
          <w:tcPr>
            <w:tcW w:w="0" w:type="auto"/>
            <w:shd w:val="clear" w:color="auto" w:fill="DAE9F7" w:themeFill="text2" w:themeFillTint="1A"/>
            <w:vAlign w:val="center"/>
            <w:hideMark/>
          </w:tcPr>
          <w:p w14:paraId="7B77892D"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Power</w:t>
            </w:r>
          </w:p>
        </w:tc>
        <w:tc>
          <w:tcPr>
            <w:tcW w:w="0" w:type="auto"/>
            <w:shd w:val="clear" w:color="auto" w:fill="DAE9F7" w:themeFill="text2" w:themeFillTint="1A"/>
            <w:vAlign w:val="center"/>
            <w:hideMark/>
          </w:tcPr>
          <w:p w14:paraId="33D67D08"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Interest</w:t>
            </w:r>
          </w:p>
        </w:tc>
        <w:tc>
          <w:tcPr>
            <w:tcW w:w="0" w:type="auto"/>
            <w:shd w:val="clear" w:color="auto" w:fill="DAE9F7" w:themeFill="text2" w:themeFillTint="1A"/>
            <w:vAlign w:val="center"/>
            <w:hideMark/>
          </w:tcPr>
          <w:p w14:paraId="46877525"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Management Approach</w:t>
            </w:r>
          </w:p>
        </w:tc>
      </w:tr>
      <w:tr w:rsidR="0022108C" w:rsidRPr="0022108C" w14:paraId="2650969C" w14:textId="77777777">
        <w:trPr>
          <w:tblCellSpacing w:w="15" w:type="dxa"/>
        </w:trPr>
        <w:tc>
          <w:tcPr>
            <w:tcW w:w="0" w:type="auto"/>
            <w:vAlign w:val="center"/>
            <w:hideMark/>
          </w:tcPr>
          <w:p w14:paraId="5A6BB3B6"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Shareholders and investors</w:t>
            </w:r>
          </w:p>
        </w:tc>
        <w:tc>
          <w:tcPr>
            <w:tcW w:w="0" w:type="auto"/>
            <w:vAlign w:val="center"/>
            <w:hideMark/>
          </w:tcPr>
          <w:p w14:paraId="70DA3EB5"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w:t>
            </w:r>
          </w:p>
        </w:tc>
        <w:tc>
          <w:tcPr>
            <w:tcW w:w="0" w:type="auto"/>
            <w:vAlign w:val="center"/>
            <w:hideMark/>
          </w:tcPr>
          <w:p w14:paraId="7FA48DA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w:t>
            </w:r>
          </w:p>
        </w:tc>
        <w:tc>
          <w:tcPr>
            <w:tcW w:w="0" w:type="auto"/>
            <w:vAlign w:val="center"/>
            <w:hideMark/>
          </w:tcPr>
          <w:p w14:paraId="66DC23A6"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Manage closely through regular financial and strategic updates</w:t>
            </w:r>
          </w:p>
        </w:tc>
      </w:tr>
      <w:tr w:rsidR="0022108C" w:rsidRPr="0022108C" w14:paraId="0B12F760" w14:textId="77777777">
        <w:trPr>
          <w:tblCellSpacing w:w="15" w:type="dxa"/>
        </w:trPr>
        <w:tc>
          <w:tcPr>
            <w:tcW w:w="0" w:type="auto"/>
            <w:vAlign w:val="center"/>
            <w:hideMark/>
          </w:tcPr>
          <w:p w14:paraId="7CAEA972"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Ofcom and government regulators</w:t>
            </w:r>
          </w:p>
        </w:tc>
        <w:tc>
          <w:tcPr>
            <w:tcW w:w="0" w:type="auto"/>
            <w:vAlign w:val="center"/>
            <w:hideMark/>
          </w:tcPr>
          <w:p w14:paraId="53A78541"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w:t>
            </w:r>
          </w:p>
        </w:tc>
        <w:tc>
          <w:tcPr>
            <w:tcW w:w="0" w:type="auto"/>
            <w:vAlign w:val="center"/>
            <w:hideMark/>
          </w:tcPr>
          <w:p w14:paraId="5CAFFEC8"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w:t>
            </w:r>
          </w:p>
        </w:tc>
        <w:tc>
          <w:tcPr>
            <w:tcW w:w="0" w:type="auto"/>
            <w:vAlign w:val="center"/>
            <w:hideMark/>
          </w:tcPr>
          <w:p w14:paraId="66CE1545"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Maintain compliance and transparent communication</w:t>
            </w:r>
          </w:p>
        </w:tc>
      </w:tr>
      <w:tr w:rsidR="0022108C" w:rsidRPr="0022108C" w14:paraId="59A29FC4" w14:textId="77777777">
        <w:trPr>
          <w:tblCellSpacing w:w="15" w:type="dxa"/>
        </w:trPr>
        <w:tc>
          <w:tcPr>
            <w:tcW w:w="0" w:type="auto"/>
            <w:vAlign w:val="center"/>
            <w:hideMark/>
          </w:tcPr>
          <w:p w14:paraId="71A8C24A"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Customers</w:t>
            </w:r>
          </w:p>
        </w:tc>
        <w:tc>
          <w:tcPr>
            <w:tcW w:w="0" w:type="auto"/>
            <w:vAlign w:val="center"/>
            <w:hideMark/>
          </w:tcPr>
          <w:p w14:paraId="7232755C"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Medium</w:t>
            </w:r>
          </w:p>
        </w:tc>
        <w:tc>
          <w:tcPr>
            <w:tcW w:w="0" w:type="auto"/>
            <w:vAlign w:val="center"/>
            <w:hideMark/>
          </w:tcPr>
          <w:p w14:paraId="14CD3A98"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w:t>
            </w:r>
          </w:p>
        </w:tc>
        <w:tc>
          <w:tcPr>
            <w:tcW w:w="0" w:type="auto"/>
            <w:vAlign w:val="center"/>
            <w:hideMark/>
          </w:tcPr>
          <w:p w14:paraId="204D898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Improve engagement through better services and communication</w:t>
            </w:r>
          </w:p>
        </w:tc>
      </w:tr>
      <w:tr w:rsidR="0022108C" w:rsidRPr="0022108C" w14:paraId="14C8DF25" w14:textId="77777777">
        <w:trPr>
          <w:tblCellSpacing w:w="15" w:type="dxa"/>
        </w:trPr>
        <w:tc>
          <w:tcPr>
            <w:tcW w:w="0" w:type="auto"/>
            <w:vAlign w:val="center"/>
            <w:hideMark/>
          </w:tcPr>
          <w:p w14:paraId="4ED80F39"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lastRenderedPageBreak/>
              <w:t>Employees</w:t>
            </w:r>
          </w:p>
        </w:tc>
        <w:tc>
          <w:tcPr>
            <w:tcW w:w="0" w:type="auto"/>
            <w:vAlign w:val="center"/>
            <w:hideMark/>
          </w:tcPr>
          <w:p w14:paraId="51CCE28F"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Medium</w:t>
            </w:r>
          </w:p>
        </w:tc>
        <w:tc>
          <w:tcPr>
            <w:tcW w:w="0" w:type="auto"/>
            <w:vAlign w:val="center"/>
            <w:hideMark/>
          </w:tcPr>
          <w:p w14:paraId="3C1C7485"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High</w:t>
            </w:r>
          </w:p>
        </w:tc>
        <w:tc>
          <w:tcPr>
            <w:tcW w:w="0" w:type="auto"/>
            <w:vAlign w:val="center"/>
            <w:hideMark/>
          </w:tcPr>
          <w:p w14:paraId="2AAEF3BA"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Provide training, involvement, and change support</w:t>
            </w:r>
          </w:p>
        </w:tc>
      </w:tr>
      <w:tr w:rsidR="0022108C" w:rsidRPr="0022108C" w14:paraId="0506D1A6" w14:textId="77777777">
        <w:trPr>
          <w:tblCellSpacing w:w="15" w:type="dxa"/>
        </w:trPr>
        <w:tc>
          <w:tcPr>
            <w:tcW w:w="0" w:type="auto"/>
            <w:vAlign w:val="center"/>
            <w:hideMark/>
          </w:tcPr>
          <w:p w14:paraId="7925473C"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Technology suppliers</w:t>
            </w:r>
          </w:p>
        </w:tc>
        <w:tc>
          <w:tcPr>
            <w:tcW w:w="0" w:type="auto"/>
            <w:vAlign w:val="center"/>
            <w:hideMark/>
          </w:tcPr>
          <w:p w14:paraId="262ABCD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Medium</w:t>
            </w:r>
          </w:p>
        </w:tc>
        <w:tc>
          <w:tcPr>
            <w:tcW w:w="0" w:type="auto"/>
            <w:vAlign w:val="center"/>
            <w:hideMark/>
          </w:tcPr>
          <w:p w14:paraId="509C2BB2"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Medium</w:t>
            </w:r>
          </w:p>
        </w:tc>
        <w:tc>
          <w:tcPr>
            <w:tcW w:w="0" w:type="auto"/>
            <w:vAlign w:val="center"/>
            <w:hideMark/>
          </w:tcPr>
          <w:p w14:paraId="12453B76"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Maintain strategic partnerships</w:t>
            </w:r>
          </w:p>
        </w:tc>
      </w:tr>
      <w:tr w:rsidR="0022108C" w:rsidRPr="0022108C" w14:paraId="381AB8F0" w14:textId="77777777">
        <w:trPr>
          <w:tblCellSpacing w:w="15" w:type="dxa"/>
        </w:trPr>
        <w:tc>
          <w:tcPr>
            <w:tcW w:w="0" w:type="auto"/>
            <w:vAlign w:val="center"/>
            <w:hideMark/>
          </w:tcPr>
          <w:p w14:paraId="71A56E1F"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Local communities</w:t>
            </w:r>
          </w:p>
        </w:tc>
        <w:tc>
          <w:tcPr>
            <w:tcW w:w="0" w:type="auto"/>
            <w:vAlign w:val="center"/>
            <w:hideMark/>
          </w:tcPr>
          <w:p w14:paraId="727E8A87"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Low-Medium</w:t>
            </w:r>
          </w:p>
        </w:tc>
        <w:tc>
          <w:tcPr>
            <w:tcW w:w="0" w:type="auto"/>
            <w:vAlign w:val="center"/>
            <w:hideMark/>
          </w:tcPr>
          <w:p w14:paraId="7B955334"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Medium</w:t>
            </w:r>
          </w:p>
        </w:tc>
        <w:tc>
          <w:tcPr>
            <w:tcW w:w="0" w:type="auto"/>
            <w:vAlign w:val="center"/>
            <w:hideMark/>
          </w:tcPr>
          <w:p w14:paraId="2AA5DCF7"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Communicate benefits of improved connectivity</w:t>
            </w:r>
          </w:p>
        </w:tc>
      </w:tr>
    </w:tbl>
    <w:p w14:paraId="7435946B" w14:textId="77777777" w:rsidR="0022108C" w:rsidRPr="00811992" w:rsidRDefault="0022108C" w:rsidP="00811992">
      <w:pPr>
        <w:spacing w:before="100" w:beforeAutospacing="1" w:after="100" w:afterAutospacing="1" w:line="360" w:lineRule="auto"/>
        <w:jc w:val="center"/>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Stakeholder Engagement Plan</w:t>
      </w:r>
    </w:p>
    <w:p w14:paraId="468BC6C8"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Customers</w:t>
      </w:r>
    </w:p>
    <w:p w14:paraId="7B55AE8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Customers are central to Vodafone’s strategy because improved experience is a key source of competitive advantage. Vodafone should communicate network improvements, introduce personalised digital services, and collect customer feedback through digital platforms.</w:t>
      </w:r>
    </w:p>
    <w:p w14:paraId="2114B8D9" w14:textId="77777777" w:rsidR="0022108C" w:rsidRPr="0022108C" w:rsidRDefault="0022108C" w:rsidP="0022108C">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22108C">
        <w:rPr>
          <w:rFonts w:ascii="Arial" w:eastAsia="Times New Roman" w:hAnsi="Arial" w:cs="Arial"/>
          <w:b/>
          <w:bCs/>
          <w:color w:val="000000"/>
          <w:kern w:val="0"/>
          <w:sz w:val="22"/>
          <w:szCs w:val="22"/>
          <w:lang w:eastAsia="en-GB"/>
          <w14:ligatures w14:val="none"/>
        </w:rPr>
        <w:t>Employees</w:t>
      </w:r>
    </w:p>
    <w:p w14:paraId="33042DD5"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Employees are critical to successful merger integration. Vodafone should provide training in areas such as artificial intelligence, cybersecurity, and digital services. Clear communication is required to reduce uncertainty and maintain employee motivation.</w:t>
      </w:r>
    </w:p>
    <w:p w14:paraId="425F056B"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Regulators</w:t>
      </w:r>
    </w:p>
    <w:p w14:paraId="525FA6D2"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must maintain strong relationships with Ofcom and government bodies. Regular reporting on competition, investment commitments, and consumer benefits will help demonstrate that the merger supports national connectivity objectives.</w:t>
      </w:r>
    </w:p>
    <w:p w14:paraId="3A8FB509"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Shareholders</w:t>
      </w:r>
    </w:p>
    <w:p w14:paraId="3620DF9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Investors require evidence that the strategy generates sustainable financial returns. Vodafone should provide clear performance reporting regarding cost savings, customer growth, and new revenue streams.</w:t>
      </w:r>
    </w:p>
    <w:p w14:paraId="262E0B48" w14:textId="03C60CF7" w:rsidR="0022108C" w:rsidRDefault="0022108C" w:rsidP="0022108C">
      <w:pPr>
        <w:spacing w:after="0" w:line="360" w:lineRule="auto"/>
        <w:rPr>
          <w:rFonts w:ascii="Arial" w:eastAsia="Times New Roman" w:hAnsi="Arial" w:cs="Arial"/>
          <w:kern w:val="0"/>
          <w:sz w:val="22"/>
          <w:szCs w:val="22"/>
          <w:lang w:eastAsia="en-GB"/>
          <w14:ligatures w14:val="none"/>
        </w:rPr>
      </w:pPr>
    </w:p>
    <w:p w14:paraId="00BA9222" w14:textId="77777777" w:rsidR="00811992" w:rsidRDefault="00811992" w:rsidP="0022108C">
      <w:pPr>
        <w:spacing w:after="0" w:line="360" w:lineRule="auto"/>
        <w:rPr>
          <w:rFonts w:ascii="Arial" w:eastAsia="Times New Roman" w:hAnsi="Arial" w:cs="Arial"/>
          <w:kern w:val="0"/>
          <w:sz w:val="22"/>
          <w:szCs w:val="22"/>
          <w:lang w:eastAsia="en-GB"/>
          <w14:ligatures w14:val="none"/>
        </w:rPr>
      </w:pPr>
    </w:p>
    <w:p w14:paraId="56601938" w14:textId="77777777" w:rsidR="00811992" w:rsidRDefault="00811992" w:rsidP="0022108C">
      <w:pPr>
        <w:spacing w:after="0" w:line="360" w:lineRule="auto"/>
        <w:rPr>
          <w:rFonts w:ascii="Arial" w:eastAsia="Times New Roman" w:hAnsi="Arial" w:cs="Arial"/>
          <w:kern w:val="0"/>
          <w:sz w:val="22"/>
          <w:szCs w:val="22"/>
          <w:lang w:eastAsia="en-GB"/>
          <w14:ligatures w14:val="none"/>
        </w:rPr>
      </w:pPr>
    </w:p>
    <w:p w14:paraId="02D4102A" w14:textId="77777777" w:rsidR="00811992" w:rsidRDefault="00811992" w:rsidP="0022108C">
      <w:pPr>
        <w:spacing w:after="0" w:line="360" w:lineRule="auto"/>
        <w:rPr>
          <w:rFonts w:ascii="Arial" w:eastAsia="Times New Roman" w:hAnsi="Arial" w:cs="Arial"/>
          <w:kern w:val="0"/>
          <w:sz w:val="22"/>
          <w:szCs w:val="22"/>
          <w:lang w:eastAsia="en-GB"/>
          <w14:ligatures w14:val="none"/>
        </w:rPr>
      </w:pPr>
    </w:p>
    <w:p w14:paraId="7CCE800D" w14:textId="77777777" w:rsidR="00811992" w:rsidRPr="0022108C" w:rsidRDefault="00811992" w:rsidP="0022108C">
      <w:pPr>
        <w:spacing w:after="0" w:line="360" w:lineRule="auto"/>
        <w:rPr>
          <w:rFonts w:ascii="Arial" w:eastAsia="Times New Roman" w:hAnsi="Arial" w:cs="Arial"/>
          <w:kern w:val="0"/>
          <w:sz w:val="22"/>
          <w:szCs w:val="22"/>
          <w:lang w:eastAsia="en-GB"/>
          <w14:ligatures w14:val="none"/>
        </w:rPr>
      </w:pPr>
    </w:p>
    <w:p w14:paraId="4F738CD1" w14:textId="08C95D02"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lastRenderedPageBreak/>
        <w:t xml:space="preserve"> Implementation and Monitoring Plan</w:t>
      </w:r>
    </w:p>
    <w:p w14:paraId="1EEE0897"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Successful implementation requires clear objectives, actions, responsibilities, and performance measurement. The following implementation plan provides a structured approach for VodafoneThree.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67"/>
        <w:gridCol w:w="3442"/>
        <w:gridCol w:w="3517"/>
      </w:tblGrid>
      <w:tr w:rsidR="0022108C" w:rsidRPr="0022108C" w14:paraId="2931C2C6" w14:textId="77777777" w:rsidTr="00811992">
        <w:trPr>
          <w:tblHeader/>
          <w:tblCellSpacing w:w="15" w:type="dxa"/>
        </w:trPr>
        <w:tc>
          <w:tcPr>
            <w:tcW w:w="0" w:type="auto"/>
            <w:shd w:val="clear" w:color="auto" w:fill="DAE9F7" w:themeFill="text2" w:themeFillTint="1A"/>
            <w:vAlign w:val="center"/>
            <w:hideMark/>
          </w:tcPr>
          <w:p w14:paraId="2CCC5A74"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Strategic Objective</w:t>
            </w:r>
          </w:p>
        </w:tc>
        <w:tc>
          <w:tcPr>
            <w:tcW w:w="0" w:type="auto"/>
            <w:shd w:val="clear" w:color="auto" w:fill="DAE9F7" w:themeFill="text2" w:themeFillTint="1A"/>
            <w:vAlign w:val="center"/>
            <w:hideMark/>
          </w:tcPr>
          <w:p w14:paraId="36B6E690"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Key Actions</w:t>
            </w:r>
          </w:p>
        </w:tc>
        <w:tc>
          <w:tcPr>
            <w:tcW w:w="0" w:type="auto"/>
            <w:shd w:val="clear" w:color="auto" w:fill="DAE9F7" w:themeFill="text2" w:themeFillTint="1A"/>
            <w:vAlign w:val="center"/>
            <w:hideMark/>
          </w:tcPr>
          <w:p w14:paraId="21B7F4A9" w14:textId="77777777" w:rsidR="0022108C" w:rsidRPr="00811992" w:rsidRDefault="0022108C" w:rsidP="0022108C">
            <w:pPr>
              <w:spacing w:after="0" w:line="360" w:lineRule="auto"/>
              <w:jc w:val="center"/>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KPI Measurement</w:t>
            </w:r>
          </w:p>
        </w:tc>
      </w:tr>
      <w:tr w:rsidR="0022108C" w:rsidRPr="0022108C" w14:paraId="336CE678" w14:textId="77777777">
        <w:trPr>
          <w:tblCellSpacing w:w="15" w:type="dxa"/>
        </w:trPr>
        <w:tc>
          <w:tcPr>
            <w:tcW w:w="0" w:type="auto"/>
            <w:vAlign w:val="center"/>
            <w:hideMark/>
          </w:tcPr>
          <w:p w14:paraId="7509F56D"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Improve 5G network leadership</w:t>
            </w:r>
          </w:p>
        </w:tc>
        <w:tc>
          <w:tcPr>
            <w:tcW w:w="0" w:type="auto"/>
            <w:vAlign w:val="center"/>
            <w:hideMark/>
          </w:tcPr>
          <w:p w14:paraId="1A194C16"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Accelerate network deployment and increase coverage</w:t>
            </w:r>
          </w:p>
        </w:tc>
        <w:tc>
          <w:tcPr>
            <w:tcW w:w="0" w:type="auto"/>
            <w:vAlign w:val="center"/>
            <w:hideMark/>
          </w:tcPr>
          <w:p w14:paraId="5788BAA3"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Percentage increase in 5G coverage, network speed improvements</w:t>
            </w:r>
          </w:p>
        </w:tc>
      </w:tr>
      <w:tr w:rsidR="0022108C" w:rsidRPr="0022108C" w14:paraId="02BCBC2F" w14:textId="77777777">
        <w:trPr>
          <w:tblCellSpacing w:w="15" w:type="dxa"/>
        </w:trPr>
        <w:tc>
          <w:tcPr>
            <w:tcW w:w="0" w:type="auto"/>
            <w:vAlign w:val="center"/>
            <w:hideMark/>
          </w:tcPr>
          <w:p w14:paraId="73D2489B"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Increase customer satisfaction</w:t>
            </w:r>
          </w:p>
        </w:tc>
        <w:tc>
          <w:tcPr>
            <w:tcW w:w="0" w:type="auto"/>
            <w:vAlign w:val="center"/>
            <w:hideMark/>
          </w:tcPr>
          <w:p w14:paraId="6538594B"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Introduce AI-powered customer services and personalised solutions</w:t>
            </w:r>
          </w:p>
        </w:tc>
        <w:tc>
          <w:tcPr>
            <w:tcW w:w="0" w:type="auto"/>
            <w:vAlign w:val="center"/>
            <w:hideMark/>
          </w:tcPr>
          <w:p w14:paraId="3DC67D2B"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 satisfaction scores, reduction in complaints</w:t>
            </w:r>
          </w:p>
        </w:tc>
      </w:tr>
      <w:tr w:rsidR="0022108C" w:rsidRPr="0022108C" w14:paraId="50E83C56" w14:textId="77777777">
        <w:trPr>
          <w:tblCellSpacing w:w="15" w:type="dxa"/>
        </w:trPr>
        <w:tc>
          <w:tcPr>
            <w:tcW w:w="0" w:type="auto"/>
            <w:vAlign w:val="center"/>
            <w:hideMark/>
          </w:tcPr>
          <w:p w14:paraId="1D8BF739"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Develop enterprise digital services</w:t>
            </w:r>
          </w:p>
        </w:tc>
        <w:tc>
          <w:tcPr>
            <w:tcW w:w="0" w:type="auto"/>
            <w:vAlign w:val="center"/>
            <w:hideMark/>
          </w:tcPr>
          <w:p w14:paraId="1D97F644"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Expand IoT, cloud connectivity, and cybersecurity offerings</w:t>
            </w:r>
          </w:p>
        </w:tc>
        <w:tc>
          <w:tcPr>
            <w:tcW w:w="0" w:type="auto"/>
            <w:vAlign w:val="center"/>
            <w:hideMark/>
          </w:tcPr>
          <w:p w14:paraId="69CF4DCA"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Enterprise revenue growth, number of business customers</w:t>
            </w:r>
          </w:p>
        </w:tc>
      </w:tr>
      <w:tr w:rsidR="0022108C" w:rsidRPr="0022108C" w14:paraId="060763F7" w14:textId="77777777">
        <w:trPr>
          <w:tblCellSpacing w:w="15" w:type="dxa"/>
        </w:trPr>
        <w:tc>
          <w:tcPr>
            <w:tcW w:w="0" w:type="auto"/>
            <w:vAlign w:val="center"/>
            <w:hideMark/>
          </w:tcPr>
          <w:p w14:paraId="785F960A"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Achieve merger efficiencies</w:t>
            </w:r>
          </w:p>
        </w:tc>
        <w:tc>
          <w:tcPr>
            <w:tcW w:w="0" w:type="auto"/>
            <w:vAlign w:val="center"/>
            <w:hideMark/>
          </w:tcPr>
          <w:p w14:paraId="060C05EE"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Integrate operations and remove duplicated processes</w:t>
            </w:r>
          </w:p>
        </w:tc>
        <w:tc>
          <w:tcPr>
            <w:tcW w:w="0" w:type="auto"/>
            <w:vAlign w:val="center"/>
            <w:hideMark/>
          </w:tcPr>
          <w:p w14:paraId="164C3E86"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Achievement of planned cost savings and synergy targets</w:t>
            </w:r>
          </w:p>
        </w:tc>
      </w:tr>
      <w:tr w:rsidR="0022108C" w:rsidRPr="0022108C" w14:paraId="1E9205BC" w14:textId="77777777">
        <w:trPr>
          <w:tblCellSpacing w:w="15" w:type="dxa"/>
        </w:trPr>
        <w:tc>
          <w:tcPr>
            <w:tcW w:w="0" w:type="auto"/>
            <w:vAlign w:val="center"/>
            <w:hideMark/>
          </w:tcPr>
          <w:p w14:paraId="6492A091"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Support sustainable operations</w:t>
            </w:r>
          </w:p>
        </w:tc>
        <w:tc>
          <w:tcPr>
            <w:tcW w:w="0" w:type="auto"/>
            <w:vAlign w:val="center"/>
            <w:hideMark/>
          </w:tcPr>
          <w:p w14:paraId="6826D076"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Improve energy efficiency and reduce emissions</w:t>
            </w:r>
          </w:p>
        </w:tc>
        <w:tc>
          <w:tcPr>
            <w:tcW w:w="0" w:type="auto"/>
            <w:vAlign w:val="center"/>
            <w:hideMark/>
          </w:tcPr>
          <w:p w14:paraId="34182D63" w14:textId="77777777" w:rsidR="0022108C" w:rsidRPr="0022108C" w:rsidRDefault="0022108C" w:rsidP="0022108C">
            <w:pPr>
              <w:spacing w:after="0"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Carbon reduction targets and renewable energy usage</w:t>
            </w:r>
          </w:p>
        </w:tc>
      </w:tr>
    </w:tbl>
    <w:p w14:paraId="62F2BDCF" w14:textId="77777777" w:rsidR="0022108C" w:rsidRPr="00811992" w:rsidRDefault="0022108C" w:rsidP="00811992">
      <w:pPr>
        <w:spacing w:before="100" w:beforeAutospacing="1" w:after="100" w:afterAutospacing="1" w:line="360" w:lineRule="auto"/>
        <w:jc w:val="center"/>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Implementation Timeline</w:t>
      </w:r>
    </w:p>
    <w:p w14:paraId="1568971A"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Phase 1: Integration and Foundation (2026–2027)</w:t>
      </w:r>
    </w:p>
    <w:p w14:paraId="68797F4F"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initial phase should focus on successful Vodafone and Three UK operational integration. Priorities include aligning technology systems, maintaining customer service quality, and achieving early merger synergies.</w:t>
      </w:r>
    </w:p>
    <w:p w14:paraId="1815E2C0"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Phase 2: Growth and Innovation (2027–2029)</w:t>
      </w:r>
    </w:p>
    <w:p w14:paraId="1AA8AC8E"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should accelerate commercialisation of 5G services and expand enterprise solutions. Investment should focus on IoT, AI-based services, and digital platforms.</w:t>
      </w:r>
    </w:p>
    <w:p w14:paraId="53F07E07" w14:textId="77777777" w:rsidR="0022108C" w:rsidRPr="00811992" w:rsidRDefault="0022108C" w:rsidP="0022108C">
      <w:pPr>
        <w:spacing w:before="100" w:beforeAutospacing="1" w:after="100" w:afterAutospacing="1" w:line="360" w:lineRule="auto"/>
        <w:outlineLvl w:val="2"/>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t>Phase 3: Long-Term Expansion (2030 onwards)</w:t>
      </w:r>
    </w:p>
    <w:p w14:paraId="4C1FC675"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The final phase should focus on maintaining technological leadership and expanding Vodafone’s role as a digital infrastructure provider.</w:t>
      </w:r>
    </w:p>
    <w:p w14:paraId="7A0D5044" w14:textId="77777777" w:rsidR="0022108C" w:rsidRPr="00811992" w:rsidRDefault="0022108C" w:rsidP="00811992">
      <w:pPr>
        <w:spacing w:before="100" w:beforeAutospacing="1" w:after="100" w:afterAutospacing="1" w:line="360" w:lineRule="auto"/>
        <w:jc w:val="center"/>
        <w:outlineLvl w:val="1"/>
        <w:rPr>
          <w:rFonts w:ascii="Arial" w:eastAsia="Times New Roman" w:hAnsi="Arial" w:cs="Arial"/>
          <w:b/>
          <w:bCs/>
          <w:color w:val="156082" w:themeColor="accent1"/>
          <w:kern w:val="0"/>
          <w:sz w:val="22"/>
          <w:szCs w:val="22"/>
          <w:lang w:eastAsia="en-GB"/>
          <w14:ligatures w14:val="none"/>
        </w:rPr>
      </w:pPr>
      <w:r w:rsidRPr="00811992">
        <w:rPr>
          <w:rFonts w:ascii="Arial" w:eastAsia="Times New Roman" w:hAnsi="Arial" w:cs="Arial"/>
          <w:b/>
          <w:bCs/>
          <w:color w:val="156082" w:themeColor="accent1"/>
          <w:kern w:val="0"/>
          <w:sz w:val="22"/>
          <w:szCs w:val="22"/>
          <w:lang w:eastAsia="en-GB"/>
          <w14:ligatures w14:val="none"/>
        </w:rPr>
        <w:lastRenderedPageBreak/>
        <w:t>Monitoring and Control</w:t>
      </w:r>
    </w:p>
    <w:p w14:paraId="6BCD31C4"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 should establish a strategic performance dashboard reviewed quarterly by senior leadership. Key measurements should include:</w:t>
      </w:r>
    </w:p>
    <w:p w14:paraId="39FB3027" w14:textId="77777777" w:rsidR="0022108C" w:rsidRPr="0022108C" w:rsidRDefault="0022108C" w:rsidP="0022108C">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Revenue growth from digital services.</w:t>
      </w:r>
    </w:p>
    <w:p w14:paraId="74731D0F" w14:textId="77777777" w:rsidR="0022108C" w:rsidRPr="0022108C" w:rsidRDefault="0022108C" w:rsidP="0022108C">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Customer retention rates.</w:t>
      </w:r>
    </w:p>
    <w:p w14:paraId="7F2EC0EE" w14:textId="77777777" w:rsidR="0022108C" w:rsidRPr="0022108C" w:rsidRDefault="0022108C" w:rsidP="0022108C">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Network performance indicators.</w:t>
      </w:r>
    </w:p>
    <w:p w14:paraId="3FAC6DA9" w14:textId="77777777" w:rsidR="0022108C" w:rsidRPr="0022108C" w:rsidRDefault="0022108C" w:rsidP="0022108C">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Employee engagement levels.</w:t>
      </w:r>
    </w:p>
    <w:p w14:paraId="54F7C855" w14:textId="77777777" w:rsidR="0022108C" w:rsidRPr="0022108C" w:rsidRDefault="0022108C" w:rsidP="0022108C">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Cost synergy achievement.</w:t>
      </w:r>
    </w:p>
    <w:p w14:paraId="40CD39D9" w14:textId="77777777" w:rsidR="0022108C" w:rsidRPr="0022108C" w:rsidRDefault="0022108C" w:rsidP="0022108C">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Sustainability performance.</w:t>
      </w:r>
    </w:p>
    <w:p w14:paraId="1C3112ED"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Regular monitoring allows Vodafone to adapt the strategy in response to technological changes, customer expectations, and competitive developments.</w:t>
      </w:r>
    </w:p>
    <w:p w14:paraId="21AFC074" w14:textId="78851BB0" w:rsidR="0022108C" w:rsidRPr="0022108C" w:rsidRDefault="0022108C" w:rsidP="0022108C">
      <w:pPr>
        <w:spacing w:after="0" w:line="360" w:lineRule="auto"/>
        <w:rPr>
          <w:rFonts w:ascii="Arial" w:eastAsia="Times New Roman" w:hAnsi="Arial" w:cs="Arial"/>
          <w:kern w:val="0"/>
          <w:sz w:val="22"/>
          <w:szCs w:val="22"/>
          <w:lang w:eastAsia="en-GB"/>
          <w14:ligatures w14:val="none"/>
        </w:rPr>
      </w:pPr>
    </w:p>
    <w:p w14:paraId="6E76D803" w14:textId="35A2716A"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t>Conclusion</w:t>
      </w:r>
    </w:p>
    <w:p w14:paraId="6049DBEE"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VodafoneThree represents a significant strategic opportunity for Vodafone UK to strengthen its position within the telecommunications industry. The merger provides increased scale, improved infrastructure capability, and opportunities to compete more effectively against major competitors. However, success depends on Vodafone’s ability to transform network investment into sustainable commercial growth.</w:t>
      </w:r>
    </w:p>
    <w:p w14:paraId="0C87286F"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This report recommends a differentiation strategy focused on 5G-enabled digital ecosystems, enterprise solutions, and enhanced customer experiences. Strategic analysis using PESTEL, Porter’s Five Forces, SWOT, Ansoff Matrix, and SAF demonstrates that this approach is suitable, acceptable, and feasible.</w:t>
      </w:r>
    </w:p>
    <w:p w14:paraId="3826DE2D" w14:textId="77777777" w:rsidR="0022108C" w:rsidRPr="0022108C" w:rsidRDefault="0022108C" w:rsidP="0022108C">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2108C">
        <w:rPr>
          <w:rFonts w:ascii="Arial" w:eastAsia="Times New Roman" w:hAnsi="Arial" w:cs="Arial"/>
          <w:color w:val="000000"/>
          <w:kern w:val="0"/>
          <w:sz w:val="22"/>
          <w:szCs w:val="22"/>
          <w:lang w:eastAsia="en-GB"/>
          <w14:ligatures w14:val="none"/>
        </w:rPr>
        <w:t>By focusing on innovation rather than price competition, Vodafone can create stronger competitive advantage while supporting customers, employees, shareholders, and wider society. Effective implementation, stakeholder engagement, and continuous performance monitoring will be essential to achieving Vodafone’s long-term strategic ambitions.</w:t>
      </w:r>
    </w:p>
    <w:p w14:paraId="4626327F" w14:textId="38293B17" w:rsidR="0022108C" w:rsidRDefault="0022108C" w:rsidP="0022108C">
      <w:pPr>
        <w:spacing w:after="0" w:line="360" w:lineRule="auto"/>
        <w:rPr>
          <w:rFonts w:ascii="Arial" w:eastAsia="Times New Roman" w:hAnsi="Arial" w:cs="Arial"/>
          <w:kern w:val="0"/>
          <w:sz w:val="22"/>
          <w:szCs w:val="22"/>
          <w:lang w:eastAsia="en-GB"/>
          <w14:ligatures w14:val="none"/>
        </w:rPr>
      </w:pPr>
    </w:p>
    <w:p w14:paraId="686A2804" w14:textId="77777777" w:rsidR="00811992" w:rsidRDefault="00811992" w:rsidP="0022108C">
      <w:pPr>
        <w:spacing w:after="0" w:line="360" w:lineRule="auto"/>
        <w:rPr>
          <w:rFonts w:ascii="Arial" w:eastAsia="Times New Roman" w:hAnsi="Arial" w:cs="Arial"/>
          <w:kern w:val="0"/>
          <w:sz w:val="22"/>
          <w:szCs w:val="22"/>
          <w:lang w:eastAsia="en-GB"/>
          <w14:ligatures w14:val="none"/>
        </w:rPr>
      </w:pPr>
    </w:p>
    <w:p w14:paraId="7A35D527" w14:textId="77777777" w:rsidR="00811992" w:rsidRPr="0022108C" w:rsidRDefault="00811992" w:rsidP="0022108C">
      <w:pPr>
        <w:spacing w:after="0" w:line="360" w:lineRule="auto"/>
        <w:rPr>
          <w:rFonts w:ascii="Arial" w:eastAsia="Times New Roman" w:hAnsi="Arial" w:cs="Arial"/>
          <w:kern w:val="0"/>
          <w:sz w:val="22"/>
          <w:szCs w:val="22"/>
          <w:lang w:eastAsia="en-GB"/>
          <w14:ligatures w14:val="none"/>
        </w:rPr>
      </w:pPr>
    </w:p>
    <w:p w14:paraId="426C1D49" w14:textId="77777777" w:rsidR="0022108C" w:rsidRPr="00811992" w:rsidRDefault="0022108C" w:rsidP="00811992">
      <w:pPr>
        <w:spacing w:before="100" w:beforeAutospacing="1" w:after="100" w:afterAutospacing="1" w:line="360" w:lineRule="auto"/>
        <w:jc w:val="center"/>
        <w:outlineLvl w:val="0"/>
        <w:rPr>
          <w:rFonts w:ascii="Arial" w:eastAsia="Times New Roman" w:hAnsi="Arial" w:cs="Arial"/>
          <w:b/>
          <w:bCs/>
          <w:color w:val="156082" w:themeColor="accent1"/>
          <w:kern w:val="36"/>
          <w:sz w:val="22"/>
          <w:szCs w:val="22"/>
          <w:lang w:eastAsia="en-GB"/>
          <w14:ligatures w14:val="none"/>
        </w:rPr>
      </w:pPr>
      <w:r w:rsidRPr="00811992">
        <w:rPr>
          <w:rFonts w:ascii="Arial" w:eastAsia="Times New Roman" w:hAnsi="Arial" w:cs="Arial"/>
          <w:b/>
          <w:bCs/>
          <w:color w:val="156082" w:themeColor="accent1"/>
          <w:kern w:val="36"/>
          <w:sz w:val="22"/>
          <w:szCs w:val="22"/>
          <w:lang w:eastAsia="en-GB"/>
          <w14:ligatures w14:val="none"/>
        </w:rPr>
        <w:lastRenderedPageBreak/>
        <w:t>Reference List (Harvard Style)</w:t>
      </w:r>
    </w:p>
    <w:p w14:paraId="48AC499E"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Ansoff, H.I. (1957) ‘Strategies for Diversification’, </w:t>
      </w:r>
      <w:r w:rsidRPr="00811992">
        <w:rPr>
          <w:rFonts w:ascii="Arial" w:eastAsia="Times New Roman" w:hAnsi="Arial" w:cs="Arial"/>
          <w:i/>
          <w:iCs/>
          <w:color w:val="000000"/>
          <w:kern w:val="0"/>
          <w:sz w:val="22"/>
          <w:szCs w:val="22"/>
          <w:lang w:eastAsia="en-GB"/>
          <w14:ligatures w14:val="none"/>
        </w:rPr>
        <w:t>Harvard Business Review</w:t>
      </w:r>
      <w:r w:rsidRPr="00811992">
        <w:rPr>
          <w:rFonts w:ascii="Arial" w:eastAsia="Times New Roman" w:hAnsi="Arial" w:cs="Arial"/>
          <w:color w:val="000000"/>
          <w:kern w:val="0"/>
          <w:sz w:val="22"/>
          <w:szCs w:val="22"/>
          <w:lang w:eastAsia="en-GB"/>
          <w14:ligatures w14:val="none"/>
        </w:rPr>
        <w:t>, 35(5), pp.113–124.</w:t>
      </w:r>
    </w:p>
    <w:p w14:paraId="149112E9"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Freeman, R.E. (1984) </w:t>
      </w:r>
      <w:r w:rsidRPr="00811992">
        <w:rPr>
          <w:rFonts w:ascii="Arial" w:eastAsia="Times New Roman" w:hAnsi="Arial" w:cs="Arial"/>
          <w:i/>
          <w:iCs/>
          <w:color w:val="000000"/>
          <w:kern w:val="0"/>
          <w:sz w:val="22"/>
          <w:szCs w:val="22"/>
          <w:lang w:eastAsia="en-GB"/>
          <w14:ligatures w14:val="none"/>
        </w:rPr>
        <w:t>Strategic Management: A Stakeholder Approach</w:t>
      </w:r>
      <w:r w:rsidRPr="00811992">
        <w:rPr>
          <w:rFonts w:ascii="Arial" w:eastAsia="Times New Roman" w:hAnsi="Arial" w:cs="Arial"/>
          <w:color w:val="000000"/>
          <w:kern w:val="0"/>
          <w:sz w:val="22"/>
          <w:szCs w:val="22"/>
          <w:lang w:eastAsia="en-GB"/>
          <w14:ligatures w14:val="none"/>
        </w:rPr>
        <w:t>. Boston: Pitman.</w:t>
      </w:r>
    </w:p>
    <w:p w14:paraId="1C8F2653"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Johnson, G., Scholes, K. and Whittington, R. (2008) </w:t>
      </w:r>
      <w:r w:rsidRPr="00811992">
        <w:rPr>
          <w:rFonts w:ascii="Arial" w:eastAsia="Times New Roman" w:hAnsi="Arial" w:cs="Arial"/>
          <w:i/>
          <w:iCs/>
          <w:color w:val="000000"/>
          <w:kern w:val="0"/>
          <w:sz w:val="22"/>
          <w:szCs w:val="22"/>
          <w:lang w:eastAsia="en-GB"/>
          <w14:ligatures w14:val="none"/>
        </w:rPr>
        <w:t>Exploring Corporate Strategy: Text and Cases</w:t>
      </w:r>
      <w:r w:rsidRPr="00811992">
        <w:rPr>
          <w:rFonts w:ascii="Arial" w:eastAsia="Times New Roman" w:hAnsi="Arial" w:cs="Arial"/>
          <w:color w:val="000000"/>
          <w:kern w:val="0"/>
          <w:sz w:val="22"/>
          <w:szCs w:val="22"/>
          <w:lang w:eastAsia="en-GB"/>
          <w14:ligatures w14:val="none"/>
        </w:rPr>
        <w:t>. 8th edn. Harlow: Pearson Education.</w:t>
      </w:r>
    </w:p>
    <w:p w14:paraId="3ABE020A"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Mendelow, A.L. (1991) ‘Environmental Scanning: The Impact of the Stakeholder Concept’, Proceedings of the Second International Conference on Information Systems.</w:t>
      </w:r>
    </w:p>
    <w:p w14:paraId="266102D7"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Porter, M.E. (1980) </w:t>
      </w:r>
      <w:r w:rsidRPr="00811992">
        <w:rPr>
          <w:rFonts w:ascii="Arial" w:eastAsia="Times New Roman" w:hAnsi="Arial" w:cs="Arial"/>
          <w:i/>
          <w:iCs/>
          <w:color w:val="000000"/>
          <w:kern w:val="0"/>
          <w:sz w:val="22"/>
          <w:szCs w:val="22"/>
          <w:lang w:eastAsia="en-GB"/>
          <w14:ligatures w14:val="none"/>
        </w:rPr>
        <w:t>Competitive Strategy: Techniques for Analysing Industries and Competitors</w:t>
      </w:r>
      <w:r w:rsidRPr="00811992">
        <w:rPr>
          <w:rFonts w:ascii="Arial" w:eastAsia="Times New Roman" w:hAnsi="Arial" w:cs="Arial"/>
          <w:color w:val="000000"/>
          <w:kern w:val="0"/>
          <w:sz w:val="22"/>
          <w:szCs w:val="22"/>
          <w:lang w:eastAsia="en-GB"/>
          <w14:ligatures w14:val="none"/>
        </w:rPr>
        <w:t>. New York: Free Press.</w:t>
      </w:r>
    </w:p>
    <w:p w14:paraId="72B6B756"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Porter, M.E. (1985) </w:t>
      </w:r>
      <w:r w:rsidRPr="00811992">
        <w:rPr>
          <w:rFonts w:ascii="Arial" w:eastAsia="Times New Roman" w:hAnsi="Arial" w:cs="Arial"/>
          <w:i/>
          <w:iCs/>
          <w:color w:val="000000"/>
          <w:kern w:val="0"/>
          <w:sz w:val="22"/>
          <w:szCs w:val="22"/>
          <w:lang w:eastAsia="en-GB"/>
          <w14:ligatures w14:val="none"/>
        </w:rPr>
        <w:t>Competitive Advantage: Creating and Sustaining Superior Performance</w:t>
      </w:r>
      <w:r w:rsidRPr="00811992">
        <w:rPr>
          <w:rFonts w:ascii="Arial" w:eastAsia="Times New Roman" w:hAnsi="Arial" w:cs="Arial"/>
          <w:color w:val="000000"/>
          <w:kern w:val="0"/>
          <w:sz w:val="22"/>
          <w:szCs w:val="22"/>
          <w:lang w:eastAsia="en-GB"/>
          <w14:ligatures w14:val="none"/>
        </w:rPr>
        <w:t>. New York: Free Press.</w:t>
      </w:r>
    </w:p>
    <w:p w14:paraId="66A45826"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Vodafone Group (2025) </w:t>
      </w:r>
      <w:r w:rsidRPr="00811992">
        <w:rPr>
          <w:rFonts w:ascii="Arial" w:eastAsia="Times New Roman" w:hAnsi="Arial" w:cs="Arial"/>
          <w:i/>
          <w:iCs/>
          <w:color w:val="000000"/>
          <w:kern w:val="0"/>
          <w:sz w:val="22"/>
          <w:szCs w:val="22"/>
          <w:lang w:eastAsia="en-GB"/>
          <w14:ligatures w14:val="none"/>
        </w:rPr>
        <w:t>Annual Report 2025</w:t>
      </w:r>
      <w:r w:rsidRPr="00811992">
        <w:rPr>
          <w:rFonts w:ascii="Arial" w:eastAsia="Times New Roman" w:hAnsi="Arial" w:cs="Arial"/>
          <w:color w:val="000000"/>
          <w:kern w:val="0"/>
          <w:sz w:val="22"/>
          <w:szCs w:val="22"/>
          <w:lang w:eastAsia="en-GB"/>
          <w14:ligatures w14:val="none"/>
        </w:rPr>
        <w:t>. Available from: Vodafone corporate publications.</w:t>
      </w:r>
    </w:p>
    <w:p w14:paraId="49D69806"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Ofcom (2025) </w:t>
      </w:r>
      <w:r w:rsidRPr="00811992">
        <w:rPr>
          <w:rFonts w:ascii="Arial" w:eastAsia="Times New Roman" w:hAnsi="Arial" w:cs="Arial"/>
          <w:i/>
          <w:iCs/>
          <w:color w:val="000000"/>
          <w:kern w:val="0"/>
          <w:sz w:val="22"/>
          <w:szCs w:val="22"/>
          <w:lang w:eastAsia="en-GB"/>
          <w14:ligatures w14:val="none"/>
        </w:rPr>
        <w:t>UK Communications Market Report</w:t>
      </w:r>
      <w:r w:rsidRPr="00811992">
        <w:rPr>
          <w:rFonts w:ascii="Arial" w:eastAsia="Times New Roman" w:hAnsi="Arial" w:cs="Arial"/>
          <w:color w:val="000000"/>
          <w:kern w:val="0"/>
          <w:sz w:val="22"/>
          <w:szCs w:val="22"/>
          <w:lang w:eastAsia="en-GB"/>
          <w14:ligatures w14:val="none"/>
        </w:rPr>
        <w:t>. London: Ofcom.</w:t>
      </w:r>
    </w:p>
    <w:p w14:paraId="4892FF70"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GSMA (2024) </w:t>
      </w:r>
      <w:r w:rsidRPr="00811992">
        <w:rPr>
          <w:rFonts w:ascii="Arial" w:eastAsia="Times New Roman" w:hAnsi="Arial" w:cs="Arial"/>
          <w:i/>
          <w:iCs/>
          <w:color w:val="000000"/>
          <w:kern w:val="0"/>
          <w:sz w:val="22"/>
          <w:szCs w:val="22"/>
          <w:lang w:eastAsia="en-GB"/>
          <w14:ligatures w14:val="none"/>
        </w:rPr>
        <w:t>The Mobile Economy Report 2024</w:t>
      </w:r>
      <w:r w:rsidRPr="00811992">
        <w:rPr>
          <w:rFonts w:ascii="Arial" w:eastAsia="Times New Roman" w:hAnsi="Arial" w:cs="Arial"/>
          <w:color w:val="000000"/>
          <w:kern w:val="0"/>
          <w:sz w:val="22"/>
          <w:szCs w:val="22"/>
          <w:lang w:eastAsia="en-GB"/>
          <w14:ligatures w14:val="none"/>
        </w:rPr>
        <w:t>. London: GSMA.</w:t>
      </w:r>
    </w:p>
    <w:p w14:paraId="4A5E3CAF"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Deloitte (2024) </w:t>
      </w:r>
      <w:r w:rsidRPr="00811992">
        <w:rPr>
          <w:rFonts w:ascii="Arial" w:eastAsia="Times New Roman" w:hAnsi="Arial" w:cs="Arial"/>
          <w:i/>
          <w:iCs/>
          <w:color w:val="000000"/>
          <w:kern w:val="0"/>
          <w:sz w:val="22"/>
          <w:szCs w:val="22"/>
          <w:lang w:eastAsia="en-GB"/>
          <w14:ligatures w14:val="none"/>
        </w:rPr>
        <w:t>Telecommunications Industry Outlook 2024</w:t>
      </w:r>
      <w:r w:rsidRPr="00811992">
        <w:rPr>
          <w:rFonts w:ascii="Arial" w:eastAsia="Times New Roman" w:hAnsi="Arial" w:cs="Arial"/>
          <w:color w:val="000000"/>
          <w:kern w:val="0"/>
          <w:sz w:val="22"/>
          <w:szCs w:val="22"/>
          <w:lang w:eastAsia="en-GB"/>
          <w14:ligatures w14:val="none"/>
        </w:rPr>
        <w:t>. Deloitte Insights.</w:t>
      </w:r>
    </w:p>
    <w:p w14:paraId="1C4AECFA"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McKinsey &amp; Company (2024) </w:t>
      </w:r>
      <w:r w:rsidRPr="00811992">
        <w:rPr>
          <w:rFonts w:ascii="Arial" w:eastAsia="Times New Roman" w:hAnsi="Arial" w:cs="Arial"/>
          <w:i/>
          <w:iCs/>
          <w:color w:val="000000"/>
          <w:kern w:val="0"/>
          <w:sz w:val="22"/>
          <w:szCs w:val="22"/>
          <w:lang w:eastAsia="en-GB"/>
          <w14:ligatures w14:val="none"/>
        </w:rPr>
        <w:t>The Future of Telecommunications: Creating Value Beyond Connectivity</w:t>
      </w:r>
      <w:r w:rsidRPr="00811992">
        <w:rPr>
          <w:rFonts w:ascii="Arial" w:eastAsia="Times New Roman" w:hAnsi="Arial" w:cs="Arial"/>
          <w:color w:val="000000"/>
          <w:kern w:val="0"/>
          <w:sz w:val="22"/>
          <w:szCs w:val="22"/>
          <w:lang w:eastAsia="en-GB"/>
          <w14:ligatures w14:val="none"/>
        </w:rPr>
        <w:t>. McKinsey Global Institute.</w:t>
      </w:r>
    </w:p>
    <w:p w14:paraId="0171FFC7" w14:textId="77777777" w:rsidR="0022108C" w:rsidRPr="00811992" w:rsidRDefault="0022108C" w:rsidP="00811992">
      <w:pPr>
        <w:pStyle w:val="ListParagraph"/>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11992">
        <w:rPr>
          <w:rFonts w:ascii="Arial" w:eastAsia="Times New Roman" w:hAnsi="Arial" w:cs="Arial"/>
          <w:color w:val="000000"/>
          <w:kern w:val="0"/>
          <w:sz w:val="22"/>
          <w:szCs w:val="22"/>
          <w:lang w:eastAsia="en-GB"/>
          <w14:ligatures w14:val="none"/>
        </w:rPr>
        <w:t>European Commission (2024) </w:t>
      </w:r>
      <w:r w:rsidRPr="00811992">
        <w:rPr>
          <w:rFonts w:ascii="Arial" w:eastAsia="Times New Roman" w:hAnsi="Arial" w:cs="Arial"/>
          <w:i/>
          <w:iCs/>
          <w:color w:val="000000"/>
          <w:kern w:val="0"/>
          <w:sz w:val="22"/>
          <w:szCs w:val="22"/>
          <w:lang w:eastAsia="en-GB"/>
          <w14:ligatures w14:val="none"/>
        </w:rPr>
        <w:t>Digital Connectivity and 5G Development Report</w:t>
      </w:r>
      <w:r w:rsidRPr="00811992">
        <w:rPr>
          <w:rFonts w:ascii="Arial" w:eastAsia="Times New Roman" w:hAnsi="Arial" w:cs="Arial"/>
          <w:color w:val="000000"/>
          <w:kern w:val="0"/>
          <w:sz w:val="22"/>
          <w:szCs w:val="22"/>
          <w:lang w:eastAsia="en-GB"/>
          <w14:ligatures w14:val="none"/>
        </w:rPr>
        <w:t>. Brussels: European Commission.</w:t>
      </w:r>
    </w:p>
    <w:p w14:paraId="598B5D98" w14:textId="77777777" w:rsidR="005A78B9" w:rsidRPr="0022108C" w:rsidRDefault="005A78B9" w:rsidP="0022108C">
      <w:pPr>
        <w:spacing w:line="360" w:lineRule="auto"/>
        <w:rPr>
          <w:rFonts w:ascii="Arial" w:hAnsi="Arial" w:cs="Arial"/>
          <w:sz w:val="22"/>
          <w:szCs w:val="22"/>
        </w:rPr>
      </w:pPr>
    </w:p>
    <w:sectPr w:rsidR="005A78B9" w:rsidRPr="002210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F2770"/>
    <w:multiLevelType w:val="hybridMultilevel"/>
    <w:tmpl w:val="5826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90C04"/>
    <w:multiLevelType w:val="multilevel"/>
    <w:tmpl w:val="65C4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8E516C"/>
    <w:multiLevelType w:val="multilevel"/>
    <w:tmpl w:val="B8844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8485317">
    <w:abstractNumId w:val="2"/>
  </w:num>
  <w:num w:numId="2" w16cid:durableId="576405423">
    <w:abstractNumId w:val="1"/>
  </w:num>
  <w:num w:numId="3" w16cid:durableId="470758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08C"/>
    <w:rsid w:val="0022108C"/>
    <w:rsid w:val="005A78B9"/>
    <w:rsid w:val="00811992"/>
    <w:rsid w:val="00C50F8B"/>
    <w:rsid w:val="00E83186"/>
    <w:rsid w:val="00FD2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A1BD8"/>
  <w15:chartTrackingRefBased/>
  <w15:docId w15:val="{B5902909-92F1-5A43-B998-AC96ED4C6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0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10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10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0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0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0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0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0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0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0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10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10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0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0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0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0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0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08C"/>
    <w:rPr>
      <w:rFonts w:eastAsiaTheme="majorEastAsia" w:cstheme="majorBidi"/>
      <w:color w:val="272727" w:themeColor="text1" w:themeTint="D8"/>
    </w:rPr>
  </w:style>
  <w:style w:type="paragraph" w:styleId="Title">
    <w:name w:val="Title"/>
    <w:basedOn w:val="Normal"/>
    <w:next w:val="Normal"/>
    <w:link w:val="TitleChar"/>
    <w:uiPriority w:val="10"/>
    <w:qFormat/>
    <w:rsid w:val="002210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0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0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0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08C"/>
    <w:pPr>
      <w:spacing w:before="160"/>
      <w:jc w:val="center"/>
    </w:pPr>
    <w:rPr>
      <w:i/>
      <w:iCs/>
      <w:color w:val="404040" w:themeColor="text1" w:themeTint="BF"/>
    </w:rPr>
  </w:style>
  <w:style w:type="character" w:customStyle="1" w:styleId="QuoteChar">
    <w:name w:val="Quote Char"/>
    <w:basedOn w:val="DefaultParagraphFont"/>
    <w:link w:val="Quote"/>
    <w:uiPriority w:val="29"/>
    <w:rsid w:val="0022108C"/>
    <w:rPr>
      <w:i/>
      <w:iCs/>
      <w:color w:val="404040" w:themeColor="text1" w:themeTint="BF"/>
    </w:rPr>
  </w:style>
  <w:style w:type="paragraph" w:styleId="ListParagraph">
    <w:name w:val="List Paragraph"/>
    <w:basedOn w:val="Normal"/>
    <w:uiPriority w:val="34"/>
    <w:qFormat/>
    <w:rsid w:val="0022108C"/>
    <w:pPr>
      <w:ind w:left="720"/>
      <w:contextualSpacing/>
    </w:pPr>
  </w:style>
  <w:style w:type="character" w:styleId="IntenseEmphasis">
    <w:name w:val="Intense Emphasis"/>
    <w:basedOn w:val="DefaultParagraphFont"/>
    <w:uiPriority w:val="21"/>
    <w:qFormat/>
    <w:rsid w:val="0022108C"/>
    <w:rPr>
      <w:i/>
      <w:iCs/>
      <w:color w:val="0F4761" w:themeColor="accent1" w:themeShade="BF"/>
    </w:rPr>
  </w:style>
  <w:style w:type="paragraph" w:styleId="IntenseQuote">
    <w:name w:val="Intense Quote"/>
    <w:basedOn w:val="Normal"/>
    <w:next w:val="Normal"/>
    <w:link w:val="IntenseQuoteChar"/>
    <w:uiPriority w:val="30"/>
    <w:qFormat/>
    <w:rsid w:val="002210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08C"/>
    <w:rPr>
      <w:i/>
      <w:iCs/>
      <w:color w:val="0F4761" w:themeColor="accent1" w:themeShade="BF"/>
    </w:rPr>
  </w:style>
  <w:style w:type="character" w:styleId="IntenseReference">
    <w:name w:val="Intense Reference"/>
    <w:basedOn w:val="DefaultParagraphFont"/>
    <w:uiPriority w:val="32"/>
    <w:qFormat/>
    <w:rsid w:val="0022108C"/>
    <w:rPr>
      <w:b/>
      <w:bCs/>
      <w:smallCaps/>
      <w:color w:val="0F4761" w:themeColor="accent1" w:themeShade="BF"/>
      <w:spacing w:val="5"/>
    </w:rPr>
  </w:style>
  <w:style w:type="paragraph" w:styleId="NormalWeb">
    <w:name w:val="Normal (Web)"/>
    <w:basedOn w:val="Normal"/>
    <w:uiPriority w:val="99"/>
    <w:semiHidden/>
    <w:unhideWhenUsed/>
    <w:rsid w:val="002210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2108C"/>
    <w:rPr>
      <w:b/>
      <w:bCs/>
    </w:rPr>
  </w:style>
  <w:style w:type="character" w:customStyle="1" w:styleId="apple-converted-space">
    <w:name w:val="apple-converted-space"/>
    <w:basedOn w:val="DefaultParagraphFont"/>
    <w:rsid w:val="0022108C"/>
  </w:style>
  <w:style w:type="character" w:styleId="Emphasis">
    <w:name w:val="Emphasis"/>
    <w:basedOn w:val="DefaultParagraphFont"/>
    <w:uiPriority w:val="20"/>
    <w:qFormat/>
    <w:rsid w:val="0022108C"/>
    <w:rPr>
      <w:i/>
      <w:iCs/>
    </w:rPr>
  </w:style>
  <w:style w:type="paragraph" w:customStyle="1" w:styleId="p1">
    <w:name w:val="p1"/>
    <w:basedOn w:val="Normal"/>
    <w:rsid w:val="0022108C"/>
    <w:pPr>
      <w:spacing w:after="0" w:line="240" w:lineRule="auto"/>
    </w:pPr>
    <w:rPr>
      <w:rFonts w:ascii="Arial" w:eastAsia="Times New Roman" w:hAnsi="Arial" w:cs="Arial"/>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17</Pages>
  <Words>4495</Words>
  <Characters>25627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Viktoriia Pohorila (2337074)</dc:creator>
  <cp:keywords/>
  <dc:description/>
  <cp:lastModifiedBy>Viktoriia Pohorila (2337074)</cp:lastModifiedBy>
  <cp:revision>1</cp:revision>
  <dcterms:created xsi:type="dcterms:W3CDTF">2026-08-06T08:36:00Z</dcterms:created>
  <dcterms:modified xsi:type="dcterms:W3CDTF">2026-08-06T08:56:00Z</dcterms:modified>
</cp:coreProperties>
</file>