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6A0DD" w14:textId="7B8EBB2B" w:rsidR="00F07BD3" w:rsidRPr="00CF6026" w:rsidRDefault="00F35D28" w:rsidP="00CF6026">
      <w:pPr>
        <w:ind w:left="720"/>
        <w:jc w:val="center"/>
        <w:rPr>
          <w:rFonts w:ascii="Arial" w:hAnsi="Arial" w:cs="Arial"/>
          <w:sz w:val="24"/>
          <w:szCs w:val="24"/>
        </w:rPr>
      </w:pPr>
      <w:r w:rsidRPr="00CF6026">
        <w:rPr>
          <w:rFonts w:ascii="Arial" w:hAnsi="Arial" w:cs="Arial"/>
          <w:sz w:val="24"/>
          <w:szCs w:val="24"/>
        </w:rPr>
        <w:t xml:space="preserve">Common and </w:t>
      </w:r>
      <w:r w:rsidR="00F33D55" w:rsidRPr="00CF6026">
        <w:rPr>
          <w:rFonts w:ascii="Arial" w:hAnsi="Arial" w:cs="Arial"/>
          <w:sz w:val="24"/>
          <w:szCs w:val="24"/>
        </w:rPr>
        <w:t xml:space="preserve">civil </w:t>
      </w:r>
      <w:r w:rsidR="00CF6026" w:rsidRPr="00CF6026">
        <w:rPr>
          <w:rFonts w:ascii="Arial" w:hAnsi="Arial" w:cs="Arial"/>
          <w:sz w:val="24"/>
          <w:szCs w:val="24"/>
        </w:rPr>
        <w:t xml:space="preserve">law systems in the </w:t>
      </w:r>
      <w:r w:rsidR="00CF6026">
        <w:rPr>
          <w:rFonts w:ascii="Arial" w:hAnsi="Arial" w:cs="Arial"/>
          <w:sz w:val="24"/>
          <w:szCs w:val="24"/>
        </w:rPr>
        <w:t>UK</w:t>
      </w:r>
    </w:p>
    <w:p w14:paraId="13B64310" w14:textId="77777777" w:rsidR="00F07BD3" w:rsidRPr="00D774DC" w:rsidRDefault="00F07BD3" w:rsidP="00F07BD3">
      <w:pPr>
        <w:ind w:left="720"/>
        <w:rPr>
          <w:rFonts w:ascii="Arial" w:hAnsi="Arial" w:cs="Arial"/>
          <w:sz w:val="24"/>
          <w:szCs w:val="24"/>
        </w:rPr>
      </w:pPr>
    </w:p>
    <w:p w14:paraId="52376B31" w14:textId="77777777" w:rsidR="00F07BD3" w:rsidRPr="00D774DC" w:rsidRDefault="00F07BD3" w:rsidP="00F07BD3">
      <w:pPr>
        <w:ind w:left="720"/>
        <w:rPr>
          <w:rFonts w:ascii="Arial" w:hAnsi="Arial" w:cs="Arial"/>
          <w:sz w:val="24"/>
          <w:szCs w:val="24"/>
        </w:rPr>
      </w:pPr>
    </w:p>
    <w:p w14:paraId="3318215A" w14:textId="77777777" w:rsidR="00F07BD3" w:rsidRPr="00B67401" w:rsidRDefault="00F07BD3" w:rsidP="00F07BD3">
      <w:pPr>
        <w:spacing w:line="480" w:lineRule="auto"/>
        <w:rPr>
          <w:rFonts w:ascii="Arial" w:hAnsi="Arial" w:cs="Arial"/>
          <w:sz w:val="24"/>
          <w:szCs w:val="24"/>
        </w:rPr>
      </w:pPr>
      <w:r w:rsidRPr="00B67401">
        <w:rPr>
          <w:rFonts w:ascii="Arial" w:hAnsi="Arial" w:cs="Arial"/>
          <w:sz w:val="24"/>
          <w:szCs w:val="24"/>
        </w:rPr>
        <w:t xml:space="preserve">Common law and civil law are two parts of the UK court system. Common law is older and now is used in </w:t>
      </w:r>
      <w:r w:rsidRPr="00B67401">
        <w:rPr>
          <w:rFonts w:ascii="Arial" w:hAnsi="Arial" w:cs="Arial"/>
          <w:sz w:val="24"/>
          <w:szCs w:val="24"/>
          <w:lang w:val="en-US"/>
        </w:rPr>
        <w:t>precedence</w:t>
      </w:r>
      <w:r w:rsidRPr="00B67401">
        <w:rPr>
          <w:rFonts w:ascii="Arial" w:hAnsi="Arial" w:cs="Arial"/>
          <w:sz w:val="24"/>
          <w:szCs w:val="24"/>
        </w:rPr>
        <w:t xml:space="preserve"> for the civil courts. There are </w:t>
      </w:r>
      <w:proofErr w:type="gramStart"/>
      <w:r w:rsidRPr="00B67401">
        <w:rPr>
          <w:rFonts w:ascii="Arial" w:hAnsi="Arial" w:cs="Arial"/>
          <w:sz w:val="24"/>
          <w:szCs w:val="24"/>
        </w:rPr>
        <w:t>a number of</w:t>
      </w:r>
      <w:proofErr w:type="gramEnd"/>
      <w:r w:rsidRPr="00B67401">
        <w:rPr>
          <w:rFonts w:ascii="Arial" w:hAnsi="Arial" w:cs="Arial"/>
          <w:sz w:val="24"/>
          <w:szCs w:val="24"/>
        </w:rPr>
        <w:t xml:space="preserve"> civil courts that has different responsibility they have some connection that is separate in other ways. </w:t>
      </w:r>
    </w:p>
    <w:p w14:paraId="3FC43869" w14:textId="77777777" w:rsidR="00F07BD3" w:rsidRPr="00B67401" w:rsidRDefault="00F07BD3" w:rsidP="00F07BD3">
      <w:pPr>
        <w:pStyle w:val="ListParagraph"/>
        <w:spacing w:line="480" w:lineRule="auto"/>
        <w:ind w:left="1080"/>
        <w:rPr>
          <w:rFonts w:ascii="Arial" w:hAnsi="Arial" w:cs="Arial"/>
          <w:sz w:val="24"/>
          <w:szCs w:val="24"/>
        </w:rPr>
      </w:pPr>
    </w:p>
    <w:p w14:paraId="42F94AB5" w14:textId="424C5C74" w:rsidR="00F07BD3" w:rsidRPr="007C126E" w:rsidRDefault="00F07BD3" w:rsidP="007C126E">
      <w:pPr>
        <w:spacing w:line="480" w:lineRule="auto"/>
        <w:rPr>
          <w:rFonts w:ascii="Arial" w:hAnsi="Arial" w:cs="Arial"/>
          <w:sz w:val="24"/>
          <w:szCs w:val="24"/>
        </w:rPr>
      </w:pPr>
      <w:r w:rsidRPr="00B67401">
        <w:rPr>
          <w:rFonts w:ascii="Arial" w:hAnsi="Arial" w:cs="Arial"/>
          <w:sz w:val="24"/>
          <w:szCs w:val="24"/>
        </w:rPr>
        <w:t>Common law is law that was formed started before the judiciary as it was created and enforced by the crown. This means that the laws were not codified. Common law uses equity. Equity is seen as equality in the judgment of a decision</w:t>
      </w:r>
      <w:r w:rsidR="00311907" w:rsidRPr="00B67401">
        <w:rPr>
          <w:rFonts w:ascii="Arial" w:hAnsi="Arial" w:cs="Arial"/>
          <w:sz w:val="24"/>
          <w:szCs w:val="24"/>
        </w:rPr>
        <w:t>.</w:t>
      </w:r>
      <w:r w:rsidRPr="00B67401">
        <w:rPr>
          <w:rFonts w:ascii="Arial" w:hAnsi="Arial" w:cs="Arial"/>
          <w:sz w:val="24"/>
          <w:szCs w:val="24"/>
        </w:rPr>
        <w:t xml:space="preserve"> It is a separate system but </w:t>
      </w:r>
      <w:r w:rsidR="00311907" w:rsidRPr="00B67401">
        <w:rPr>
          <w:rFonts w:ascii="Arial" w:hAnsi="Arial" w:cs="Arial"/>
          <w:sz w:val="24"/>
          <w:szCs w:val="24"/>
        </w:rPr>
        <w:t xml:space="preserve">it was </w:t>
      </w:r>
      <w:r w:rsidRPr="00B67401">
        <w:rPr>
          <w:rFonts w:ascii="Arial" w:hAnsi="Arial" w:cs="Arial"/>
          <w:sz w:val="24"/>
          <w:szCs w:val="24"/>
        </w:rPr>
        <w:t xml:space="preserve">conjoined to common law </w:t>
      </w:r>
      <w:sdt>
        <w:sdtPr>
          <w:rPr>
            <w:rFonts w:ascii="Arial" w:hAnsi="Arial" w:cs="Arial"/>
            <w:sz w:val="24"/>
            <w:szCs w:val="24"/>
          </w:rPr>
          <w:id w:val="-1490637698"/>
          <w:citation/>
        </w:sdtPr>
        <w:sdtEndPr/>
        <w:sdtContent>
          <w:r w:rsidR="00A71069" w:rsidRPr="00B67401">
            <w:rPr>
              <w:rFonts w:ascii="Arial" w:hAnsi="Arial" w:cs="Arial"/>
              <w:sz w:val="24"/>
              <w:szCs w:val="24"/>
            </w:rPr>
            <w:fldChar w:fldCharType="begin"/>
          </w:r>
          <w:r w:rsidR="00A71069" w:rsidRPr="00B67401">
            <w:rPr>
              <w:rFonts w:ascii="Arial" w:hAnsi="Arial" w:cs="Arial"/>
              <w:sz w:val="24"/>
              <w:szCs w:val="24"/>
              <w:lang w:val="en-US"/>
            </w:rPr>
            <w:instrText xml:space="preserve"> CITATION Gil19 \l 1033 </w:instrText>
          </w:r>
          <w:r w:rsidR="00A71069" w:rsidRPr="00B67401">
            <w:rPr>
              <w:rFonts w:ascii="Arial" w:hAnsi="Arial" w:cs="Arial"/>
              <w:sz w:val="24"/>
              <w:szCs w:val="24"/>
            </w:rPr>
            <w:fldChar w:fldCharType="separate"/>
          </w:r>
          <w:r w:rsidR="00A71069" w:rsidRPr="00B67401">
            <w:rPr>
              <w:rFonts w:ascii="Arial" w:hAnsi="Arial" w:cs="Arial"/>
              <w:noProof/>
              <w:sz w:val="24"/>
              <w:szCs w:val="24"/>
              <w:lang w:val="en-US"/>
            </w:rPr>
            <w:t>(Laing, 2019)</w:t>
          </w:r>
          <w:r w:rsidR="00A71069" w:rsidRPr="00B67401">
            <w:rPr>
              <w:rFonts w:ascii="Arial" w:hAnsi="Arial" w:cs="Arial"/>
              <w:sz w:val="24"/>
              <w:szCs w:val="24"/>
            </w:rPr>
            <w:fldChar w:fldCharType="end"/>
          </w:r>
        </w:sdtContent>
      </w:sdt>
      <w:r w:rsidRPr="00B67401">
        <w:rPr>
          <w:rFonts w:ascii="Arial" w:hAnsi="Arial" w:cs="Arial"/>
          <w:sz w:val="24"/>
          <w:szCs w:val="24"/>
        </w:rPr>
        <w:t xml:space="preserve">.  Equity and common law were both created by the crown to make rulings. Common law had strict situations and results whereas equity was used when there was no common law in place for that situation. The ratio decidendi is the official reasoning behind a judge’s decision and they will reference the common law when writing It </w:t>
      </w:r>
      <w:sdt>
        <w:sdtPr>
          <w:rPr>
            <w:rFonts w:ascii="Arial" w:hAnsi="Arial" w:cs="Arial"/>
            <w:sz w:val="24"/>
            <w:szCs w:val="24"/>
          </w:rPr>
          <w:id w:val="-359357389"/>
          <w:citation/>
        </w:sdtPr>
        <w:sdtEndPr/>
        <w:sdtContent>
          <w:r w:rsidR="006909F7" w:rsidRPr="00B67401">
            <w:rPr>
              <w:rFonts w:ascii="Arial" w:hAnsi="Arial" w:cs="Arial"/>
              <w:sz w:val="24"/>
              <w:szCs w:val="24"/>
            </w:rPr>
            <w:fldChar w:fldCharType="begin"/>
          </w:r>
          <w:r w:rsidR="006909F7" w:rsidRPr="00B67401">
            <w:rPr>
              <w:rFonts w:ascii="Arial" w:hAnsi="Arial" w:cs="Arial"/>
              <w:sz w:val="24"/>
              <w:szCs w:val="24"/>
              <w:lang w:val="en-US"/>
            </w:rPr>
            <w:instrText xml:space="preserve"> CITATION Lex20 \l 1033 </w:instrText>
          </w:r>
          <w:r w:rsidR="006909F7" w:rsidRPr="00B67401">
            <w:rPr>
              <w:rFonts w:ascii="Arial" w:hAnsi="Arial" w:cs="Arial"/>
              <w:sz w:val="24"/>
              <w:szCs w:val="24"/>
            </w:rPr>
            <w:fldChar w:fldCharType="separate"/>
          </w:r>
          <w:r w:rsidR="006909F7" w:rsidRPr="00B67401">
            <w:rPr>
              <w:rFonts w:ascii="Arial" w:hAnsi="Arial" w:cs="Arial"/>
              <w:noProof/>
              <w:sz w:val="24"/>
              <w:szCs w:val="24"/>
              <w:lang w:val="en-US"/>
            </w:rPr>
            <w:t>(Lexis, 2020)</w:t>
          </w:r>
          <w:r w:rsidR="006909F7" w:rsidRPr="00B67401">
            <w:rPr>
              <w:rFonts w:ascii="Arial" w:hAnsi="Arial" w:cs="Arial"/>
              <w:sz w:val="24"/>
              <w:szCs w:val="24"/>
            </w:rPr>
            <w:fldChar w:fldCharType="end"/>
          </w:r>
        </w:sdtContent>
      </w:sdt>
      <w:r w:rsidRPr="00B67401">
        <w:rPr>
          <w:rFonts w:ascii="Arial" w:hAnsi="Arial" w:cs="Arial"/>
          <w:sz w:val="24"/>
          <w:szCs w:val="24"/>
        </w:rPr>
        <w:t>. If common law is the reasoning for their judgment. Each judge will write their own to maintain fairness and equity.  Obiter dictum is the note that a judge makes but do not bind the courts like the ratio decidendi does</w:t>
      </w:r>
      <w:sdt>
        <w:sdtPr>
          <w:rPr>
            <w:rFonts w:ascii="Arial" w:hAnsi="Arial" w:cs="Arial"/>
            <w:sz w:val="24"/>
            <w:szCs w:val="24"/>
          </w:rPr>
          <w:id w:val="563213382"/>
          <w:citation/>
        </w:sdtPr>
        <w:sdtEndPr/>
        <w:sdtContent>
          <w:r w:rsidR="006909F7" w:rsidRPr="00B67401">
            <w:rPr>
              <w:rFonts w:ascii="Arial" w:hAnsi="Arial" w:cs="Arial"/>
              <w:sz w:val="24"/>
              <w:szCs w:val="24"/>
            </w:rPr>
            <w:fldChar w:fldCharType="begin"/>
          </w:r>
          <w:r w:rsidR="006909F7" w:rsidRPr="00B67401">
            <w:rPr>
              <w:rFonts w:ascii="Arial" w:hAnsi="Arial" w:cs="Arial"/>
              <w:sz w:val="24"/>
              <w:szCs w:val="24"/>
              <w:lang w:val="en-US"/>
            </w:rPr>
            <w:instrText xml:space="preserve"> CITATION Lex201 \l 1033 </w:instrText>
          </w:r>
          <w:r w:rsidR="006909F7" w:rsidRPr="00B67401">
            <w:rPr>
              <w:rFonts w:ascii="Arial" w:hAnsi="Arial" w:cs="Arial"/>
              <w:sz w:val="24"/>
              <w:szCs w:val="24"/>
            </w:rPr>
            <w:fldChar w:fldCharType="separate"/>
          </w:r>
          <w:r w:rsidR="006909F7" w:rsidRPr="00B67401">
            <w:rPr>
              <w:rFonts w:ascii="Arial" w:hAnsi="Arial" w:cs="Arial"/>
              <w:noProof/>
              <w:sz w:val="24"/>
              <w:szCs w:val="24"/>
              <w:lang w:val="en-US"/>
            </w:rPr>
            <w:t xml:space="preserve"> (Lexis, 2020)</w:t>
          </w:r>
          <w:r w:rsidR="006909F7" w:rsidRPr="00B67401">
            <w:rPr>
              <w:rFonts w:ascii="Arial" w:hAnsi="Arial" w:cs="Arial"/>
              <w:sz w:val="24"/>
              <w:szCs w:val="24"/>
            </w:rPr>
            <w:fldChar w:fldCharType="end"/>
          </w:r>
        </w:sdtContent>
      </w:sdt>
      <w:r w:rsidR="006909F7" w:rsidRPr="00B67401">
        <w:rPr>
          <w:rFonts w:ascii="Arial" w:hAnsi="Arial" w:cs="Arial"/>
          <w:sz w:val="24"/>
          <w:szCs w:val="24"/>
          <w:lang w:val="en-US"/>
        </w:rPr>
        <w:t xml:space="preserve">. </w:t>
      </w:r>
      <w:r w:rsidRPr="00B67401">
        <w:rPr>
          <w:rFonts w:ascii="Arial" w:hAnsi="Arial" w:cs="Arial"/>
          <w:sz w:val="24"/>
          <w:szCs w:val="24"/>
        </w:rPr>
        <w:t>These allow for an explanation of the decision that does not bind a lower court</w:t>
      </w:r>
      <w:r w:rsidR="00F07EFF" w:rsidRPr="00B67401">
        <w:rPr>
          <w:rFonts w:ascii="Arial" w:hAnsi="Arial" w:cs="Arial"/>
          <w:sz w:val="24"/>
          <w:szCs w:val="24"/>
        </w:rPr>
        <w:t>. It</w:t>
      </w:r>
      <w:r w:rsidRPr="00B67401">
        <w:rPr>
          <w:rFonts w:ascii="Arial" w:hAnsi="Arial" w:cs="Arial"/>
          <w:sz w:val="24"/>
          <w:szCs w:val="24"/>
        </w:rPr>
        <w:t xml:space="preserve"> allows a judge to understand why a decision was reached.  </w:t>
      </w:r>
    </w:p>
    <w:p w14:paraId="70B3C8B5" w14:textId="77777777" w:rsidR="00F07BD3" w:rsidRPr="00B67401" w:rsidRDefault="00F07BD3" w:rsidP="00F07BD3">
      <w:pPr>
        <w:pStyle w:val="ListParagraph"/>
        <w:spacing w:line="480" w:lineRule="auto"/>
        <w:ind w:left="1080"/>
        <w:rPr>
          <w:rFonts w:ascii="Arial" w:hAnsi="Arial" w:cs="Arial"/>
          <w:sz w:val="24"/>
          <w:szCs w:val="24"/>
        </w:rPr>
      </w:pPr>
    </w:p>
    <w:p w14:paraId="3C27C87B" w14:textId="750E97F2" w:rsidR="00F07BD3" w:rsidRPr="00B67401" w:rsidRDefault="00F07BD3" w:rsidP="00F07BD3">
      <w:pPr>
        <w:spacing w:line="480" w:lineRule="auto"/>
        <w:rPr>
          <w:rFonts w:ascii="Arial" w:hAnsi="Arial" w:cs="Arial"/>
          <w:sz w:val="24"/>
          <w:szCs w:val="24"/>
        </w:rPr>
      </w:pPr>
      <w:r w:rsidRPr="00B67401">
        <w:rPr>
          <w:rFonts w:ascii="Arial" w:hAnsi="Arial" w:cs="Arial"/>
          <w:sz w:val="24"/>
          <w:szCs w:val="24"/>
        </w:rPr>
        <w:t>Civil law is the set of laws that exist to settle a dispute between two people</w:t>
      </w:r>
      <w:r w:rsidR="00F07EFF" w:rsidRPr="00B67401">
        <w:rPr>
          <w:rFonts w:ascii="Arial" w:hAnsi="Arial" w:cs="Arial"/>
          <w:sz w:val="24"/>
          <w:szCs w:val="24"/>
        </w:rPr>
        <w:t xml:space="preserve"> or companies</w:t>
      </w:r>
      <w:r w:rsidRPr="00B67401">
        <w:rPr>
          <w:rFonts w:ascii="Arial" w:hAnsi="Arial" w:cs="Arial"/>
          <w:sz w:val="24"/>
          <w:szCs w:val="24"/>
        </w:rPr>
        <w:t xml:space="preserve">. One individual, referred to as the clement will bring a case before a judge who will decide on the likelihood that an event occurred. This process is known as the balance of probability </w:t>
      </w:r>
      <w:sdt>
        <w:sdtPr>
          <w:rPr>
            <w:rFonts w:ascii="Arial" w:hAnsi="Arial" w:cs="Arial"/>
            <w:sz w:val="24"/>
            <w:szCs w:val="24"/>
          </w:rPr>
          <w:id w:val="-615679959"/>
          <w:citation/>
        </w:sdtPr>
        <w:sdtEndPr/>
        <w:sdtContent>
          <w:r w:rsidR="006909F7" w:rsidRPr="00B67401">
            <w:rPr>
              <w:rFonts w:ascii="Arial" w:hAnsi="Arial" w:cs="Arial"/>
              <w:sz w:val="24"/>
              <w:szCs w:val="24"/>
            </w:rPr>
            <w:fldChar w:fldCharType="begin"/>
          </w:r>
          <w:r w:rsidR="006909F7" w:rsidRPr="00B67401">
            <w:rPr>
              <w:rFonts w:ascii="Arial" w:hAnsi="Arial" w:cs="Arial"/>
              <w:sz w:val="24"/>
              <w:szCs w:val="24"/>
              <w:lang w:val="en-US"/>
            </w:rPr>
            <w:instrText xml:space="preserve"> CITATION hal19 \l 1033 </w:instrText>
          </w:r>
          <w:r w:rsidR="006909F7" w:rsidRPr="00B67401">
            <w:rPr>
              <w:rFonts w:ascii="Arial" w:hAnsi="Arial" w:cs="Arial"/>
              <w:sz w:val="24"/>
              <w:szCs w:val="24"/>
            </w:rPr>
            <w:fldChar w:fldCharType="separate"/>
          </w:r>
          <w:r w:rsidR="006909F7" w:rsidRPr="00B67401">
            <w:rPr>
              <w:rFonts w:ascii="Arial" w:hAnsi="Arial" w:cs="Arial"/>
              <w:noProof/>
              <w:sz w:val="24"/>
              <w:szCs w:val="24"/>
              <w:lang w:val="en-US"/>
            </w:rPr>
            <w:t>(hallellis, 2019)</w:t>
          </w:r>
          <w:r w:rsidR="006909F7" w:rsidRPr="00B67401">
            <w:rPr>
              <w:rFonts w:ascii="Arial" w:hAnsi="Arial" w:cs="Arial"/>
              <w:sz w:val="24"/>
              <w:szCs w:val="24"/>
            </w:rPr>
            <w:fldChar w:fldCharType="end"/>
          </w:r>
        </w:sdtContent>
      </w:sdt>
      <w:r w:rsidRPr="00B67401">
        <w:rPr>
          <w:rFonts w:ascii="Arial" w:hAnsi="Arial" w:cs="Arial"/>
          <w:sz w:val="24"/>
          <w:szCs w:val="24"/>
        </w:rPr>
        <w:t xml:space="preserve">. This means that civil law should remain unbiased to ensure that the probability of the event occurring </w:t>
      </w:r>
      <w:sdt>
        <w:sdtPr>
          <w:rPr>
            <w:rFonts w:ascii="Arial" w:hAnsi="Arial" w:cs="Arial"/>
            <w:sz w:val="24"/>
            <w:szCs w:val="24"/>
          </w:rPr>
          <w:id w:val="-1664538093"/>
          <w:citation/>
        </w:sdtPr>
        <w:sdtEndPr/>
        <w:sdtContent>
          <w:r w:rsidR="006909F7" w:rsidRPr="00B67401">
            <w:rPr>
              <w:rFonts w:ascii="Arial" w:hAnsi="Arial" w:cs="Arial"/>
              <w:sz w:val="24"/>
              <w:szCs w:val="24"/>
            </w:rPr>
            <w:fldChar w:fldCharType="begin"/>
          </w:r>
          <w:r w:rsidR="006909F7" w:rsidRPr="00B67401">
            <w:rPr>
              <w:rFonts w:ascii="Arial" w:hAnsi="Arial" w:cs="Arial"/>
              <w:sz w:val="24"/>
              <w:szCs w:val="24"/>
              <w:lang w:val="en-US"/>
            </w:rPr>
            <w:instrText xml:space="preserve"> CITATION HHJ09 \l 1033 </w:instrText>
          </w:r>
          <w:r w:rsidR="006909F7" w:rsidRPr="00B67401">
            <w:rPr>
              <w:rFonts w:ascii="Arial" w:hAnsi="Arial" w:cs="Arial"/>
              <w:sz w:val="24"/>
              <w:szCs w:val="24"/>
            </w:rPr>
            <w:fldChar w:fldCharType="separate"/>
          </w:r>
          <w:r w:rsidR="006909F7" w:rsidRPr="00B67401">
            <w:rPr>
              <w:rFonts w:ascii="Arial" w:hAnsi="Arial" w:cs="Arial"/>
              <w:noProof/>
              <w:sz w:val="24"/>
              <w:szCs w:val="24"/>
              <w:lang w:val="en-US"/>
            </w:rPr>
            <w:t>(Davies, 2009)</w:t>
          </w:r>
          <w:r w:rsidR="006909F7" w:rsidRPr="00B67401">
            <w:rPr>
              <w:rFonts w:ascii="Arial" w:hAnsi="Arial" w:cs="Arial"/>
              <w:sz w:val="24"/>
              <w:szCs w:val="24"/>
            </w:rPr>
            <w:fldChar w:fldCharType="end"/>
          </w:r>
        </w:sdtContent>
      </w:sdt>
      <w:r w:rsidR="006909F7" w:rsidRPr="00B67401">
        <w:rPr>
          <w:rFonts w:ascii="Arial" w:hAnsi="Arial" w:cs="Arial"/>
          <w:sz w:val="24"/>
          <w:szCs w:val="24"/>
          <w:lang w:val="en-US"/>
        </w:rPr>
        <w:t xml:space="preserve">. </w:t>
      </w:r>
      <w:r w:rsidRPr="00B67401">
        <w:rPr>
          <w:rFonts w:ascii="Arial" w:hAnsi="Arial" w:cs="Arial"/>
          <w:sz w:val="24"/>
          <w:szCs w:val="24"/>
        </w:rPr>
        <w:t xml:space="preserve">If a judge has an equal reason to believe that the event did or did not happen then they must rule that the event did not happen but, if they did have a slightly higher belief that the event did happen then they will judge that the event happened. Many aspects of the common law system </w:t>
      </w:r>
      <w:r w:rsidR="002F1DA7" w:rsidRPr="00B67401">
        <w:rPr>
          <w:rFonts w:ascii="Arial" w:hAnsi="Arial" w:cs="Arial"/>
          <w:sz w:val="24"/>
          <w:szCs w:val="24"/>
        </w:rPr>
        <w:t>were</w:t>
      </w:r>
      <w:r w:rsidRPr="00B67401">
        <w:rPr>
          <w:rFonts w:ascii="Arial" w:hAnsi="Arial" w:cs="Arial"/>
          <w:sz w:val="24"/>
          <w:szCs w:val="24"/>
        </w:rPr>
        <w:t xml:space="preserve"> carried over to the civil law system this includes the </w:t>
      </w:r>
      <w:r w:rsidR="002A5DEA" w:rsidRPr="00B67401">
        <w:rPr>
          <w:rFonts w:ascii="Arial" w:hAnsi="Arial" w:cs="Arial"/>
          <w:sz w:val="24"/>
          <w:szCs w:val="24"/>
        </w:rPr>
        <w:t xml:space="preserve">ratio decidendi </w:t>
      </w:r>
      <w:r w:rsidRPr="00B67401">
        <w:rPr>
          <w:rFonts w:ascii="Arial" w:hAnsi="Arial" w:cs="Arial"/>
          <w:sz w:val="24"/>
          <w:szCs w:val="24"/>
        </w:rPr>
        <w:t xml:space="preserve">and </w:t>
      </w:r>
      <w:r w:rsidR="002A5DEA" w:rsidRPr="00B67401">
        <w:rPr>
          <w:rFonts w:ascii="Arial" w:hAnsi="Arial" w:cs="Arial"/>
          <w:sz w:val="24"/>
          <w:szCs w:val="24"/>
        </w:rPr>
        <w:t xml:space="preserve">Obiter dictum </w:t>
      </w:r>
      <w:r w:rsidRPr="00B67401">
        <w:rPr>
          <w:rFonts w:ascii="Arial" w:hAnsi="Arial" w:cs="Arial"/>
          <w:sz w:val="24"/>
          <w:szCs w:val="24"/>
        </w:rPr>
        <w:t xml:space="preserve">as well as the common law. The common law still apply to the decisions and the legal system as a whole. </w:t>
      </w:r>
    </w:p>
    <w:p w14:paraId="2879163A" w14:textId="77777777" w:rsidR="007C126E" w:rsidRDefault="007C126E" w:rsidP="00F07BD3">
      <w:pPr>
        <w:spacing w:line="480" w:lineRule="auto"/>
        <w:rPr>
          <w:rFonts w:ascii="Arial" w:hAnsi="Arial" w:cs="Arial"/>
          <w:sz w:val="24"/>
          <w:szCs w:val="24"/>
        </w:rPr>
      </w:pPr>
    </w:p>
    <w:p w14:paraId="55BD9096" w14:textId="5BB0CB6E" w:rsidR="00F07BD3" w:rsidRPr="00B67401" w:rsidRDefault="00F07BD3" w:rsidP="00F07BD3">
      <w:pPr>
        <w:spacing w:line="480" w:lineRule="auto"/>
        <w:rPr>
          <w:rFonts w:ascii="Arial" w:hAnsi="Arial" w:cs="Arial"/>
          <w:sz w:val="24"/>
          <w:szCs w:val="24"/>
        </w:rPr>
      </w:pPr>
      <w:r w:rsidRPr="00B67401">
        <w:rPr>
          <w:rFonts w:ascii="Arial" w:hAnsi="Arial" w:cs="Arial"/>
          <w:sz w:val="24"/>
          <w:szCs w:val="24"/>
        </w:rPr>
        <w:t xml:space="preserve">Common law and civil law systems has similarities as well as differences they were both used to settle disputes between two people. The common law also gave several systems to the civil law system. The origin of both systems is different common law was created and crawled by the crown but civil uses a judge this means that the civil court should be more impartial as it is their job to make decisions, </w:t>
      </w:r>
      <w:proofErr w:type="spellStart"/>
      <w:r w:rsidRPr="00B67401">
        <w:rPr>
          <w:rFonts w:ascii="Arial" w:hAnsi="Arial" w:cs="Arial"/>
          <w:sz w:val="24"/>
          <w:szCs w:val="24"/>
        </w:rPr>
        <w:t>where as</w:t>
      </w:r>
      <w:proofErr w:type="spellEnd"/>
      <w:r w:rsidRPr="00B67401">
        <w:rPr>
          <w:rFonts w:ascii="Arial" w:hAnsi="Arial" w:cs="Arial"/>
          <w:sz w:val="24"/>
          <w:szCs w:val="24"/>
        </w:rPr>
        <w:t xml:space="preserve"> the crown was also the ruler of the country which meant he had many other responsibility</w:t>
      </w:r>
      <w:r w:rsidR="008117FC" w:rsidRPr="00B67401">
        <w:rPr>
          <w:rFonts w:ascii="Arial" w:hAnsi="Arial" w:cs="Arial"/>
          <w:sz w:val="24"/>
          <w:szCs w:val="24"/>
        </w:rPr>
        <w:t xml:space="preserve"> </w:t>
      </w:r>
      <w:sdt>
        <w:sdtPr>
          <w:rPr>
            <w:rFonts w:ascii="Arial" w:hAnsi="Arial" w:cs="Arial"/>
            <w:sz w:val="24"/>
            <w:szCs w:val="24"/>
          </w:rPr>
          <w:id w:val="2038460659"/>
          <w:citation/>
        </w:sdtPr>
        <w:sdtEndPr/>
        <w:sdtContent>
          <w:r w:rsidR="008117FC" w:rsidRPr="00B67401">
            <w:rPr>
              <w:rFonts w:ascii="Arial" w:hAnsi="Arial" w:cs="Arial"/>
              <w:sz w:val="24"/>
              <w:szCs w:val="24"/>
            </w:rPr>
            <w:fldChar w:fldCharType="begin"/>
          </w:r>
          <w:r w:rsidR="008117FC" w:rsidRPr="00B67401">
            <w:rPr>
              <w:rFonts w:ascii="Arial" w:hAnsi="Arial" w:cs="Arial"/>
              <w:sz w:val="24"/>
              <w:szCs w:val="24"/>
              <w:lang w:val="en-US"/>
            </w:rPr>
            <w:instrText xml:space="preserve"> CITATION Joh88 \l 1033 </w:instrText>
          </w:r>
          <w:r w:rsidR="008117FC" w:rsidRPr="00B67401">
            <w:rPr>
              <w:rFonts w:ascii="Arial" w:hAnsi="Arial" w:cs="Arial"/>
              <w:sz w:val="24"/>
              <w:szCs w:val="24"/>
            </w:rPr>
            <w:fldChar w:fldCharType="separate"/>
          </w:r>
          <w:r w:rsidR="008117FC" w:rsidRPr="00B67401">
            <w:rPr>
              <w:rFonts w:ascii="Arial" w:hAnsi="Arial" w:cs="Arial"/>
              <w:noProof/>
              <w:sz w:val="24"/>
              <w:szCs w:val="24"/>
              <w:lang w:val="en-US"/>
            </w:rPr>
            <w:t>(Cannon, 1988)</w:t>
          </w:r>
          <w:r w:rsidR="008117FC" w:rsidRPr="00B67401">
            <w:rPr>
              <w:rFonts w:ascii="Arial" w:hAnsi="Arial" w:cs="Arial"/>
              <w:sz w:val="24"/>
              <w:szCs w:val="24"/>
            </w:rPr>
            <w:fldChar w:fldCharType="end"/>
          </w:r>
        </w:sdtContent>
      </w:sdt>
      <w:r w:rsidRPr="00B67401">
        <w:rPr>
          <w:rFonts w:ascii="Arial" w:hAnsi="Arial" w:cs="Arial"/>
          <w:sz w:val="24"/>
          <w:szCs w:val="24"/>
        </w:rPr>
        <w:t xml:space="preserve">. Within modern times law has been applied to everybody so equity and fairness has been reanalysed and reapplied. Civil law had far stricter rulings and were far more restricted on the cases they would take. The crown and those who worked for him as the judges were limited on the cases on they would judge on as they couldn’t make decisions on their own  they had to refer to previous rulings which was the first form of judicial precedent. The common law system had a separate court for equity. This meant that </w:t>
      </w:r>
      <w:proofErr w:type="spellStart"/>
      <w:proofErr w:type="gramStart"/>
      <w:r w:rsidRPr="00B67401">
        <w:rPr>
          <w:rFonts w:ascii="Arial" w:hAnsi="Arial" w:cs="Arial"/>
          <w:sz w:val="24"/>
          <w:szCs w:val="24"/>
        </w:rPr>
        <w:t>their</w:t>
      </w:r>
      <w:proofErr w:type="spellEnd"/>
      <w:proofErr w:type="gramEnd"/>
      <w:r w:rsidRPr="00B67401">
        <w:rPr>
          <w:rFonts w:ascii="Arial" w:hAnsi="Arial" w:cs="Arial"/>
          <w:sz w:val="24"/>
          <w:szCs w:val="24"/>
        </w:rPr>
        <w:t xml:space="preserve"> were tow courts for the common law system. Equity was used when precedent could not be used as it was employed this was normally for matters but did not concern the crown this means there was two courts that had separate roles but the same goal. This is different in the civil law as there is one side of the court system that deals with all forms of all civil law cases. There are still multiple courts but the responsibility is the same, but the severity of the claim is different. Within the civil system there is the higher court which binds the lower court, but they are more connected </w:t>
      </w:r>
      <w:sdt>
        <w:sdtPr>
          <w:rPr>
            <w:rFonts w:ascii="Arial" w:hAnsi="Arial" w:cs="Arial"/>
            <w:sz w:val="24"/>
            <w:szCs w:val="24"/>
          </w:rPr>
          <w:id w:val="-1793983472"/>
          <w:citation/>
        </w:sdtPr>
        <w:sdtEndPr/>
        <w:sdtContent>
          <w:r w:rsidR="008117FC" w:rsidRPr="00B67401">
            <w:rPr>
              <w:rFonts w:ascii="Arial" w:hAnsi="Arial" w:cs="Arial"/>
              <w:sz w:val="24"/>
              <w:szCs w:val="24"/>
            </w:rPr>
            <w:fldChar w:fldCharType="begin"/>
          </w:r>
          <w:r w:rsidR="008117FC" w:rsidRPr="00B67401">
            <w:rPr>
              <w:rFonts w:ascii="Arial" w:hAnsi="Arial" w:cs="Arial"/>
              <w:sz w:val="24"/>
              <w:szCs w:val="24"/>
              <w:lang w:val="en-US"/>
            </w:rPr>
            <w:instrText xml:space="preserve"> CITATION Cou20 \l 1033 </w:instrText>
          </w:r>
          <w:r w:rsidR="008117FC" w:rsidRPr="00B67401">
            <w:rPr>
              <w:rFonts w:ascii="Arial" w:hAnsi="Arial" w:cs="Arial"/>
              <w:sz w:val="24"/>
              <w:szCs w:val="24"/>
            </w:rPr>
            <w:fldChar w:fldCharType="separate"/>
          </w:r>
          <w:r w:rsidR="008117FC" w:rsidRPr="00B67401">
            <w:rPr>
              <w:rFonts w:ascii="Arial" w:hAnsi="Arial" w:cs="Arial"/>
              <w:noProof/>
              <w:sz w:val="24"/>
              <w:szCs w:val="24"/>
              <w:lang w:val="en-US"/>
            </w:rPr>
            <w:t>(Courts and Tribunals Judiciary, 2020)</w:t>
          </w:r>
          <w:r w:rsidR="008117FC" w:rsidRPr="00B67401">
            <w:rPr>
              <w:rFonts w:ascii="Arial" w:hAnsi="Arial" w:cs="Arial"/>
              <w:sz w:val="24"/>
              <w:szCs w:val="24"/>
            </w:rPr>
            <w:fldChar w:fldCharType="end"/>
          </w:r>
        </w:sdtContent>
      </w:sdt>
      <w:r w:rsidR="008117FC" w:rsidRPr="00B67401">
        <w:rPr>
          <w:rFonts w:ascii="Arial" w:hAnsi="Arial" w:cs="Arial"/>
          <w:sz w:val="24"/>
          <w:szCs w:val="24"/>
          <w:lang w:val="en-US"/>
        </w:rPr>
        <w:t xml:space="preserve">. </w:t>
      </w:r>
      <w:r w:rsidRPr="00B67401">
        <w:rPr>
          <w:rFonts w:ascii="Arial" w:hAnsi="Arial" w:cs="Arial"/>
          <w:sz w:val="24"/>
          <w:szCs w:val="24"/>
        </w:rPr>
        <w:t>The higher court takes the cases, but the lower court is unequipped to deal with.</w:t>
      </w:r>
    </w:p>
    <w:p w14:paraId="4E4BBA7A" w14:textId="77777777" w:rsidR="00F07BD3" w:rsidRPr="00B67401" w:rsidRDefault="00F07BD3" w:rsidP="00F07BD3">
      <w:pPr>
        <w:pStyle w:val="ListParagraph"/>
        <w:spacing w:line="480" w:lineRule="auto"/>
        <w:ind w:left="1080"/>
        <w:rPr>
          <w:rFonts w:ascii="Arial" w:hAnsi="Arial" w:cs="Arial"/>
          <w:sz w:val="24"/>
          <w:szCs w:val="24"/>
        </w:rPr>
      </w:pPr>
    </w:p>
    <w:p w14:paraId="4A3DB74E" w14:textId="3A70E940" w:rsidR="00F07BD3" w:rsidRPr="00B67401" w:rsidRDefault="00F07BD3" w:rsidP="00F07BD3">
      <w:pPr>
        <w:spacing w:line="480" w:lineRule="auto"/>
        <w:rPr>
          <w:rFonts w:ascii="Arial" w:hAnsi="Arial" w:cs="Arial"/>
          <w:sz w:val="24"/>
          <w:szCs w:val="24"/>
          <w:lang w:val="en-US"/>
        </w:rPr>
      </w:pPr>
      <w:r w:rsidRPr="00B67401">
        <w:rPr>
          <w:rFonts w:ascii="Arial" w:hAnsi="Arial" w:cs="Arial"/>
          <w:sz w:val="24"/>
          <w:szCs w:val="24"/>
          <w:lang w:val="en-US"/>
        </w:rPr>
        <w:t>Common law in England and Wales has developed historically through the customs and decisions which have been developed over centuries. The notion of common law began during the reign of Henry II with legal disputes having legal disputes being settled by the King</w:t>
      </w:r>
      <w:r w:rsidR="003F24D3">
        <w:rPr>
          <w:rFonts w:ascii="Arial" w:hAnsi="Arial" w:cs="Arial"/>
          <w:sz w:val="24"/>
          <w:szCs w:val="24"/>
          <w:lang w:val="en-US"/>
        </w:rPr>
        <w:t xml:space="preserve"> </w:t>
      </w:r>
      <w:sdt>
        <w:sdtPr>
          <w:rPr>
            <w:rFonts w:ascii="Arial" w:hAnsi="Arial" w:cs="Arial"/>
            <w:sz w:val="24"/>
            <w:szCs w:val="24"/>
            <w:lang w:val="en-US"/>
          </w:rPr>
          <w:id w:val="2019651332"/>
          <w:citation/>
        </w:sdtPr>
        <w:sdtEndPr/>
        <w:sdtContent>
          <w:r w:rsidR="003F24D3">
            <w:rPr>
              <w:rFonts w:ascii="Arial" w:hAnsi="Arial" w:cs="Arial"/>
              <w:sz w:val="24"/>
              <w:szCs w:val="24"/>
              <w:lang w:val="en-US"/>
            </w:rPr>
            <w:fldChar w:fldCharType="begin"/>
          </w:r>
          <w:r w:rsidR="003F24D3">
            <w:rPr>
              <w:rFonts w:ascii="Arial" w:hAnsi="Arial" w:cs="Arial"/>
              <w:sz w:val="24"/>
              <w:szCs w:val="24"/>
              <w:lang w:val="en-US"/>
            </w:rPr>
            <w:instrText xml:space="preserve"> CITATION Hou88 \l 1033 </w:instrText>
          </w:r>
          <w:r w:rsidR="003F24D3">
            <w:rPr>
              <w:rFonts w:ascii="Arial" w:hAnsi="Arial" w:cs="Arial"/>
              <w:sz w:val="24"/>
              <w:szCs w:val="24"/>
              <w:lang w:val="en-US"/>
            </w:rPr>
            <w:fldChar w:fldCharType="separate"/>
          </w:r>
          <w:r w:rsidR="003F24D3" w:rsidRPr="003F24D3">
            <w:rPr>
              <w:rFonts w:ascii="Arial" w:hAnsi="Arial" w:cs="Arial"/>
              <w:noProof/>
              <w:sz w:val="24"/>
              <w:szCs w:val="24"/>
              <w:lang w:val="en-US"/>
            </w:rPr>
            <w:t>(Hourly History, 1988)</w:t>
          </w:r>
          <w:r w:rsidR="003F24D3">
            <w:rPr>
              <w:rFonts w:ascii="Arial" w:hAnsi="Arial" w:cs="Arial"/>
              <w:sz w:val="24"/>
              <w:szCs w:val="24"/>
              <w:lang w:val="en-US"/>
            </w:rPr>
            <w:fldChar w:fldCharType="end"/>
          </w:r>
        </w:sdtContent>
      </w:sdt>
      <w:r w:rsidRPr="00B67401">
        <w:rPr>
          <w:rFonts w:ascii="Arial" w:hAnsi="Arial" w:cs="Arial"/>
          <w:sz w:val="24"/>
          <w:szCs w:val="24"/>
          <w:lang w:val="en-US"/>
        </w:rPr>
        <w:t xml:space="preserve">. Common law has developed by Judge based decisions. For example. common law and judicial precedence </w:t>
      </w:r>
      <w:r w:rsidR="00E13604" w:rsidRPr="00B67401">
        <w:rPr>
          <w:rFonts w:ascii="Arial" w:hAnsi="Arial" w:cs="Arial"/>
          <w:sz w:val="24"/>
          <w:szCs w:val="24"/>
          <w:lang w:val="en-US"/>
        </w:rPr>
        <w:t>grant</w:t>
      </w:r>
      <w:r w:rsidRPr="00B67401">
        <w:rPr>
          <w:rFonts w:ascii="Arial" w:hAnsi="Arial" w:cs="Arial"/>
          <w:sz w:val="24"/>
          <w:szCs w:val="24"/>
          <w:lang w:val="en-US"/>
        </w:rPr>
        <w:t xml:space="preserve"> an easement,</w:t>
      </w:r>
      <w:r w:rsidR="00DE0871">
        <w:rPr>
          <w:rFonts w:ascii="Arial" w:hAnsi="Arial" w:cs="Arial"/>
          <w:sz w:val="24"/>
          <w:szCs w:val="24"/>
          <w:lang w:val="en-US"/>
        </w:rPr>
        <w:t xml:space="preserve"> </w:t>
      </w:r>
      <w:r w:rsidRPr="00B67401">
        <w:rPr>
          <w:rFonts w:ascii="Arial" w:hAnsi="Arial" w:cs="Arial"/>
          <w:sz w:val="24"/>
          <w:szCs w:val="24"/>
          <w:lang w:val="en-US"/>
        </w:rPr>
        <w:t xml:space="preserve">which can form a right of way over neighboring land or the right to take water from neighboring land. If they the person can demonstrate </w:t>
      </w:r>
      <w:r w:rsidR="00E13604" w:rsidRPr="00B67401">
        <w:rPr>
          <w:rFonts w:ascii="Arial" w:hAnsi="Arial" w:cs="Arial"/>
          <w:sz w:val="24"/>
          <w:szCs w:val="24"/>
          <w:lang w:val="en-US"/>
        </w:rPr>
        <w:t>they</w:t>
      </w:r>
      <w:r w:rsidRPr="00B67401">
        <w:rPr>
          <w:rFonts w:ascii="Arial" w:hAnsi="Arial" w:cs="Arial"/>
          <w:sz w:val="24"/>
          <w:szCs w:val="24"/>
          <w:lang w:val="en-US"/>
        </w:rPr>
        <w:t xml:space="preserve"> have exercised this right to the detriment of the neighboring </w:t>
      </w:r>
      <w:proofErr w:type="gramStart"/>
      <w:r w:rsidRPr="00B67401">
        <w:rPr>
          <w:rFonts w:ascii="Arial" w:hAnsi="Arial" w:cs="Arial"/>
          <w:sz w:val="24"/>
          <w:szCs w:val="24"/>
          <w:lang w:val="en-US"/>
        </w:rPr>
        <w:t>land owner</w:t>
      </w:r>
      <w:proofErr w:type="gramEnd"/>
      <w:r w:rsidRPr="00B67401">
        <w:rPr>
          <w:rFonts w:ascii="Arial" w:hAnsi="Arial" w:cs="Arial"/>
          <w:sz w:val="24"/>
          <w:szCs w:val="24"/>
          <w:lang w:val="en-US"/>
        </w:rPr>
        <w:t xml:space="preserve"> and without challenge from the neighboring land owner for a continuous period of time</w:t>
      </w:r>
      <w:r w:rsidR="00DE0871">
        <w:rPr>
          <w:rFonts w:ascii="Arial" w:hAnsi="Arial" w:cs="Arial"/>
          <w:sz w:val="24"/>
          <w:szCs w:val="24"/>
          <w:lang w:val="en-US"/>
        </w:rPr>
        <w:t xml:space="preserve"> </w:t>
      </w:r>
      <w:sdt>
        <w:sdtPr>
          <w:rPr>
            <w:rFonts w:ascii="Arial" w:hAnsi="Arial" w:cs="Arial"/>
            <w:sz w:val="24"/>
            <w:szCs w:val="24"/>
            <w:lang w:val="en-US"/>
          </w:rPr>
          <w:id w:val="286632787"/>
          <w:citation/>
        </w:sdtPr>
        <w:sdtEndPr/>
        <w:sdtContent>
          <w:r w:rsidR="00DE0871">
            <w:rPr>
              <w:rFonts w:ascii="Arial" w:hAnsi="Arial" w:cs="Arial"/>
              <w:sz w:val="24"/>
              <w:szCs w:val="24"/>
              <w:lang w:val="en-US"/>
            </w:rPr>
            <w:fldChar w:fldCharType="begin"/>
          </w:r>
          <w:r w:rsidR="00DE0871">
            <w:rPr>
              <w:rFonts w:ascii="Arial" w:hAnsi="Arial" w:cs="Arial"/>
              <w:sz w:val="24"/>
              <w:szCs w:val="24"/>
              <w:lang w:val="en-US"/>
            </w:rPr>
            <w:instrText xml:space="preserve"> CITATION Lex204 \l 1033 </w:instrText>
          </w:r>
          <w:r w:rsidR="00DE0871">
            <w:rPr>
              <w:rFonts w:ascii="Arial" w:hAnsi="Arial" w:cs="Arial"/>
              <w:sz w:val="24"/>
              <w:szCs w:val="24"/>
              <w:lang w:val="en-US"/>
            </w:rPr>
            <w:fldChar w:fldCharType="separate"/>
          </w:r>
          <w:r w:rsidR="00DE0871" w:rsidRPr="00DE0871">
            <w:rPr>
              <w:rFonts w:ascii="Arial" w:hAnsi="Arial" w:cs="Arial"/>
              <w:noProof/>
              <w:sz w:val="24"/>
              <w:szCs w:val="24"/>
              <w:lang w:val="en-US"/>
            </w:rPr>
            <w:t>(Lexis, 2020)</w:t>
          </w:r>
          <w:r w:rsidR="00DE0871">
            <w:rPr>
              <w:rFonts w:ascii="Arial" w:hAnsi="Arial" w:cs="Arial"/>
              <w:sz w:val="24"/>
              <w:szCs w:val="24"/>
              <w:lang w:val="en-US"/>
            </w:rPr>
            <w:fldChar w:fldCharType="end"/>
          </w:r>
        </w:sdtContent>
      </w:sdt>
      <w:r w:rsidRPr="00B67401">
        <w:rPr>
          <w:rFonts w:ascii="Arial" w:hAnsi="Arial" w:cs="Arial"/>
          <w:sz w:val="24"/>
          <w:szCs w:val="24"/>
          <w:lang w:val="en-US"/>
        </w:rPr>
        <w:t xml:space="preserve">. Common law is a legal principle based solely in the civil court system and </w:t>
      </w:r>
      <w:proofErr w:type="spellStart"/>
      <w:r w:rsidRPr="00B67401">
        <w:rPr>
          <w:rFonts w:ascii="Arial" w:hAnsi="Arial" w:cs="Arial"/>
          <w:sz w:val="24"/>
          <w:szCs w:val="24"/>
          <w:lang w:val="en-US"/>
        </w:rPr>
        <w:t>can not</w:t>
      </w:r>
      <w:proofErr w:type="spellEnd"/>
      <w:r w:rsidRPr="00B67401">
        <w:rPr>
          <w:rFonts w:ascii="Arial" w:hAnsi="Arial" w:cs="Arial"/>
          <w:sz w:val="24"/>
          <w:szCs w:val="24"/>
          <w:lang w:val="en-US"/>
        </w:rPr>
        <w:t xml:space="preserve"> be found in the criminal court system as criminal law is based on government statutes. More than legislative law, common law can be open to interpretation by Judges based on evidence. It can be developed and expanded. </w:t>
      </w:r>
    </w:p>
    <w:p w14:paraId="3CAE1523" w14:textId="77777777" w:rsidR="00F07BD3" w:rsidRPr="00B67401" w:rsidRDefault="00F07BD3" w:rsidP="00F07BD3">
      <w:pPr>
        <w:pStyle w:val="ListParagraph"/>
        <w:spacing w:line="480" w:lineRule="auto"/>
        <w:ind w:left="1080"/>
        <w:rPr>
          <w:rFonts w:ascii="Arial" w:hAnsi="Arial" w:cs="Arial"/>
          <w:sz w:val="24"/>
          <w:szCs w:val="24"/>
          <w:lang w:val="en-US"/>
        </w:rPr>
      </w:pPr>
    </w:p>
    <w:p w14:paraId="5DDE287B" w14:textId="1DF15FA5" w:rsidR="00EF7E88" w:rsidRDefault="00F07BD3" w:rsidP="00F07BD3">
      <w:pPr>
        <w:spacing w:line="480" w:lineRule="auto"/>
        <w:rPr>
          <w:rFonts w:ascii="Arial" w:hAnsi="Arial" w:cs="Arial"/>
          <w:color w:val="00172E"/>
          <w:sz w:val="24"/>
          <w:szCs w:val="24"/>
          <w:shd w:val="clear" w:color="auto" w:fill="FFFFFF"/>
        </w:rPr>
      </w:pPr>
      <w:r w:rsidRPr="00B67401">
        <w:rPr>
          <w:rFonts w:ascii="Arial" w:hAnsi="Arial" w:cs="Arial"/>
          <w:sz w:val="24"/>
          <w:szCs w:val="24"/>
          <w:lang w:val="en-US"/>
        </w:rPr>
        <w:t xml:space="preserve">Common law is still applied today and is specifically used in the queens or kings bench depending on who the mark </w:t>
      </w:r>
      <w:r w:rsidR="001F3BF3">
        <w:rPr>
          <w:rFonts w:ascii="Arial" w:hAnsi="Arial" w:cs="Arial"/>
          <w:sz w:val="24"/>
          <w:szCs w:val="24"/>
          <w:lang w:val="en-US"/>
        </w:rPr>
        <w:t>is at</w:t>
      </w:r>
      <w:r w:rsidRPr="00B67401">
        <w:rPr>
          <w:rFonts w:ascii="Arial" w:hAnsi="Arial" w:cs="Arial"/>
          <w:sz w:val="24"/>
          <w:szCs w:val="24"/>
          <w:lang w:val="en-US"/>
        </w:rPr>
        <w:t xml:space="preserve"> the time. The bench deals with matters that involve common laws in their decisions. This is because the </w:t>
      </w:r>
      <w:r w:rsidR="00E13604">
        <w:rPr>
          <w:rFonts w:ascii="Arial" w:hAnsi="Arial" w:cs="Arial"/>
          <w:sz w:val="24"/>
          <w:szCs w:val="24"/>
          <w:lang w:val="en-US"/>
        </w:rPr>
        <w:t>Kings</w:t>
      </w:r>
      <w:r w:rsidRPr="00B67401">
        <w:rPr>
          <w:rFonts w:ascii="Arial" w:hAnsi="Arial" w:cs="Arial"/>
          <w:sz w:val="24"/>
          <w:szCs w:val="24"/>
          <w:lang w:val="en-US"/>
        </w:rPr>
        <w:t xml:space="preserve"> bench primarily deals with cases of negligence contract disputes </w:t>
      </w:r>
      <w:r w:rsidR="00E13604" w:rsidRPr="00B67401">
        <w:rPr>
          <w:rFonts w:ascii="Arial" w:hAnsi="Arial" w:cs="Arial"/>
          <w:sz w:val="24"/>
          <w:szCs w:val="24"/>
          <w:lang w:val="en-US"/>
        </w:rPr>
        <w:t>and, personal</w:t>
      </w:r>
      <w:r w:rsidRPr="00B67401">
        <w:rPr>
          <w:rFonts w:ascii="Arial" w:hAnsi="Arial" w:cs="Arial"/>
          <w:sz w:val="24"/>
          <w:szCs w:val="24"/>
          <w:lang w:val="en-US"/>
        </w:rPr>
        <w:t xml:space="preserve"> injury </w:t>
      </w:r>
      <w:sdt>
        <w:sdtPr>
          <w:rPr>
            <w:rFonts w:ascii="Arial" w:hAnsi="Arial" w:cs="Arial"/>
            <w:sz w:val="24"/>
            <w:szCs w:val="24"/>
            <w:lang w:val="en-US"/>
          </w:rPr>
          <w:id w:val="-506129327"/>
          <w:citation/>
        </w:sdtPr>
        <w:sdtEndPr/>
        <w:sdtContent>
          <w:r w:rsidR="008117FC" w:rsidRPr="00B67401">
            <w:rPr>
              <w:rFonts w:ascii="Arial" w:hAnsi="Arial" w:cs="Arial"/>
              <w:sz w:val="24"/>
              <w:szCs w:val="24"/>
              <w:lang w:val="en-US"/>
            </w:rPr>
            <w:fldChar w:fldCharType="begin"/>
          </w:r>
          <w:r w:rsidR="008117FC" w:rsidRPr="00B67401">
            <w:rPr>
              <w:rFonts w:ascii="Arial" w:hAnsi="Arial" w:cs="Arial"/>
              <w:sz w:val="24"/>
              <w:szCs w:val="24"/>
              <w:lang w:val="en-US"/>
            </w:rPr>
            <w:instrText xml:space="preserve"> CITATION UKG22 \l 1033 </w:instrText>
          </w:r>
          <w:r w:rsidR="008117FC" w:rsidRPr="00B67401">
            <w:rPr>
              <w:rFonts w:ascii="Arial" w:hAnsi="Arial" w:cs="Arial"/>
              <w:sz w:val="24"/>
              <w:szCs w:val="24"/>
              <w:lang w:val="en-US"/>
            </w:rPr>
            <w:fldChar w:fldCharType="separate"/>
          </w:r>
          <w:r w:rsidR="008117FC" w:rsidRPr="00B67401">
            <w:rPr>
              <w:rFonts w:ascii="Arial" w:hAnsi="Arial" w:cs="Arial"/>
              <w:noProof/>
              <w:sz w:val="24"/>
              <w:szCs w:val="24"/>
              <w:lang w:val="en-US"/>
            </w:rPr>
            <w:t>(UK Government , 2022)</w:t>
          </w:r>
          <w:r w:rsidR="008117FC" w:rsidRPr="00B67401">
            <w:rPr>
              <w:rFonts w:ascii="Arial" w:hAnsi="Arial" w:cs="Arial"/>
              <w:sz w:val="24"/>
              <w:szCs w:val="24"/>
              <w:lang w:val="en-US"/>
            </w:rPr>
            <w:fldChar w:fldCharType="end"/>
          </w:r>
        </w:sdtContent>
      </w:sdt>
      <w:r w:rsidR="008117FC" w:rsidRPr="00B67401">
        <w:rPr>
          <w:rFonts w:ascii="Arial" w:hAnsi="Arial" w:cs="Arial"/>
          <w:sz w:val="24"/>
          <w:szCs w:val="24"/>
          <w:lang w:val="en-US"/>
        </w:rPr>
        <w:t>.</w:t>
      </w:r>
      <w:r w:rsidRPr="00B67401">
        <w:rPr>
          <w:rFonts w:ascii="Arial" w:hAnsi="Arial" w:cs="Arial"/>
          <w:sz w:val="24"/>
          <w:szCs w:val="24"/>
          <w:lang w:val="en-US"/>
        </w:rPr>
        <w:t xml:space="preserve"> </w:t>
      </w:r>
      <w:r w:rsidR="00F27272" w:rsidRPr="00B67401">
        <w:rPr>
          <w:rFonts w:ascii="Arial" w:hAnsi="Arial" w:cs="Arial"/>
          <w:sz w:val="24"/>
          <w:szCs w:val="24"/>
          <w:lang w:val="en-US"/>
        </w:rPr>
        <w:t xml:space="preserve"> </w:t>
      </w:r>
      <w:r w:rsidR="00E964DA" w:rsidRPr="00B67401">
        <w:rPr>
          <w:rFonts w:ascii="Arial" w:hAnsi="Arial" w:cs="Arial"/>
          <w:sz w:val="24"/>
          <w:szCs w:val="24"/>
          <w:lang w:val="en-US"/>
        </w:rPr>
        <w:t xml:space="preserve">This means that </w:t>
      </w:r>
      <w:r w:rsidR="00EF7E88" w:rsidRPr="00B67401">
        <w:rPr>
          <w:rFonts w:ascii="Arial" w:hAnsi="Arial" w:cs="Arial"/>
          <w:sz w:val="24"/>
          <w:szCs w:val="24"/>
          <w:lang w:val="en-US"/>
        </w:rPr>
        <w:t>common</w:t>
      </w:r>
      <w:r w:rsidR="00E964DA" w:rsidRPr="00B67401">
        <w:rPr>
          <w:rFonts w:ascii="Arial" w:hAnsi="Arial" w:cs="Arial"/>
          <w:sz w:val="24"/>
          <w:szCs w:val="24"/>
          <w:lang w:val="en-US"/>
        </w:rPr>
        <w:t xml:space="preserve"> law covers </w:t>
      </w:r>
      <w:r w:rsidR="00EF7E88" w:rsidRPr="00B67401">
        <w:rPr>
          <w:rFonts w:ascii="Arial" w:hAnsi="Arial" w:cs="Arial"/>
          <w:sz w:val="24"/>
          <w:szCs w:val="24"/>
          <w:lang w:val="en-US"/>
        </w:rPr>
        <w:t>various</w:t>
      </w:r>
      <w:r w:rsidR="00E964DA" w:rsidRPr="00B67401">
        <w:rPr>
          <w:rFonts w:ascii="Arial" w:hAnsi="Arial" w:cs="Arial"/>
          <w:sz w:val="24"/>
          <w:szCs w:val="24"/>
          <w:lang w:val="en-US"/>
        </w:rPr>
        <w:t xml:space="preserve"> legal </w:t>
      </w:r>
      <w:r w:rsidR="003A4028" w:rsidRPr="00B67401">
        <w:rPr>
          <w:rFonts w:ascii="Arial" w:hAnsi="Arial" w:cs="Arial"/>
          <w:sz w:val="24"/>
          <w:szCs w:val="24"/>
          <w:lang w:val="en-US"/>
        </w:rPr>
        <w:t>events such as contracts</w:t>
      </w:r>
      <w:r w:rsidR="00E60234" w:rsidRPr="00B67401">
        <w:rPr>
          <w:rFonts w:ascii="Arial" w:hAnsi="Arial" w:cs="Arial"/>
          <w:sz w:val="24"/>
          <w:szCs w:val="24"/>
          <w:lang w:val="en-US"/>
        </w:rPr>
        <w:t>. During the case of</w:t>
      </w:r>
      <w:r w:rsidR="003206A1" w:rsidRPr="00B67401">
        <w:rPr>
          <w:rFonts w:ascii="Arial" w:hAnsi="Arial" w:cs="Arial"/>
          <w:sz w:val="24"/>
          <w:szCs w:val="24"/>
          <w:lang w:val="en-US"/>
        </w:rPr>
        <w:t xml:space="preserve"> </w:t>
      </w:r>
      <w:r w:rsidR="00E60234" w:rsidRPr="00B67401">
        <w:rPr>
          <w:rFonts w:ascii="Arial" w:hAnsi="Arial" w:cs="Arial"/>
          <w:sz w:val="24"/>
          <w:szCs w:val="24"/>
          <w:lang w:val="en-US"/>
        </w:rPr>
        <w:t xml:space="preserve"> </w:t>
      </w:r>
      <w:r w:rsidR="00AA51B7" w:rsidRPr="00B67401">
        <w:rPr>
          <w:rFonts w:ascii="Arial" w:hAnsi="Arial" w:cs="Arial"/>
          <w:color w:val="00172E"/>
          <w:sz w:val="24"/>
          <w:szCs w:val="24"/>
          <w:shd w:val="clear" w:color="auto" w:fill="FFFFFF"/>
        </w:rPr>
        <w:t xml:space="preserve">Carlill v Carbolic Smoke Ball Co [1891-94] a contract </w:t>
      </w:r>
      <w:r w:rsidR="004F62E7" w:rsidRPr="00B67401">
        <w:rPr>
          <w:rFonts w:ascii="Arial" w:hAnsi="Arial" w:cs="Arial"/>
          <w:color w:val="00172E"/>
          <w:sz w:val="24"/>
          <w:szCs w:val="24"/>
          <w:shd w:val="clear" w:color="auto" w:fill="FFFFFF"/>
        </w:rPr>
        <w:t xml:space="preserve">was </w:t>
      </w:r>
      <w:r w:rsidR="00EF7E88" w:rsidRPr="00B67401">
        <w:rPr>
          <w:rFonts w:ascii="Arial" w:hAnsi="Arial" w:cs="Arial"/>
          <w:color w:val="00172E"/>
          <w:sz w:val="24"/>
          <w:szCs w:val="24"/>
          <w:shd w:val="clear" w:color="auto" w:fill="FFFFFF"/>
        </w:rPr>
        <w:t>posed</w:t>
      </w:r>
      <w:r w:rsidR="004F62E7" w:rsidRPr="00B67401">
        <w:rPr>
          <w:rFonts w:ascii="Arial" w:hAnsi="Arial" w:cs="Arial"/>
          <w:color w:val="00172E"/>
          <w:sz w:val="24"/>
          <w:szCs w:val="24"/>
          <w:shd w:val="clear" w:color="auto" w:fill="FFFFFF"/>
        </w:rPr>
        <w:t xml:space="preserve"> by the sellers of the smoke ball</w:t>
      </w:r>
      <w:r w:rsidR="00E13604">
        <w:rPr>
          <w:rFonts w:ascii="Arial" w:hAnsi="Arial" w:cs="Arial"/>
          <w:color w:val="00172E"/>
          <w:sz w:val="24"/>
          <w:szCs w:val="24"/>
          <w:shd w:val="clear" w:color="auto" w:fill="FFFFFF"/>
        </w:rPr>
        <w:t>. T</w:t>
      </w:r>
      <w:r w:rsidR="004F62E7" w:rsidRPr="00B67401">
        <w:rPr>
          <w:rFonts w:ascii="Arial" w:hAnsi="Arial" w:cs="Arial"/>
          <w:color w:val="00172E"/>
          <w:sz w:val="24"/>
          <w:szCs w:val="24"/>
          <w:shd w:val="clear" w:color="auto" w:fill="FFFFFF"/>
        </w:rPr>
        <w:t xml:space="preserve">he contract said they would pay 100 pounds </w:t>
      </w:r>
      <w:r w:rsidR="00D47690" w:rsidRPr="00B67401">
        <w:rPr>
          <w:rFonts w:ascii="Arial" w:hAnsi="Arial" w:cs="Arial"/>
          <w:color w:val="00172E"/>
          <w:sz w:val="24"/>
          <w:szCs w:val="24"/>
          <w:shd w:val="clear" w:color="auto" w:fill="FFFFFF"/>
        </w:rPr>
        <w:t xml:space="preserve">if somebody could prove that they had used the smoke ball to a specify number of weeks and </w:t>
      </w:r>
      <w:r w:rsidR="009579FB" w:rsidRPr="00B67401">
        <w:rPr>
          <w:rFonts w:ascii="Arial" w:hAnsi="Arial" w:cs="Arial"/>
          <w:color w:val="00172E"/>
          <w:sz w:val="24"/>
          <w:szCs w:val="24"/>
          <w:shd w:val="clear" w:color="auto" w:fill="FFFFFF"/>
        </w:rPr>
        <w:t>a specified</w:t>
      </w:r>
      <w:r w:rsidR="000802D8" w:rsidRPr="00B67401">
        <w:rPr>
          <w:rFonts w:ascii="Arial" w:hAnsi="Arial" w:cs="Arial"/>
          <w:color w:val="00172E"/>
          <w:sz w:val="24"/>
          <w:szCs w:val="24"/>
          <w:shd w:val="clear" w:color="auto" w:fill="FFFFFF"/>
        </w:rPr>
        <w:t xml:space="preserve"> </w:t>
      </w:r>
      <w:r w:rsidR="00A351BF" w:rsidRPr="00B67401">
        <w:rPr>
          <w:rFonts w:ascii="Arial" w:hAnsi="Arial" w:cs="Arial"/>
          <w:color w:val="00172E"/>
          <w:sz w:val="24"/>
          <w:szCs w:val="24"/>
          <w:shd w:val="clear" w:color="auto" w:fill="FFFFFF"/>
        </w:rPr>
        <w:t xml:space="preserve">way. They promised that </w:t>
      </w:r>
      <w:r w:rsidR="009579FB" w:rsidRPr="00B67401">
        <w:rPr>
          <w:rFonts w:ascii="Arial" w:hAnsi="Arial" w:cs="Arial"/>
          <w:color w:val="00172E"/>
          <w:sz w:val="24"/>
          <w:szCs w:val="24"/>
          <w:shd w:val="clear" w:color="auto" w:fill="FFFFFF"/>
        </w:rPr>
        <w:t>influences</w:t>
      </w:r>
      <w:r w:rsidR="00A351BF" w:rsidRPr="00B67401">
        <w:rPr>
          <w:rFonts w:ascii="Arial" w:hAnsi="Arial" w:cs="Arial"/>
          <w:color w:val="00172E"/>
          <w:sz w:val="24"/>
          <w:szCs w:val="24"/>
          <w:shd w:val="clear" w:color="auto" w:fill="FFFFFF"/>
        </w:rPr>
        <w:t xml:space="preserve"> and ither illness would be </w:t>
      </w:r>
      <w:r w:rsidR="009579FB" w:rsidRPr="00B67401">
        <w:rPr>
          <w:rFonts w:ascii="Arial" w:hAnsi="Arial" w:cs="Arial"/>
          <w:color w:val="00172E"/>
          <w:sz w:val="24"/>
          <w:szCs w:val="24"/>
          <w:shd w:val="clear" w:color="auto" w:fill="FFFFFF"/>
        </w:rPr>
        <w:t>fought off or cured if used during the specified method</w:t>
      </w:r>
      <w:r w:rsidR="00340C57" w:rsidRPr="00B67401">
        <w:rPr>
          <w:rFonts w:ascii="Arial" w:hAnsi="Arial" w:cs="Arial"/>
          <w:color w:val="00172E"/>
          <w:sz w:val="24"/>
          <w:szCs w:val="24"/>
          <w:shd w:val="clear" w:color="auto" w:fill="FFFFFF"/>
        </w:rPr>
        <w:t xml:space="preserve">. One individual used these smoke ball and later died of a influenza </w:t>
      </w:r>
      <w:r w:rsidR="00BF7010" w:rsidRPr="00B67401">
        <w:rPr>
          <w:rFonts w:ascii="Arial" w:hAnsi="Arial" w:cs="Arial"/>
          <w:color w:val="00172E"/>
          <w:sz w:val="24"/>
          <w:szCs w:val="24"/>
          <w:shd w:val="clear" w:color="auto" w:fill="FFFFFF"/>
        </w:rPr>
        <w:t xml:space="preserve">attack, the husband of the decreed </w:t>
      </w:r>
      <w:r w:rsidR="000568FF" w:rsidRPr="00B67401">
        <w:rPr>
          <w:rFonts w:ascii="Arial" w:hAnsi="Arial" w:cs="Arial"/>
          <w:color w:val="00172E"/>
          <w:sz w:val="24"/>
          <w:szCs w:val="24"/>
          <w:shd w:val="clear" w:color="auto" w:fill="FFFFFF"/>
        </w:rPr>
        <w:t xml:space="preserve">wrote to the company to receive the 100 pounds </w:t>
      </w:r>
      <w:r w:rsidR="00A83103" w:rsidRPr="00B67401">
        <w:rPr>
          <w:rFonts w:ascii="Arial" w:hAnsi="Arial" w:cs="Arial"/>
          <w:color w:val="00172E"/>
          <w:sz w:val="24"/>
          <w:szCs w:val="24"/>
          <w:shd w:val="clear" w:color="auto" w:fill="FFFFFF"/>
        </w:rPr>
        <w:t>compensation</w:t>
      </w:r>
      <w:r w:rsidR="000568FF" w:rsidRPr="00B67401">
        <w:rPr>
          <w:rFonts w:ascii="Arial" w:hAnsi="Arial" w:cs="Arial"/>
          <w:color w:val="00172E"/>
          <w:sz w:val="24"/>
          <w:szCs w:val="24"/>
          <w:shd w:val="clear" w:color="auto" w:fill="FFFFFF"/>
        </w:rPr>
        <w:t xml:space="preserve"> </w:t>
      </w:r>
      <w:r w:rsidR="00507706" w:rsidRPr="00B67401">
        <w:rPr>
          <w:rFonts w:ascii="Arial" w:hAnsi="Arial" w:cs="Arial"/>
          <w:color w:val="00172E"/>
          <w:sz w:val="24"/>
          <w:szCs w:val="24"/>
          <w:shd w:val="clear" w:color="auto" w:fill="FFFFFF"/>
        </w:rPr>
        <w:t xml:space="preserve">that was promised if the smoke ball did not work. The company refused to pay </w:t>
      </w:r>
      <w:r w:rsidR="00AA5502" w:rsidRPr="00B67401">
        <w:rPr>
          <w:rFonts w:ascii="Arial" w:hAnsi="Arial" w:cs="Arial"/>
          <w:color w:val="00172E"/>
          <w:sz w:val="24"/>
          <w:szCs w:val="24"/>
          <w:shd w:val="clear" w:color="auto" w:fill="FFFFFF"/>
        </w:rPr>
        <w:t xml:space="preserve">and was </w:t>
      </w:r>
      <w:r w:rsidR="00A83103" w:rsidRPr="00B67401">
        <w:rPr>
          <w:rFonts w:ascii="Arial" w:hAnsi="Arial" w:cs="Arial"/>
          <w:color w:val="00172E"/>
          <w:sz w:val="24"/>
          <w:szCs w:val="24"/>
          <w:shd w:val="clear" w:color="auto" w:fill="FFFFFF"/>
        </w:rPr>
        <w:t>taken</w:t>
      </w:r>
      <w:r w:rsidR="00AA5502" w:rsidRPr="00B67401">
        <w:rPr>
          <w:rFonts w:ascii="Arial" w:hAnsi="Arial" w:cs="Arial"/>
          <w:color w:val="00172E"/>
          <w:sz w:val="24"/>
          <w:szCs w:val="24"/>
          <w:shd w:val="clear" w:color="auto" w:fill="FFFFFF"/>
        </w:rPr>
        <w:t xml:space="preserve"> to court</w:t>
      </w:r>
      <w:r w:rsidR="00EF7E88">
        <w:rPr>
          <w:rFonts w:ascii="Arial" w:hAnsi="Arial" w:cs="Arial"/>
          <w:color w:val="00172E"/>
          <w:sz w:val="24"/>
          <w:szCs w:val="24"/>
          <w:shd w:val="clear" w:color="auto" w:fill="FFFFFF"/>
        </w:rPr>
        <w:t>.</w:t>
      </w:r>
    </w:p>
    <w:p w14:paraId="5ACFD7BD" w14:textId="77777777" w:rsidR="00EF7E88" w:rsidRDefault="00EF7E88" w:rsidP="00F07BD3">
      <w:pPr>
        <w:spacing w:line="480" w:lineRule="auto"/>
        <w:rPr>
          <w:rFonts w:ascii="Arial" w:hAnsi="Arial" w:cs="Arial"/>
          <w:color w:val="00172E"/>
          <w:sz w:val="24"/>
          <w:szCs w:val="24"/>
          <w:shd w:val="clear" w:color="auto" w:fill="FFFFFF"/>
        </w:rPr>
      </w:pPr>
    </w:p>
    <w:p w14:paraId="3F53D8CC" w14:textId="0ABEFB5A" w:rsidR="00EF7E88" w:rsidRDefault="00EF7E88" w:rsidP="00F07BD3">
      <w:pPr>
        <w:spacing w:line="480" w:lineRule="auto"/>
        <w:rPr>
          <w:rFonts w:ascii="Arial" w:hAnsi="Arial" w:cs="Arial"/>
          <w:color w:val="00172E"/>
          <w:sz w:val="24"/>
          <w:szCs w:val="24"/>
          <w:shd w:val="clear" w:color="auto" w:fill="FFFFFF"/>
        </w:rPr>
      </w:pPr>
      <w:r>
        <w:rPr>
          <w:rFonts w:ascii="Arial" w:hAnsi="Arial" w:cs="Arial"/>
          <w:color w:val="00172E"/>
          <w:sz w:val="24"/>
          <w:szCs w:val="24"/>
          <w:shd w:val="clear" w:color="auto" w:fill="FFFFFF"/>
        </w:rPr>
        <w:t>B</w:t>
      </w:r>
      <w:r w:rsidR="00AA5502" w:rsidRPr="00B67401">
        <w:rPr>
          <w:rFonts w:ascii="Arial" w:hAnsi="Arial" w:cs="Arial"/>
          <w:color w:val="00172E"/>
          <w:sz w:val="24"/>
          <w:szCs w:val="24"/>
          <w:shd w:val="clear" w:color="auto" w:fill="FFFFFF"/>
        </w:rPr>
        <w:t xml:space="preserve">y the end of </w:t>
      </w:r>
      <w:r w:rsidR="00A83103" w:rsidRPr="00B67401">
        <w:rPr>
          <w:rFonts w:ascii="Arial" w:hAnsi="Arial" w:cs="Arial"/>
          <w:color w:val="00172E"/>
          <w:sz w:val="24"/>
          <w:szCs w:val="24"/>
          <w:shd w:val="clear" w:color="auto" w:fill="FFFFFF"/>
        </w:rPr>
        <w:t>their</w:t>
      </w:r>
      <w:r w:rsidR="00AA5502" w:rsidRPr="00B67401">
        <w:rPr>
          <w:rFonts w:ascii="Arial" w:hAnsi="Arial" w:cs="Arial"/>
          <w:color w:val="00172E"/>
          <w:sz w:val="24"/>
          <w:szCs w:val="24"/>
          <w:shd w:val="clear" w:color="auto" w:fill="FFFFFF"/>
        </w:rPr>
        <w:t xml:space="preserve"> </w:t>
      </w:r>
      <w:r w:rsidRPr="00B67401">
        <w:rPr>
          <w:rFonts w:ascii="Arial" w:hAnsi="Arial" w:cs="Arial"/>
          <w:color w:val="00172E"/>
          <w:sz w:val="24"/>
          <w:szCs w:val="24"/>
          <w:shd w:val="clear" w:color="auto" w:fill="FFFFFF"/>
        </w:rPr>
        <w:t>trail,</w:t>
      </w:r>
      <w:r w:rsidR="00AA5502" w:rsidRPr="00B67401">
        <w:rPr>
          <w:rFonts w:ascii="Arial" w:hAnsi="Arial" w:cs="Arial"/>
          <w:color w:val="00172E"/>
          <w:sz w:val="24"/>
          <w:szCs w:val="24"/>
          <w:shd w:val="clear" w:color="auto" w:fill="FFFFFF"/>
        </w:rPr>
        <w:t xml:space="preserve"> it was agreed that the contract </w:t>
      </w:r>
      <w:r w:rsidR="00434BB1" w:rsidRPr="00B67401">
        <w:rPr>
          <w:rFonts w:ascii="Arial" w:hAnsi="Arial" w:cs="Arial"/>
          <w:color w:val="00172E"/>
          <w:sz w:val="24"/>
          <w:szCs w:val="24"/>
          <w:shd w:val="clear" w:color="auto" w:fill="FFFFFF"/>
        </w:rPr>
        <w:t xml:space="preserve">could not be held as it was not agreed and </w:t>
      </w:r>
      <w:r w:rsidR="00F50415" w:rsidRPr="00B67401">
        <w:rPr>
          <w:rFonts w:ascii="Arial" w:hAnsi="Arial" w:cs="Arial"/>
          <w:color w:val="00172E"/>
          <w:sz w:val="24"/>
          <w:szCs w:val="24"/>
          <w:shd w:val="clear" w:color="auto" w:fill="FFFFFF"/>
        </w:rPr>
        <w:t>therefore</w:t>
      </w:r>
      <w:r w:rsidR="00434BB1" w:rsidRPr="00B67401">
        <w:rPr>
          <w:rFonts w:ascii="Arial" w:hAnsi="Arial" w:cs="Arial"/>
          <w:color w:val="00172E"/>
          <w:sz w:val="24"/>
          <w:szCs w:val="24"/>
          <w:shd w:val="clear" w:color="auto" w:fill="FFFFFF"/>
        </w:rPr>
        <w:t xml:space="preserve"> </w:t>
      </w:r>
      <w:r w:rsidR="00F50415" w:rsidRPr="00B67401">
        <w:rPr>
          <w:rFonts w:ascii="Arial" w:hAnsi="Arial" w:cs="Arial"/>
          <w:color w:val="00172E"/>
          <w:sz w:val="24"/>
          <w:szCs w:val="24"/>
          <w:shd w:val="clear" w:color="auto" w:fill="FFFFFF"/>
        </w:rPr>
        <w:t>not</w:t>
      </w:r>
      <w:r w:rsidR="00434BB1" w:rsidRPr="00B67401">
        <w:rPr>
          <w:rFonts w:ascii="Arial" w:hAnsi="Arial" w:cs="Arial"/>
          <w:color w:val="00172E"/>
          <w:sz w:val="24"/>
          <w:szCs w:val="24"/>
          <w:shd w:val="clear" w:color="auto" w:fill="FFFFFF"/>
        </w:rPr>
        <w:t xml:space="preserve"> legally </w:t>
      </w:r>
      <w:r w:rsidR="007B6AED" w:rsidRPr="00B67401">
        <w:rPr>
          <w:rFonts w:ascii="Arial" w:hAnsi="Arial" w:cs="Arial"/>
          <w:color w:val="00172E"/>
          <w:sz w:val="24"/>
          <w:szCs w:val="24"/>
          <w:shd w:val="clear" w:color="auto" w:fill="FFFFFF"/>
        </w:rPr>
        <w:t>binding</w:t>
      </w:r>
      <w:r w:rsidR="003A7795">
        <w:rPr>
          <w:rFonts w:ascii="Arial" w:hAnsi="Arial" w:cs="Arial"/>
          <w:color w:val="00172E"/>
          <w:sz w:val="24"/>
          <w:szCs w:val="24"/>
          <w:shd w:val="clear" w:color="auto" w:fill="FFFFFF"/>
        </w:rPr>
        <w:t xml:space="preserve">. </w:t>
      </w:r>
      <w:r w:rsidR="000B1875" w:rsidRPr="00B67401">
        <w:rPr>
          <w:rFonts w:ascii="Arial" w:hAnsi="Arial" w:cs="Arial"/>
          <w:color w:val="00172E"/>
          <w:sz w:val="24"/>
          <w:szCs w:val="24"/>
          <w:shd w:val="clear" w:color="auto" w:fill="FFFFFF"/>
        </w:rPr>
        <w:t xml:space="preserve">The contract </w:t>
      </w:r>
      <w:r w:rsidR="00FF72CA" w:rsidRPr="00B67401">
        <w:rPr>
          <w:rFonts w:ascii="Arial" w:hAnsi="Arial" w:cs="Arial"/>
          <w:color w:val="00172E"/>
          <w:sz w:val="24"/>
          <w:szCs w:val="24"/>
          <w:shd w:val="clear" w:color="auto" w:fill="FFFFFF"/>
        </w:rPr>
        <w:t>did not connect to a single person which means that it was put out to the world</w:t>
      </w:r>
      <w:r w:rsidR="002B6B08" w:rsidRPr="00B67401">
        <w:rPr>
          <w:rFonts w:ascii="Arial" w:hAnsi="Arial" w:cs="Arial"/>
          <w:color w:val="00172E"/>
          <w:sz w:val="24"/>
          <w:szCs w:val="24"/>
          <w:shd w:val="clear" w:color="auto" w:fill="FFFFFF"/>
        </w:rPr>
        <w:t xml:space="preserve">, the contract also had a </w:t>
      </w:r>
      <w:r w:rsidR="00F50415" w:rsidRPr="00B67401">
        <w:rPr>
          <w:rFonts w:ascii="Arial" w:hAnsi="Arial" w:cs="Arial"/>
          <w:color w:val="00172E"/>
          <w:sz w:val="24"/>
          <w:szCs w:val="24"/>
          <w:shd w:val="clear" w:color="auto" w:fill="FFFFFF"/>
        </w:rPr>
        <w:t>promise</w:t>
      </w:r>
      <w:r w:rsidR="002B6B08" w:rsidRPr="00B67401">
        <w:rPr>
          <w:rFonts w:ascii="Arial" w:hAnsi="Arial" w:cs="Arial"/>
          <w:color w:val="00172E"/>
          <w:sz w:val="24"/>
          <w:szCs w:val="24"/>
          <w:shd w:val="clear" w:color="auto" w:fill="FFFFFF"/>
        </w:rPr>
        <w:t xml:space="preserve"> to treat </w:t>
      </w:r>
      <w:r w:rsidR="00F50415" w:rsidRPr="00B67401">
        <w:rPr>
          <w:rFonts w:ascii="Arial" w:hAnsi="Arial" w:cs="Arial"/>
          <w:color w:val="00172E"/>
          <w:sz w:val="24"/>
          <w:szCs w:val="24"/>
          <w:shd w:val="clear" w:color="auto" w:fill="FFFFFF"/>
        </w:rPr>
        <w:t xml:space="preserve">as </w:t>
      </w:r>
      <w:r w:rsidR="00F50415">
        <w:rPr>
          <w:rFonts w:ascii="Arial" w:hAnsi="Arial" w:cs="Arial"/>
          <w:color w:val="00172E"/>
          <w:sz w:val="24"/>
          <w:szCs w:val="24"/>
          <w:shd w:val="clear" w:color="auto" w:fill="FFFFFF"/>
        </w:rPr>
        <w:t>o</w:t>
      </w:r>
      <w:r w:rsidR="00F50415" w:rsidRPr="00B67401">
        <w:rPr>
          <w:rFonts w:ascii="Arial" w:hAnsi="Arial" w:cs="Arial"/>
          <w:color w:val="00172E"/>
          <w:sz w:val="24"/>
          <w:szCs w:val="24"/>
          <w:shd w:val="clear" w:color="auto" w:fill="FFFFFF"/>
        </w:rPr>
        <w:t>pposed</w:t>
      </w:r>
      <w:r w:rsidR="002B6B08" w:rsidRPr="00B67401">
        <w:rPr>
          <w:rFonts w:ascii="Arial" w:hAnsi="Arial" w:cs="Arial"/>
          <w:color w:val="00172E"/>
          <w:sz w:val="24"/>
          <w:szCs w:val="24"/>
          <w:shd w:val="clear" w:color="auto" w:fill="FFFFFF"/>
        </w:rPr>
        <w:t xml:space="preserve"> </w:t>
      </w:r>
      <w:r w:rsidR="00745F16" w:rsidRPr="00B67401">
        <w:rPr>
          <w:rFonts w:ascii="Arial" w:hAnsi="Arial" w:cs="Arial"/>
          <w:color w:val="00172E"/>
          <w:sz w:val="24"/>
          <w:szCs w:val="24"/>
          <w:shd w:val="clear" w:color="auto" w:fill="FFFFFF"/>
        </w:rPr>
        <w:t xml:space="preserve">to actually treating this meant that the contract </w:t>
      </w:r>
      <w:proofErr w:type="gramStart"/>
      <w:r w:rsidR="00745F16" w:rsidRPr="00B67401">
        <w:rPr>
          <w:rFonts w:ascii="Arial" w:hAnsi="Arial" w:cs="Arial"/>
          <w:color w:val="00172E"/>
          <w:sz w:val="24"/>
          <w:szCs w:val="24"/>
          <w:shd w:val="clear" w:color="auto" w:fill="FFFFFF"/>
        </w:rPr>
        <w:t>have</w:t>
      </w:r>
      <w:proofErr w:type="gramEnd"/>
      <w:r w:rsidR="00745F16" w:rsidRPr="00B67401">
        <w:rPr>
          <w:rFonts w:ascii="Arial" w:hAnsi="Arial" w:cs="Arial"/>
          <w:color w:val="00172E"/>
          <w:sz w:val="24"/>
          <w:szCs w:val="24"/>
          <w:shd w:val="clear" w:color="auto" w:fill="FFFFFF"/>
        </w:rPr>
        <w:t xml:space="preserve"> </w:t>
      </w:r>
      <w:r w:rsidR="00F50415" w:rsidRPr="00B67401">
        <w:rPr>
          <w:rFonts w:ascii="Arial" w:hAnsi="Arial" w:cs="Arial"/>
          <w:color w:val="00172E"/>
          <w:sz w:val="24"/>
          <w:szCs w:val="24"/>
          <w:shd w:val="clear" w:color="auto" w:fill="FFFFFF"/>
        </w:rPr>
        <w:t>several</w:t>
      </w:r>
      <w:r w:rsidR="00745F16" w:rsidRPr="00B67401">
        <w:rPr>
          <w:rFonts w:ascii="Arial" w:hAnsi="Arial" w:cs="Arial"/>
          <w:color w:val="00172E"/>
          <w:sz w:val="24"/>
          <w:szCs w:val="24"/>
          <w:shd w:val="clear" w:color="auto" w:fill="FFFFFF"/>
        </w:rPr>
        <w:t xml:space="preserve"> </w:t>
      </w:r>
      <w:r w:rsidR="00F50415" w:rsidRPr="00B67401">
        <w:rPr>
          <w:rFonts w:ascii="Arial" w:hAnsi="Arial" w:cs="Arial"/>
          <w:color w:val="00172E"/>
          <w:sz w:val="24"/>
          <w:szCs w:val="24"/>
          <w:shd w:val="clear" w:color="auto" w:fill="FFFFFF"/>
        </w:rPr>
        <w:t>components</w:t>
      </w:r>
      <w:r w:rsidR="00745F16" w:rsidRPr="00B67401">
        <w:rPr>
          <w:rFonts w:ascii="Arial" w:hAnsi="Arial" w:cs="Arial"/>
          <w:color w:val="00172E"/>
          <w:sz w:val="24"/>
          <w:szCs w:val="24"/>
          <w:shd w:val="clear" w:color="auto" w:fill="FFFFFF"/>
        </w:rPr>
        <w:t xml:space="preserve"> </w:t>
      </w:r>
      <w:r w:rsidR="00D575BD" w:rsidRPr="00B67401">
        <w:rPr>
          <w:rFonts w:ascii="Arial" w:hAnsi="Arial" w:cs="Arial"/>
          <w:color w:val="00172E"/>
          <w:sz w:val="24"/>
          <w:szCs w:val="24"/>
          <w:shd w:val="clear" w:color="auto" w:fill="FFFFFF"/>
        </w:rPr>
        <w:t xml:space="preserve">which made the contract a sale man promise </w:t>
      </w:r>
      <w:r w:rsidR="00F85558" w:rsidRPr="00B67401">
        <w:rPr>
          <w:rFonts w:ascii="Arial" w:hAnsi="Arial" w:cs="Arial"/>
          <w:color w:val="00172E"/>
          <w:sz w:val="24"/>
          <w:szCs w:val="24"/>
          <w:shd w:val="clear" w:color="auto" w:fill="FFFFFF"/>
        </w:rPr>
        <w:t xml:space="preserve">instead </w:t>
      </w:r>
      <w:r w:rsidR="00F50415" w:rsidRPr="00B67401">
        <w:rPr>
          <w:rFonts w:ascii="Arial" w:hAnsi="Arial" w:cs="Arial"/>
          <w:color w:val="00172E"/>
          <w:sz w:val="24"/>
          <w:szCs w:val="24"/>
          <w:shd w:val="clear" w:color="auto" w:fill="FFFFFF"/>
        </w:rPr>
        <w:t>of</w:t>
      </w:r>
      <w:r w:rsidR="00F85558" w:rsidRPr="00B67401">
        <w:rPr>
          <w:rFonts w:ascii="Arial" w:hAnsi="Arial" w:cs="Arial"/>
          <w:color w:val="00172E"/>
          <w:sz w:val="24"/>
          <w:szCs w:val="24"/>
          <w:shd w:val="clear" w:color="auto" w:fill="FFFFFF"/>
        </w:rPr>
        <w:t xml:space="preserve"> a legal contract. This was </w:t>
      </w:r>
      <w:r w:rsidR="00F50415" w:rsidRPr="00B67401">
        <w:rPr>
          <w:rFonts w:ascii="Arial" w:hAnsi="Arial" w:cs="Arial"/>
          <w:color w:val="00172E"/>
          <w:sz w:val="24"/>
          <w:szCs w:val="24"/>
          <w:shd w:val="clear" w:color="auto" w:fill="FFFFFF"/>
        </w:rPr>
        <w:t>agreed</w:t>
      </w:r>
      <w:r w:rsidR="00F85558" w:rsidRPr="00B67401">
        <w:rPr>
          <w:rFonts w:ascii="Arial" w:hAnsi="Arial" w:cs="Arial"/>
          <w:color w:val="00172E"/>
          <w:sz w:val="24"/>
          <w:szCs w:val="24"/>
          <w:shd w:val="clear" w:color="auto" w:fill="FFFFFF"/>
        </w:rPr>
        <w:t xml:space="preserve"> on </w:t>
      </w:r>
      <w:r w:rsidR="00F50415" w:rsidRPr="00B67401">
        <w:rPr>
          <w:rFonts w:ascii="Arial" w:hAnsi="Arial" w:cs="Arial"/>
          <w:color w:val="00172E"/>
          <w:sz w:val="24"/>
          <w:szCs w:val="24"/>
          <w:shd w:val="clear" w:color="auto" w:fill="FFFFFF"/>
        </w:rPr>
        <w:t>by</w:t>
      </w:r>
      <w:r w:rsidR="00F85558" w:rsidRPr="00B67401">
        <w:rPr>
          <w:rFonts w:ascii="Arial" w:hAnsi="Arial" w:cs="Arial"/>
          <w:color w:val="00172E"/>
          <w:sz w:val="24"/>
          <w:szCs w:val="24"/>
          <w:shd w:val="clear" w:color="auto" w:fill="FFFFFF"/>
        </w:rPr>
        <w:t xml:space="preserve"> several judges in </w:t>
      </w:r>
      <w:r w:rsidR="006F331C" w:rsidRPr="00B67401">
        <w:rPr>
          <w:rFonts w:ascii="Arial" w:hAnsi="Arial" w:cs="Arial"/>
          <w:color w:val="00172E"/>
          <w:sz w:val="24"/>
          <w:szCs w:val="24"/>
          <w:shd w:val="clear" w:color="auto" w:fill="FFFFFF"/>
        </w:rPr>
        <w:t>different courts including in a court of appeal</w:t>
      </w:r>
      <w:r w:rsidR="006E701B">
        <w:rPr>
          <w:rFonts w:ascii="Arial" w:hAnsi="Arial" w:cs="Arial"/>
          <w:color w:val="00172E"/>
          <w:sz w:val="24"/>
          <w:szCs w:val="24"/>
          <w:shd w:val="clear" w:color="auto" w:fill="FFFFFF"/>
        </w:rPr>
        <w:t xml:space="preserve"> </w:t>
      </w:r>
      <w:sdt>
        <w:sdtPr>
          <w:rPr>
            <w:rFonts w:ascii="Arial" w:hAnsi="Arial" w:cs="Arial"/>
            <w:color w:val="00172E"/>
            <w:sz w:val="24"/>
            <w:szCs w:val="24"/>
            <w:shd w:val="clear" w:color="auto" w:fill="FFFFFF"/>
          </w:rPr>
          <w:id w:val="-414481721"/>
          <w:citation/>
        </w:sdtPr>
        <w:sdtEndPr/>
        <w:sdtContent>
          <w:r w:rsidR="006E701B">
            <w:rPr>
              <w:rFonts w:ascii="Arial" w:hAnsi="Arial" w:cs="Arial"/>
              <w:color w:val="00172E"/>
              <w:sz w:val="24"/>
              <w:szCs w:val="24"/>
              <w:shd w:val="clear" w:color="auto" w:fill="FFFFFF"/>
            </w:rPr>
            <w:fldChar w:fldCharType="begin"/>
          </w:r>
          <w:r w:rsidR="006E701B">
            <w:rPr>
              <w:rFonts w:ascii="Arial" w:hAnsi="Arial" w:cs="Arial"/>
              <w:color w:val="00172E"/>
              <w:sz w:val="24"/>
              <w:szCs w:val="24"/>
              <w:shd w:val="clear" w:color="auto" w:fill="FFFFFF"/>
              <w:lang w:val="en-US"/>
            </w:rPr>
            <w:instrText xml:space="preserve"> CITATION Lex202 \l 1033 </w:instrText>
          </w:r>
          <w:r w:rsidR="006E701B">
            <w:rPr>
              <w:rFonts w:ascii="Arial" w:hAnsi="Arial" w:cs="Arial"/>
              <w:color w:val="00172E"/>
              <w:sz w:val="24"/>
              <w:szCs w:val="24"/>
              <w:shd w:val="clear" w:color="auto" w:fill="FFFFFF"/>
            </w:rPr>
            <w:fldChar w:fldCharType="separate"/>
          </w:r>
          <w:r w:rsidR="006E701B" w:rsidRPr="006E701B">
            <w:rPr>
              <w:rFonts w:ascii="Arial" w:hAnsi="Arial" w:cs="Arial"/>
              <w:noProof/>
              <w:color w:val="00172E"/>
              <w:sz w:val="24"/>
              <w:szCs w:val="24"/>
              <w:shd w:val="clear" w:color="auto" w:fill="FFFFFF"/>
              <w:lang w:val="en-US"/>
            </w:rPr>
            <w:t>(Lexis, 2020)</w:t>
          </w:r>
          <w:r w:rsidR="006E701B">
            <w:rPr>
              <w:rFonts w:ascii="Arial" w:hAnsi="Arial" w:cs="Arial"/>
              <w:color w:val="00172E"/>
              <w:sz w:val="24"/>
              <w:szCs w:val="24"/>
              <w:shd w:val="clear" w:color="auto" w:fill="FFFFFF"/>
            </w:rPr>
            <w:fldChar w:fldCharType="end"/>
          </w:r>
        </w:sdtContent>
      </w:sdt>
      <w:r w:rsidR="006F331C" w:rsidRPr="00B67401">
        <w:rPr>
          <w:rFonts w:ascii="Arial" w:hAnsi="Arial" w:cs="Arial"/>
          <w:color w:val="00172E"/>
          <w:sz w:val="24"/>
          <w:szCs w:val="24"/>
          <w:shd w:val="clear" w:color="auto" w:fill="FFFFFF"/>
        </w:rPr>
        <w:t>.</w:t>
      </w:r>
      <w:r w:rsidR="00253522">
        <w:rPr>
          <w:rFonts w:ascii="Arial" w:hAnsi="Arial" w:cs="Arial"/>
          <w:color w:val="00172E"/>
          <w:sz w:val="24"/>
          <w:szCs w:val="24"/>
          <w:shd w:val="clear" w:color="auto" w:fill="FFFFFF"/>
        </w:rPr>
        <w:t xml:space="preserve"> </w:t>
      </w:r>
      <w:r w:rsidR="001B4643">
        <w:rPr>
          <w:rFonts w:ascii="Arial" w:hAnsi="Arial" w:cs="Arial"/>
          <w:color w:val="00172E"/>
          <w:sz w:val="24"/>
          <w:szCs w:val="24"/>
          <w:shd w:val="clear" w:color="auto" w:fill="FFFFFF"/>
        </w:rPr>
        <w:t>This means that this case was based off precedent.</w:t>
      </w:r>
    </w:p>
    <w:p w14:paraId="739F51A3" w14:textId="77777777" w:rsidR="00EF7E88" w:rsidRDefault="00EF7E88" w:rsidP="00F07BD3">
      <w:pPr>
        <w:spacing w:line="480" w:lineRule="auto"/>
        <w:rPr>
          <w:rFonts w:ascii="Arial" w:hAnsi="Arial" w:cs="Arial"/>
          <w:color w:val="00172E"/>
          <w:sz w:val="24"/>
          <w:szCs w:val="24"/>
          <w:shd w:val="clear" w:color="auto" w:fill="FFFFFF"/>
        </w:rPr>
      </w:pPr>
    </w:p>
    <w:p w14:paraId="07FB03AB" w14:textId="7D6054BA" w:rsidR="00F27272" w:rsidRDefault="001B4643" w:rsidP="00F07BD3">
      <w:pPr>
        <w:spacing w:line="480" w:lineRule="auto"/>
        <w:rPr>
          <w:rFonts w:ascii="Arial" w:hAnsi="Arial" w:cs="Arial"/>
          <w:color w:val="00172E"/>
          <w:sz w:val="24"/>
          <w:szCs w:val="24"/>
          <w:shd w:val="clear" w:color="auto" w:fill="FFFFFF"/>
        </w:rPr>
      </w:pPr>
      <w:r>
        <w:rPr>
          <w:rFonts w:ascii="Arial" w:hAnsi="Arial" w:cs="Arial"/>
          <w:color w:val="00172E"/>
          <w:sz w:val="24"/>
          <w:szCs w:val="24"/>
          <w:shd w:val="clear" w:color="auto" w:fill="FFFFFF"/>
        </w:rPr>
        <w:t xml:space="preserve"> </w:t>
      </w:r>
      <w:r w:rsidR="006F2887">
        <w:rPr>
          <w:rFonts w:ascii="Arial" w:hAnsi="Arial" w:cs="Arial"/>
          <w:color w:val="00172E"/>
          <w:sz w:val="24"/>
          <w:szCs w:val="24"/>
          <w:shd w:val="clear" w:color="auto" w:fill="FFFFFF"/>
        </w:rPr>
        <w:t xml:space="preserve">Contracts are a type of common law and therefore precedent was applied in the decision. This case caused a contract to the world to not be legally binding which impacted cases such as </w:t>
      </w:r>
      <w:proofErr w:type="spellStart"/>
      <w:r w:rsidR="00B67BB8" w:rsidRPr="00B67BB8">
        <w:rPr>
          <w:rFonts w:ascii="Arial" w:hAnsi="Arial" w:cs="Arial"/>
          <w:color w:val="00172E"/>
          <w:sz w:val="24"/>
          <w:szCs w:val="24"/>
          <w:shd w:val="clear" w:color="auto" w:fill="FFFFFF"/>
        </w:rPr>
        <w:t>Harvela</w:t>
      </w:r>
      <w:proofErr w:type="spellEnd"/>
      <w:r w:rsidR="00B67BB8" w:rsidRPr="00B67BB8">
        <w:rPr>
          <w:rFonts w:ascii="Arial" w:hAnsi="Arial" w:cs="Arial"/>
          <w:color w:val="00172E"/>
          <w:sz w:val="24"/>
          <w:szCs w:val="24"/>
          <w:shd w:val="clear" w:color="auto" w:fill="FFFFFF"/>
        </w:rPr>
        <w:t xml:space="preserve"> Investments Ltd v Royal Trust Co of Canada</w:t>
      </w:r>
      <w:r w:rsidR="00B67BB8">
        <w:rPr>
          <w:rFonts w:ascii="Arial" w:hAnsi="Arial" w:cs="Arial"/>
          <w:color w:val="00172E"/>
          <w:sz w:val="24"/>
          <w:szCs w:val="24"/>
          <w:shd w:val="clear" w:color="auto" w:fill="FFFFFF"/>
        </w:rPr>
        <w:t xml:space="preserve">. This </w:t>
      </w:r>
      <w:r w:rsidR="00E81E93">
        <w:rPr>
          <w:rFonts w:ascii="Arial" w:hAnsi="Arial" w:cs="Arial"/>
          <w:color w:val="00172E"/>
          <w:sz w:val="24"/>
          <w:szCs w:val="24"/>
          <w:shd w:val="clear" w:color="auto" w:fill="FFFFFF"/>
        </w:rPr>
        <w:t xml:space="preserve">case </w:t>
      </w:r>
      <w:r w:rsidR="00C7109E">
        <w:rPr>
          <w:rFonts w:ascii="Arial" w:hAnsi="Arial" w:cs="Arial"/>
          <w:color w:val="00172E"/>
          <w:sz w:val="24"/>
          <w:szCs w:val="24"/>
          <w:shd w:val="clear" w:color="auto" w:fill="FFFFFF"/>
        </w:rPr>
        <w:t xml:space="preserve">used the precedence set in the </w:t>
      </w:r>
      <w:r w:rsidR="00B07144" w:rsidRPr="00B07144">
        <w:rPr>
          <w:rFonts w:ascii="Arial" w:hAnsi="Arial" w:cs="Arial"/>
          <w:color w:val="00172E"/>
          <w:sz w:val="24"/>
          <w:szCs w:val="24"/>
          <w:shd w:val="clear" w:color="auto" w:fill="FFFFFF"/>
        </w:rPr>
        <w:t>Carlill v Carbolic Smoke Ball Co</w:t>
      </w:r>
      <w:r w:rsidR="003A0445">
        <w:rPr>
          <w:rFonts w:ascii="Arial" w:hAnsi="Arial" w:cs="Arial"/>
          <w:color w:val="00172E"/>
          <w:sz w:val="24"/>
          <w:szCs w:val="24"/>
          <w:shd w:val="clear" w:color="auto" w:fill="FFFFFF"/>
        </w:rPr>
        <w:t xml:space="preserve"> case. The contract </w:t>
      </w:r>
      <w:r w:rsidR="00D91665">
        <w:rPr>
          <w:rFonts w:ascii="Arial" w:hAnsi="Arial" w:cs="Arial"/>
          <w:color w:val="00172E"/>
          <w:sz w:val="24"/>
          <w:szCs w:val="24"/>
          <w:shd w:val="clear" w:color="auto" w:fill="FFFFFF"/>
        </w:rPr>
        <w:t xml:space="preserve">had specific </w:t>
      </w:r>
      <w:r w:rsidR="00990E4C">
        <w:rPr>
          <w:rFonts w:ascii="Arial" w:hAnsi="Arial" w:cs="Arial"/>
          <w:color w:val="00172E"/>
          <w:sz w:val="24"/>
          <w:szCs w:val="24"/>
          <w:shd w:val="clear" w:color="auto" w:fill="FFFFFF"/>
        </w:rPr>
        <w:t>details that were not met</w:t>
      </w:r>
      <w:r w:rsidR="00EA1869">
        <w:rPr>
          <w:rFonts w:ascii="Arial" w:hAnsi="Arial" w:cs="Arial"/>
          <w:color w:val="00172E"/>
          <w:sz w:val="24"/>
          <w:szCs w:val="24"/>
          <w:shd w:val="clear" w:color="auto" w:fill="FFFFFF"/>
        </w:rPr>
        <w:t xml:space="preserve">. This </w:t>
      </w:r>
      <w:r w:rsidR="00BB2B16">
        <w:rPr>
          <w:rFonts w:ascii="Arial" w:hAnsi="Arial" w:cs="Arial"/>
          <w:color w:val="00172E"/>
          <w:sz w:val="24"/>
          <w:szCs w:val="24"/>
          <w:shd w:val="clear" w:color="auto" w:fill="FFFFFF"/>
        </w:rPr>
        <w:t xml:space="preserve">relates to the </w:t>
      </w:r>
      <w:r w:rsidR="00BB2B16" w:rsidRPr="00BB2B16">
        <w:rPr>
          <w:rFonts w:ascii="Arial" w:hAnsi="Arial" w:cs="Arial"/>
          <w:color w:val="00172E"/>
          <w:sz w:val="24"/>
          <w:szCs w:val="24"/>
          <w:shd w:val="clear" w:color="auto" w:fill="FFFFFF"/>
        </w:rPr>
        <w:t>Carlill v Carbolic Smoke Ball Co</w:t>
      </w:r>
      <w:r w:rsidR="00BB2B16">
        <w:rPr>
          <w:rFonts w:ascii="Arial" w:hAnsi="Arial" w:cs="Arial"/>
          <w:color w:val="00172E"/>
          <w:sz w:val="24"/>
          <w:szCs w:val="24"/>
          <w:shd w:val="clear" w:color="auto" w:fill="FFFFFF"/>
        </w:rPr>
        <w:t xml:space="preserve"> case as the contract was a </w:t>
      </w:r>
      <w:r w:rsidR="00C70C50">
        <w:rPr>
          <w:rFonts w:ascii="Arial" w:hAnsi="Arial" w:cs="Arial"/>
          <w:color w:val="00172E"/>
          <w:sz w:val="24"/>
          <w:szCs w:val="24"/>
          <w:shd w:val="clear" w:color="auto" w:fill="FFFFFF"/>
        </w:rPr>
        <w:t>invitation</w:t>
      </w:r>
      <w:r w:rsidR="00BB2B16">
        <w:rPr>
          <w:rFonts w:ascii="Arial" w:hAnsi="Arial" w:cs="Arial"/>
          <w:color w:val="00172E"/>
          <w:sz w:val="24"/>
          <w:szCs w:val="24"/>
          <w:shd w:val="clear" w:color="auto" w:fill="FFFFFF"/>
        </w:rPr>
        <w:t xml:space="preserve"> to treat instead of a guarantee</w:t>
      </w:r>
      <w:r w:rsidR="00C70C50">
        <w:rPr>
          <w:rFonts w:ascii="Arial" w:hAnsi="Arial" w:cs="Arial"/>
          <w:color w:val="00172E"/>
          <w:sz w:val="24"/>
          <w:szCs w:val="24"/>
          <w:shd w:val="clear" w:color="auto" w:fill="FFFFFF"/>
        </w:rPr>
        <w:t xml:space="preserve"> to treat</w:t>
      </w:r>
      <w:sdt>
        <w:sdtPr>
          <w:rPr>
            <w:rFonts w:ascii="Arial" w:hAnsi="Arial" w:cs="Arial"/>
            <w:color w:val="00172E"/>
            <w:sz w:val="24"/>
            <w:szCs w:val="24"/>
            <w:shd w:val="clear" w:color="auto" w:fill="FFFFFF"/>
          </w:rPr>
          <w:id w:val="-2059469916"/>
          <w:citation/>
        </w:sdtPr>
        <w:sdtEndPr/>
        <w:sdtContent>
          <w:r w:rsidR="00C70C50">
            <w:rPr>
              <w:rFonts w:ascii="Arial" w:hAnsi="Arial" w:cs="Arial"/>
              <w:color w:val="00172E"/>
              <w:sz w:val="24"/>
              <w:szCs w:val="24"/>
              <w:shd w:val="clear" w:color="auto" w:fill="FFFFFF"/>
            </w:rPr>
            <w:fldChar w:fldCharType="begin"/>
          </w:r>
          <w:r w:rsidR="00C70C50">
            <w:rPr>
              <w:rFonts w:ascii="Arial" w:hAnsi="Arial" w:cs="Arial"/>
              <w:color w:val="00172E"/>
              <w:sz w:val="24"/>
              <w:szCs w:val="24"/>
              <w:shd w:val="clear" w:color="auto" w:fill="FFFFFF"/>
              <w:lang w:val="en-US"/>
            </w:rPr>
            <w:instrText xml:space="preserve"> CITATION Lex203 \l 1033 </w:instrText>
          </w:r>
          <w:r w:rsidR="00C70C50">
            <w:rPr>
              <w:rFonts w:ascii="Arial" w:hAnsi="Arial" w:cs="Arial"/>
              <w:color w:val="00172E"/>
              <w:sz w:val="24"/>
              <w:szCs w:val="24"/>
              <w:shd w:val="clear" w:color="auto" w:fill="FFFFFF"/>
            </w:rPr>
            <w:fldChar w:fldCharType="separate"/>
          </w:r>
          <w:r w:rsidR="00C70C50">
            <w:rPr>
              <w:rFonts w:ascii="Arial" w:hAnsi="Arial" w:cs="Arial"/>
              <w:noProof/>
              <w:color w:val="00172E"/>
              <w:sz w:val="24"/>
              <w:szCs w:val="24"/>
              <w:shd w:val="clear" w:color="auto" w:fill="FFFFFF"/>
              <w:lang w:val="en-US"/>
            </w:rPr>
            <w:t xml:space="preserve"> </w:t>
          </w:r>
          <w:r w:rsidR="00C70C50" w:rsidRPr="00C70C50">
            <w:rPr>
              <w:rFonts w:ascii="Arial" w:hAnsi="Arial" w:cs="Arial"/>
              <w:noProof/>
              <w:color w:val="00172E"/>
              <w:sz w:val="24"/>
              <w:szCs w:val="24"/>
              <w:shd w:val="clear" w:color="auto" w:fill="FFFFFF"/>
              <w:lang w:val="en-US"/>
            </w:rPr>
            <w:t>(Lexis, 2020)</w:t>
          </w:r>
          <w:r w:rsidR="00C70C50">
            <w:rPr>
              <w:rFonts w:ascii="Arial" w:hAnsi="Arial" w:cs="Arial"/>
              <w:color w:val="00172E"/>
              <w:sz w:val="24"/>
              <w:szCs w:val="24"/>
              <w:shd w:val="clear" w:color="auto" w:fill="FFFFFF"/>
            </w:rPr>
            <w:fldChar w:fldCharType="end"/>
          </w:r>
        </w:sdtContent>
      </w:sdt>
      <w:r w:rsidR="00BB2B16">
        <w:rPr>
          <w:rFonts w:ascii="Arial" w:hAnsi="Arial" w:cs="Arial"/>
          <w:color w:val="00172E"/>
          <w:sz w:val="24"/>
          <w:szCs w:val="24"/>
          <w:shd w:val="clear" w:color="auto" w:fill="FFFFFF"/>
        </w:rPr>
        <w:t>.</w:t>
      </w:r>
      <w:r w:rsidR="00034F0C">
        <w:rPr>
          <w:rFonts w:ascii="Arial" w:hAnsi="Arial" w:cs="Arial"/>
          <w:color w:val="00172E"/>
          <w:sz w:val="24"/>
          <w:szCs w:val="24"/>
          <w:shd w:val="clear" w:color="auto" w:fill="FFFFFF"/>
        </w:rPr>
        <w:t xml:space="preserve"> </w:t>
      </w:r>
      <w:r w:rsidR="0044780F">
        <w:rPr>
          <w:rFonts w:ascii="Arial" w:hAnsi="Arial" w:cs="Arial"/>
          <w:color w:val="00172E"/>
          <w:sz w:val="24"/>
          <w:szCs w:val="24"/>
          <w:shd w:val="clear" w:color="auto" w:fill="FFFFFF"/>
        </w:rPr>
        <w:t xml:space="preserve">This means that the </w:t>
      </w:r>
      <w:r w:rsidR="0044780F" w:rsidRPr="00B07144">
        <w:rPr>
          <w:rFonts w:ascii="Arial" w:hAnsi="Arial" w:cs="Arial"/>
          <w:color w:val="00172E"/>
          <w:sz w:val="24"/>
          <w:szCs w:val="24"/>
          <w:shd w:val="clear" w:color="auto" w:fill="FFFFFF"/>
        </w:rPr>
        <w:t>Carlill v Carbolic Smoke Ball Co</w:t>
      </w:r>
      <w:r w:rsidR="0044780F">
        <w:rPr>
          <w:rFonts w:ascii="Arial" w:hAnsi="Arial" w:cs="Arial"/>
          <w:color w:val="00172E"/>
          <w:sz w:val="24"/>
          <w:szCs w:val="24"/>
          <w:shd w:val="clear" w:color="auto" w:fill="FFFFFF"/>
        </w:rPr>
        <w:t xml:space="preserve"> case has created case law that will be used for </w:t>
      </w:r>
      <w:r w:rsidR="00AC6441">
        <w:rPr>
          <w:rFonts w:ascii="Arial" w:hAnsi="Arial" w:cs="Arial"/>
          <w:color w:val="00172E"/>
          <w:sz w:val="24"/>
          <w:szCs w:val="24"/>
          <w:shd w:val="clear" w:color="auto" w:fill="FFFFFF"/>
        </w:rPr>
        <w:t xml:space="preserve">100 years. </w:t>
      </w:r>
    </w:p>
    <w:p w14:paraId="4EC351CF" w14:textId="7EABA754" w:rsidR="00AC6441" w:rsidRDefault="00AC6441" w:rsidP="00F07BD3">
      <w:pPr>
        <w:spacing w:line="480" w:lineRule="auto"/>
        <w:rPr>
          <w:rFonts w:ascii="Arial" w:hAnsi="Arial" w:cs="Arial"/>
          <w:color w:val="00172E"/>
          <w:sz w:val="24"/>
          <w:szCs w:val="24"/>
          <w:shd w:val="clear" w:color="auto" w:fill="FFFFFF"/>
        </w:rPr>
      </w:pPr>
    </w:p>
    <w:p w14:paraId="1A3F2BEB" w14:textId="6C6AC6A1" w:rsidR="00FF1482" w:rsidRDefault="00FF1482" w:rsidP="00F07BD3">
      <w:pPr>
        <w:spacing w:line="480" w:lineRule="auto"/>
        <w:rPr>
          <w:rFonts w:ascii="Arial" w:hAnsi="Arial" w:cs="Arial"/>
          <w:color w:val="00172E"/>
          <w:sz w:val="24"/>
          <w:szCs w:val="24"/>
          <w:shd w:val="clear" w:color="auto" w:fill="FFFFFF"/>
        </w:rPr>
      </w:pPr>
      <w:r>
        <w:rPr>
          <w:rFonts w:ascii="Arial" w:hAnsi="Arial" w:cs="Arial"/>
          <w:color w:val="00172E"/>
          <w:sz w:val="24"/>
          <w:szCs w:val="24"/>
          <w:shd w:val="clear" w:color="auto" w:fill="FFFFFF"/>
        </w:rPr>
        <w:t xml:space="preserve">To </w:t>
      </w:r>
      <w:r w:rsidR="003A7795">
        <w:rPr>
          <w:rFonts w:ascii="Arial" w:hAnsi="Arial" w:cs="Arial"/>
          <w:color w:val="00172E"/>
          <w:sz w:val="24"/>
          <w:szCs w:val="24"/>
          <w:shd w:val="clear" w:color="auto" w:fill="FFFFFF"/>
        </w:rPr>
        <w:t>summaries</w:t>
      </w:r>
      <w:r>
        <w:rPr>
          <w:rFonts w:ascii="Arial" w:hAnsi="Arial" w:cs="Arial"/>
          <w:color w:val="00172E"/>
          <w:sz w:val="24"/>
          <w:szCs w:val="24"/>
          <w:shd w:val="clear" w:color="auto" w:fill="FFFFFF"/>
        </w:rPr>
        <w:t xml:space="preserve"> the UK </w:t>
      </w:r>
      <w:r w:rsidR="00CC6EC3">
        <w:rPr>
          <w:rFonts w:ascii="Arial" w:hAnsi="Arial" w:cs="Arial"/>
          <w:color w:val="00172E"/>
          <w:sz w:val="24"/>
          <w:szCs w:val="24"/>
          <w:shd w:val="clear" w:color="auto" w:fill="FFFFFF"/>
        </w:rPr>
        <w:t xml:space="preserve">uses a complex but logical court system to deal with </w:t>
      </w:r>
      <w:r w:rsidR="003A7795">
        <w:rPr>
          <w:rFonts w:ascii="Arial" w:hAnsi="Arial" w:cs="Arial"/>
          <w:color w:val="00172E"/>
          <w:sz w:val="24"/>
          <w:szCs w:val="24"/>
          <w:shd w:val="clear" w:color="auto" w:fill="FFFFFF"/>
        </w:rPr>
        <w:t>common</w:t>
      </w:r>
      <w:r w:rsidR="00CC6EC3">
        <w:rPr>
          <w:rFonts w:ascii="Arial" w:hAnsi="Arial" w:cs="Arial"/>
          <w:color w:val="00172E"/>
          <w:sz w:val="24"/>
          <w:szCs w:val="24"/>
          <w:shd w:val="clear" w:color="auto" w:fill="FFFFFF"/>
        </w:rPr>
        <w:t xml:space="preserve"> law cases </w:t>
      </w:r>
      <w:r w:rsidR="001235E7">
        <w:rPr>
          <w:rFonts w:ascii="Arial" w:hAnsi="Arial" w:cs="Arial"/>
          <w:color w:val="00172E"/>
          <w:sz w:val="24"/>
          <w:szCs w:val="24"/>
          <w:shd w:val="clear" w:color="auto" w:fill="FFFFFF"/>
        </w:rPr>
        <w:t xml:space="preserve">they imply varies </w:t>
      </w:r>
      <w:r w:rsidR="003A7795">
        <w:rPr>
          <w:rFonts w:ascii="Arial" w:hAnsi="Arial" w:cs="Arial"/>
          <w:color w:val="00172E"/>
          <w:sz w:val="24"/>
          <w:szCs w:val="24"/>
          <w:shd w:val="clear" w:color="auto" w:fill="FFFFFF"/>
        </w:rPr>
        <w:t>employ</w:t>
      </w:r>
      <w:r w:rsidR="001235E7">
        <w:rPr>
          <w:rFonts w:ascii="Arial" w:hAnsi="Arial" w:cs="Arial"/>
          <w:color w:val="00172E"/>
          <w:sz w:val="24"/>
          <w:szCs w:val="24"/>
          <w:shd w:val="clear" w:color="auto" w:fill="FFFFFF"/>
        </w:rPr>
        <w:t xml:space="preserve"> varies forms of </w:t>
      </w:r>
      <w:r w:rsidR="003A7795">
        <w:rPr>
          <w:rFonts w:ascii="Arial" w:hAnsi="Arial" w:cs="Arial"/>
          <w:color w:val="00172E"/>
          <w:sz w:val="24"/>
          <w:szCs w:val="24"/>
          <w:shd w:val="clear" w:color="auto" w:fill="FFFFFF"/>
        </w:rPr>
        <w:t>legislation</w:t>
      </w:r>
      <w:r w:rsidR="001235E7">
        <w:rPr>
          <w:rFonts w:ascii="Arial" w:hAnsi="Arial" w:cs="Arial"/>
          <w:color w:val="00172E"/>
          <w:sz w:val="24"/>
          <w:szCs w:val="24"/>
          <w:shd w:val="clear" w:color="auto" w:fill="FFFFFF"/>
        </w:rPr>
        <w:t xml:space="preserve"> including </w:t>
      </w:r>
      <w:r w:rsidR="003A7795">
        <w:rPr>
          <w:rFonts w:ascii="Arial" w:hAnsi="Arial" w:cs="Arial"/>
          <w:color w:val="00172E"/>
          <w:sz w:val="24"/>
          <w:szCs w:val="24"/>
          <w:shd w:val="clear" w:color="auto" w:fill="FFFFFF"/>
        </w:rPr>
        <w:t>common</w:t>
      </w:r>
      <w:r w:rsidR="001235E7">
        <w:rPr>
          <w:rFonts w:ascii="Arial" w:hAnsi="Arial" w:cs="Arial"/>
          <w:color w:val="00172E"/>
          <w:sz w:val="24"/>
          <w:szCs w:val="24"/>
          <w:shd w:val="clear" w:color="auto" w:fill="FFFFFF"/>
        </w:rPr>
        <w:t xml:space="preserve"> law which has </w:t>
      </w:r>
      <w:r w:rsidR="003A7795">
        <w:rPr>
          <w:rFonts w:ascii="Arial" w:hAnsi="Arial" w:cs="Arial"/>
          <w:color w:val="00172E"/>
          <w:sz w:val="24"/>
          <w:szCs w:val="24"/>
          <w:shd w:val="clear" w:color="auto" w:fill="FFFFFF"/>
        </w:rPr>
        <w:t>existed</w:t>
      </w:r>
      <w:r w:rsidR="001235E7">
        <w:rPr>
          <w:rFonts w:ascii="Arial" w:hAnsi="Arial" w:cs="Arial"/>
          <w:color w:val="00172E"/>
          <w:sz w:val="24"/>
          <w:szCs w:val="24"/>
          <w:shd w:val="clear" w:color="auto" w:fill="FFFFFF"/>
        </w:rPr>
        <w:t xml:space="preserve"> </w:t>
      </w:r>
      <w:r w:rsidR="00910E46">
        <w:rPr>
          <w:rFonts w:ascii="Arial" w:hAnsi="Arial" w:cs="Arial"/>
          <w:color w:val="00172E"/>
          <w:sz w:val="24"/>
          <w:szCs w:val="24"/>
          <w:shd w:val="clear" w:color="auto" w:fill="FFFFFF"/>
        </w:rPr>
        <w:t xml:space="preserve">for over eight hundred years. </w:t>
      </w:r>
      <w:r w:rsidR="003A7795">
        <w:rPr>
          <w:rFonts w:ascii="Arial" w:hAnsi="Arial" w:cs="Arial"/>
          <w:color w:val="00172E"/>
          <w:sz w:val="24"/>
          <w:szCs w:val="24"/>
          <w:shd w:val="clear" w:color="auto" w:fill="FFFFFF"/>
        </w:rPr>
        <w:t>Common</w:t>
      </w:r>
      <w:r w:rsidR="00910E46">
        <w:rPr>
          <w:rFonts w:ascii="Arial" w:hAnsi="Arial" w:cs="Arial"/>
          <w:color w:val="00172E"/>
          <w:sz w:val="24"/>
          <w:szCs w:val="24"/>
          <w:shd w:val="clear" w:color="auto" w:fill="FFFFFF"/>
        </w:rPr>
        <w:t xml:space="preserve"> law created pre</w:t>
      </w:r>
      <w:r w:rsidR="003A7795">
        <w:rPr>
          <w:rFonts w:ascii="Arial" w:hAnsi="Arial" w:cs="Arial"/>
          <w:color w:val="00172E"/>
          <w:sz w:val="24"/>
          <w:szCs w:val="24"/>
          <w:shd w:val="clear" w:color="auto" w:fill="FFFFFF"/>
        </w:rPr>
        <w:t>cedence maintains</w:t>
      </w:r>
      <w:r w:rsidR="00910E46">
        <w:rPr>
          <w:rFonts w:ascii="Arial" w:hAnsi="Arial" w:cs="Arial"/>
          <w:color w:val="00172E"/>
          <w:sz w:val="24"/>
          <w:szCs w:val="24"/>
          <w:shd w:val="clear" w:color="auto" w:fill="FFFFFF"/>
        </w:rPr>
        <w:t xml:space="preserve"> its effect </w:t>
      </w:r>
      <w:r w:rsidR="00A73DA8">
        <w:rPr>
          <w:rFonts w:ascii="Arial" w:hAnsi="Arial" w:cs="Arial"/>
          <w:color w:val="00172E"/>
          <w:sz w:val="24"/>
          <w:szCs w:val="24"/>
          <w:shd w:val="clear" w:color="auto" w:fill="FFFFFF"/>
        </w:rPr>
        <w:t xml:space="preserve">and </w:t>
      </w:r>
      <w:r w:rsidR="003A7795">
        <w:rPr>
          <w:rFonts w:ascii="Arial" w:hAnsi="Arial" w:cs="Arial"/>
          <w:color w:val="00172E"/>
          <w:sz w:val="24"/>
          <w:szCs w:val="24"/>
          <w:shd w:val="clear" w:color="auto" w:fill="FFFFFF"/>
        </w:rPr>
        <w:t>necessity</w:t>
      </w:r>
      <w:r w:rsidR="00A73DA8">
        <w:rPr>
          <w:rFonts w:ascii="Arial" w:hAnsi="Arial" w:cs="Arial"/>
          <w:color w:val="00172E"/>
          <w:sz w:val="24"/>
          <w:szCs w:val="24"/>
          <w:shd w:val="clear" w:color="auto" w:fill="FFFFFF"/>
        </w:rPr>
        <w:t xml:space="preserve"> within the modern</w:t>
      </w:r>
      <w:r w:rsidR="003A7795">
        <w:rPr>
          <w:rFonts w:ascii="Arial" w:hAnsi="Arial" w:cs="Arial"/>
          <w:color w:val="00172E"/>
          <w:sz w:val="24"/>
          <w:szCs w:val="24"/>
          <w:shd w:val="clear" w:color="auto" w:fill="FFFFFF"/>
        </w:rPr>
        <w:t xml:space="preserve"> civil court</w:t>
      </w:r>
      <w:r w:rsidR="00A73DA8">
        <w:rPr>
          <w:rFonts w:ascii="Arial" w:hAnsi="Arial" w:cs="Arial"/>
          <w:color w:val="00172E"/>
          <w:sz w:val="24"/>
          <w:szCs w:val="24"/>
          <w:shd w:val="clear" w:color="auto" w:fill="FFFFFF"/>
        </w:rPr>
        <w:t xml:space="preserve"> system. </w:t>
      </w:r>
      <w:r w:rsidR="003A7795">
        <w:rPr>
          <w:rFonts w:ascii="Arial" w:hAnsi="Arial" w:cs="Arial"/>
          <w:color w:val="00172E"/>
          <w:sz w:val="24"/>
          <w:szCs w:val="24"/>
          <w:shd w:val="clear" w:color="auto" w:fill="FFFFFF"/>
        </w:rPr>
        <w:t>Common</w:t>
      </w:r>
      <w:r w:rsidR="00A73DA8">
        <w:rPr>
          <w:rFonts w:ascii="Arial" w:hAnsi="Arial" w:cs="Arial"/>
          <w:color w:val="00172E"/>
          <w:sz w:val="24"/>
          <w:szCs w:val="24"/>
          <w:shd w:val="clear" w:color="auto" w:fill="FFFFFF"/>
        </w:rPr>
        <w:t xml:space="preserve"> law cases that create</w:t>
      </w:r>
      <w:r w:rsidR="003A7795">
        <w:rPr>
          <w:rFonts w:ascii="Arial" w:hAnsi="Arial" w:cs="Arial"/>
          <w:color w:val="00172E"/>
          <w:sz w:val="24"/>
          <w:szCs w:val="24"/>
          <w:shd w:val="clear" w:color="auto" w:fill="FFFFFF"/>
        </w:rPr>
        <w:t xml:space="preserve"> precedence</w:t>
      </w:r>
      <w:r w:rsidR="00A73DA8">
        <w:rPr>
          <w:rFonts w:ascii="Arial" w:hAnsi="Arial" w:cs="Arial"/>
          <w:color w:val="00172E"/>
          <w:sz w:val="24"/>
          <w:szCs w:val="24"/>
          <w:shd w:val="clear" w:color="auto" w:fill="FFFFFF"/>
        </w:rPr>
        <w:t xml:space="preserve"> </w:t>
      </w:r>
      <w:r w:rsidR="003A7795">
        <w:rPr>
          <w:rFonts w:ascii="Arial" w:hAnsi="Arial" w:cs="Arial"/>
          <w:color w:val="00172E"/>
          <w:sz w:val="24"/>
          <w:szCs w:val="24"/>
          <w:shd w:val="clear" w:color="auto" w:fill="FFFFFF"/>
        </w:rPr>
        <w:t xml:space="preserve">has a long effect on the civil courts and the decisions they make. </w:t>
      </w:r>
    </w:p>
    <w:p w14:paraId="30B05B5A" w14:textId="77777777" w:rsidR="00AC6441" w:rsidRPr="00B67401" w:rsidRDefault="00AC6441" w:rsidP="00F07BD3">
      <w:pPr>
        <w:spacing w:line="480" w:lineRule="auto"/>
        <w:rPr>
          <w:rFonts w:ascii="Arial" w:hAnsi="Arial" w:cs="Arial"/>
          <w:sz w:val="24"/>
          <w:szCs w:val="24"/>
          <w:lang w:val="en-US"/>
        </w:rPr>
      </w:pPr>
    </w:p>
    <w:p w14:paraId="7271F0EA" w14:textId="77777777" w:rsidR="00F07BD3" w:rsidRPr="00127921" w:rsidRDefault="00F07BD3" w:rsidP="00F07BD3">
      <w:pPr>
        <w:spacing w:line="480" w:lineRule="auto"/>
        <w:rPr>
          <w:rFonts w:asciiTheme="majorHAnsi" w:hAnsiTheme="majorHAnsi" w:cstheme="majorHAnsi"/>
          <w:sz w:val="24"/>
          <w:szCs w:val="24"/>
          <w:lang w:val="en-US"/>
        </w:rPr>
      </w:pPr>
    </w:p>
    <w:p w14:paraId="183438D2" w14:textId="77777777" w:rsidR="00F07BD3" w:rsidRPr="00127921" w:rsidRDefault="00F07BD3" w:rsidP="00F07BD3">
      <w:pPr>
        <w:spacing w:line="480" w:lineRule="auto"/>
        <w:rPr>
          <w:rFonts w:asciiTheme="majorHAnsi" w:hAnsiTheme="majorHAnsi" w:cstheme="majorHAnsi"/>
          <w:sz w:val="24"/>
          <w:szCs w:val="24"/>
          <w:lang w:val="en-US"/>
        </w:rPr>
      </w:pPr>
    </w:p>
    <w:p w14:paraId="267494DA" w14:textId="77777777" w:rsidR="00F07BD3" w:rsidRPr="00127921" w:rsidRDefault="00F07BD3" w:rsidP="00F07BD3">
      <w:pPr>
        <w:spacing w:line="480" w:lineRule="auto"/>
        <w:rPr>
          <w:rFonts w:asciiTheme="majorHAnsi" w:hAnsiTheme="majorHAnsi" w:cstheme="majorHAnsi"/>
          <w:sz w:val="24"/>
          <w:szCs w:val="24"/>
          <w:lang w:val="en-US"/>
        </w:rPr>
      </w:pPr>
    </w:p>
    <w:p w14:paraId="617F2A63" w14:textId="77777777" w:rsidR="00F07BD3" w:rsidRPr="00127921" w:rsidRDefault="00F07BD3" w:rsidP="00F07BD3">
      <w:pPr>
        <w:spacing w:line="480" w:lineRule="auto"/>
        <w:rPr>
          <w:rFonts w:asciiTheme="majorHAnsi" w:hAnsiTheme="majorHAnsi" w:cstheme="majorHAnsi"/>
          <w:sz w:val="24"/>
          <w:szCs w:val="24"/>
          <w:lang w:val="en-US"/>
        </w:rPr>
      </w:pPr>
    </w:p>
    <w:p w14:paraId="668A04D5" w14:textId="77777777" w:rsidR="00F07BD3" w:rsidRPr="00127921" w:rsidRDefault="00F07BD3" w:rsidP="00F07BD3">
      <w:pPr>
        <w:spacing w:line="480" w:lineRule="auto"/>
        <w:rPr>
          <w:rFonts w:asciiTheme="majorHAnsi" w:hAnsiTheme="majorHAnsi" w:cstheme="majorHAnsi"/>
          <w:sz w:val="24"/>
          <w:szCs w:val="24"/>
          <w:lang w:val="en-US"/>
        </w:rPr>
      </w:pPr>
    </w:p>
    <w:p w14:paraId="57E85CA8" w14:textId="77777777" w:rsidR="00F07BD3" w:rsidRPr="00127921" w:rsidRDefault="00F07BD3" w:rsidP="00F07BD3">
      <w:pPr>
        <w:spacing w:line="480" w:lineRule="auto"/>
        <w:rPr>
          <w:rFonts w:asciiTheme="majorHAnsi" w:hAnsiTheme="majorHAnsi" w:cstheme="majorHAnsi"/>
          <w:sz w:val="24"/>
          <w:szCs w:val="24"/>
          <w:lang w:val="en-US"/>
        </w:rPr>
      </w:pPr>
    </w:p>
    <w:p w14:paraId="08378DD9" w14:textId="77777777" w:rsidR="00F07BD3" w:rsidRPr="00127921" w:rsidRDefault="00F07BD3" w:rsidP="00F07BD3">
      <w:pPr>
        <w:spacing w:line="480" w:lineRule="auto"/>
        <w:rPr>
          <w:rFonts w:asciiTheme="majorHAnsi" w:hAnsiTheme="majorHAnsi" w:cstheme="majorHAnsi"/>
          <w:sz w:val="24"/>
          <w:szCs w:val="24"/>
          <w:lang w:val="en-US"/>
        </w:rPr>
      </w:pPr>
    </w:p>
    <w:p w14:paraId="56497820" w14:textId="77777777" w:rsidR="00F07BD3" w:rsidRPr="00127921" w:rsidRDefault="00F07BD3" w:rsidP="00F07BD3">
      <w:pPr>
        <w:spacing w:line="480" w:lineRule="auto"/>
        <w:rPr>
          <w:rFonts w:asciiTheme="majorHAnsi" w:hAnsiTheme="majorHAnsi" w:cstheme="majorHAnsi"/>
          <w:sz w:val="24"/>
          <w:szCs w:val="24"/>
          <w:lang w:val="en-US"/>
        </w:rPr>
      </w:pPr>
    </w:p>
    <w:p w14:paraId="5B92499A" w14:textId="77777777" w:rsidR="00F07BD3" w:rsidRPr="00127921" w:rsidRDefault="00F07BD3" w:rsidP="00F07BD3">
      <w:pPr>
        <w:spacing w:line="480" w:lineRule="auto"/>
        <w:rPr>
          <w:rFonts w:asciiTheme="majorHAnsi" w:hAnsiTheme="majorHAnsi" w:cstheme="majorHAnsi"/>
          <w:sz w:val="28"/>
          <w:szCs w:val="28"/>
          <w:lang w:val="en-US"/>
        </w:rPr>
      </w:pPr>
    </w:p>
    <w:p w14:paraId="161E7AF4" w14:textId="77777777" w:rsidR="00F07BD3" w:rsidRPr="00127921" w:rsidRDefault="00F07BD3" w:rsidP="00F07BD3">
      <w:pPr>
        <w:spacing w:line="480" w:lineRule="auto"/>
        <w:rPr>
          <w:rFonts w:asciiTheme="majorHAnsi" w:hAnsiTheme="majorHAnsi" w:cstheme="majorHAnsi"/>
          <w:sz w:val="28"/>
          <w:szCs w:val="28"/>
          <w:lang w:val="en-US"/>
        </w:rPr>
      </w:pPr>
    </w:p>
    <w:p w14:paraId="2A5FAC99" w14:textId="48566BB0" w:rsidR="00F07BD3" w:rsidRDefault="00F07BD3" w:rsidP="00F07BD3">
      <w:pPr>
        <w:spacing w:line="480" w:lineRule="auto"/>
        <w:rPr>
          <w:rFonts w:asciiTheme="majorHAnsi" w:hAnsiTheme="majorHAnsi" w:cstheme="majorHAnsi"/>
          <w:sz w:val="28"/>
          <w:szCs w:val="28"/>
          <w:lang w:val="en-US"/>
        </w:rPr>
      </w:pPr>
    </w:p>
    <w:p w14:paraId="366E16C1" w14:textId="386BBF75" w:rsidR="007C126E" w:rsidRDefault="007C126E" w:rsidP="00F07BD3">
      <w:pPr>
        <w:spacing w:line="480" w:lineRule="auto"/>
        <w:rPr>
          <w:rFonts w:asciiTheme="majorHAnsi" w:hAnsiTheme="majorHAnsi" w:cstheme="majorHAnsi"/>
          <w:sz w:val="28"/>
          <w:szCs w:val="28"/>
          <w:lang w:val="en-US"/>
        </w:rPr>
      </w:pPr>
    </w:p>
    <w:p w14:paraId="189CC113" w14:textId="77777777" w:rsidR="007C126E" w:rsidRPr="00127921" w:rsidRDefault="007C126E" w:rsidP="00F07BD3">
      <w:pPr>
        <w:spacing w:line="480" w:lineRule="auto"/>
        <w:rPr>
          <w:rFonts w:asciiTheme="majorHAnsi" w:hAnsiTheme="majorHAnsi" w:cstheme="majorHAnsi"/>
          <w:sz w:val="28"/>
          <w:szCs w:val="28"/>
          <w:lang w:val="en-US"/>
        </w:rPr>
      </w:pPr>
    </w:p>
    <w:p w14:paraId="48525EB6" w14:textId="7A81DE24" w:rsidR="00F07BD3" w:rsidRDefault="00F07BD3" w:rsidP="002F1DA7">
      <w:pPr>
        <w:rPr>
          <w:rFonts w:asciiTheme="majorHAnsi" w:hAnsiTheme="majorHAnsi" w:cstheme="majorHAnsi"/>
          <w:sz w:val="28"/>
          <w:szCs w:val="28"/>
          <w:lang w:val="en-US"/>
        </w:rPr>
      </w:pPr>
    </w:p>
    <w:p w14:paraId="6333FD6B" w14:textId="5C8DE9D4" w:rsidR="002F1DA7" w:rsidRDefault="002F1DA7" w:rsidP="002F1DA7">
      <w:pPr>
        <w:rPr>
          <w:rFonts w:asciiTheme="majorHAnsi" w:hAnsiTheme="majorHAnsi" w:cstheme="majorHAnsi"/>
          <w:sz w:val="28"/>
          <w:szCs w:val="28"/>
          <w:lang w:val="en-US"/>
        </w:rPr>
      </w:pPr>
    </w:p>
    <w:sdt>
      <w:sdtPr>
        <w:rPr>
          <w:rFonts w:ascii="Times New Roman" w:eastAsia="Times New Roman" w:hAnsi="Times New Roman" w:cs="Times New Roman"/>
          <w:color w:val="auto"/>
          <w:sz w:val="20"/>
          <w:szCs w:val="20"/>
          <w:lang w:val="en-GB" w:eastAsia="en-GB"/>
        </w:rPr>
        <w:id w:val="2136517351"/>
        <w:docPartObj>
          <w:docPartGallery w:val="Bibliographies"/>
          <w:docPartUnique/>
        </w:docPartObj>
      </w:sdtPr>
      <w:sdtEndPr/>
      <w:sdtContent>
        <w:p w14:paraId="65404C9C" w14:textId="233B9413" w:rsidR="0053130C" w:rsidRDefault="0053130C">
          <w:pPr>
            <w:pStyle w:val="Heading1"/>
          </w:pPr>
          <w:r>
            <w:t>Bibliography</w:t>
          </w:r>
        </w:p>
        <w:sdt>
          <w:sdtPr>
            <w:id w:val="111145805"/>
            <w:bibliography/>
          </w:sdtPr>
          <w:sdtEndPr/>
          <w:sdtContent>
            <w:p w14:paraId="149C82E9" w14:textId="77777777" w:rsidR="0053130C" w:rsidRDefault="0053130C" w:rsidP="0053130C">
              <w:pPr>
                <w:pStyle w:val="Bibliography"/>
                <w:rPr>
                  <w:noProof/>
                  <w:sz w:val="24"/>
                  <w:szCs w:val="24"/>
                  <w:lang w:val="en-US"/>
                </w:rPr>
              </w:pPr>
              <w:r>
                <w:fldChar w:fldCharType="begin"/>
              </w:r>
              <w:r>
                <w:instrText xml:space="preserve"> BIBLIOGRAPHY </w:instrText>
              </w:r>
              <w:r>
                <w:fldChar w:fldCharType="separate"/>
              </w:r>
              <w:r>
                <w:rPr>
                  <w:noProof/>
                  <w:lang w:val="en-US"/>
                </w:rPr>
                <w:t xml:space="preserve">Cannon, J., 1988. </w:t>
              </w:r>
              <w:r>
                <w:rPr>
                  <w:i/>
                  <w:iCs/>
                  <w:noProof/>
                  <w:lang w:val="en-US"/>
                </w:rPr>
                <w:t xml:space="preserve">The Oxford illustrated history of the British monarchy. </w:t>
              </w:r>
              <w:r>
                <w:rPr>
                  <w:noProof/>
                  <w:lang w:val="en-US"/>
                </w:rPr>
                <w:t>1st ed. Oxford : Oxford University Press.</w:t>
              </w:r>
            </w:p>
            <w:p w14:paraId="5356D113" w14:textId="77777777" w:rsidR="0053130C" w:rsidRDefault="0053130C" w:rsidP="0053130C">
              <w:pPr>
                <w:pStyle w:val="Bibliography"/>
                <w:rPr>
                  <w:noProof/>
                  <w:lang w:val="en-US"/>
                </w:rPr>
              </w:pPr>
              <w:r>
                <w:rPr>
                  <w:noProof/>
                  <w:lang w:val="en-US"/>
                </w:rPr>
                <w:t xml:space="preserve">Courts and Tribunals Judiciary, 2020. </w:t>
              </w:r>
              <w:r>
                <w:rPr>
                  <w:i/>
                  <w:iCs/>
                  <w:noProof/>
                  <w:lang w:val="en-US"/>
                </w:rPr>
                <w:t xml:space="preserve">Structure of the Courts &amp; Tribunals system. </w:t>
              </w:r>
              <w:r>
                <w:rPr>
                  <w:noProof/>
                  <w:lang w:val="en-US"/>
                </w:rPr>
                <w:t xml:space="preserve">[Online] </w:t>
              </w:r>
              <w:r>
                <w:rPr>
                  <w:noProof/>
                  <w:lang w:val="en-US"/>
                </w:rPr>
                <w:br/>
                <w:t xml:space="preserve">Available at: </w:t>
              </w:r>
              <w:r>
                <w:rPr>
                  <w:noProof/>
                  <w:u w:val="single"/>
                  <w:lang w:val="en-US"/>
                </w:rPr>
                <w:t>https://www.judiciary.uk/about-the-judiciary/our-justice-system/court-structure/</w:t>
              </w:r>
              <w:r>
                <w:rPr>
                  <w:noProof/>
                  <w:lang w:val="en-US"/>
                </w:rPr>
                <w:br/>
                <w:t>[Accessed 5 March 2023].</w:t>
              </w:r>
            </w:p>
            <w:p w14:paraId="449FBB17" w14:textId="77777777" w:rsidR="0053130C" w:rsidRDefault="0053130C" w:rsidP="0053130C">
              <w:pPr>
                <w:pStyle w:val="Bibliography"/>
                <w:rPr>
                  <w:noProof/>
                  <w:lang w:val="en-US"/>
                </w:rPr>
              </w:pPr>
              <w:r>
                <w:rPr>
                  <w:noProof/>
                  <w:lang w:val="en-US"/>
                </w:rPr>
                <w:t xml:space="preserve">Davies, H. S., 2009. </w:t>
              </w:r>
              <w:r>
                <w:rPr>
                  <w:i/>
                  <w:iCs/>
                  <w:noProof/>
                  <w:lang w:val="en-US"/>
                </w:rPr>
                <w:t xml:space="preserve">Proof on the balance of probabilities: what this means in practice. </w:t>
              </w:r>
              <w:r>
                <w:rPr>
                  <w:noProof/>
                  <w:lang w:val="en-US"/>
                </w:rPr>
                <w:t xml:space="preserve">[Online] </w:t>
              </w:r>
              <w:r>
                <w:rPr>
                  <w:noProof/>
                  <w:lang w:val="en-US"/>
                </w:rPr>
                <w:br/>
                <w:t xml:space="preserve">Available at: </w:t>
              </w:r>
              <w:r>
                <w:rPr>
                  <w:noProof/>
                  <w:u w:val="single"/>
                  <w:lang w:val="en-US"/>
                </w:rPr>
                <w:t>https://uk.practicallaw.thomsonreuters.com/2-500-6576?contextData=(sc.Default)&amp;transitionType=Default&amp;firstPage=true</w:t>
              </w:r>
              <w:r>
                <w:rPr>
                  <w:noProof/>
                  <w:lang w:val="en-US"/>
                </w:rPr>
                <w:br/>
                <w:t>[Accessed 2 March 2023].</w:t>
              </w:r>
            </w:p>
            <w:p w14:paraId="3ED93E7E" w14:textId="77777777" w:rsidR="0053130C" w:rsidRDefault="0053130C" w:rsidP="0053130C">
              <w:pPr>
                <w:pStyle w:val="Bibliography"/>
                <w:rPr>
                  <w:noProof/>
                  <w:lang w:val="en-US"/>
                </w:rPr>
              </w:pPr>
              <w:r>
                <w:rPr>
                  <w:noProof/>
                  <w:lang w:val="en-US"/>
                </w:rPr>
                <w:t xml:space="preserve">hallellis, 2019. </w:t>
              </w:r>
              <w:r>
                <w:rPr>
                  <w:i/>
                  <w:iCs/>
                  <w:noProof/>
                  <w:lang w:val="en-US"/>
                </w:rPr>
                <w:t xml:space="preserve">burden of proof and balance of probabilities in civil litigation (simplified). </w:t>
              </w:r>
              <w:r>
                <w:rPr>
                  <w:noProof/>
                  <w:lang w:val="en-US"/>
                </w:rPr>
                <w:t xml:space="preserve">[Online] </w:t>
              </w:r>
              <w:r>
                <w:rPr>
                  <w:noProof/>
                  <w:lang w:val="en-US"/>
                </w:rPr>
                <w:br/>
                <w:t xml:space="preserve">Available at: </w:t>
              </w:r>
              <w:r>
                <w:rPr>
                  <w:noProof/>
                  <w:u w:val="single"/>
                  <w:lang w:val="en-US"/>
                </w:rPr>
                <w:t>https://hallellis.co.uk/burden-proof-balance-probabilities/</w:t>
              </w:r>
              <w:r>
                <w:rPr>
                  <w:noProof/>
                  <w:lang w:val="en-US"/>
                </w:rPr>
                <w:br/>
                <w:t>[Accessed 2 March 2023].</w:t>
              </w:r>
            </w:p>
            <w:p w14:paraId="2F3F3926" w14:textId="77777777" w:rsidR="0053130C" w:rsidRDefault="0053130C" w:rsidP="0053130C">
              <w:pPr>
                <w:pStyle w:val="Bibliography"/>
                <w:rPr>
                  <w:noProof/>
                  <w:lang w:val="en-US"/>
                </w:rPr>
              </w:pPr>
              <w:r>
                <w:rPr>
                  <w:noProof/>
                  <w:lang w:val="en-US"/>
                </w:rPr>
                <w:t xml:space="preserve">Hourly History, 1988. </w:t>
              </w:r>
              <w:r>
                <w:rPr>
                  <w:i/>
                  <w:iCs/>
                  <w:noProof/>
                  <w:lang w:val="en-US"/>
                </w:rPr>
                <w:t xml:space="preserve">The Oxford illustrated history of the British monarchy. </w:t>
              </w:r>
              <w:r>
                <w:rPr>
                  <w:noProof/>
                  <w:lang w:val="en-US"/>
                </w:rPr>
                <w:t>1st ed. Oxford: Oxford University Press.</w:t>
              </w:r>
            </w:p>
            <w:p w14:paraId="27802453" w14:textId="77777777" w:rsidR="0053130C" w:rsidRDefault="0053130C" w:rsidP="0053130C">
              <w:pPr>
                <w:pStyle w:val="Bibliography"/>
                <w:rPr>
                  <w:noProof/>
                  <w:lang w:val="en-US"/>
                </w:rPr>
              </w:pPr>
              <w:r>
                <w:rPr>
                  <w:noProof/>
                  <w:lang w:val="en-US"/>
                </w:rPr>
                <w:t xml:space="preserve">Laing, G., 2019. </w:t>
              </w:r>
              <w:r>
                <w:rPr>
                  <w:i/>
                  <w:iCs/>
                  <w:noProof/>
                  <w:lang w:val="en-US"/>
                </w:rPr>
                <w:t xml:space="preserve">Equity Law: An Introduction. </w:t>
              </w:r>
              <w:r>
                <w:rPr>
                  <w:noProof/>
                  <w:lang w:val="en-US"/>
                </w:rPr>
                <w:t xml:space="preserve">[Online] </w:t>
              </w:r>
              <w:r>
                <w:rPr>
                  <w:noProof/>
                  <w:lang w:val="en-US"/>
                </w:rPr>
                <w:br/>
                <w:t xml:space="preserve">Available at: </w:t>
              </w:r>
              <w:r>
                <w:rPr>
                  <w:noProof/>
                  <w:u w:val="single"/>
                  <w:lang w:val="en-US"/>
                </w:rPr>
                <w:t>https://www.lawble.co.uk/equity-law/</w:t>
              </w:r>
              <w:r>
                <w:rPr>
                  <w:noProof/>
                  <w:lang w:val="en-US"/>
                </w:rPr>
                <w:br/>
                <w:t>[Accessed 2 March 2023].</w:t>
              </w:r>
            </w:p>
            <w:p w14:paraId="79FE3C7F" w14:textId="77777777" w:rsidR="0053130C" w:rsidRDefault="0053130C" w:rsidP="0053130C">
              <w:pPr>
                <w:pStyle w:val="Bibliography"/>
                <w:rPr>
                  <w:noProof/>
                  <w:lang w:val="en-US"/>
                </w:rPr>
              </w:pPr>
              <w:r>
                <w:rPr>
                  <w:noProof/>
                  <w:lang w:val="en-US"/>
                </w:rPr>
                <w:t xml:space="preserve">Lexis, 2020. </w:t>
              </w:r>
              <w:r>
                <w:rPr>
                  <w:i/>
                  <w:iCs/>
                  <w:noProof/>
                  <w:lang w:val="en-US"/>
                </w:rPr>
                <w:t xml:space="preserve">Carlill v Carbolic Smoke Ball Co. </w:t>
              </w:r>
              <w:r>
                <w:rPr>
                  <w:noProof/>
                  <w:lang w:val="en-US"/>
                </w:rPr>
                <w:t xml:space="preserve">[Online] </w:t>
              </w:r>
              <w:r>
                <w:rPr>
                  <w:noProof/>
                  <w:lang w:val="en-US"/>
                </w:rPr>
                <w:br/>
                <w:t xml:space="preserve">Available at: </w:t>
              </w:r>
              <w:r>
                <w:rPr>
                  <w:noProof/>
                  <w:u w:val="single"/>
                  <w:lang w:val="en-US"/>
                </w:rPr>
                <w:t>https://plus-lexis-com.ezproxy.uwtsd.ac.uk/uk/document/?pdmfid=1001073&amp;crid=8deefa4c-2f39-4a9f-b6d1-0114e3b9d54c&amp;pddocfullpath=%2Fshared%2Fdocument%2Fcases-uk%2Furn%3AcontentItem%3A4FPP-FDM0-TWXJ-212X-00000-00&amp;pdcontentcomponentid=279846&amp;pdteaserkey=&amp;pdis</w:t>
              </w:r>
              <w:r>
                <w:rPr>
                  <w:noProof/>
                  <w:lang w:val="en-US"/>
                </w:rPr>
                <w:br/>
                <w:t>[Accessed 7 March 2023].</w:t>
              </w:r>
            </w:p>
            <w:p w14:paraId="2963C4C1" w14:textId="77777777" w:rsidR="0053130C" w:rsidRDefault="0053130C" w:rsidP="0053130C">
              <w:pPr>
                <w:pStyle w:val="Bibliography"/>
                <w:rPr>
                  <w:noProof/>
                  <w:lang w:val="en-US"/>
                </w:rPr>
              </w:pPr>
              <w:r>
                <w:rPr>
                  <w:noProof/>
                  <w:lang w:val="en-US"/>
                </w:rPr>
                <w:t xml:space="preserve">Lexis, 2020. </w:t>
              </w:r>
              <w:r>
                <w:rPr>
                  <w:i/>
                  <w:iCs/>
                  <w:noProof/>
                  <w:lang w:val="en-US"/>
                </w:rPr>
                <w:t xml:space="preserve">Harvela Investments Ltd v Royal Trust Co of Canada (CI) Ltd. </w:t>
              </w:r>
              <w:r>
                <w:rPr>
                  <w:noProof/>
                  <w:lang w:val="en-US"/>
                </w:rPr>
                <w:t xml:space="preserve">[Online] </w:t>
              </w:r>
              <w:r>
                <w:rPr>
                  <w:noProof/>
                  <w:lang w:val="en-US"/>
                </w:rPr>
                <w:br/>
                <w:t xml:space="preserve">Available at: </w:t>
              </w:r>
              <w:r>
                <w:rPr>
                  <w:noProof/>
                  <w:u w:val="single"/>
                  <w:lang w:val="en-US"/>
                </w:rPr>
                <w:t>https://plus-lexis-com.ezproxy.uwtsd.ac.uk/uk/document/documentlink/?pdmfid=1001073&amp;crid=94a1fffd-f59f-4039-b4e7-f49459f9a95d&amp;pddocfullpath=%2Fshared%2Fdocument%2Fcases-uk%2Furn%3AcontentItem%3A4CSP-3KT0-TWP1-60VC-00000-00&amp;pdcontentcomponentid=274668&amp;pdpr</w:t>
              </w:r>
              <w:r>
                <w:rPr>
                  <w:noProof/>
                  <w:lang w:val="en-US"/>
                </w:rPr>
                <w:br/>
                <w:t>[Accessed 7 March 2023].</w:t>
              </w:r>
            </w:p>
            <w:p w14:paraId="737FFA40" w14:textId="77777777" w:rsidR="0053130C" w:rsidRDefault="0053130C" w:rsidP="0053130C">
              <w:pPr>
                <w:pStyle w:val="Bibliography"/>
                <w:rPr>
                  <w:noProof/>
                  <w:lang w:val="en-US"/>
                </w:rPr>
              </w:pPr>
              <w:r>
                <w:rPr>
                  <w:noProof/>
                  <w:lang w:val="en-US"/>
                </w:rPr>
                <w:t xml:space="preserve">Lexis, 2020. </w:t>
              </w:r>
              <w:r>
                <w:rPr>
                  <w:i/>
                  <w:iCs/>
                  <w:noProof/>
                  <w:lang w:val="en-US"/>
                </w:rPr>
                <w:t xml:space="preserve">If an easement secured on the title following an express grant is infringed upon by another third party's easement (acquired and registered by prescription) which takes precedence? Does this fact entitle a third party to claim that the express easement is. </w:t>
              </w:r>
              <w:r>
                <w:rPr>
                  <w:noProof/>
                  <w:lang w:val="en-US"/>
                </w:rPr>
                <w:t xml:space="preserve">[Online] </w:t>
              </w:r>
              <w:r>
                <w:rPr>
                  <w:noProof/>
                  <w:lang w:val="en-US"/>
                </w:rPr>
                <w:br/>
                <w:t xml:space="preserve">Available at: </w:t>
              </w:r>
              <w:r>
                <w:rPr>
                  <w:noProof/>
                  <w:u w:val="single"/>
                  <w:lang w:val="en-US"/>
                </w:rPr>
                <w:t>https://plus-lexis-com.ezproxy.uwtsd.ac.uk/uk/document/?pdmfid=undefined&amp;pddocfullpath=%2Fshared%2Fdocument%2Fpractical-guidance-uk%2Furn%3AcontentItem%3A5YRD-0MT3-GXFD-8398-00000-00&amp;crid=f5ef9398-fb87-4cdf-aaf3-6201137347fb</w:t>
              </w:r>
              <w:r>
                <w:rPr>
                  <w:noProof/>
                  <w:lang w:val="en-US"/>
                </w:rPr>
                <w:br/>
                <w:t>[Accessed 7 March 2023].</w:t>
              </w:r>
            </w:p>
            <w:p w14:paraId="0FB056CC" w14:textId="77777777" w:rsidR="0053130C" w:rsidRDefault="0053130C" w:rsidP="0053130C">
              <w:pPr>
                <w:pStyle w:val="Bibliography"/>
                <w:rPr>
                  <w:noProof/>
                  <w:lang w:val="en-US"/>
                </w:rPr>
              </w:pPr>
              <w:r>
                <w:rPr>
                  <w:noProof/>
                  <w:lang w:val="en-US"/>
                </w:rPr>
                <w:t xml:space="preserve">Lexis, 2020. </w:t>
              </w:r>
              <w:r>
                <w:rPr>
                  <w:i/>
                  <w:iCs/>
                  <w:noProof/>
                  <w:lang w:val="en-US"/>
                </w:rPr>
                <w:t xml:space="preserve">Obiter dictum. </w:t>
              </w:r>
              <w:r>
                <w:rPr>
                  <w:noProof/>
                  <w:lang w:val="en-US"/>
                </w:rPr>
                <w:t xml:space="preserve">[Online] </w:t>
              </w:r>
              <w:r>
                <w:rPr>
                  <w:noProof/>
                  <w:lang w:val="en-US"/>
                </w:rPr>
                <w:br/>
                <w:t xml:space="preserve">Available at: </w:t>
              </w:r>
              <w:r>
                <w:rPr>
                  <w:noProof/>
                  <w:u w:val="single"/>
                  <w:lang w:val="en-US"/>
                </w:rPr>
                <w:t>https://plus-lexis-com.ezproxy.uwtsd.ac.uk/uk/document/?pdmfid=1001073&amp;crid=be5c4ec2-d827-46ad-9915-1a36f65d86d6&amp;pddocfullpath=%2Fshared%2Fdocument%2Fpractical-guidance-uk%2Furn%3AcontentItem%3A57Y6-1491-DXRG-719X-00000-00&amp;pdcontentcomponentid=363732&amp;pdte</w:t>
              </w:r>
              <w:r>
                <w:rPr>
                  <w:noProof/>
                  <w:lang w:val="en-US"/>
                </w:rPr>
                <w:br/>
                <w:t>[Accessed 5 March 2023].</w:t>
              </w:r>
            </w:p>
            <w:p w14:paraId="7AFE9929" w14:textId="77777777" w:rsidR="0053130C" w:rsidRDefault="0053130C" w:rsidP="0053130C">
              <w:pPr>
                <w:pStyle w:val="Bibliography"/>
                <w:rPr>
                  <w:noProof/>
                  <w:lang w:val="en-US"/>
                </w:rPr>
              </w:pPr>
              <w:r>
                <w:rPr>
                  <w:noProof/>
                  <w:lang w:val="en-US"/>
                </w:rPr>
                <w:t xml:space="preserve">Lexis, 2020. </w:t>
              </w:r>
              <w:r>
                <w:rPr>
                  <w:i/>
                  <w:iCs/>
                  <w:noProof/>
                  <w:lang w:val="en-US"/>
                </w:rPr>
                <w:t xml:space="preserve">Ratio decidendi. </w:t>
              </w:r>
              <w:r>
                <w:rPr>
                  <w:noProof/>
                  <w:lang w:val="en-US"/>
                </w:rPr>
                <w:t xml:space="preserve">[Online] </w:t>
              </w:r>
              <w:r>
                <w:rPr>
                  <w:noProof/>
                  <w:lang w:val="en-US"/>
                </w:rPr>
                <w:br/>
                <w:t xml:space="preserve">Available at: </w:t>
              </w:r>
              <w:r>
                <w:rPr>
                  <w:noProof/>
                  <w:u w:val="single"/>
                  <w:lang w:val="en-US"/>
                </w:rPr>
                <w:t>https://plus-lexis-com.ezproxy.uwtsd.ac.uk/uk/document/documentlink/?pdmfid=1001073&amp;crid=cfe6b8ed-96d7-4297-92bf-5fe6502aa644&amp;pddocfullpath=%2Fshared%2Fdocument%2Fanalytical-materials-uk%2Furn%3AcontentItem%3A610S-8WV3-CGXG-03B5-00000-00&amp;pdcontentcomponen</w:t>
              </w:r>
              <w:r>
                <w:rPr>
                  <w:noProof/>
                  <w:lang w:val="en-US"/>
                </w:rPr>
                <w:br/>
                <w:t>[Accessed 5 March 2023].</w:t>
              </w:r>
            </w:p>
            <w:p w14:paraId="1446BDEC" w14:textId="77777777" w:rsidR="0053130C" w:rsidRDefault="0053130C" w:rsidP="0053130C">
              <w:pPr>
                <w:pStyle w:val="Bibliography"/>
                <w:rPr>
                  <w:noProof/>
                  <w:lang w:val="en-US"/>
                </w:rPr>
              </w:pPr>
              <w:r>
                <w:rPr>
                  <w:noProof/>
                  <w:lang w:val="en-US"/>
                </w:rPr>
                <w:t xml:space="preserve">UK Government , 2022. </w:t>
              </w:r>
              <w:r>
                <w:rPr>
                  <w:i/>
                  <w:iCs/>
                  <w:noProof/>
                  <w:lang w:val="en-US"/>
                </w:rPr>
                <w:t xml:space="preserve">King's Bench Division of the High Court. </w:t>
              </w:r>
              <w:r>
                <w:rPr>
                  <w:noProof/>
                  <w:lang w:val="en-US"/>
                </w:rPr>
                <w:t xml:space="preserve">[Online] </w:t>
              </w:r>
              <w:r>
                <w:rPr>
                  <w:noProof/>
                  <w:lang w:val="en-US"/>
                </w:rPr>
                <w:br/>
                <w:t xml:space="preserve">Available at: </w:t>
              </w:r>
              <w:r>
                <w:rPr>
                  <w:noProof/>
                  <w:u w:val="single"/>
                  <w:lang w:val="en-US"/>
                </w:rPr>
                <w:t>https://www.gov.uk/courts-tribunals/kings-bench-division-of-the-high-court</w:t>
              </w:r>
              <w:r>
                <w:rPr>
                  <w:noProof/>
                  <w:lang w:val="en-US"/>
                </w:rPr>
                <w:br/>
                <w:t>[Accessed 5 March 2023].</w:t>
              </w:r>
            </w:p>
            <w:p w14:paraId="6EC7F3A8" w14:textId="104E345D" w:rsidR="0053130C" w:rsidRDefault="0053130C" w:rsidP="0053130C">
              <w:r>
                <w:rPr>
                  <w:b/>
                  <w:bCs/>
                  <w:noProof/>
                </w:rPr>
                <w:fldChar w:fldCharType="end"/>
              </w:r>
            </w:p>
          </w:sdtContent>
        </w:sdt>
      </w:sdtContent>
    </w:sdt>
    <w:p w14:paraId="4B5062CD" w14:textId="77777777" w:rsidR="002F1DA7" w:rsidRPr="00127921" w:rsidRDefault="002F1DA7" w:rsidP="002F1DA7">
      <w:pPr>
        <w:rPr>
          <w:rFonts w:asciiTheme="majorHAnsi" w:hAnsiTheme="majorHAnsi" w:cstheme="majorHAnsi"/>
        </w:rPr>
      </w:pPr>
    </w:p>
    <w:p w14:paraId="2C078E63" w14:textId="77777777" w:rsidR="005359AC" w:rsidRPr="00127921" w:rsidRDefault="005359AC">
      <w:pPr>
        <w:rPr>
          <w:rFonts w:asciiTheme="majorHAnsi" w:hAnsiTheme="majorHAnsi" w:cstheme="majorHAnsi"/>
        </w:rPr>
      </w:pPr>
    </w:p>
    <w:sectPr w:rsidR="005359AC" w:rsidRPr="00127921">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24AA40"/>
    <w:rsid w:val="000026FB"/>
    <w:rsid w:val="00034F0C"/>
    <w:rsid w:val="000568FF"/>
    <w:rsid w:val="000802D8"/>
    <w:rsid w:val="000B1875"/>
    <w:rsid w:val="001235E7"/>
    <w:rsid w:val="00127921"/>
    <w:rsid w:val="001B4643"/>
    <w:rsid w:val="001F3BF3"/>
    <w:rsid w:val="002305EC"/>
    <w:rsid w:val="00253522"/>
    <w:rsid w:val="002A5DEA"/>
    <w:rsid w:val="002B6B08"/>
    <w:rsid w:val="002F1DA7"/>
    <w:rsid w:val="00311907"/>
    <w:rsid w:val="003206A1"/>
    <w:rsid w:val="00340C57"/>
    <w:rsid w:val="003A0445"/>
    <w:rsid w:val="003A4028"/>
    <w:rsid w:val="003A7795"/>
    <w:rsid w:val="003B24E3"/>
    <w:rsid w:val="003F24D3"/>
    <w:rsid w:val="00434BB1"/>
    <w:rsid w:val="0044780F"/>
    <w:rsid w:val="00452E98"/>
    <w:rsid w:val="004F62E7"/>
    <w:rsid w:val="00507706"/>
    <w:rsid w:val="0053130C"/>
    <w:rsid w:val="005359AC"/>
    <w:rsid w:val="006909F7"/>
    <w:rsid w:val="006E701B"/>
    <w:rsid w:val="006F2887"/>
    <w:rsid w:val="006F331C"/>
    <w:rsid w:val="00745F16"/>
    <w:rsid w:val="007671B3"/>
    <w:rsid w:val="007B6AED"/>
    <w:rsid w:val="007C126E"/>
    <w:rsid w:val="008117FC"/>
    <w:rsid w:val="00910E46"/>
    <w:rsid w:val="0094096D"/>
    <w:rsid w:val="009579FB"/>
    <w:rsid w:val="00990E4C"/>
    <w:rsid w:val="00A351BF"/>
    <w:rsid w:val="00A71069"/>
    <w:rsid w:val="00A73DA8"/>
    <w:rsid w:val="00A83103"/>
    <w:rsid w:val="00AA51B7"/>
    <w:rsid w:val="00AA5502"/>
    <w:rsid w:val="00AB1B65"/>
    <w:rsid w:val="00AC6441"/>
    <w:rsid w:val="00B07144"/>
    <w:rsid w:val="00B25074"/>
    <w:rsid w:val="00B67401"/>
    <w:rsid w:val="00B67BB8"/>
    <w:rsid w:val="00BB2B16"/>
    <w:rsid w:val="00BF7010"/>
    <w:rsid w:val="00C613B1"/>
    <w:rsid w:val="00C70C50"/>
    <w:rsid w:val="00C7109E"/>
    <w:rsid w:val="00CC6EC3"/>
    <w:rsid w:val="00CF6026"/>
    <w:rsid w:val="00D47690"/>
    <w:rsid w:val="00D575BD"/>
    <w:rsid w:val="00D774DC"/>
    <w:rsid w:val="00D91665"/>
    <w:rsid w:val="00DE0871"/>
    <w:rsid w:val="00E13604"/>
    <w:rsid w:val="00E60234"/>
    <w:rsid w:val="00E81E93"/>
    <w:rsid w:val="00E964DA"/>
    <w:rsid w:val="00EA1869"/>
    <w:rsid w:val="00EF7E88"/>
    <w:rsid w:val="00F07BD3"/>
    <w:rsid w:val="00F07EFF"/>
    <w:rsid w:val="00F27272"/>
    <w:rsid w:val="00F33D55"/>
    <w:rsid w:val="00F35D28"/>
    <w:rsid w:val="00F4622A"/>
    <w:rsid w:val="00F50415"/>
    <w:rsid w:val="00F85558"/>
    <w:rsid w:val="00FF1482"/>
    <w:rsid w:val="00FF72CA"/>
    <w:rsid w:val="6524A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4AA40"/>
  <w15:chartTrackingRefBased/>
  <w15:docId w15:val="{96EA1C90-36AE-42DD-97C5-29A558F1C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BD3"/>
    <w:pPr>
      <w:suppressAutoHyphens/>
      <w:autoSpaceDN w:val="0"/>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8117FC"/>
    <w:pPr>
      <w:keepNext/>
      <w:keepLines/>
      <w:suppressAutoHyphens w:val="0"/>
      <w:autoSpaceDN/>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F07BD3"/>
    <w:pPr>
      <w:ind w:left="720"/>
      <w:contextualSpacing/>
    </w:pPr>
  </w:style>
  <w:style w:type="character" w:customStyle="1" w:styleId="Heading1Char">
    <w:name w:val="Heading 1 Char"/>
    <w:basedOn w:val="DefaultParagraphFont"/>
    <w:link w:val="Heading1"/>
    <w:uiPriority w:val="9"/>
    <w:rsid w:val="008117FC"/>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117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94391">
      <w:bodyDiv w:val="1"/>
      <w:marLeft w:val="0"/>
      <w:marRight w:val="0"/>
      <w:marTop w:val="0"/>
      <w:marBottom w:val="0"/>
      <w:divBdr>
        <w:top w:val="none" w:sz="0" w:space="0" w:color="auto"/>
        <w:left w:val="none" w:sz="0" w:space="0" w:color="auto"/>
        <w:bottom w:val="none" w:sz="0" w:space="0" w:color="auto"/>
        <w:right w:val="none" w:sz="0" w:space="0" w:color="auto"/>
      </w:divBdr>
    </w:div>
    <w:div w:id="141703818">
      <w:bodyDiv w:val="1"/>
      <w:marLeft w:val="0"/>
      <w:marRight w:val="0"/>
      <w:marTop w:val="0"/>
      <w:marBottom w:val="0"/>
      <w:divBdr>
        <w:top w:val="none" w:sz="0" w:space="0" w:color="auto"/>
        <w:left w:val="none" w:sz="0" w:space="0" w:color="auto"/>
        <w:bottom w:val="none" w:sz="0" w:space="0" w:color="auto"/>
        <w:right w:val="none" w:sz="0" w:space="0" w:color="auto"/>
      </w:divBdr>
    </w:div>
    <w:div w:id="154419218">
      <w:bodyDiv w:val="1"/>
      <w:marLeft w:val="0"/>
      <w:marRight w:val="0"/>
      <w:marTop w:val="0"/>
      <w:marBottom w:val="0"/>
      <w:divBdr>
        <w:top w:val="none" w:sz="0" w:space="0" w:color="auto"/>
        <w:left w:val="none" w:sz="0" w:space="0" w:color="auto"/>
        <w:bottom w:val="none" w:sz="0" w:space="0" w:color="auto"/>
        <w:right w:val="none" w:sz="0" w:space="0" w:color="auto"/>
      </w:divBdr>
    </w:div>
    <w:div w:id="226183304">
      <w:bodyDiv w:val="1"/>
      <w:marLeft w:val="0"/>
      <w:marRight w:val="0"/>
      <w:marTop w:val="0"/>
      <w:marBottom w:val="0"/>
      <w:divBdr>
        <w:top w:val="none" w:sz="0" w:space="0" w:color="auto"/>
        <w:left w:val="none" w:sz="0" w:space="0" w:color="auto"/>
        <w:bottom w:val="none" w:sz="0" w:space="0" w:color="auto"/>
        <w:right w:val="none" w:sz="0" w:space="0" w:color="auto"/>
      </w:divBdr>
    </w:div>
    <w:div w:id="432406647">
      <w:bodyDiv w:val="1"/>
      <w:marLeft w:val="0"/>
      <w:marRight w:val="0"/>
      <w:marTop w:val="0"/>
      <w:marBottom w:val="0"/>
      <w:divBdr>
        <w:top w:val="none" w:sz="0" w:space="0" w:color="auto"/>
        <w:left w:val="none" w:sz="0" w:space="0" w:color="auto"/>
        <w:bottom w:val="none" w:sz="0" w:space="0" w:color="auto"/>
        <w:right w:val="none" w:sz="0" w:space="0" w:color="auto"/>
      </w:divBdr>
    </w:div>
    <w:div w:id="443113044">
      <w:bodyDiv w:val="1"/>
      <w:marLeft w:val="0"/>
      <w:marRight w:val="0"/>
      <w:marTop w:val="0"/>
      <w:marBottom w:val="0"/>
      <w:divBdr>
        <w:top w:val="none" w:sz="0" w:space="0" w:color="auto"/>
        <w:left w:val="none" w:sz="0" w:space="0" w:color="auto"/>
        <w:bottom w:val="none" w:sz="0" w:space="0" w:color="auto"/>
        <w:right w:val="none" w:sz="0" w:space="0" w:color="auto"/>
      </w:divBdr>
    </w:div>
    <w:div w:id="517819546">
      <w:bodyDiv w:val="1"/>
      <w:marLeft w:val="0"/>
      <w:marRight w:val="0"/>
      <w:marTop w:val="0"/>
      <w:marBottom w:val="0"/>
      <w:divBdr>
        <w:top w:val="none" w:sz="0" w:space="0" w:color="auto"/>
        <w:left w:val="none" w:sz="0" w:space="0" w:color="auto"/>
        <w:bottom w:val="none" w:sz="0" w:space="0" w:color="auto"/>
        <w:right w:val="none" w:sz="0" w:space="0" w:color="auto"/>
      </w:divBdr>
    </w:div>
    <w:div w:id="662898539">
      <w:bodyDiv w:val="1"/>
      <w:marLeft w:val="0"/>
      <w:marRight w:val="0"/>
      <w:marTop w:val="0"/>
      <w:marBottom w:val="0"/>
      <w:divBdr>
        <w:top w:val="none" w:sz="0" w:space="0" w:color="auto"/>
        <w:left w:val="none" w:sz="0" w:space="0" w:color="auto"/>
        <w:bottom w:val="none" w:sz="0" w:space="0" w:color="auto"/>
        <w:right w:val="none" w:sz="0" w:space="0" w:color="auto"/>
      </w:divBdr>
    </w:div>
    <w:div w:id="803740243">
      <w:bodyDiv w:val="1"/>
      <w:marLeft w:val="0"/>
      <w:marRight w:val="0"/>
      <w:marTop w:val="0"/>
      <w:marBottom w:val="0"/>
      <w:divBdr>
        <w:top w:val="none" w:sz="0" w:space="0" w:color="auto"/>
        <w:left w:val="none" w:sz="0" w:space="0" w:color="auto"/>
        <w:bottom w:val="none" w:sz="0" w:space="0" w:color="auto"/>
        <w:right w:val="none" w:sz="0" w:space="0" w:color="auto"/>
      </w:divBdr>
    </w:div>
    <w:div w:id="980580153">
      <w:bodyDiv w:val="1"/>
      <w:marLeft w:val="0"/>
      <w:marRight w:val="0"/>
      <w:marTop w:val="0"/>
      <w:marBottom w:val="0"/>
      <w:divBdr>
        <w:top w:val="none" w:sz="0" w:space="0" w:color="auto"/>
        <w:left w:val="none" w:sz="0" w:space="0" w:color="auto"/>
        <w:bottom w:val="none" w:sz="0" w:space="0" w:color="auto"/>
        <w:right w:val="none" w:sz="0" w:space="0" w:color="auto"/>
      </w:divBdr>
    </w:div>
    <w:div w:id="1142621491">
      <w:bodyDiv w:val="1"/>
      <w:marLeft w:val="0"/>
      <w:marRight w:val="0"/>
      <w:marTop w:val="0"/>
      <w:marBottom w:val="0"/>
      <w:divBdr>
        <w:top w:val="none" w:sz="0" w:space="0" w:color="auto"/>
        <w:left w:val="none" w:sz="0" w:space="0" w:color="auto"/>
        <w:bottom w:val="none" w:sz="0" w:space="0" w:color="auto"/>
        <w:right w:val="none" w:sz="0" w:space="0" w:color="auto"/>
      </w:divBdr>
    </w:div>
    <w:div w:id="1186670781">
      <w:bodyDiv w:val="1"/>
      <w:marLeft w:val="0"/>
      <w:marRight w:val="0"/>
      <w:marTop w:val="0"/>
      <w:marBottom w:val="0"/>
      <w:divBdr>
        <w:top w:val="none" w:sz="0" w:space="0" w:color="auto"/>
        <w:left w:val="none" w:sz="0" w:space="0" w:color="auto"/>
        <w:bottom w:val="none" w:sz="0" w:space="0" w:color="auto"/>
        <w:right w:val="none" w:sz="0" w:space="0" w:color="auto"/>
      </w:divBdr>
    </w:div>
    <w:div w:id="1254246649">
      <w:bodyDiv w:val="1"/>
      <w:marLeft w:val="0"/>
      <w:marRight w:val="0"/>
      <w:marTop w:val="0"/>
      <w:marBottom w:val="0"/>
      <w:divBdr>
        <w:top w:val="none" w:sz="0" w:space="0" w:color="auto"/>
        <w:left w:val="none" w:sz="0" w:space="0" w:color="auto"/>
        <w:bottom w:val="none" w:sz="0" w:space="0" w:color="auto"/>
        <w:right w:val="none" w:sz="0" w:space="0" w:color="auto"/>
      </w:divBdr>
    </w:div>
    <w:div w:id="1297447625">
      <w:bodyDiv w:val="1"/>
      <w:marLeft w:val="0"/>
      <w:marRight w:val="0"/>
      <w:marTop w:val="0"/>
      <w:marBottom w:val="0"/>
      <w:divBdr>
        <w:top w:val="none" w:sz="0" w:space="0" w:color="auto"/>
        <w:left w:val="none" w:sz="0" w:space="0" w:color="auto"/>
        <w:bottom w:val="none" w:sz="0" w:space="0" w:color="auto"/>
        <w:right w:val="none" w:sz="0" w:space="0" w:color="auto"/>
      </w:divBdr>
    </w:div>
    <w:div w:id="1612080735">
      <w:bodyDiv w:val="1"/>
      <w:marLeft w:val="0"/>
      <w:marRight w:val="0"/>
      <w:marTop w:val="0"/>
      <w:marBottom w:val="0"/>
      <w:divBdr>
        <w:top w:val="none" w:sz="0" w:space="0" w:color="auto"/>
        <w:left w:val="none" w:sz="0" w:space="0" w:color="auto"/>
        <w:bottom w:val="none" w:sz="0" w:space="0" w:color="auto"/>
        <w:right w:val="none" w:sz="0" w:space="0" w:color="auto"/>
      </w:divBdr>
    </w:div>
    <w:div w:id="1790735832">
      <w:bodyDiv w:val="1"/>
      <w:marLeft w:val="0"/>
      <w:marRight w:val="0"/>
      <w:marTop w:val="0"/>
      <w:marBottom w:val="0"/>
      <w:divBdr>
        <w:top w:val="none" w:sz="0" w:space="0" w:color="auto"/>
        <w:left w:val="none" w:sz="0" w:space="0" w:color="auto"/>
        <w:bottom w:val="none" w:sz="0" w:space="0" w:color="auto"/>
        <w:right w:val="none" w:sz="0" w:space="0" w:color="auto"/>
      </w:divBdr>
    </w:div>
    <w:div w:id="1950118414">
      <w:bodyDiv w:val="1"/>
      <w:marLeft w:val="0"/>
      <w:marRight w:val="0"/>
      <w:marTop w:val="0"/>
      <w:marBottom w:val="0"/>
      <w:divBdr>
        <w:top w:val="none" w:sz="0" w:space="0" w:color="auto"/>
        <w:left w:val="none" w:sz="0" w:space="0" w:color="auto"/>
        <w:bottom w:val="none" w:sz="0" w:space="0" w:color="auto"/>
        <w:right w:val="none" w:sz="0" w:space="0" w:color="auto"/>
      </w:divBdr>
    </w:div>
    <w:div w:id="1963413534">
      <w:bodyDiv w:val="1"/>
      <w:marLeft w:val="0"/>
      <w:marRight w:val="0"/>
      <w:marTop w:val="0"/>
      <w:marBottom w:val="0"/>
      <w:divBdr>
        <w:top w:val="none" w:sz="0" w:space="0" w:color="auto"/>
        <w:left w:val="none" w:sz="0" w:space="0" w:color="auto"/>
        <w:bottom w:val="none" w:sz="0" w:space="0" w:color="auto"/>
        <w:right w:val="none" w:sz="0" w:space="0" w:color="auto"/>
      </w:divBdr>
    </w:div>
    <w:div w:id="1974678036">
      <w:bodyDiv w:val="1"/>
      <w:marLeft w:val="0"/>
      <w:marRight w:val="0"/>
      <w:marTop w:val="0"/>
      <w:marBottom w:val="0"/>
      <w:divBdr>
        <w:top w:val="none" w:sz="0" w:space="0" w:color="auto"/>
        <w:left w:val="none" w:sz="0" w:space="0" w:color="auto"/>
        <w:bottom w:val="none" w:sz="0" w:space="0" w:color="auto"/>
        <w:right w:val="none" w:sz="0" w:space="0" w:color="auto"/>
      </w:divBdr>
    </w:div>
    <w:div w:id="1991862162">
      <w:bodyDiv w:val="1"/>
      <w:marLeft w:val="0"/>
      <w:marRight w:val="0"/>
      <w:marTop w:val="0"/>
      <w:marBottom w:val="0"/>
      <w:divBdr>
        <w:top w:val="none" w:sz="0" w:space="0" w:color="auto"/>
        <w:left w:val="none" w:sz="0" w:space="0" w:color="auto"/>
        <w:bottom w:val="none" w:sz="0" w:space="0" w:color="auto"/>
        <w:right w:val="none" w:sz="0" w:space="0" w:color="auto"/>
      </w:divBdr>
    </w:div>
    <w:div w:id="2100058176">
      <w:bodyDiv w:val="1"/>
      <w:marLeft w:val="0"/>
      <w:marRight w:val="0"/>
      <w:marTop w:val="0"/>
      <w:marBottom w:val="0"/>
      <w:divBdr>
        <w:top w:val="none" w:sz="0" w:space="0" w:color="auto"/>
        <w:left w:val="none" w:sz="0" w:space="0" w:color="auto"/>
        <w:bottom w:val="none" w:sz="0" w:space="0" w:color="auto"/>
        <w:right w:val="none" w:sz="0" w:space="0" w:color="auto"/>
      </w:divBdr>
    </w:div>
    <w:div w:id="2104910651">
      <w:bodyDiv w:val="1"/>
      <w:marLeft w:val="0"/>
      <w:marRight w:val="0"/>
      <w:marTop w:val="0"/>
      <w:marBottom w:val="0"/>
      <w:divBdr>
        <w:top w:val="none" w:sz="0" w:space="0" w:color="auto"/>
        <w:left w:val="none" w:sz="0" w:space="0" w:color="auto"/>
        <w:bottom w:val="none" w:sz="0" w:space="0" w:color="auto"/>
        <w:right w:val="none" w:sz="0" w:space="0" w:color="auto"/>
      </w:divBdr>
    </w:div>
    <w:div w:id="2133670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Gil19</b:Tag>
    <b:SourceType>InternetSite</b:SourceType>
    <b:Guid>{84E0F24A-BB22-45CD-87CC-17C4F9CC4450}</b:Guid>
    <b:Author>
      <b:Author>
        <b:NameList>
          <b:Person>
            <b:Last>Laing</b:Last>
            <b:First>Gill</b:First>
          </b:Person>
        </b:NameList>
      </b:Author>
    </b:Author>
    <b:Title>Equity Law: An Introduction</b:Title>
    <b:Year>2019</b:Year>
    <b:YearAccessed>2023</b:YearAccessed>
    <b:MonthAccessed>March</b:MonthAccessed>
    <b:DayAccessed>2</b:DayAccessed>
    <b:URL>https://www.lawble.co.uk/equity-law/</b:URL>
    <b:RefOrder>1</b:RefOrder>
  </b:Source>
  <b:Source>
    <b:Tag>Lex201</b:Tag>
    <b:SourceType>InternetSite</b:SourceType>
    <b:Guid>{AC6829F2-ABD3-4765-8A93-514D4D4A236B}</b:Guid>
    <b:Author>
      <b:Author>
        <b:Corporate>Lexis</b:Corporate>
      </b:Author>
    </b:Author>
    <b:Title>Obiter dictum</b:Title>
    <b:Year>2020</b:Year>
    <b:YearAccessed>2023</b:YearAccessed>
    <b:MonthAccessed>March</b:MonthAccessed>
    <b:DayAccessed>5</b:DayAccessed>
    <b:URL>https://plus-lexis-com.ezproxy.uwtsd.ac.uk/uk/document/?pdmfid=1001073&amp;crid=be5c4ec2-d827-46ad-9915-1a36f65d86d6&amp;pddocfullpath=%2Fshared%2Fdocument%2Fpractical-guidance-uk%2Furn%3AcontentItem%3A57Y6-1491-DXRG-719X-00000-00&amp;pdcontentcomponentid=363732&amp;pdte</b:URL>
    <b:RefOrder>3</b:RefOrder>
  </b:Source>
  <b:Source>
    <b:Tag>Lex20</b:Tag>
    <b:SourceType>InternetSite</b:SourceType>
    <b:Guid>{AB8041E2-3932-41DA-8023-4E2C3115D37F}</b:Guid>
    <b:Author>
      <b:Author>
        <b:Corporate>Lexis</b:Corporate>
      </b:Author>
    </b:Author>
    <b:Title>Ratio decidendi</b:Title>
    <b:Year>2020</b:Year>
    <b:YearAccessed>2023</b:YearAccessed>
    <b:MonthAccessed>March</b:MonthAccessed>
    <b:DayAccessed>5</b:DayAccessed>
    <b:URL>https://plus-lexis-com.ezproxy.uwtsd.ac.uk/uk/document/documentlink/?pdmfid=1001073&amp;crid=cfe6b8ed-96d7-4297-92bf-5fe6502aa644&amp;pddocfullpath=%2Fshared%2Fdocument%2Fanalytical-materials-uk%2Furn%3AcontentItem%3A610S-8WV3-CGXG-03B5-00000-00&amp;pdcontentcomponen</b:URL>
    <b:RefOrder>2</b:RefOrder>
  </b:Source>
  <b:Source>
    <b:Tag>hal19</b:Tag>
    <b:SourceType>InternetSite</b:SourceType>
    <b:Guid>{2247E8A6-AB68-428B-A7BF-D64F9082E56D}</b:Guid>
    <b:Title>burden of proof and balance of probabilities in civil litigation (simplified)</b:Title>
    <b:Year>2019</b:Year>
    <b:Author>
      <b:Author>
        <b:NameList>
          <b:Person>
            <b:Last>hallellis</b:Last>
          </b:Person>
        </b:NameList>
      </b:Author>
    </b:Author>
    <b:YearAccessed>2023</b:YearAccessed>
    <b:MonthAccessed>March</b:MonthAccessed>
    <b:DayAccessed>2</b:DayAccessed>
    <b:URL>https://hallellis.co.uk/burden-proof-balance-probabilities/</b:URL>
    <b:RefOrder>4</b:RefOrder>
  </b:Source>
  <b:Source>
    <b:Tag>HHJ09</b:Tag>
    <b:SourceType>InternetSite</b:SourceType>
    <b:Guid>{DC654811-D408-4CC0-9718-9EABEE77D4B7}</b:Guid>
    <b:Author>
      <b:Author>
        <b:NameList>
          <b:Person>
            <b:Last>Davies</b:Last>
            <b:First>HHJ</b:First>
            <b:Middle>Stephen</b:Middle>
          </b:Person>
        </b:NameList>
      </b:Author>
    </b:Author>
    <b:Title>Proof on the balance of probabilities: what this means in practice</b:Title>
    <b:Year>2009</b:Year>
    <b:YearAccessed>2023</b:YearAccessed>
    <b:MonthAccessed>March</b:MonthAccessed>
    <b:DayAccessed>2</b:DayAccessed>
    <b:URL>https://uk.practicallaw.thomsonreuters.com/2-500-6576?contextData=(sc.Default)&amp;transitionType=Default&amp;firstPage=true</b:URL>
    <b:RefOrder>5</b:RefOrder>
  </b:Source>
  <b:Source>
    <b:Tag>Joh88</b:Tag>
    <b:SourceType>Book</b:SourceType>
    <b:Guid>{65D70E52-51BD-43A2-87BA-B5DD5275F0C7}</b:Guid>
    <b:Title>The Oxford illustrated history of the British monarchy</b:Title>
    <b:Year>1988</b:Year>
    <b:City>Oxford </b:City>
    <b:Publisher>Oxford University Press</b:Publisher>
    <b:Author>
      <b:Author>
        <b:NameList>
          <b:Person>
            <b:Last>Cannon</b:Last>
            <b:First>John</b:First>
          </b:Person>
        </b:NameList>
      </b:Author>
    </b:Author>
    <b:Edition>1st</b:Edition>
    <b:RefOrder>6</b:RefOrder>
  </b:Source>
  <b:Source>
    <b:Tag>Cou20</b:Tag>
    <b:SourceType>InternetSite</b:SourceType>
    <b:Guid>{EB4AE5B7-AA58-4226-857A-45D8FC42A8A2}</b:Guid>
    <b:Title>Structure of the Courts &amp; Tribunals system</b:Title>
    <b:Year>2020</b:Year>
    <b:Author>
      <b:Author>
        <b:Corporate>Courts and Tribunals Judiciary</b:Corporate>
      </b:Author>
    </b:Author>
    <b:YearAccessed>2023</b:YearAccessed>
    <b:MonthAccessed>March</b:MonthAccessed>
    <b:DayAccessed>5</b:DayAccessed>
    <b:URL>https://www.judiciary.uk/about-the-judiciary/our-justice-system/court-structure/</b:URL>
    <b:RefOrder>7</b:RefOrder>
  </b:Source>
  <b:Source>
    <b:Tag>UKG22</b:Tag>
    <b:SourceType>InternetSite</b:SourceType>
    <b:Guid>{07A2D6DC-300E-44FD-8564-2C24E9287603}</b:Guid>
    <b:Author>
      <b:Author>
        <b:Corporate>UK Government </b:Corporate>
      </b:Author>
    </b:Author>
    <b:Title>King's Bench Division of the High Court</b:Title>
    <b:Year>2022</b:Year>
    <b:YearAccessed>2023</b:YearAccessed>
    <b:MonthAccessed>March</b:MonthAccessed>
    <b:DayAccessed>5</b:DayAccessed>
    <b:URL>https://www.gov.uk/courts-tribunals/kings-bench-division-of-the-high-court</b:URL>
    <b:RefOrder>10</b:RefOrder>
  </b:Source>
  <b:Source>
    <b:Tag>Lex202</b:Tag>
    <b:SourceType>InternetSite</b:SourceType>
    <b:Guid>{7E00FC4F-B43E-4DD9-A3BE-6FF07C08C0C1}</b:Guid>
    <b:Author>
      <b:Author>
        <b:Corporate>Lexis</b:Corporate>
      </b:Author>
    </b:Author>
    <b:Title>Carlill v Carbolic Smoke Ball Co</b:Title>
    <b:Year>2020</b:Year>
    <b:YearAccessed>2023</b:YearAccessed>
    <b:MonthAccessed>March</b:MonthAccessed>
    <b:DayAccessed>7</b:DayAccessed>
    <b:URL>https://plus-lexis-com.ezproxy.uwtsd.ac.uk/uk/document/?pdmfid=1001073&amp;crid=8deefa4c-2f39-4a9f-b6d1-0114e3b9d54c&amp;pddocfullpath=%2Fshared%2Fdocument%2Fcases-uk%2Furn%3AcontentItem%3A4FPP-FDM0-TWXJ-212X-00000-00&amp;pdcontentcomponentid=279846&amp;pdteaserkey=&amp;pdis</b:URL>
    <b:RefOrder>11</b:RefOrder>
  </b:Source>
  <b:Source>
    <b:Tag>Lex203</b:Tag>
    <b:SourceType>InternetSite</b:SourceType>
    <b:Guid>{03EDC707-AAA4-41A4-AEE4-BAEAC336EA1D}</b:Guid>
    <b:Author>
      <b:Author>
        <b:Corporate>Lexis</b:Corporate>
      </b:Author>
    </b:Author>
    <b:Title>Harvela Investments Ltd v Royal Trust Co of Canada (CI) Ltd</b:Title>
    <b:Year>2020</b:Year>
    <b:YearAccessed>2023</b:YearAccessed>
    <b:MonthAccessed>March</b:MonthAccessed>
    <b:DayAccessed>7</b:DayAccessed>
    <b:URL>https://plus-lexis-com.ezproxy.uwtsd.ac.uk/uk/document/documentlink/?pdmfid=1001073&amp;crid=94a1fffd-f59f-4039-b4e7-f49459f9a95d&amp;pddocfullpath=%2Fshared%2Fdocument%2Fcases-uk%2Furn%3AcontentItem%3A4CSP-3KT0-TWP1-60VC-00000-00&amp;pdcontentcomponentid=274668&amp;pdpr</b:URL>
    <b:RefOrder>12</b:RefOrder>
  </b:Source>
  <b:Source>
    <b:Tag>Hou88</b:Tag>
    <b:SourceType>Book</b:SourceType>
    <b:Guid>{9D36BD7E-68B5-4F5C-93A5-946A8545DAE4}</b:Guid>
    <b:Title>The Oxford illustrated history of the British monarchy</b:Title>
    <b:Year>1988</b:Year>
    <b:Author>
      <b:Author>
        <b:Corporate>Hourly History</b:Corporate>
      </b:Author>
    </b:Author>
    <b:City>Oxford</b:City>
    <b:Publisher>Oxford University Press</b:Publisher>
    <b:Edition>1st</b:Edition>
    <b:RefOrder>8</b:RefOrder>
  </b:Source>
  <b:Source>
    <b:Tag>Lex204</b:Tag>
    <b:SourceType>InternetSite</b:SourceType>
    <b:Guid>{14B29986-D16C-4680-B4FA-63AE24F5E446}</b:Guid>
    <b:Author>
      <b:Author>
        <b:Corporate>Lexis</b:Corporate>
      </b:Author>
    </b:Author>
    <b:Title>If an easement secured on the title following an express grant is infringed upon by another third party's easement (acquired and registered by prescription) which takes precedence? Does this fact entitle a third party to claim that the express easement is</b:Title>
    <b:Year>2020</b:Year>
    <b:YearAccessed>2023</b:YearAccessed>
    <b:MonthAccessed>March</b:MonthAccessed>
    <b:DayAccessed>7</b:DayAccessed>
    <b:URL>https://plus-lexis-com.ezproxy.uwtsd.ac.uk/uk/document/?pdmfid=undefined&amp;pddocfullpath=%2Fshared%2Fdocument%2Fpractical-guidance-uk%2Furn%3AcontentItem%3A5YRD-0MT3-GXFD-8398-00000-00&amp;crid=f5ef9398-fb87-4cdf-aaf3-6201137347fb</b:URL>
    <b:RefOrder>9</b:RefOrder>
  </b:Source>
</b:Sources>
</file>

<file path=customXml/itemProps1.xml><?xml version="1.0" encoding="utf-8"?>
<ds:datastoreItem xmlns:ds="http://schemas.openxmlformats.org/officeDocument/2006/customXml" ds:itemID="{A3030A26-A431-4322-BD5C-72BBFB2BA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1683</Words>
  <Characters>9595</Characters>
  <Application>Microsoft Office Word</Application>
  <DocSecurity>0</DocSecurity>
  <Lines>79</Lines>
  <Paragraphs>22</Paragraphs>
  <ScaleCrop>false</ScaleCrop>
  <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Ford (2203507)</dc:creator>
  <cp:keywords/>
  <dc:description/>
  <cp:lastModifiedBy>Charlotte</cp:lastModifiedBy>
  <cp:revision>2</cp:revision>
  <dcterms:created xsi:type="dcterms:W3CDTF">2023-03-10T17:51:00Z</dcterms:created>
  <dcterms:modified xsi:type="dcterms:W3CDTF">2023-03-10T17:51:00Z</dcterms:modified>
</cp:coreProperties>
</file>