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1BCB8FBF" w14:textId="77777777" w:rsidR="00B408B0" w:rsidRPr="00064028" w:rsidRDefault="00B408B0" w:rsidP="00B408B0">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 xml:space="preserve">Learner’s name: </w:t>
            </w:r>
            <w:r>
              <w:rPr>
                <w:rFonts w:ascii="Times New Roman" w:hAnsi="Times New Roman" w:cs="Times New Roman"/>
                <w:bCs/>
                <w:color w:val="auto"/>
                <w:sz w:val="48"/>
              </w:rPr>
              <w:t>Lauren Goffin</w:t>
            </w:r>
          </w:p>
          <w:p w14:paraId="6B566076" w14:textId="77777777" w:rsidR="00B408B0" w:rsidRDefault="00B408B0" w:rsidP="00B408B0">
            <w:pPr>
              <w:overflowPunct/>
              <w:autoSpaceDE/>
              <w:autoSpaceDN/>
              <w:adjustRightInd/>
              <w:ind w:right="-957"/>
              <w:textAlignment w:val="auto"/>
              <w:rPr>
                <w:rFonts w:ascii="Times New Roman" w:hAnsi="Times New Roman" w:cs="Times New Roman"/>
                <w:b/>
                <w:color w:val="auto"/>
                <w:sz w:val="48"/>
              </w:rPr>
            </w:pPr>
          </w:p>
          <w:p w14:paraId="6BBF730B" w14:textId="77777777" w:rsidR="00B408B0" w:rsidRPr="00535380" w:rsidRDefault="00B408B0" w:rsidP="00B408B0">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 xml:space="preserve">Email address: </w:t>
            </w:r>
            <w:hyperlink r:id="rId11" w:history="1">
              <w:r w:rsidRPr="00A63E5D">
                <w:rPr>
                  <w:rStyle w:val="Hyperlink"/>
                  <w:rFonts w:ascii="Times New Roman" w:hAnsi="Times New Roman" w:cs="Times New Roman"/>
                  <w:bCs/>
                  <w:sz w:val="48"/>
                </w:rPr>
                <w:t>lauren.g1996@hotmail.co.uk</w:t>
              </w:r>
            </w:hyperlink>
            <w:r>
              <w:rPr>
                <w:rFonts w:ascii="Times New Roman" w:hAnsi="Times New Roman" w:cs="Times New Roman"/>
                <w:bCs/>
                <w:color w:val="auto"/>
                <w:sz w:val="48"/>
              </w:rPr>
              <w:t xml:space="preserve"> </w:t>
            </w:r>
          </w:p>
          <w:p w14:paraId="2AAD67A8" w14:textId="77777777" w:rsidR="00B408B0" w:rsidRDefault="00B408B0" w:rsidP="00B408B0">
            <w:pPr>
              <w:overflowPunct/>
              <w:autoSpaceDE/>
              <w:autoSpaceDN/>
              <w:adjustRightInd/>
              <w:ind w:right="-957"/>
              <w:textAlignment w:val="auto"/>
              <w:rPr>
                <w:rFonts w:ascii="Times New Roman" w:hAnsi="Times New Roman" w:cs="Times New Roman"/>
                <w:b/>
                <w:color w:val="auto"/>
                <w:sz w:val="48"/>
              </w:rPr>
            </w:pPr>
          </w:p>
          <w:p w14:paraId="596E58D8" w14:textId="77777777" w:rsidR="00B408B0" w:rsidRDefault="00B408B0" w:rsidP="00B408B0">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14:paraId="795334E0" w14:textId="77777777" w:rsidR="00B408B0" w:rsidRPr="000E273F" w:rsidRDefault="00B408B0" w:rsidP="00B408B0">
            <w:pPr>
              <w:overflowPunct/>
              <w:autoSpaceDE/>
              <w:autoSpaceDN/>
              <w:adjustRightInd/>
              <w:ind w:right="-957"/>
              <w:textAlignment w:val="auto"/>
              <w:rPr>
                <w:rFonts w:ascii="Times New Roman" w:hAnsi="Times New Roman" w:cs="Times New Roman"/>
                <w:bCs/>
                <w:color w:val="auto"/>
                <w:sz w:val="48"/>
              </w:rPr>
            </w:pPr>
            <w:r w:rsidRPr="000E273F">
              <w:rPr>
                <w:rFonts w:ascii="Times New Roman" w:hAnsi="Times New Roman" w:cs="Times New Roman"/>
                <w:bCs/>
                <w:color w:val="auto"/>
                <w:sz w:val="48"/>
              </w:rPr>
              <w:t>2520750</w:t>
            </w:r>
          </w:p>
          <w:p w14:paraId="0820707C" w14:textId="77777777" w:rsidR="00B408B0" w:rsidRPr="005D3F07" w:rsidRDefault="00B408B0" w:rsidP="00B408B0">
            <w:pPr>
              <w:overflowPunct/>
              <w:autoSpaceDE/>
              <w:autoSpaceDN/>
              <w:adjustRightInd/>
              <w:ind w:right="-957"/>
              <w:textAlignment w:val="auto"/>
              <w:rPr>
                <w:rFonts w:ascii="Times New Roman" w:hAnsi="Times New Roman" w:cs="Times New Roman"/>
                <w:b/>
                <w:color w:val="auto"/>
                <w:sz w:val="48"/>
              </w:rPr>
            </w:pPr>
          </w:p>
          <w:p w14:paraId="5F84129B" w14:textId="5F88094E" w:rsidR="0085230E" w:rsidRPr="005D3F07" w:rsidRDefault="00B408B0" w:rsidP="00B408B0">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50552EC6" w14:textId="77777777" w:rsidR="004053B0" w:rsidRDefault="004053B0" w:rsidP="004053B0">
            <w:pPr>
              <w:jc w:val="both"/>
              <w:rPr>
                <w:sz w:val="24"/>
                <w:szCs w:val="24"/>
              </w:rPr>
            </w:pPr>
            <w:r w:rsidRPr="004053B0">
              <w:rPr>
                <w:sz w:val="24"/>
                <w:szCs w:val="24"/>
              </w:rPr>
              <w:t>Safeguarding within children’s social services is a fundamental duty to protect children from harm, abuse, neglect, and exploitation. In Wales this responsibility is governed by a framework of legislation, policies, and procedures that align the international, national, local, and organisational standards.</w:t>
            </w:r>
          </w:p>
          <w:p w14:paraId="7EF9A7B6" w14:textId="77777777" w:rsidR="004053B0" w:rsidRPr="004053B0" w:rsidRDefault="004053B0" w:rsidP="004053B0">
            <w:pPr>
              <w:jc w:val="both"/>
              <w:rPr>
                <w:sz w:val="24"/>
                <w:szCs w:val="24"/>
              </w:rPr>
            </w:pPr>
          </w:p>
          <w:p w14:paraId="6EF04236" w14:textId="77777777" w:rsidR="004053B0" w:rsidRPr="004053B0" w:rsidRDefault="004053B0" w:rsidP="004053B0">
            <w:pPr>
              <w:jc w:val="both"/>
              <w:rPr>
                <w:sz w:val="24"/>
                <w:szCs w:val="24"/>
              </w:rPr>
            </w:pPr>
            <w:r w:rsidRPr="004053B0">
              <w:rPr>
                <w:b/>
                <w:bCs/>
                <w:sz w:val="24"/>
                <w:szCs w:val="24"/>
              </w:rPr>
              <w:t>International and European Legislation</w:t>
            </w:r>
          </w:p>
          <w:p w14:paraId="1228FB1F" w14:textId="747D4228" w:rsidR="004053B0" w:rsidRDefault="004053B0" w:rsidP="004053B0">
            <w:pPr>
              <w:jc w:val="both"/>
              <w:rPr>
                <w:sz w:val="24"/>
                <w:szCs w:val="24"/>
              </w:rPr>
            </w:pPr>
            <w:r w:rsidRPr="004053B0">
              <w:rPr>
                <w:sz w:val="24"/>
                <w:szCs w:val="24"/>
              </w:rPr>
              <w:t>United Nations Convention on the Rights of the Child (UNCRC)(19</w:t>
            </w:r>
            <w:r w:rsidR="00741393">
              <w:rPr>
                <w:sz w:val="24"/>
                <w:szCs w:val="24"/>
              </w:rPr>
              <w:t>89</w:t>
            </w:r>
            <w:r w:rsidRPr="004053B0">
              <w:rPr>
                <w:sz w:val="24"/>
                <w:szCs w:val="24"/>
              </w:rPr>
              <w:t xml:space="preserve">) underpins all child protection legislation, ensuring children’s rights to safety, protection, and participation. The European Convention on Human Rights (ECHR), embedded in UK law through the Human Rights Act 1998, notes the fundamental rights. For example: the right to life, protection from inhumane treatment, and the right to private family life. These principles guide all safeguarding practice and policy, ensuring that children’s welfare is prioritised. Sometimes there can be conflict between these, such as a right to protection and right to private family life. </w:t>
            </w:r>
          </w:p>
          <w:p w14:paraId="2AF1B8BA" w14:textId="77777777" w:rsidR="001551AF" w:rsidRPr="004053B0" w:rsidRDefault="001551AF" w:rsidP="004053B0">
            <w:pPr>
              <w:jc w:val="both"/>
              <w:rPr>
                <w:sz w:val="24"/>
                <w:szCs w:val="24"/>
              </w:rPr>
            </w:pPr>
          </w:p>
          <w:p w14:paraId="49367E25" w14:textId="77777777" w:rsidR="004053B0" w:rsidRPr="004053B0" w:rsidRDefault="004053B0" w:rsidP="004053B0">
            <w:pPr>
              <w:jc w:val="both"/>
              <w:rPr>
                <w:sz w:val="24"/>
                <w:szCs w:val="24"/>
              </w:rPr>
            </w:pPr>
            <w:r w:rsidRPr="004053B0">
              <w:rPr>
                <w:b/>
                <w:bCs/>
                <w:sz w:val="24"/>
                <w:szCs w:val="24"/>
              </w:rPr>
              <w:t>National (including Wales) Legislation,</w:t>
            </w:r>
            <w:r w:rsidRPr="004053B0">
              <w:rPr>
                <w:sz w:val="24"/>
                <w:szCs w:val="24"/>
              </w:rPr>
              <w:t xml:space="preserve"> </w:t>
            </w:r>
            <w:r w:rsidRPr="004053B0">
              <w:rPr>
                <w:b/>
                <w:bCs/>
                <w:sz w:val="24"/>
                <w:szCs w:val="24"/>
              </w:rPr>
              <w:t>Policies and Procedures</w:t>
            </w:r>
          </w:p>
          <w:p w14:paraId="4A923FE3" w14:textId="733A2C2F" w:rsidR="004053B0" w:rsidRDefault="004053B0" w:rsidP="004053B0">
            <w:pPr>
              <w:jc w:val="both"/>
              <w:rPr>
                <w:sz w:val="24"/>
                <w:szCs w:val="24"/>
              </w:rPr>
            </w:pPr>
            <w:r w:rsidRPr="004053B0">
              <w:rPr>
                <w:sz w:val="24"/>
                <w:szCs w:val="24"/>
              </w:rPr>
              <w:t xml:space="preserve">The Children Act </w:t>
            </w:r>
            <w:r w:rsidR="009D1B55">
              <w:rPr>
                <w:sz w:val="24"/>
                <w:szCs w:val="24"/>
              </w:rPr>
              <w:t>1989</w:t>
            </w:r>
            <w:r w:rsidRPr="004053B0">
              <w:rPr>
                <w:sz w:val="24"/>
                <w:szCs w:val="24"/>
              </w:rPr>
              <w:t xml:space="preserve"> provides the core legal framework for safeguarding children. In Wales, the Social Services and Well-being (Wales) Act 2014 updates the duties of social services,</w:t>
            </w:r>
            <w:r w:rsidR="00682C7E">
              <w:rPr>
                <w:sz w:val="24"/>
                <w:szCs w:val="24"/>
              </w:rPr>
              <w:t xml:space="preserve"> </w:t>
            </w:r>
            <w:proofErr w:type="spellStart"/>
            <w:r w:rsidR="00682C7E">
              <w:rPr>
                <w:sz w:val="24"/>
                <w:szCs w:val="24"/>
              </w:rPr>
              <w:t>inlcuding</w:t>
            </w:r>
            <w:proofErr w:type="spellEnd"/>
            <w:r w:rsidR="00682C7E">
              <w:rPr>
                <w:sz w:val="24"/>
                <w:szCs w:val="24"/>
              </w:rPr>
              <w:t xml:space="preserve"> adults,</w:t>
            </w:r>
            <w:r w:rsidRPr="004053B0">
              <w:rPr>
                <w:sz w:val="24"/>
                <w:szCs w:val="24"/>
              </w:rPr>
              <w:t xml:space="preserve"> placing a strong emphasis on the well-being, voice, and participation of children. Additionally, the Equality Act 2010 ensures practice is non-discriminatory and that all children receive equitable support.</w:t>
            </w:r>
          </w:p>
          <w:p w14:paraId="761F5BEC" w14:textId="77777777" w:rsidR="001551AF" w:rsidRPr="004053B0" w:rsidRDefault="001551AF" w:rsidP="004053B0">
            <w:pPr>
              <w:jc w:val="both"/>
              <w:rPr>
                <w:sz w:val="24"/>
                <w:szCs w:val="24"/>
              </w:rPr>
            </w:pPr>
          </w:p>
          <w:p w14:paraId="67A9B743" w14:textId="77777777" w:rsidR="004053B0" w:rsidRDefault="004053B0" w:rsidP="004053B0">
            <w:pPr>
              <w:jc w:val="both"/>
              <w:rPr>
                <w:sz w:val="24"/>
                <w:szCs w:val="24"/>
              </w:rPr>
            </w:pPr>
            <w:r w:rsidRPr="004053B0">
              <w:rPr>
                <w:sz w:val="24"/>
                <w:szCs w:val="24"/>
              </w:rPr>
              <w:t>The Violence against Women, Domestic Abuse and Sexual Violence (Wales) Act 2015 (VAWDASV) is also relevant. This Act aims to improve arrangements for the prevention, protection, and support of those affected by such violence, including children who may be victims. It places duties on public bodies (including local authorities and health boards) to ensure staff are trained in identifying and responding to domestic abuse and sexual violence via ‘ask and act’.</w:t>
            </w:r>
          </w:p>
          <w:p w14:paraId="706CE6D1" w14:textId="77777777" w:rsidR="001551AF" w:rsidRPr="004053B0" w:rsidRDefault="001551AF" w:rsidP="004053B0">
            <w:pPr>
              <w:jc w:val="both"/>
              <w:rPr>
                <w:sz w:val="24"/>
                <w:szCs w:val="24"/>
              </w:rPr>
            </w:pPr>
          </w:p>
          <w:p w14:paraId="74E87056" w14:textId="0C98D79F" w:rsidR="004053B0" w:rsidRDefault="004053B0" w:rsidP="004053B0">
            <w:pPr>
              <w:jc w:val="both"/>
              <w:rPr>
                <w:sz w:val="24"/>
                <w:szCs w:val="24"/>
              </w:rPr>
            </w:pPr>
            <w:r w:rsidRPr="004053B0">
              <w:rPr>
                <w:sz w:val="24"/>
                <w:szCs w:val="24"/>
              </w:rPr>
              <w:lastRenderedPageBreak/>
              <w:t>The Welsh Government’s Working Together to Safeguard People</w:t>
            </w:r>
            <w:r w:rsidR="004965A2">
              <w:rPr>
                <w:sz w:val="24"/>
                <w:szCs w:val="24"/>
              </w:rPr>
              <w:t xml:space="preserve"> (2022) </w:t>
            </w:r>
            <w:r w:rsidRPr="004053B0">
              <w:rPr>
                <w:sz w:val="24"/>
                <w:szCs w:val="24"/>
              </w:rPr>
              <w:t xml:space="preserve">statutory guidance sets out expectations for organisations and </w:t>
            </w:r>
            <w:proofErr w:type="spellStart"/>
            <w:r w:rsidRPr="004053B0">
              <w:rPr>
                <w:sz w:val="24"/>
                <w:szCs w:val="24"/>
              </w:rPr>
              <w:t>professionals,noting</w:t>
            </w:r>
            <w:proofErr w:type="spellEnd"/>
            <w:r w:rsidRPr="004053B0">
              <w:rPr>
                <w:sz w:val="24"/>
                <w:szCs w:val="24"/>
              </w:rPr>
              <w:t xml:space="preserve"> the importance of multi-agency collaboration and information sharing. </w:t>
            </w:r>
          </w:p>
          <w:p w14:paraId="4FB5310E" w14:textId="77777777" w:rsidR="001551AF" w:rsidRPr="004053B0" w:rsidRDefault="001551AF" w:rsidP="004053B0">
            <w:pPr>
              <w:jc w:val="both"/>
              <w:rPr>
                <w:sz w:val="24"/>
                <w:szCs w:val="24"/>
              </w:rPr>
            </w:pPr>
          </w:p>
          <w:p w14:paraId="142A7BC5" w14:textId="77777777" w:rsidR="004053B0" w:rsidRDefault="004053B0" w:rsidP="004053B0">
            <w:pPr>
              <w:jc w:val="both"/>
              <w:rPr>
                <w:sz w:val="24"/>
                <w:szCs w:val="24"/>
              </w:rPr>
            </w:pPr>
            <w:r w:rsidRPr="004053B0">
              <w:rPr>
                <w:sz w:val="24"/>
                <w:szCs w:val="24"/>
              </w:rPr>
              <w:t xml:space="preserve">For young people aged 16 and over, the Mental Capacity Act 2005 provides a legal framework to empower and protect those who may lack the capacity to make decisions for themselves. The Deprivation of Liberty Safeguards (DoLS) offer additional protections, ensuring that any restrictions on a person’s freedom are lawful and in their best interests. Whilst this is mainly used in adult services, due to the age being 16 and over, it is important that children services are aware. </w:t>
            </w:r>
          </w:p>
          <w:p w14:paraId="0F376D14" w14:textId="77777777" w:rsidR="001551AF" w:rsidRPr="004053B0" w:rsidRDefault="001551AF" w:rsidP="004053B0">
            <w:pPr>
              <w:jc w:val="both"/>
              <w:rPr>
                <w:sz w:val="24"/>
                <w:szCs w:val="24"/>
              </w:rPr>
            </w:pPr>
          </w:p>
          <w:p w14:paraId="3CDAF707" w14:textId="77777777" w:rsidR="004053B0" w:rsidRDefault="004053B0" w:rsidP="004053B0">
            <w:pPr>
              <w:jc w:val="both"/>
              <w:rPr>
                <w:sz w:val="24"/>
                <w:szCs w:val="24"/>
              </w:rPr>
            </w:pPr>
            <w:r w:rsidRPr="004053B0">
              <w:rPr>
                <w:sz w:val="24"/>
                <w:szCs w:val="24"/>
              </w:rPr>
              <w:t>The Social Care Wales Code of Professional Practice (2017, updated in 2026) sets out the standards of conduct and practice required of social care workers in Wales. This code underpins safe and ethical practice, emphasising respect, dignity, integrity and voice. Adherence to these professional standards supports to maintaining public trust and ensuring high-quality safeguarding practices.</w:t>
            </w:r>
          </w:p>
          <w:p w14:paraId="7471D343" w14:textId="77777777" w:rsidR="001551AF" w:rsidRPr="004053B0" w:rsidRDefault="001551AF" w:rsidP="004053B0">
            <w:pPr>
              <w:jc w:val="both"/>
              <w:rPr>
                <w:sz w:val="24"/>
                <w:szCs w:val="24"/>
              </w:rPr>
            </w:pPr>
          </w:p>
          <w:p w14:paraId="3743A5CE" w14:textId="77777777" w:rsidR="004053B0" w:rsidRPr="004053B0" w:rsidRDefault="004053B0" w:rsidP="004053B0">
            <w:pPr>
              <w:jc w:val="both"/>
              <w:rPr>
                <w:sz w:val="24"/>
                <w:szCs w:val="24"/>
              </w:rPr>
            </w:pPr>
            <w:r w:rsidRPr="004053B0">
              <w:rPr>
                <w:b/>
                <w:bCs/>
                <w:sz w:val="24"/>
                <w:szCs w:val="24"/>
              </w:rPr>
              <w:t>Local Policies</w:t>
            </w:r>
          </w:p>
          <w:p w14:paraId="393C96A5" w14:textId="002471F8" w:rsidR="004053B0" w:rsidRDefault="004053B0" w:rsidP="004053B0">
            <w:pPr>
              <w:jc w:val="both"/>
              <w:rPr>
                <w:sz w:val="24"/>
                <w:szCs w:val="24"/>
              </w:rPr>
            </w:pPr>
            <w:r w:rsidRPr="004053B0">
              <w:rPr>
                <w:sz w:val="24"/>
                <w:szCs w:val="24"/>
              </w:rPr>
              <w:t xml:space="preserve">In my local </w:t>
            </w:r>
            <w:proofErr w:type="spellStart"/>
            <w:r w:rsidRPr="004053B0">
              <w:rPr>
                <w:sz w:val="24"/>
                <w:szCs w:val="24"/>
              </w:rPr>
              <w:t>authoritythe</w:t>
            </w:r>
            <w:proofErr w:type="spellEnd"/>
            <w:r w:rsidRPr="004053B0">
              <w:rPr>
                <w:sz w:val="24"/>
                <w:szCs w:val="24"/>
              </w:rPr>
              <w:t xml:space="preserve"> local Safeguarding Children Board considers safeguarding and includes representatives from local authorities, health, police, schools, and voluntary organisations. The Board is responsible for local policy development, multi-agency working, and managing serious case reviews. Local procedures note clear referral pathways and escalation processes for concerns about a child’s welfar</w:t>
            </w:r>
            <w:r w:rsidR="001E6796">
              <w:rPr>
                <w:sz w:val="24"/>
                <w:szCs w:val="24"/>
              </w:rPr>
              <w:t>e.</w:t>
            </w:r>
          </w:p>
          <w:p w14:paraId="40C5F762" w14:textId="77777777" w:rsidR="001551AF" w:rsidRPr="004053B0" w:rsidRDefault="001551AF" w:rsidP="004053B0">
            <w:pPr>
              <w:jc w:val="both"/>
              <w:rPr>
                <w:sz w:val="24"/>
                <w:szCs w:val="24"/>
              </w:rPr>
            </w:pPr>
          </w:p>
          <w:p w14:paraId="646C045E" w14:textId="77777777" w:rsidR="004053B0" w:rsidRPr="004053B0" w:rsidRDefault="004053B0" w:rsidP="004053B0">
            <w:pPr>
              <w:jc w:val="both"/>
              <w:rPr>
                <w:sz w:val="24"/>
                <w:szCs w:val="24"/>
              </w:rPr>
            </w:pPr>
            <w:r w:rsidRPr="004053B0">
              <w:rPr>
                <w:b/>
                <w:bCs/>
                <w:sz w:val="24"/>
                <w:szCs w:val="24"/>
              </w:rPr>
              <w:t>Organisational Policies and Procedures</w:t>
            </w:r>
          </w:p>
          <w:p w14:paraId="1EF06E7B" w14:textId="455600BB" w:rsidR="004053B0" w:rsidRPr="004053B0" w:rsidRDefault="004053B0" w:rsidP="004053B0">
            <w:pPr>
              <w:jc w:val="both"/>
              <w:rPr>
                <w:sz w:val="24"/>
                <w:szCs w:val="24"/>
              </w:rPr>
            </w:pPr>
            <w:r w:rsidRPr="004053B0">
              <w:rPr>
                <w:sz w:val="24"/>
                <w:szCs w:val="24"/>
              </w:rPr>
              <w:t>Within my local authority’s Children’s Services, staff must adhere to the organisational safeguarding policies (Local Authority, 2023) in addition to legislation. These include mandatory training, clear codes of conduct, robust recruitment checks, and clear whistleblowing procedures</w:t>
            </w:r>
            <w:r w:rsidR="001E6796">
              <w:rPr>
                <w:sz w:val="24"/>
                <w:szCs w:val="24"/>
              </w:rPr>
              <w:t xml:space="preserve"> as well as expectations for staff in terms of effective record keeping and prompt responses. </w:t>
            </w:r>
          </w:p>
          <w:p w14:paraId="08CB207B" w14:textId="77777777" w:rsidR="004053B0" w:rsidRPr="004053B0" w:rsidRDefault="004053B0" w:rsidP="004053B0">
            <w:pPr>
              <w:jc w:val="both"/>
              <w:rPr>
                <w:sz w:val="24"/>
                <w:szCs w:val="24"/>
              </w:rPr>
            </w:pPr>
          </w:p>
          <w:p w14:paraId="14883BA0" w14:textId="61C05EC9" w:rsidR="00FC0334" w:rsidRDefault="001551AF" w:rsidP="00FF7EBB">
            <w:pPr>
              <w:jc w:val="both"/>
              <w:rPr>
                <w:sz w:val="24"/>
                <w:szCs w:val="24"/>
              </w:rPr>
            </w:pPr>
            <w:r>
              <w:rPr>
                <w:sz w:val="24"/>
                <w:szCs w:val="24"/>
              </w:rPr>
              <w:t>Word count: 5</w:t>
            </w:r>
            <w:r w:rsidR="001E6796">
              <w:rPr>
                <w:sz w:val="24"/>
                <w:szCs w:val="24"/>
              </w:rPr>
              <w:t>41</w:t>
            </w: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5B29B41" w14:textId="77777777" w:rsidR="003866A8" w:rsidRDefault="003866A8" w:rsidP="003866A8">
            <w:pPr>
              <w:jc w:val="both"/>
              <w:rPr>
                <w:sz w:val="24"/>
                <w:szCs w:val="24"/>
              </w:rPr>
            </w:pPr>
            <w:r w:rsidRPr="003866A8">
              <w:rPr>
                <w:sz w:val="24"/>
                <w:szCs w:val="24"/>
              </w:rPr>
              <w:t xml:space="preserve">Safeguarding is fundamental in social care practice, but its application between adult and </w:t>
            </w:r>
            <w:proofErr w:type="spellStart"/>
            <w:r w:rsidRPr="003866A8">
              <w:rPr>
                <w:sz w:val="24"/>
                <w:szCs w:val="24"/>
              </w:rPr>
              <w:t>childrens</w:t>
            </w:r>
            <w:proofErr w:type="spellEnd"/>
            <w:r w:rsidRPr="003866A8">
              <w:rPr>
                <w:sz w:val="24"/>
                <w:szCs w:val="24"/>
              </w:rPr>
              <w:t xml:space="preserve"> services is different. While both aim to protect individuals from harm, abuse, and neglect, the principles, legal frameworks, and practical approaches differ. </w:t>
            </w:r>
          </w:p>
          <w:p w14:paraId="4D1FB40A" w14:textId="77777777" w:rsidR="003866A8" w:rsidRPr="003866A8" w:rsidRDefault="003866A8" w:rsidP="003866A8">
            <w:pPr>
              <w:jc w:val="both"/>
              <w:rPr>
                <w:sz w:val="24"/>
                <w:szCs w:val="24"/>
              </w:rPr>
            </w:pPr>
          </w:p>
          <w:p w14:paraId="2FFAC8C8" w14:textId="77777777" w:rsidR="003866A8" w:rsidRPr="003866A8" w:rsidRDefault="003866A8" w:rsidP="003866A8">
            <w:pPr>
              <w:jc w:val="both"/>
              <w:rPr>
                <w:sz w:val="24"/>
                <w:szCs w:val="24"/>
              </w:rPr>
            </w:pPr>
            <w:r w:rsidRPr="003866A8">
              <w:rPr>
                <w:sz w:val="24"/>
                <w:szCs w:val="24"/>
              </w:rPr>
              <w:t xml:space="preserve">One of the biggest differences is in relation to autonomy and consent. In </w:t>
            </w:r>
            <w:proofErr w:type="spellStart"/>
            <w:r w:rsidRPr="003866A8">
              <w:rPr>
                <w:sz w:val="24"/>
                <w:szCs w:val="24"/>
              </w:rPr>
              <w:t>childrens</w:t>
            </w:r>
            <w:proofErr w:type="spellEnd"/>
            <w:r w:rsidRPr="003866A8">
              <w:rPr>
                <w:sz w:val="24"/>
                <w:szCs w:val="24"/>
              </w:rPr>
              <w:t xml:space="preserve"> safeguarding, the main concern is always the welfare of the child. Children are considered vulnerable due to their age and dependency, and professionals are expected to act in their best interests, often making decisions on their behalf. There is a legal duty to intervene when there are concerns about a child’s safety, regardless of the child’s wishes or parental consent.</w:t>
            </w:r>
          </w:p>
          <w:p w14:paraId="42F57507" w14:textId="77777777" w:rsidR="003866A8" w:rsidRDefault="003866A8" w:rsidP="003866A8">
            <w:pPr>
              <w:jc w:val="both"/>
              <w:rPr>
                <w:sz w:val="24"/>
                <w:szCs w:val="24"/>
              </w:rPr>
            </w:pPr>
            <w:r w:rsidRPr="003866A8">
              <w:rPr>
                <w:sz w:val="24"/>
                <w:szCs w:val="24"/>
              </w:rPr>
              <w:t xml:space="preserve">Alternatively safeguarding adults, there is more emphasis on the </w:t>
            </w:r>
            <w:proofErr w:type="spellStart"/>
            <w:r w:rsidRPr="003866A8">
              <w:rPr>
                <w:sz w:val="24"/>
                <w:szCs w:val="24"/>
              </w:rPr>
              <w:t>the</w:t>
            </w:r>
            <w:proofErr w:type="spellEnd"/>
            <w:r w:rsidRPr="003866A8">
              <w:rPr>
                <w:sz w:val="24"/>
                <w:szCs w:val="24"/>
              </w:rPr>
              <w:t xml:space="preserve"> principle of autonomy and the right to make choices, even unwise ones, in line with the Social Services and Well-being (Wales) Act 2014. Adults are presumed to have mental capacity unless proven otherwise. Intervention generally requires the person’s consent, unless the adult lacks capacity or there is a risk to others. This means that professionals must carefully balance the duty to protect with respect for individual’s autonomy and/or consent. This is what I struggle with the most coming from children’s services to adults. </w:t>
            </w:r>
          </w:p>
          <w:p w14:paraId="1BF1C59F" w14:textId="77777777" w:rsidR="003866A8" w:rsidRPr="003866A8" w:rsidRDefault="003866A8" w:rsidP="003866A8">
            <w:pPr>
              <w:jc w:val="both"/>
              <w:rPr>
                <w:sz w:val="24"/>
                <w:szCs w:val="24"/>
              </w:rPr>
            </w:pPr>
          </w:p>
          <w:p w14:paraId="5D97553F" w14:textId="77777777" w:rsidR="003866A8" w:rsidRDefault="003866A8" w:rsidP="003866A8">
            <w:pPr>
              <w:jc w:val="both"/>
              <w:rPr>
                <w:sz w:val="24"/>
                <w:szCs w:val="24"/>
              </w:rPr>
            </w:pPr>
            <w:r w:rsidRPr="003866A8">
              <w:rPr>
                <w:sz w:val="24"/>
                <w:szCs w:val="24"/>
              </w:rPr>
              <w:t>The Mental Capacity Act 2005 further underpins adult safeguarding by providing a legal framework for decision-making when an adult may lack capacity, ensuring that any actions taken are in their best interests and are the least restrictive possible. As such, I have found adult safeguarding threshold to be higher than children’s, which has taken me a lot of reassurance and asking for advice.</w:t>
            </w:r>
          </w:p>
          <w:p w14:paraId="3B071A39" w14:textId="77777777" w:rsidR="003866A8" w:rsidRPr="003866A8" w:rsidRDefault="003866A8" w:rsidP="003866A8">
            <w:pPr>
              <w:jc w:val="both"/>
              <w:rPr>
                <w:sz w:val="24"/>
                <w:szCs w:val="24"/>
              </w:rPr>
            </w:pPr>
          </w:p>
          <w:p w14:paraId="11AE4B93" w14:textId="77777777" w:rsidR="003866A8" w:rsidRDefault="003866A8" w:rsidP="003866A8">
            <w:pPr>
              <w:jc w:val="both"/>
              <w:rPr>
                <w:sz w:val="24"/>
                <w:szCs w:val="24"/>
              </w:rPr>
            </w:pPr>
            <w:r w:rsidRPr="003866A8">
              <w:rPr>
                <w:sz w:val="24"/>
                <w:szCs w:val="24"/>
              </w:rPr>
              <w:t xml:space="preserve">Another key difference is within multi-agency working and the thresholds for intervention. In </w:t>
            </w:r>
            <w:proofErr w:type="spellStart"/>
            <w:r w:rsidRPr="003866A8">
              <w:rPr>
                <w:sz w:val="24"/>
                <w:szCs w:val="24"/>
              </w:rPr>
              <w:t>childrens</w:t>
            </w:r>
            <w:proofErr w:type="spellEnd"/>
            <w:r w:rsidRPr="003866A8">
              <w:rPr>
                <w:sz w:val="24"/>
                <w:szCs w:val="24"/>
              </w:rPr>
              <w:t xml:space="preserve"> services, agencies such as social services, education, health, and the police collaborate closely with clear statutory responsibilities to share information and intervene early, often using a multi-agency approach to prevent harm. For adults, information-sharing and intervention are more complex, and in my experience, rely more heavily on the adult’s consent and participation. I’ve also found timing of responses and interventions much less urgent in adults.</w:t>
            </w:r>
          </w:p>
          <w:p w14:paraId="5C4A8134" w14:textId="77777777" w:rsidR="003866A8" w:rsidRPr="003866A8" w:rsidRDefault="003866A8" w:rsidP="003866A8">
            <w:pPr>
              <w:jc w:val="both"/>
              <w:rPr>
                <w:sz w:val="24"/>
                <w:szCs w:val="24"/>
              </w:rPr>
            </w:pPr>
          </w:p>
          <w:p w14:paraId="6695F947" w14:textId="77777777" w:rsidR="003866A8" w:rsidRPr="003866A8" w:rsidRDefault="003866A8" w:rsidP="003866A8">
            <w:pPr>
              <w:jc w:val="both"/>
              <w:rPr>
                <w:sz w:val="24"/>
                <w:szCs w:val="24"/>
              </w:rPr>
            </w:pPr>
            <w:r w:rsidRPr="003866A8">
              <w:rPr>
                <w:sz w:val="24"/>
                <w:szCs w:val="24"/>
              </w:rPr>
              <w:t xml:space="preserve">In summary, safeguarding children is underpinned by a protective approach that prioritises welfare and proactive intervention, often overriding parental or the child’s consent. Safeguarding adults, however focuses more on empowerment, choice, and partnership, with protection balanced against respect for autonomy and consent and the view of the right to make unwise decisions. </w:t>
            </w:r>
          </w:p>
          <w:p w14:paraId="0E64B386" w14:textId="77777777" w:rsidR="00FC0334" w:rsidRDefault="00FC0334" w:rsidP="00FC0334">
            <w:pPr>
              <w:jc w:val="both"/>
              <w:rPr>
                <w:sz w:val="24"/>
                <w:szCs w:val="24"/>
              </w:rPr>
            </w:pPr>
          </w:p>
          <w:p w14:paraId="4847C39E" w14:textId="1B214C83" w:rsidR="00FC0334" w:rsidRDefault="003866A8" w:rsidP="00FC0334">
            <w:pPr>
              <w:jc w:val="both"/>
              <w:rPr>
                <w:sz w:val="24"/>
                <w:szCs w:val="24"/>
              </w:rPr>
            </w:pPr>
            <w:r>
              <w:rPr>
                <w:sz w:val="24"/>
                <w:szCs w:val="24"/>
              </w:rPr>
              <w:t>Word count: 397</w:t>
            </w: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92944" w14:textId="77777777" w:rsidR="004A2F2B" w:rsidRDefault="004A2F2B">
      <w:r>
        <w:separator/>
      </w:r>
    </w:p>
  </w:endnote>
  <w:endnote w:type="continuationSeparator" w:id="0">
    <w:p w14:paraId="0ECD6592" w14:textId="77777777" w:rsidR="004A2F2B" w:rsidRDefault="004A2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07F5D" w14:textId="77777777" w:rsidR="004A2F2B" w:rsidRDefault="004A2F2B">
      <w:r>
        <w:separator/>
      </w:r>
    </w:p>
  </w:footnote>
  <w:footnote w:type="continuationSeparator" w:id="0">
    <w:p w14:paraId="0D823D24" w14:textId="77777777" w:rsidR="004A2F2B" w:rsidRDefault="004A2F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51AF"/>
    <w:rsid w:val="001608C4"/>
    <w:rsid w:val="00164832"/>
    <w:rsid w:val="00171418"/>
    <w:rsid w:val="001772BF"/>
    <w:rsid w:val="001772DE"/>
    <w:rsid w:val="0019496C"/>
    <w:rsid w:val="001961CF"/>
    <w:rsid w:val="001A59BB"/>
    <w:rsid w:val="001A607E"/>
    <w:rsid w:val="001A6A51"/>
    <w:rsid w:val="001A79C4"/>
    <w:rsid w:val="001B12C2"/>
    <w:rsid w:val="001B331A"/>
    <w:rsid w:val="001C0237"/>
    <w:rsid w:val="001C0E74"/>
    <w:rsid w:val="001C4DB8"/>
    <w:rsid w:val="001C50B8"/>
    <w:rsid w:val="001D229F"/>
    <w:rsid w:val="001E2EB6"/>
    <w:rsid w:val="001E679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866A8"/>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53B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5A2"/>
    <w:rsid w:val="004968E2"/>
    <w:rsid w:val="004A2A49"/>
    <w:rsid w:val="004A2F2B"/>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2C7E"/>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1393"/>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1B55"/>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08B0"/>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5950"/>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285E"/>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40FE"/>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auren.g1996@hotmail.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1185</Words>
  <Characters>6761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Goffin, Lauren</cp:lastModifiedBy>
  <cp:revision>11</cp:revision>
  <cp:lastPrinted>2020-02-11T19:20:00Z</cp:lastPrinted>
  <dcterms:created xsi:type="dcterms:W3CDTF">2026-09-28T18:43:00Z</dcterms:created>
  <dcterms:modified xsi:type="dcterms:W3CDTF">2026-09-29T08:44:00Z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