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napToGrid w:val="0"/>
        <w:spacing w:line="480" w:lineRule="auto"/>
        <w:jc w:val="center"/>
        <w:outlineLvl w:val="0"/>
        <w:rPr>
          <w:rFonts w:ascii="Times New Roman" w:hAnsi="Times New Roman" w:cs="Times New Roman"/>
          <w:sz w:val="24"/>
          <w:szCs w:val="24"/>
        </w:rPr>
      </w:pPr>
      <w:bookmarkStart w:id="0" w:name="_Toc8046"/>
    </w:p>
    <w:bookmarkEnd w:id="0"/>
    <w:p>
      <w:pPr>
        <w:pStyle w:val="3"/>
        <w:widowControl/>
        <w:snapToGrid w:val="0"/>
        <w:spacing w:line="480" w:lineRule="auto"/>
        <w:jc w:val="center"/>
        <w:rPr>
          <w:rFonts w:hint="eastAsia" w:ascii="Times New Roman" w:hAnsi="Times New Roman" w:cs="Times New Roman"/>
          <w:sz w:val="32"/>
          <w:szCs w:val="32"/>
        </w:rPr>
      </w:pPr>
      <w:r>
        <w:rPr>
          <w:rFonts w:hint="eastAsia" w:ascii="Times New Roman" w:hAnsi="Times New Roman" w:cs="Times New Roman"/>
          <w:sz w:val="32"/>
          <w:szCs w:val="32"/>
        </w:rPr>
        <w:t xml:space="preserve">BMMB7000 Change </w:t>
      </w:r>
      <w:r>
        <w:rPr>
          <w:rFonts w:hint="eastAsia" w:ascii="Times New Roman" w:hAnsi="Times New Roman" w:eastAsia="宋体" w:cs="Times New Roman"/>
          <w:sz w:val="32"/>
          <w:szCs w:val="32"/>
          <w:lang w:val="en-US" w:eastAsia="zh-CN"/>
        </w:rPr>
        <w:t>and</w:t>
      </w:r>
      <w:r>
        <w:rPr>
          <w:rFonts w:hint="eastAsia" w:ascii="Times New Roman" w:hAnsi="Times New Roman" w:cs="Times New Roman"/>
          <w:sz w:val="32"/>
          <w:szCs w:val="32"/>
        </w:rPr>
        <w:t xml:space="preserve"> Stability Management</w:t>
      </w:r>
    </w:p>
    <w:p>
      <w:pPr>
        <w:pStyle w:val="3"/>
        <w:widowControl/>
        <w:snapToGrid w:val="0"/>
        <w:spacing w:line="480" w:lineRule="auto"/>
        <w:jc w:val="center"/>
        <w:rPr>
          <w:rFonts w:hint="eastAsia" w:ascii="Times New Roman" w:hAnsi="Times New Roman" w:cs="Times New Roman"/>
          <w:b/>
          <w:sz w:val="32"/>
          <w:szCs w:val="32"/>
        </w:rPr>
      </w:pPr>
      <w:r>
        <w:rPr>
          <w:rFonts w:hint="eastAsia" w:ascii="Times New Roman" w:hAnsi="Times New Roman" w:cs="Times New Roman"/>
          <w:b/>
          <w:sz w:val="32"/>
          <w:szCs w:val="32"/>
        </w:rPr>
        <w:t>Change Evaluation and Analysis of Lululemon Athletica Inc.</w:t>
      </w:r>
    </w:p>
    <w:p>
      <w:pPr>
        <w:pStyle w:val="3"/>
        <w:widowControl/>
        <w:snapToGrid w:val="0"/>
        <w:spacing w:line="480" w:lineRule="auto"/>
        <w:jc w:val="center"/>
        <w:rPr>
          <w:rFonts w:hint="eastAsia" w:ascii="Times New Roman" w:hAnsi="Times New Roman" w:cs="Times New Roman"/>
          <w:b/>
          <w:sz w:val="32"/>
          <w:szCs w:val="32"/>
        </w:rPr>
      </w:pPr>
    </w:p>
    <w:p>
      <w:pPr>
        <w:pStyle w:val="3"/>
        <w:widowControl/>
        <w:snapToGrid w:val="0"/>
        <w:spacing w:line="480" w:lineRule="auto"/>
        <w:jc w:val="center"/>
        <w:rPr>
          <w:rFonts w:ascii="Times New Roman" w:hAnsi="Times New Roman" w:cs="Times New Roman"/>
          <w:b/>
          <w:sz w:val="24"/>
        </w:rPr>
      </w:pPr>
      <w:r>
        <w:rPr>
          <w:rFonts w:ascii="Times New Roman" w:hAnsi="Times New Roman" w:cs="Times New Roman"/>
          <w:b/>
          <w:sz w:val="24"/>
        </w:rPr>
        <w:drawing>
          <wp:inline distT="0" distB="0" distL="0" distR="0">
            <wp:extent cx="3402965" cy="3782060"/>
            <wp:effectExtent l="0" t="0" r="6985" b="889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402965" cy="3782060"/>
                    </a:xfrm>
                    <a:prstGeom prst="rect">
                      <a:avLst/>
                    </a:prstGeom>
                  </pic:spPr>
                </pic:pic>
              </a:graphicData>
            </a:graphic>
          </wp:inline>
        </w:drawing>
      </w:r>
    </w:p>
    <w:p>
      <w:pPr>
        <w:pStyle w:val="3"/>
        <w:keepNext w:val="0"/>
        <w:keepLines w:val="0"/>
        <w:pageBreakBefore w:val="0"/>
        <w:widowControl/>
        <w:kinsoku/>
        <w:wordWrap/>
        <w:overflowPunct/>
        <w:topLinePunct w:val="0"/>
        <w:autoSpaceDE/>
        <w:autoSpaceDN/>
        <w:bidi w:val="0"/>
        <w:adjustRightInd/>
        <w:snapToGrid w:val="0"/>
        <w:spacing w:after="120" w:line="360" w:lineRule="auto"/>
        <w:ind w:left="0" w:leftChars="0" w:right="0" w:rightChars="0" w:firstLine="0" w:firstLineChars="0"/>
        <w:jc w:val="center"/>
        <w:textAlignment w:val="auto"/>
        <w:outlineLvl w:val="9"/>
        <w:rPr>
          <w:rFonts w:hint="eastAsia" w:ascii="Times New Roman" w:hAnsi="Times New Roman" w:eastAsia="宋体" w:cs="Times New Roman"/>
          <w:sz w:val="28"/>
          <w:szCs w:val="28"/>
          <w:lang w:val="en-US" w:eastAsia="zh-CN"/>
        </w:rPr>
      </w:pPr>
      <w:r>
        <w:rPr>
          <w:rFonts w:hint="eastAsia" w:ascii="Times New Roman" w:hAnsi="Times New Roman" w:cs="Times New Roman"/>
          <w:sz w:val="28"/>
          <w:szCs w:val="28"/>
          <w:lang w:val="en-US" w:eastAsia="zh-CN"/>
        </w:rPr>
        <w:t>May</w:t>
      </w:r>
      <w:r>
        <w:rPr>
          <w:rFonts w:ascii="Times New Roman" w:hAnsi="Times New Roman" w:cs="Times New Roman"/>
          <w:sz w:val="28"/>
          <w:szCs w:val="28"/>
        </w:rPr>
        <w:t xml:space="preserve"> 202</w:t>
      </w:r>
      <w:r>
        <w:rPr>
          <w:rFonts w:hint="eastAsia" w:ascii="Times New Roman" w:hAnsi="Times New Roman" w:eastAsia="宋体" w:cs="Times New Roman"/>
          <w:sz w:val="28"/>
          <w:szCs w:val="28"/>
          <w:lang w:val="en-US" w:eastAsia="zh-CN"/>
        </w:rPr>
        <w:t>3</w:t>
      </w:r>
    </w:p>
    <w:p>
      <w:pPr>
        <w:pStyle w:val="3"/>
        <w:keepNext w:val="0"/>
        <w:keepLines w:val="0"/>
        <w:pageBreakBefore w:val="0"/>
        <w:widowControl/>
        <w:kinsoku/>
        <w:wordWrap/>
        <w:overflowPunct/>
        <w:topLinePunct w:val="0"/>
        <w:autoSpaceDE/>
        <w:autoSpaceDN/>
        <w:bidi w:val="0"/>
        <w:adjustRightInd/>
        <w:snapToGrid w:val="0"/>
        <w:spacing w:after="120" w:line="360" w:lineRule="auto"/>
        <w:ind w:left="0" w:leftChars="0" w:right="0" w:rightChars="0" w:firstLine="0" w:firstLineChars="0"/>
        <w:jc w:val="center"/>
        <w:textAlignment w:val="auto"/>
        <w:outlineLvl w:val="9"/>
        <w:rPr>
          <w:rFonts w:hint="eastAsia" w:ascii="Times New Roman" w:hAnsi="Times New Roman" w:eastAsia="宋体" w:cs="Times New Roman"/>
          <w:sz w:val="28"/>
          <w:szCs w:val="28"/>
          <w:lang w:val="en-US" w:eastAsia="zh-CN"/>
        </w:rPr>
      </w:pPr>
    </w:p>
    <w:p>
      <w:pPr>
        <w:widowControl/>
        <w:spacing w:line="360" w:lineRule="auto"/>
        <w:jc w:val="left"/>
        <w:rPr>
          <w:rFonts w:ascii="Times New Roman" w:hAnsi="Times New Roman" w:cs="Times New Roman"/>
          <w:b/>
          <w:sz w:val="28"/>
          <w:szCs w:val="28"/>
        </w:rPr>
      </w:pPr>
      <w:r>
        <w:rPr>
          <w:rFonts w:ascii="Times New Roman" w:hAnsi="Times New Roman" w:cs="Times New Roman"/>
          <w:sz w:val="28"/>
          <w:szCs w:val="28"/>
        </w:rPr>
        <w:t xml:space="preserve">Module </w:t>
      </w:r>
      <w:r>
        <w:rPr>
          <w:rFonts w:hint="eastAsia" w:ascii="Times New Roman" w:hAnsi="Times New Roman" w:cs="Times New Roman"/>
          <w:sz w:val="28"/>
          <w:szCs w:val="28"/>
        </w:rPr>
        <w:t>Name：</w:t>
      </w:r>
      <w:r>
        <w:rPr>
          <w:rFonts w:hint="eastAsia" w:ascii="Times New Roman" w:hAnsi="Times New Roman" w:eastAsia="宋体" w:cs="Times New Roman"/>
          <w:sz w:val="28"/>
          <w:szCs w:val="28"/>
          <w:lang w:val="en-US" w:eastAsia="zh-CN"/>
        </w:rPr>
        <w:t xml:space="preserve">  </w:t>
      </w:r>
      <w:r>
        <w:rPr>
          <w:rFonts w:hint="eastAsia" w:ascii="Times New Roman" w:hAnsi="Times New Roman" w:cs="Times New Roman"/>
          <w:b/>
          <w:sz w:val="28"/>
          <w:szCs w:val="28"/>
        </w:rPr>
        <w:t xml:space="preserve">Change </w:t>
      </w:r>
      <w:r>
        <w:rPr>
          <w:rFonts w:hint="eastAsia" w:ascii="Times New Roman" w:hAnsi="Times New Roman" w:eastAsia="宋体" w:cs="Times New Roman"/>
          <w:b/>
          <w:sz w:val="28"/>
          <w:szCs w:val="28"/>
          <w:lang w:val="en-US" w:eastAsia="zh-CN"/>
        </w:rPr>
        <w:t>and</w:t>
      </w:r>
      <w:bookmarkStart w:id="28" w:name="_GoBack"/>
      <w:bookmarkEnd w:id="28"/>
      <w:r>
        <w:rPr>
          <w:rFonts w:hint="eastAsia" w:ascii="Times New Roman" w:hAnsi="Times New Roman" w:cs="Times New Roman"/>
          <w:b/>
          <w:sz w:val="28"/>
          <w:szCs w:val="28"/>
        </w:rPr>
        <w:t xml:space="preserve"> Stability Management</w:t>
      </w:r>
      <w:r>
        <w:rPr>
          <w:rFonts w:ascii="Times New Roman" w:hAnsi="Times New Roman" w:cs="Times New Roman"/>
          <w:b/>
          <w:sz w:val="28"/>
          <w:szCs w:val="28"/>
        </w:rPr>
        <w:t xml:space="preserve"> （BMMB700</w:t>
      </w:r>
      <w:r>
        <w:rPr>
          <w:rFonts w:hint="eastAsia" w:ascii="Times New Roman" w:hAnsi="Times New Roman" w:eastAsia="宋体" w:cs="Times New Roman"/>
          <w:b/>
          <w:sz w:val="28"/>
          <w:szCs w:val="28"/>
          <w:lang w:val="en-US" w:eastAsia="zh-CN"/>
        </w:rPr>
        <w:t>0</w:t>
      </w:r>
      <w:r>
        <w:rPr>
          <w:rFonts w:ascii="Times New Roman" w:hAnsi="Times New Roman" w:cs="Times New Roman"/>
          <w:b/>
          <w:sz w:val="28"/>
          <w:szCs w:val="28"/>
        </w:rPr>
        <w:t>）</w:t>
      </w:r>
    </w:p>
    <w:p>
      <w:pPr>
        <w:pStyle w:val="3"/>
        <w:spacing w:line="360" w:lineRule="auto"/>
        <w:jc w:val="left"/>
        <w:rPr>
          <w:rFonts w:ascii="Times New Roman" w:hAnsi="Times New Roman" w:cs="Times New Roman"/>
          <w:b/>
          <w:sz w:val="28"/>
          <w:szCs w:val="28"/>
        </w:rPr>
      </w:pPr>
      <w:r>
        <w:rPr>
          <w:rFonts w:hint="eastAsia" w:ascii="Times New Roman" w:hAnsi="Times New Roman" w:cs="Times New Roman"/>
          <w:sz w:val="28"/>
          <w:szCs w:val="28"/>
        </w:rPr>
        <w:t>Name</w:t>
      </w:r>
      <w:r>
        <w:rPr>
          <w:rFonts w:ascii="Times New Roman" w:hAnsi="Times New Roman" w:cs="Times New Roman"/>
          <w:sz w:val="28"/>
          <w:szCs w:val="28"/>
        </w:rPr>
        <w:t xml:space="preserve">：       </w:t>
      </w:r>
      <w:r>
        <w:rPr>
          <w:rFonts w:hint="eastAsia" w:ascii="Times New Roman" w:hAnsi="Times New Roman" w:eastAsia="宋体" w:cs="Times New Roman"/>
          <w:sz w:val="28"/>
          <w:szCs w:val="28"/>
          <w:lang w:val="en-US" w:eastAsia="zh-CN"/>
        </w:rPr>
        <w:t xml:space="preserve">  </w:t>
      </w:r>
      <w:r>
        <w:rPr>
          <w:rFonts w:hint="eastAsia" w:ascii="Times New Roman" w:hAnsi="Times New Roman" w:cs="Times New Roman"/>
          <w:b/>
          <w:sz w:val="28"/>
          <w:szCs w:val="28"/>
        </w:rPr>
        <w:t>Xiao</w:t>
      </w:r>
      <w:r>
        <w:rPr>
          <w:rFonts w:ascii="Times New Roman" w:hAnsi="Times New Roman" w:cs="Times New Roman"/>
          <w:b/>
          <w:sz w:val="28"/>
          <w:szCs w:val="28"/>
        </w:rPr>
        <w:t>’</w:t>
      </w:r>
      <w:r>
        <w:rPr>
          <w:rFonts w:hint="eastAsia" w:ascii="Times New Roman" w:hAnsi="Times New Roman" w:cs="Times New Roman"/>
          <w:b/>
          <w:sz w:val="28"/>
          <w:szCs w:val="28"/>
        </w:rPr>
        <w:t>xia</w:t>
      </w:r>
      <w:r>
        <w:rPr>
          <w:rFonts w:ascii="Times New Roman" w:hAnsi="Times New Roman" w:cs="Times New Roman"/>
          <w:b/>
          <w:sz w:val="28"/>
          <w:szCs w:val="28"/>
        </w:rPr>
        <w:t xml:space="preserve"> Han</w:t>
      </w:r>
    </w:p>
    <w:p>
      <w:pPr>
        <w:widowControl/>
        <w:spacing w:line="360" w:lineRule="auto"/>
        <w:jc w:val="left"/>
        <w:rPr>
          <w:rFonts w:ascii="Times New Roman" w:hAnsi="Times New Roman" w:cs="Times New Roman"/>
          <w:sz w:val="24"/>
          <w:szCs w:val="24"/>
        </w:rPr>
      </w:pPr>
      <w:r>
        <w:rPr>
          <w:rFonts w:ascii="Times New Roman" w:hAnsi="Times New Roman" w:cs="Times New Roman"/>
          <w:sz w:val="28"/>
          <w:szCs w:val="28"/>
        </w:rPr>
        <w:t>Student Number:</w:t>
      </w:r>
      <w:r>
        <w:rPr>
          <w:rFonts w:ascii="Times New Roman" w:hAnsi="Times New Roman" w:cs="Times New Roman"/>
          <w:b/>
          <w:sz w:val="28"/>
          <w:szCs w:val="28"/>
        </w:rPr>
        <w:t xml:space="preserve"> </w:t>
      </w:r>
      <w:r>
        <w:rPr>
          <w:rFonts w:hint="eastAsia" w:ascii="Times New Roman" w:hAnsi="Times New Roman" w:eastAsia="宋体" w:cs="Times New Roman"/>
          <w:b/>
          <w:sz w:val="28"/>
          <w:szCs w:val="28"/>
          <w:lang w:val="en-US" w:eastAsia="zh-CN"/>
        </w:rPr>
        <w:t xml:space="preserve"> </w:t>
      </w:r>
      <w:r>
        <w:rPr>
          <w:rFonts w:ascii="Times New Roman" w:hAnsi="Times New Roman" w:cs="Times New Roman"/>
          <w:b/>
          <w:sz w:val="28"/>
          <w:szCs w:val="28"/>
        </w:rPr>
        <w:t>2218616</w:t>
      </w:r>
    </w:p>
    <w:p>
      <w:pPr>
        <w:spacing w:line="480" w:lineRule="auto"/>
        <w:jc w:val="center"/>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center"/>
        <w:outlineLvl w:val="0"/>
        <w:rPr>
          <w:rFonts w:ascii="Times New Roman" w:hAnsi="Times New Roman" w:cs="Times New Roman"/>
          <w:sz w:val="24"/>
          <w:szCs w:val="24"/>
        </w:rPr>
      </w:pPr>
      <w:bookmarkStart w:id="1" w:name="_Toc133779834"/>
      <w:r>
        <w:rPr>
          <w:rFonts w:ascii="Times New Roman" w:hAnsi="Times New Roman" w:cs="Times New Roman"/>
          <w:sz w:val="24"/>
          <w:szCs w:val="24"/>
        </w:rPr>
        <w:t>Executive Summary</w:t>
      </w:r>
      <w:bookmarkEnd w:id="1"/>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This report focuses on the change of Lululemon, a Canadian sports brand, in the context of the change management theoretical framework. The report first introduces the company’s Power of Three strategic plan proposed in 2019 and shows the changes related to the business layout, organizational structure, and culture of the company. The report then analyzes the driving forces and resistors of change in the context of Force Field theory. It further assesses the influence of stakeholders in terms of their interest and power, and analyzes the leadership style of change. The change process is illustrated using Lewin’s 3-step model and Kotter’s 8-step model, and the effect of the change is evaluated. Overall, Lululemon’s change is considered a successful one. The report concludes with recommendations for the company’s future change management.</w:t>
      </w:r>
    </w:p>
    <w:p>
      <w:pPr>
        <w:widowControl/>
        <w:spacing w:line="480" w:lineRule="auto"/>
        <w:jc w:val="left"/>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cs="Times New Roman"/>
          <w:sz w:val="72"/>
          <w:szCs w:val="72"/>
          <w:lang w:val="zh-CN"/>
        </w:rPr>
        <w:id w:val="-21634213"/>
        <w:docPartObj>
          <w:docPartGallery w:val="Table of Contents"/>
          <w:docPartUnique/>
        </w:docPartObj>
      </w:sdtPr>
      <w:sdtEndPr>
        <w:rPr>
          <w:rFonts w:asciiTheme="minorHAnsi" w:hAnsiTheme="minorHAnsi" w:eastAsiaTheme="minorEastAsia" w:cstheme="minorBidi"/>
          <w:b/>
          <w:bCs/>
          <w:color w:val="auto"/>
          <w:kern w:val="2"/>
          <w:sz w:val="24"/>
          <w:szCs w:val="24"/>
          <w:lang w:val="zh-CN"/>
          <w14:ligatures w14:val="standardContextual"/>
        </w:rPr>
      </w:sdtEndPr>
      <w:sdtContent>
        <w:p>
          <w:pPr>
            <w:pStyle w:val="15"/>
            <w:spacing w:line="480" w:lineRule="auto"/>
            <w:jc w:val="center"/>
            <w:rPr>
              <w:rFonts w:ascii="Times New Roman" w:hAnsi="Times New Roman" w:cs="Times New Roman"/>
              <w:sz w:val="36"/>
              <w:szCs w:val="36"/>
            </w:rPr>
          </w:pPr>
          <w:r>
            <w:rPr>
              <w:rFonts w:ascii="Times New Roman" w:hAnsi="Times New Roman" w:cs="Times New Roman"/>
              <w:sz w:val="36"/>
              <w:szCs w:val="36"/>
              <w:lang w:val="zh-CN"/>
            </w:rPr>
            <w:t>Content</w:t>
          </w:r>
        </w:p>
        <w:p>
          <w:pPr>
            <w:pStyle w:val="7"/>
            <w:tabs>
              <w:tab w:val="right" w:leader="dot" w:pos="9060"/>
            </w:tabs>
            <w:spacing w:line="48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"_Toc133779834" </w:instrText>
          </w:r>
          <w:r>
            <w:fldChar w:fldCharType="separate"/>
          </w:r>
          <w:r>
            <w:rPr>
              <w:rStyle w:val="10"/>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_Toc133779834 \h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60"/>
            </w:tabs>
            <w:spacing w:line="480" w:lineRule="auto"/>
            <w:rPr>
              <w:rFonts w:ascii="Times New Roman" w:hAnsi="Times New Roman" w:cs="Times New Roman"/>
              <w:sz w:val="24"/>
              <w:szCs w:val="24"/>
            </w:rPr>
          </w:pPr>
          <w:r>
            <w:fldChar w:fldCharType="begin"/>
          </w:r>
          <w:r>
            <w:instrText xml:space="preserve"> HYPERLINK \l "_Toc133779835" </w:instrText>
          </w:r>
          <w:r>
            <w:fldChar w:fldCharType="separate"/>
          </w:r>
          <w:r>
            <w:rPr>
              <w:rStyle w:val="10"/>
              <w:rFonts w:ascii="Times New Roman" w:hAnsi="Times New Roman" w:cs="Times New Roman"/>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_Toc133779835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60"/>
            </w:tabs>
            <w:spacing w:line="480" w:lineRule="auto"/>
            <w:rPr>
              <w:rFonts w:ascii="Times New Roman" w:hAnsi="Times New Roman" w:cs="Times New Roman"/>
              <w:sz w:val="24"/>
              <w:szCs w:val="24"/>
            </w:rPr>
          </w:pPr>
          <w:r>
            <w:fldChar w:fldCharType="begin"/>
          </w:r>
          <w:r>
            <w:instrText xml:space="preserve"> HYPERLINK \l "_Toc133779836" </w:instrText>
          </w:r>
          <w:r>
            <w:fldChar w:fldCharType="separate"/>
          </w:r>
          <w:r>
            <w:rPr>
              <w:rStyle w:val="10"/>
              <w:rFonts w:ascii="Times New Roman" w:hAnsi="Times New Roman" w:cs="Times New Roman"/>
              <w:sz w:val="24"/>
              <w:szCs w:val="24"/>
            </w:rPr>
            <w:t>2. Change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_Toc133779836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60"/>
            </w:tabs>
            <w:spacing w:line="480" w:lineRule="auto"/>
            <w:rPr>
              <w:rFonts w:ascii="Times New Roman" w:hAnsi="Times New Roman" w:cs="Times New Roman"/>
              <w:sz w:val="24"/>
              <w:szCs w:val="24"/>
            </w:rPr>
          </w:pPr>
          <w:r>
            <w:fldChar w:fldCharType="begin"/>
          </w:r>
          <w:r>
            <w:instrText xml:space="preserve"> HYPERLINK \l "_Toc133779837" </w:instrText>
          </w:r>
          <w:r>
            <w:fldChar w:fldCharType="separate"/>
          </w:r>
          <w:r>
            <w:rPr>
              <w:rStyle w:val="10"/>
              <w:rFonts w:ascii="Times New Roman" w:hAnsi="Times New Roman" w:cs="Times New Roman"/>
              <w:sz w:val="24"/>
              <w:szCs w:val="24"/>
            </w:rPr>
            <w:t>2.1 Company history and its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_Toc133779837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60"/>
            </w:tabs>
            <w:spacing w:line="480" w:lineRule="auto"/>
            <w:rPr>
              <w:rFonts w:ascii="Times New Roman" w:hAnsi="Times New Roman" w:cs="Times New Roman"/>
              <w:sz w:val="24"/>
              <w:szCs w:val="24"/>
            </w:rPr>
          </w:pPr>
          <w:r>
            <w:fldChar w:fldCharType="begin"/>
          </w:r>
          <w:r>
            <w:instrText xml:space="preserve"> HYPERLINK \l "_Toc133779838" </w:instrText>
          </w:r>
          <w:r>
            <w:fldChar w:fldCharType="separate"/>
          </w:r>
          <w:r>
            <w:rPr>
              <w:rStyle w:val="10"/>
              <w:rFonts w:ascii="Times New Roman" w:hAnsi="Times New Roman" w:cs="Times New Roman"/>
              <w:sz w:val="24"/>
              <w:szCs w:val="24"/>
            </w:rPr>
            <w:t>2.2 Type of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_Toc133779838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60"/>
            </w:tabs>
            <w:spacing w:line="480" w:lineRule="auto"/>
            <w:rPr>
              <w:rFonts w:ascii="Times New Roman" w:hAnsi="Times New Roman" w:cs="Times New Roman"/>
              <w:sz w:val="24"/>
              <w:szCs w:val="24"/>
            </w:rPr>
          </w:pPr>
          <w:r>
            <w:fldChar w:fldCharType="begin"/>
          </w:r>
          <w:r>
            <w:instrText xml:space="preserve"> HYPERLINK \l "_Toc133779839" </w:instrText>
          </w:r>
          <w:r>
            <w:fldChar w:fldCharType="separate"/>
          </w:r>
          <w:r>
            <w:rPr>
              <w:rStyle w:val="10"/>
              <w:rFonts w:ascii="Times New Roman" w:hAnsi="Times New Roman" w:cs="Times New Roman"/>
              <w:sz w:val="24"/>
              <w:szCs w:val="24"/>
            </w:rPr>
            <w:t>3. Change themes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_Toc133779839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60"/>
            </w:tabs>
            <w:spacing w:line="480" w:lineRule="auto"/>
            <w:rPr>
              <w:rFonts w:ascii="Times New Roman" w:hAnsi="Times New Roman" w:cs="Times New Roman"/>
              <w:sz w:val="24"/>
              <w:szCs w:val="24"/>
            </w:rPr>
          </w:pPr>
          <w:r>
            <w:fldChar w:fldCharType="begin"/>
          </w:r>
          <w:r>
            <w:instrText xml:space="preserve"> HYPERLINK \l "_Toc133779840" </w:instrText>
          </w:r>
          <w:r>
            <w:fldChar w:fldCharType="separate"/>
          </w:r>
          <w:r>
            <w:rPr>
              <w:rStyle w:val="10"/>
              <w:rFonts w:ascii="Times New Roman" w:hAnsi="Times New Roman" w:cs="Times New Roman"/>
              <w:sz w:val="24"/>
              <w:szCs w:val="24"/>
            </w:rPr>
            <w:t>3.1 “Why change” analysis: Lewin’s Force Field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4"/>
            <w:tabs>
              <w:tab w:val="right" w:leader="dot" w:pos="9060"/>
            </w:tabs>
            <w:spacing w:line="480" w:lineRule="auto"/>
            <w:rPr>
              <w:rFonts w:ascii="Times New Roman" w:hAnsi="Times New Roman" w:cs="Times New Roman"/>
              <w:sz w:val="24"/>
              <w:szCs w:val="24"/>
            </w:rPr>
          </w:pPr>
          <w:r>
            <w:fldChar w:fldCharType="begin"/>
          </w:r>
          <w:r>
            <w:instrText xml:space="preserve"> HYPERLINK \l "_Toc133779841" </w:instrText>
          </w:r>
          <w:r>
            <w:fldChar w:fldCharType="separate"/>
          </w:r>
          <w:r>
            <w:rPr>
              <w:rStyle w:val="10"/>
              <w:rFonts w:ascii="Times New Roman" w:hAnsi="Times New Roman" w:cs="Times New Roman"/>
              <w:sz w:val="24"/>
              <w:szCs w:val="24"/>
            </w:rPr>
            <w:t>3.1.1 Drivers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_Toc133779841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4"/>
            <w:tabs>
              <w:tab w:val="right" w:leader="dot" w:pos="9060"/>
            </w:tabs>
            <w:spacing w:line="480" w:lineRule="auto"/>
            <w:rPr>
              <w:rFonts w:ascii="Times New Roman" w:hAnsi="Times New Roman" w:cs="Times New Roman"/>
              <w:sz w:val="24"/>
              <w:szCs w:val="24"/>
            </w:rPr>
          </w:pPr>
          <w:r>
            <w:fldChar w:fldCharType="begin"/>
          </w:r>
          <w:r>
            <w:instrText xml:space="preserve"> HYPERLINK \l "_Toc133779842" </w:instrText>
          </w:r>
          <w:r>
            <w:fldChar w:fldCharType="separate"/>
          </w:r>
          <w:r>
            <w:rPr>
              <w:rStyle w:val="10"/>
              <w:rFonts w:ascii="Times New Roman" w:hAnsi="Times New Roman" w:cs="Times New Roman"/>
              <w:sz w:val="24"/>
              <w:szCs w:val="24"/>
            </w:rPr>
            <w:t>3.1.2 Resistors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_Toc133779842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4"/>
            <w:tabs>
              <w:tab w:val="right" w:leader="dot" w:pos="9060"/>
            </w:tabs>
            <w:spacing w:line="480" w:lineRule="auto"/>
            <w:rPr>
              <w:rFonts w:ascii="Times New Roman" w:hAnsi="Times New Roman" w:cs="Times New Roman"/>
              <w:sz w:val="24"/>
              <w:szCs w:val="24"/>
            </w:rPr>
          </w:pPr>
          <w:r>
            <w:fldChar w:fldCharType="begin"/>
          </w:r>
          <w:r>
            <w:instrText xml:space="preserve"> HYPERLINK \l "_Toc133779843" </w:instrText>
          </w:r>
          <w:r>
            <w:fldChar w:fldCharType="separate"/>
          </w:r>
          <w:r>
            <w:rPr>
              <w:rStyle w:val="10"/>
              <w:rFonts w:ascii="Times New Roman" w:hAnsi="Times New Roman" w:cs="Times New Roman"/>
              <w:sz w:val="24"/>
              <w:szCs w:val="24"/>
            </w:rPr>
            <w:t>3.1.3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_Toc133779843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60"/>
            </w:tabs>
            <w:spacing w:line="480" w:lineRule="auto"/>
            <w:rPr>
              <w:rFonts w:ascii="Times New Roman" w:hAnsi="Times New Roman" w:cs="Times New Roman"/>
              <w:sz w:val="24"/>
              <w:szCs w:val="24"/>
            </w:rPr>
          </w:pPr>
          <w:r>
            <w:fldChar w:fldCharType="begin"/>
          </w:r>
          <w:r>
            <w:instrText xml:space="preserve"> HYPERLINK \l "_Toc133779844" </w:instrText>
          </w:r>
          <w:r>
            <w:fldChar w:fldCharType="separate"/>
          </w:r>
          <w:r>
            <w:rPr>
              <w:rStyle w:val="10"/>
              <w:rFonts w:ascii="Times New Roman" w:hAnsi="Times New Roman" w:cs="Times New Roman"/>
              <w:sz w:val="24"/>
              <w:szCs w:val="24"/>
            </w:rPr>
            <w:t>3.2 Stakeholder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_Toc133779844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60"/>
            </w:tabs>
            <w:spacing w:line="480" w:lineRule="auto"/>
            <w:rPr>
              <w:rFonts w:ascii="Times New Roman" w:hAnsi="Times New Roman" w:cs="Times New Roman"/>
              <w:sz w:val="24"/>
              <w:szCs w:val="24"/>
            </w:rPr>
          </w:pPr>
          <w:r>
            <w:fldChar w:fldCharType="begin"/>
          </w:r>
          <w:r>
            <w:instrText xml:space="preserve"> HYPERLINK \l "_Toc133779845" </w:instrText>
          </w:r>
          <w:r>
            <w:fldChar w:fldCharType="separate"/>
          </w:r>
          <w:r>
            <w:rPr>
              <w:rStyle w:val="10"/>
              <w:rFonts w:ascii="Times New Roman" w:hAnsi="Times New Roman" w:cs="Times New Roman"/>
              <w:sz w:val="24"/>
              <w:szCs w:val="24"/>
            </w:rPr>
            <w:t>3.3 Leadership style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_Toc133779845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60"/>
            </w:tabs>
            <w:spacing w:line="480" w:lineRule="auto"/>
            <w:rPr>
              <w:rFonts w:ascii="Times New Roman" w:hAnsi="Times New Roman" w:cs="Times New Roman"/>
              <w:sz w:val="24"/>
              <w:szCs w:val="24"/>
            </w:rPr>
          </w:pPr>
          <w:r>
            <w:fldChar w:fldCharType="begin"/>
          </w:r>
          <w:r>
            <w:instrText xml:space="preserve"> HYPERLINK \l "_Toc133779846" </w:instrText>
          </w:r>
          <w:r>
            <w:fldChar w:fldCharType="separate"/>
          </w:r>
          <w:r>
            <w:rPr>
              <w:rStyle w:val="10"/>
              <w:rFonts w:ascii="Times New Roman" w:hAnsi="Times New Roman" w:cs="Times New Roman"/>
              <w:sz w:val="24"/>
              <w:szCs w:val="24"/>
            </w:rPr>
            <w:t>4. Process of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_Toc133779846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60"/>
            </w:tabs>
            <w:spacing w:line="480" w:lineRule="auto"/>
            <w:rPr>
              <w:rFonts w:ascii="Times New Roman" w:hAnsi="Times New Roman" w:cs="Times New Roman"/>
              <w:sz w:val="24"/>
              <w:szCs w:val="24"/>
            </w:rPr>
          </w:pPr>
          <w:r>
            <w:fldChar w:fldCharType="begin"/>
          </w:r>
          <w:r>
            <w:instrText xml:space="preserve"> HYPERLINK \l "_Toc133779847" </w:instrText>
          </w:r>
          <w:r>
            <w:fldChar w:fldCharType="separate"/>
          </w:r>
          <w:r>
            <w:rPr>
              <w:rStyle w:val="10"/>
              <w:rFonts w:ascii="Times New Roman" w:hAnsi="Times New Roman" w:cs="Times New Roman"/>
              <w:sz w:val="24"/>
              <w:szCs w:val="24"/>
            </w:rPr>
            <w:t>4.1 Lewin’s 3-step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_Toc133779847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060"/>
            </w:tabs>
            <w:spacing w:line="480" w:lineRule="auto"/>
            <w:rPr>
              <w:rFonts w:ascii="Times New Roman" w:hAnsi="Times New Roman" w:cs="Times New Roman"/>
              <w:sz w:val="24"/>
              <w:szCs w:val="24"/>
            </w:rPr>
          </w:pPr>
          <w:r>
            <w:fldChar w:fldCharType="begin"/>
          </w:r>
          <w:r>
            <w:instrText xml:space="preserve"> HYPERLINK \l "_Toc133779848" </w:instrText>
          </w:r>
          <w:r>
            <w:fldChar w:fldCharType="separate"/>
          </w:r>
          <w:r>
            <w:rPr>
              <w:rStyle w:val="10"/>
              <w:rFonts w:ascii="Times New Roman" w:hAnsi="Times New Roman" w:cs="Times New Roman"/>
              <w:sz w:val="24"/>
              <w:szCs w:val="24"/>
            </w:rPr>
            <w:t>4.2 Kotter’s 8-step model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_Toc133779848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60"/>
            </w:tabs>
            <w:spacing w:line="480" w:lineRule="auto"/>
            <w:rPr>
              <w:rFonts w:ascii="Times New Roman" w:hAnsi="Times New Roman" w:cs="Times New Roman"/>
              <w:sz w:val="24"/>
              <w:szCs w:val="24"/>
            </w:rPr>
          </w:pPr>
          <w:r>
            <w:fldChar w:fldCharType="begin"/>
          </w:r>
          <w:r>
            <w:instrText xml:space="preserve"> HYPERLINK \l "_Toc133779849" </w:instrText>
          </w:r>
          <w:r>
            <w:fldChar w:fldCharType="separate"/>
          </w:r>
          <w:r>
            <w:rPr>
              <w:rStyle w:val="10"/>
              <w:rFonts w:ascii="Times New Roman" w:hAnsi="Times New Roman" w:cs="Times New Roman"/>
              <w:sz w:val="24"/>
              <w:szCs w:val="24"/>
            </w:rPr>
            <w:t>5. Evaluation of change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_Toc133779849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60"/>
            </w:tabs>
            <w:spacing w:line="480" w:lineRule="auto"/>
            <w:rPr>
              <w:rFonts w:ascii="Times New Roman" w:hAnsi="Times New Roman" w:cs="Times New Roman"/>
              <w:sz w:val="24"/>
              <w:szCs w:val="24"/>
            </w:rPr>
          </w:pPr>
          <w:r>
            <w:fldChar w:fldCharType="begin"/>
          </w:r>
          <w:r>
            <w:instrText xml:space="preserve"> HYPERLINK \l "_Toc133779850" </w:instrText>
          </w:r>
          <w:r>
            <w:fldChar w:fldCharType="separate"/>
          </w:r>
          <w:r>
            <w:rPr>
              <w:rStyle w:val="10"/>
              <w:rFonts w:ascii="Times New Roman" w:hAnsi="Times New Roman" w:cs="Times New Roman"/>
              <w:sz w:val="24"/>
              <w:szCs w:val="24"/>
            </w:rPr>
            <w:t>6. Conclusion and recommendation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_Toc133779850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060"/>
            </w:tabs>
            <w:spacing w:line="480" w:lineRule="auto"/>
            <w:rPr>
              <w:rFonts w:ascii="Times New Roman" w:hAnsi="Times New Roman" w:cs="Times New Roman"/>
              <w:sz w:val="24"/>
              <w:szCs w:val="24"/>
            </w:rPr>
          </w:pPr>
          <w:r>
            <w:fldChar w:fldCharType="begin"/>
          </w:r>
          <w:r>
            <w:instrText xml:space="preserve"> HYPERLINK \l "_Toc133779851" </w:instrText>
          </w:r>
          <w:r>
            <w:fldChar w:fldCharType="separate"/>
          </w:r>
          <w:r>
            <w:rPr>
              <w:rStyle w:val="10"/>
              <w:rFonts w:ascii="Times New Roman" w:hAnsi="Times New Roman" w:cs="Times New Roman"/>
              <w:kern w:val="0"/>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_Toc133779851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480" w:lineRule="auto"/>
            <w:rPr>
              <w:sz w:val="24"/>
              <w:szCs w:val="24"/>
            </w:rPr>
          </w:pPr>
          <w:r>
            <w:rPr>
              <w:rFonts w:ascii="Times New Roman" w:hAnsi="Times New Roman" w:cs="Times New Roman"/>
              <w:b/>
              <w:bCs/>
              <w:sz w:val="24"/>
              <w:szCs w:val="24"/>
              <w:lang w:val="zh-CN"/>
            </w:rPr>
            <w:fldChar w:fldCharType="end"/>
          </w:r>
        </w:p>
      </w:sdtContent>
    </w:sdt>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spacing w:line="480" w:lineRule="auto"/>
        <w:outlineLvl w:val="0"/>
        <w:rPr>
          <w:rFonts w:ascii="Times New Roman" w:hAnsi="Times New Roman" w:cs="Times New Roman"/>
          <w:sz w:val="24"/>
          <w:szCs w:val="24"/>
        </w:rPr>
      </w:pPr>
      <w:bookmarkStart w:id="2" w:name="_Toc133779835"/>
      <w:r>
        <w:rPr>
          <w:rFonts w:ascii="Times New Roman" w:hAnsi="Times New Roman" w:cs="Times New Roman"/>
          <w:sz w:val="24"/>
          <w:szCs w:val="24"/>
        </w:rPr>
        <w:t>1. Introduction</w:t>
      </w:r>
      <w:bookmarkEnd w:id="2"/>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As the global economy gradually recovered from the COVID-19 outbreak, the importance of outdoor activities and fitness to maintaining a balanced and healthy lifestyle is being rediscovered (Thompson, 2023). As an outstanding Canadian sportswear brand, Lululemon has gradually increased its presence globally over the past decade, and its business performance is impressive. The company currently employed around 25 thousand people in 17 countries around the world (Lululemon, 2022a). It has grown to become the fourth largest sports brand in the world by sales revenue in 2022, behind Nike, Adidas and PUMA (Statista, 2023).</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 xml:space="preserve">In order to respond to the changes in the external environment and improve the company’s competitiveness in the industry, the company first proposed Power of Three strategic plan in 2019, including rapid growth in three areas: </w:t>
      </w:r>
      <w:bookmarkStart w:id="3" w:name="_Hlk133748466"/>
      <w:r>
        <w:rPr>
          <w:rFonts w:ascii="Times New Roman" w:hAnsi="Times New Roman" w:cs="Times New Roman"/>
          <w:sz w:val="24"/>
          <w:szCs w:val="24"/>
        </w:rPr>
        <w:t xml:space="preserve">men’s business, digital business, and international business </w:t>
      </w:r>
      <w:bookmarkEnd w:id="3"/>
      <w:r>
        <w:rPr>
          <w:rFonts w:ascii="Times New Roman" w:hAnsi="Times New Roman" w:cs="Times New Roman"/>
          <w:sz w:val="24"/>
          <w:szCs w:val="24"/>
        </w:rPr>
        <w:t xml:space="preserve">(Lululemon, 2019). The company announced its new </w:t>
      </w:r>
      <w:bookmarkStart w:id="4" w:name="_Hlk133770465"/>
      <w:r>
        <w:rPr>
          <w:rFonts w:ascii="Times New Roman" w:hAnsi="Times New Roman" w:cs="Times New Roman"/>
          <w:sz w:val="24"/>
          <w:szCs w:val="24"/>
        </w:rPr>
        <w:t>Power of Three × 2 growth strategy</w:t>
      </w:r>
      <w:bookmarkEnd w:id="4"/>
      <w:r>
        <w:rPr>
          <w:rFonts w:ascii="Times New Roman" w:hAnsi="Times New Roman" w:cs="Times New Roman"/>
          <w:sz w:val="24"/>
          <w:szCs w:val="24"/>
        </w:rPr>
        <w:t xml:space="preserve"> in 2022, reaffirming its growth objectives in the three areas mentioned above (Lululemon, 2022b). This strategy reflected the company’s core change management philosophy over the past five years. As a result, Lululemon’s sales revenue rose from $3.3 billion in FY2019 to $8.1 billion in FY2023, nearly unaffected by the COVID-19 outbreak. It can be said that the company has demonstrated an incredible resilience to external shocks through change management, which has transformed the company and accelerated its growth. Therefore, Lululemon’s change management is worth investigating and learning from other competitors in the industry.</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The objective of this report is to apply the change management analytical frameworks to analyze the causes of change and the change process in the context of Lululemon’s past strategic change, and to make recommendations for the company’s future change process. The report is then structured as follows: Chapter 2 summarizes the main features of the change process and categorizes the changes as relevant. Chapter 3 discusses the change themes, including the drivers and resistors of change, stakeholder analysis, etc. Chapter 4 analyzes the change process. Chapter 5 evaluates the impact of the change. The last chapter summarizes the key findings of this report and makes recommendations for future changes in the company.</w:t>
      </w:r>
    </w:p>
    <w:p>
      <w:pPr>
        <w:spacing w:line="480" w:lineRule="auto"/>
        <w:outlineLvl w:val="0"/>
        <w:rPr>
          <w:rFonts w:ascii="Times New Roman" w:hAnsi="Times New Roman" w:cs="Times New Roman"/>
          <w:sz w:val="24"/>
          <w:szCs w:val="24"/>
        </w:rPr>
      </w:pPr>
      <w:bookmarkStart w:id="5" w:name="_Toc133779836"/>
      <w:r>
        <w:rPr>
          <w:rFonts w:ascii="Times New Roman" w:hAnsi="Times New Roman" w:cs="Times New Roman"/>
          <w:sz w:val="24"/>
          <w:szCs w:val="24"/>
        </w:rPr>
        <w:t>2. Change summary</w:t>
      </w:r>
      <w:bookmarkEnd w:id="5"/>
    </w:p>
    <w:p>
      <w:pPr>
        <w:spacing w:line="480" w:lineRule="auto"/>
        <w:outlineLvl w:val="1"/>
        <w:rPr>
          <w:rFonts w:ascii="Times New Roman" w:hAnsi="Times New Roman" w:cs="Times New Roman"/>
          <w:sz w:val="24"/>
          <w:szCs w:val="24"/>
        </w:rPr>
      </w:pPr>
      <w:bookmarkStart w:id="6" w:name="_Toc133779837"/>
      <w:r>
        <w:rPr>
          <w:rFonts w:ascii="Times New Roman" w:hAnsi="Times New Roman" w:cs="Times New Roman"/>
          <w:sz w:val="24"/>
          <w:szCs w:val="24"/>
        </w:rPr>
        <w:t>2.1 Company history and its change</w:t>
      </w:r>
      <w:bookmarkEnd w:id="6"/>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Lululemon was founded in 1998 and started its business by selling yoga pants. The company completed its initial public offering in 2007 and further developed its slogan to provide a healthy lifestyle. The company continued its rapid growth after the IPO, and it opened its first flagship store in London in 2014 as a start of growing international business (Garces, 2022).</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In terms of personnel and strategy changes, Lululemon removed the position of Chief Product Officer and added the appointment of Creative Director and the creation of related departments, reflecting its focus on product innovation (Lululemon, 2015). In 2018, Laurent Potdevin, the company’s former CEO, resigned for building a toxic corporate culture at the company (Agnihotri and Bhattacharya, 2019). The new CEO Calvin McDonald officially presented the Power of Three strategic plan in 2019 to increase the company’s revenues in men's business, digital business, and international business (Lululemon, 2019). The company continued to open stores in other regions, with the number of stores reaching 655 at the end of January 2023 (Lululemon, 2023). In terms of acquisitions, the company acquired at-home fitness startup company Mirror in June 2020 to officially move into the indoor exercise and fitness market (Mixson, 2022).</w:t>
      </w:r>
    </w:p>
    <w:p>
      <w:pPr>
        <w:spacing w:line="480" w:lineRule="auto"/>
        <w:outlineLvl w:val="1"/>
        <w:rPr>
          <w:rFonts w:ascii="Times New Roman" w:hAnsi="Times New Roman" w:cs="Times New Roman"/>
          <w:sz w:val="24"/>
          <w:szCs w:val="24"/>
        </w:rPr>
      </w:pPr>
      <w:bookmarkStart w:id="7" w:name="_Toc133779838"/>
      <w:r>
        <w:rPr>
          <w:rFonts w:ascii="Times New Roman" w:hAnsi="Times New Roman" w:cs="Times New Roman"/>
          <w:sz w:val="24"/>
          <w:szCs w:val="24"/>
        </w:rPr>
        <w:t>2.2 Type of change</w:t>
      </w:r>
      <w:bookmarkEnd w:id="7"/>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 xml:space="preserve">According to the classification of change by Hodges and Gill (2015), Lululemon’s change was classified as planned change. This is because management realizes that the company can transition from one steady state to another through planned actions to achieve its strategic goals. This top-down authority and methodical execution of plans can produce predictable results. </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Second, Lululemon’s change was incremental change. There were hardly significant technological or regulatory changes in the sportswear market, and there were no systemic constraints that prevented Lululemon from implementing it (Kindler, 1979). In terms of cost-benefit considerations, tapping into the male market and increasing market share in other regions while maintaining the existing female business is a much less risky approach. Finally, these changes were strategic and organizational level changes. Management responded to the uncertainty of external changes by making conscious incremental adjustments to achieve a strategic transformation of the organization and business step by step. This is also considered to be the more rational choice (Johnson, 1992).</w:t>
      </w:r>
    </w:p>
    <w:p>
      <w:pPr>
        <w:spacing w:line="480" w:lineRule="auto"/>
        <w:outlineLvl w:val="0"/>
        <w:rPr>
          <w:rFonts w:ascii="Times New Roman" w:hAnsi="Times New Roman" w:cs="Times New Roman"/>
          <w:sz w:val="24"/>
          <w:szCs w:val="24"/>
        </w:rPr>
      </w:pPr>
      <w:bookmarkStart w:id="8" w:name="_Toc133779839"/>
      <w:r>
        <w:rPr>
          <w:rFonts w:ascii="Times New Roman" w:hAnsi="Times New Roman" w:cs="Times New Roman"/>
          <w:sz w:val="24"/>
          <w:szCs w:val="24"/>
        </w:rPr>
        <w:t>3. Change themes</w:t>
      </w:r>
      <w:bookmarkEnd w:id="8"/>
    </w:p>
    <w:p>
      <w:pPr>
        <w:spacing w:line="480" w:lineRule="auto"/>
        <w:outlineLvl w:val="1"/>
        <w:rPr>
          <w:rFonts w:ascii="Times New Roman" w:hAnsi="Times New Roman" w:cs="Times New Roman"/>
          <w:sz w:val="24"/>
          <w:szCs w:val="24"/>
        </w:rPr>
      </w:pPr>
      <w:bookmarkStart w:id="9" w:name="_Toc133779840"/>
      <w:r>
        <w:rPr>
          <w:rFonts w:ascii="Times New Roman" w:hAnsi="Times New Roman" w:cs="Times New Roman"/>
          <w:sz w:val="24"/>
          <w:szCs w:val="24"/>
        </w:rPr>
        <w:t xml:space="preserve">3.1 “Why change” analysis: </w:t>
      </w:r>
      <w:bookmarkStart w:id="10" w:name="_Hlk133755872"/>
      <w:r>
        <w:rPr>
          <w:rFonts w:ascii="Times New Roman" w:hAnsi="Times New Roman" w:cs="Times New Roman"/>
          <w:sz w:val="24"/>
          <w:szCs w:val="24"/>
        </w:rPr>
        <w:t xml:space="preserve">Lewin’s </w:t>
      </w:r>
      <w:bookmarkStart w:id="11" w:name="_Hlk133778616"/>
      <w:r>
        <w:rPr>
          <w:rFonts w:ascii="Times New Roman" w:hAnsi="Times New Roman" w:cs="Times New Roman"/>
          <w:sz w:val="24"/>
          <w:szCs w:val="24"/>
        </w:rPr>
        <w:t>Force Field theory</w:t>
      </w:r>
      <w:bookmarkEnd w:id="9"/>
      <w:bookmarkEnd w:id="10"/>
      <w:bookmarkEnd w:id="11"/>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According to Lewin’s Force Field theory (1951), organizational change occurs when the influence of drivers exceeds that of resistors. The sportswear market where Lululemon is located is a highly competitive market. Growing up in the niche market of yoga, Lululemon faced the challenge of other competing brands launching into this market as the company and the corresponding market grew to a certain size. Lululemon’s most fundamental motivation for change was to escape the bottlenecks and limitations of its current growth and to increase its competitiveness on a global scale.</w:t>
      </w:r>
    </w:p>
    <w:p>
      <w:pPr>
        <w:spacing w:line="480" w:lineRule="auto"/>
        <w:outlineLvl w:val="2"/>
        <w:rPr>
          <w:rFonts w:ascii="Times New Roman" w:hAnsi="Times New Roman" w:cs="Times New Roman"/>
          <w:sz w:val="24"/>
          <w:szCs w:val="24"/>
        </w:rPr>
      </w:pPr>
      <w:bookmarkStart w:id="12" w:name="_Toc133779841"/>
      <w:r>
        <w:rPr>
          <w:rFonts w:ascii="Times New Roman" w:hAnsi="Times New Roman" w:cs="Times New Roman"/>
          <w:sz w:val="24"/>
          <w:szCs w:val="24"/>
        </w:rPr>
        <w:t>3.1.1 Drivers</w:t>
      </w:r>
      <w:bookmarkEnd w:id="12"/>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According to ACAS guidelines on change management (Pitson, 2023) and research by the consulting firm Thomas International (2022), company change comes from internal and external pressures, including ineffective communication, outdated policies and systems, customer pressure, new regulation, new technology, etc. Specifically, the drivers of Lululemon’s change include need for development of other segments under intense competition, changing customer needs and preference, satisfaction of shareholder interests, need for further technology development, etc.</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1) Inadequate involvement in the male market and other regional markets. In the past, Lululemon’s brand image to consumers was that it was a female brand. 70% of its revenue in 2021 still came from women (McKinnon, 2020; Lectra, 2021). In addition, the company’s previous stores were primarily located in the United States and Canada (Tighe, 2022), and the company needs to gain incremental growth by entering more regional markets.</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379595" cy="2252345"/>
            <wp:effectExtent l="0" t="0" r="190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4441505" cy="2284386"/>
                    </a:xfrm>
                    <a:prstGeom prst="rect">
                      <a:avLst/>
                    </a:prstGeom>
                  </pic:spPr>
                </pic:pic>
              </a:graphicData>
            </a:graphic>
          </wp:inline>
        </w:drawing>
      </w:r>
    </w:p>
    <w:p>
      <w:pPr>
        <w:spacing w:line="480" w:lineRule="auto"/>
        <w:rPr>
          <w:rFonts w:ascii="Times New Roman" w:hAnsi="Times New Roman" w:cs="Times New Roman"/>
          <w:sz w:val="24"/>
          <w:szCs w:val="24"/>
        </w:rPr>
      </w:pPr>
      <w:r>
        <w:rPr>
          <w:rFonts w:ascii="Times New Roman" w:hAnsi="Times New Roman" w:cs="Times New Roman"/>
          <w:sz w:val="24"/>
          <w:szCs w:val="24"/>
        </w:rPr>
        <w:t>Source: Lectra, 2021</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2) Changes in consumer preferences. As the Internet technology continues to evolve, the popularity of online purchasing has made consumers less dependent on offline stores as a single channel, and the COVID-19 epidemic further accelerated this process (McKinsey, 2022). The trend of digitalization powered by technology breakthroughs can meet the flexible and customized needs of customers, further contributing to the revenue pull from the company’s Direct to Customer (DTC) model.</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3) Satisfaction of the interests of shareholders. The company’s share price has remained largely stable since 2011 and has not earned additional benefits for shareholders. After the former CEO exited the company, the company needed new management to make organizational changes to help increase shareholder returns.</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586605" cy="2509520"/>
            <wp:effectExtent l="0" t="0" r="4445"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stretch>
                      <a:fillRect/>
                    </a:stretch>
                  </pic:blipFill>
                  <pic:spPr>
                    <a:xfrm>
                      <a:off x="0" y="0"/>
                      <a:ext cx="4610803" cy="2523007"/>
                    </a:xfrm>
                    <a:prstGeom prst="rect">
                      <a:avLst/>
                    </a:prstGeom>
                  </pic:spPr>
                </pic:pic>
              </a:graphicData>
            </a:graphic>
          </wp:inline>
        </w:drawing>
      </w:r>
    </w:p>
    <w:p>
      <w:pPr>
        <w:spacing w:line="480" w:lineRule="auto"/>
        <w:rPr>
          <w:rFonts w:ascii="Times New Roman" w:hAnsi="Times New Roman" w:cs="Times New Roman"/>
          <w:sz w:val="24"/>
          <w:szCs w:val="24"/>
        </w:rPr>
      </w:pPr>
      <w:r>
        <w:rPr>
          <w:rFonts w:ascii="Times New Roman" w:hAnsi="Times New Roman" w:cs="Times New Roman"/>
          <w:sz w:val="24"/>
          <w:szCs w:val="24"/>
        </w:rPr>
        <w:t>Source: Morningstar, 2023a</w:t>
      </w:r>
    </w:p>
    <w:p>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4) Lack of innovation in the company’s product line. Lululemon entered the sportswear market through Luon fabric in 2010 (Ballard, 2020), and the company is undeniably considered as an innovative company since it has been working with suppliers on the development of new fabrics including Nulu, Boolux, and Luxtreme (McKinnon, 2020). However, the company was too focused on the segment of yoga pants before the change, and was not well placed in product lines such as men’s sporting goods and running shoes, which is a shortcoming for a company with its vision to provide healthy living style.</w:t>
      </w:r>
    </w:p>
    <w:p>
      <w:pPr>
        <w:spacing w:line="480" w:lineRule="auto"/>
        <w:outlineLvl w:val="2"/>
        <w:rPr>
          <w:rFonts w:ascii="Times New Roman" w:hAnsi="Times New Roman" w:cs="Times New Roman"/>
          <w:sz w:val="24"/>
          <w:szCs w:val="24"/>
        </w:rPr>
      </w:pPr>
      <w:bookmarkStart w:id="13" w:name="_Toc133779842"/>
      <w:r>
        <w:rPr>
          <w:rFonts w:ascii="Times New Roman" w:hAnsi="Times New Roman" w:cs="Times New Roman"/>
          <w:sz w:val="24"/>
          <w:szCs w:val="24"/>
        </w:rPr>
        <w:t>3.1.2 Resistors</w:t>
      </w:r>
      <w:bookmarkEnd w:id="13"/>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Based on Lululemon’s most recent annual report and management discussions (Lululemon, 2023), the company believes it faces risks including the ability to maintain the value of the brand; the current COVID-19 pandemic influence; the highly competitive market and increasing competition; the increasing costs and decreasing selling prices; the ability to anticipate consumer preferences and develop innovative products, etc. According to the SWOT model (Ghemawat, 2020), most of these mentioned risks are market risks and are not obstacles to the change of the company.</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The resistors of Lululemon’s change include management’s fear of failure or reluctance of change, difficulty in adjusting internal structures, company culture resistance, etc. These are all internal factors, and the company culture is the primary one. Specifically, Lululemon faced many controversies during its rapid growth phase, including its founder’s support of child labor and discrimination against plus-size women. The company would also monitor its employees to see if they were working out on time and organize regular cult-like seminars (Schroeder, 2020). This toxic company value and culture was actually detrimental to the long-term growth of the business. This is one of the reasons why the power of the founders has been gradually diminished by the shareholders’ meeting and the board of directors, and the company hired new management to run the business.</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For the external factors, strategic adjustments may lose some of its quality customers as the company has been attracting a large number of high-income women in the past. This concern is necessary, since Lululemon’s past success has been gained by winning the love of female users. The demographic change was social factor according to the PESTLE framework. Other main external challenges faced by Lululemon include economic shocks (E), technological changes (T) and increased demand for sustainability (second E). These external factors actually drove the occurrence of changes in the company, as the next phase of growth depends on these changes by leveraging its competitive advantages.</w:t>
      </w:r>
    </w:p>
    <w:p>
      <w:pPr>
        <w:spacing w:line="480" w:lineRule="auto"/>
        <w:outlineLvl w:val="2"/>
        <w:rPr>
          <w:rFonts w:ascii="Times New Roman" w:hAnsi="Times New Roman" w:cs="Times New Roman"/>
          <w:sz w:val="24"/>
          <w:szCs w:val="24"/>
        </w:rPr>
      </w:pPr>
      <w:bookmarkStart w:id="14" w:name="_Toc133779843"/>
      <w:r>
        <w:rPr>
          <w:rFonts w:ascii="Times New Roman" w:hAnsi="Times New Roman" w:cs="Times New Roman"/>
          <w:sz w:val="24"/>
          <w:szCs w:val="24"/>
        </w:rPr>
        <w:t>3.1.3 Summary</w:t>
      </w:r>
      <w:bookmarkEnd w:id="14"/>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The Force Field theory allowed for an analysis of change by scoring the degree of influence of different factors. In sum, the degree of influence of the drivers was greater than the resistors, so the change occurred.</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612640" cy="303657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tretch>
                      <a:fillRect/>
                    </a:stretch>
                  </pic:blipFill>
                  <pic:spPr>
                    <a:xfrm>
                      <a:off x="0" y="0"/>
                      <a:ext cx="4630446" cy="3048312"/>
                    </a:xfrm>
                    <a:prstGeom prst="rect">
                      <a:avLst/>
                    </a:prstGeom>
                  </pic:spPr>
                </pic:pic>
              </a:graphicData>
            </a:graphic>
          </wp:inline>
        </w:drawing>
      </w:r>
    </w:p>
    <w:p>
      <w:pPr>
        <w:spacing w:line="480" w:lineRule="auto"/>
        <w:rPr>
          <w:rFonts w:ascii="Times New Roman" w:hAnsi="Times New Roman" w:cs="Times New Roman"/>
          <w:sz w:val="24"/>
          <w:szCs w:val="24"/>
        </w:rPr>
      </w:pPr>
      <w:r>
        <w:rPr>
          <w:rFonts w:ascii="Times New Roman" w:hAnsi="Times New Roman" w:cs="Times New Roman"/>
          <w:sz w:val="24"/>
          <w:szCs w:val="24"/>
        </w:rPr>
        <w:t>Source: author</w:t>
      </w:r>
    </w:p>
    <w:p>
      <w:pPr>
        <w:spacing w:line="480" w:lineRule="auto"/>
        <w:outlineLvl w:val="1"/>
        <w:rPr>
          <w:rFonts w:ascii="Times New Roman" w:hAnsi="Times New Roman" w:cs="Times New Roman"/>
          <w:sz w:val="24"/>
          <w:szCs w:val="24"/>
        </w:rPr>
      </w:pPr>
      <w:bookmarkStart w:id="15" w:name="_Toc133779844"/>
      <w:r>
        <w:rPr>
          <w:rFonts w:ascii="Times New Roman" w:hAnsi="Times New Roman" w:cs="Times New Roman"/>
          <w:sz w:val="24"/>
          <w:szCs w:val="24"/>
        </w:rPr>
        <w:t>3.2 Stakeholder analysis</w:t>
      </w:r>
      <w:bookmarkEnd w:id="15"/>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Stakeholder analysis is an analytical process that helps in decision making by building knowledge about relevant individuals and organizations to understand the motivations and intentions of their behavior (Brugha and Varvasovszky, 2000). Mendelow’s Matrix assessed the influence of different individuals and organizations on decision-making process by using two dimensions: interest and power (Rompoti, Madas and Kitsios, 2020). Stakeholders’ interest and power measure their willingness and ability to influence a particular decision, respectively. This approach can be effectively used in corporate restructuring and mergers and acquisitions to measure synergistic effects (Martirosyan and Vashakmadze, 2014).</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As for Lululemon’s change, its stakeholders include shareholders, board, management team, employee, supplier, clients, government, competitors, etc. Prior to the change, Lululemon’s market value did not fluctuate significantly. But the company suffered from a lot of bad press, including recalls of see-through yoga pants in 2013 due to quality issues (Smith, 2013), and management turmoil since then. Therefore, the company’s shareholders had high interest and high power to make changes. Second, the company’s previous management team had high power to make changes, but they had low interest to make changes due to the still acceptable performance. The company’s former CEO also let the toxic culture spread through the company, reflecting the inaction. Thirdly, Lululemon’s employees, despite their dissatisfaction with the cult-like culture and high interest for change, were limited in their ability (power) to do so.</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As the change was a strategic realignment of the company, the expansion of its business would expand global sourcing. The company’s customers could also benefit from the expansion of the product line and the improvement of online purchasing channels, and customers in more countries will be able to buy the company’s products more easily. Suppliers and customers therefore welcomed this change. But as external stakeholders, their ability to influence was low. Governments and competitors also had low power for change. Although governments might want companies to expand sales to increase local tax revenues, this influence was ambiguous for different regions and considerations for environmental impact.</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In sum, shareholders had the most influence over changes; their key motivations for change were higher share price and higher dividends (Kuzmin and Khilukha, 2016). The board could also influence decision making by changing the management team. On the other hand, the current scenario satisfied the management’s need but in reality, the shareholders were not, so this was the core source of conflict in change. Since other stakeholders had low power, it is recommended to keep employees, suppliers and customers informed and keep an eye on government and competitors.</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801870" cy="2452370"/>
            <wp:effectExtent l="0" t="0" r="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9"/>
                    <a:stretch>
                      <a:fillRect/>
                    </a:stretch>
                  </pic:blipFill>
                  <pic:spPr>
                    <a:xfrm>
                      <a:off x="0" y="0"/>
                      <a:ext cx="4813965" cy="2458566"/>
                    </a:xfrm>
                    <a:prstGeom prst="rect">
                      <a:avLst/>
                    </a:prstGeom>
                  </pic:spPr>
                </pic:pic>
              </a:graphicData>
            </a:graphic>
          </wp:inline>
        </w:drawing>
      </w:r>
    </w:p>
    <w:p>
      <w:pPr>
        <w:spacing w:line="480" w:lineRule="auto"/>
        <w:rPr>
          <w:rFonts w:ascii="Times New Roman" w:hAnsi="Times New Roman" w:cs="Times New Roman"/>
          <w:sz w:val="24"/>
          <w:szCs w:val="24"/>
        </w:rPr>
      </w:pPr>
      <w:r>
        <w:rPr>
          <w:rFonts w:ascii="Times New Roman" w:hAnsi="Times New Roman" w:cs="Times New Roman"/>
          <w:sz w:val="24"/>
          <w:szCs w:val="24"/>
        </w:rPr>
        <w:t>Source: author</w:t>
      </w:r>
    </w:p>
    <w:p>
      <w:pPr>
        <w:spacing w:line="480" w:lineRule="auto"/>
        <w:outlineLvl w:val="1"/>
        <w:rPr>
          <w:rFonts w:ascii="Times New Roman" w:hAnsi="Times New Roman" w:cs="Times New Roman"/>
          <w:sz w:val="24"/>
          <w:szCs w:val="24"/>
        </w:rPr>
      </w:pPr>
      <w:bookmarkStart w:id="16" w:name="_Toc133779845"/>
      <w:r>
        <w:rPr>
          <w:rFonts w:ascii="Times New Roman" w:hAnsi="Times New Roman" w:cs="Times New Roman"/>
          <w:sz w:val="24"/>
          <w:szCs w:val="24"/>
        </w:rPr>
        <w:t>3.3 Leadership style analysis</w:t>
      </w:r>
      <w:bookmarkEnd w:id="16"/>
    </w:p>
    <w:p>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As one of the main forces of change facilitation, leadership styles can influence the process of organization change. Common classifications of leadership styles include authoritarian leadership, transformational leadership, Laissez-faire leadership, democratic leadership, etc. (Mansaray, 2019). Leadership styles should match the strategic goals and company culture with the ultimate goal of guiding employees to achieve organizational goals. Boyles (2023) went a step further and discussed the aspects of leadership that had an impact in change implementation. He divided the implementation of change into six steps and thus proposes the CHANGE model, which included conceptualizing the change, listening to the team’s suggestions, developing a plan and guiding the implementation. Leaders should share a unified vision with the team during this process and ensure that members understand the long-term benefits of change and accept it through creative communication.</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Most research was most supportive of transformational leadership, as this leadership style tended to inspire teams to contribute beyond expectations (Mansaray, 2019). In the case of Lululemon, replacing the management team with one that fitted the long-term growth of the company and adopting transformational leadership was able to re-instill confidence and commitment to change in the team. This support was able to achieve a unified vision through empathy. Compared to other leadership styles, transformational leadership minimized reluctance in change and increased the probability of successful change implementation.</w:t>
      </w:r>
    </w:p>
    <w:p>
      <w:pPr>
        <w:spacing w:line="480" w:lineRule="auto"/>
        <w:outlineLvl w:val="0"/>
        <w:rPr>
          <w:rFonts w:ascii="Times New Roman" w:hAnsi="Times New Roman" w:cs="Times New Roman"/>
          <w:sz w:val="24"/>
          <w:szCs w:val="24"/>
        </w:rPr>
      </w:pPr>
      <w:bookmarkStart w:id="17" w:name="_Toc133779846"/>
      <w:r>
        <w:rPr>
          <w:rFonts w:ascii="Times New Roman" w:hAnsi="Times New Roman" w:cs="Times New Roman"/>
          <w:sz w:val="24"/>
          <w:szCs w:val="24"/>
        </w:rPr>
        <w:t>4. Process of change</w:t>
      </w:r>
      <w:bookmarkEnd w:id="17"/>
    </w:p>
    <w:p>
      <w:pPr>
        <w:spacing w:line="480" w:lineRule="auto"/>
        <w:outlineLvl w:val="1"/>
        <w:rPr>
          <w:rFonts w:ascii="Times New Roman" w:hAnsi="Times New Roman" w:cs="Times New Roman"/>
          <w:sz w:val="24"/>
          <w:szCs w:val="24"/>
        </w:rPr>
      </w:pPr>
      <w:bookmarkStart w:id="18" w:name="_Toc133779847"/>
      <w:r>
        <w:rPr>
          <w:rFonts w:ascii="Times New Roman" w:hAnsi="Times New Roman" w:cs="Times New Roman"/>
          <w:sz w:val="24"/>
          <w:szCs w:val="24"/>
        </w:rPr>
        <w:t xml:space="preserve">4.1 </w:t>
      </w:r>
      <w:bookmarkStart w:id="19" w:name="_Hlk133778823"/>
      <w:r>
        <w:rPr>
          <w:rFonts w:ascii="Times New Roman" w:hAnsi="Times New Roman" w:cs="Times New Roman"/>
          <w:sz w:val="24"/>
          <w:szCs w:val="24"/>
        </w:rPr>
        <w:t>Lewin’s 3-step model</w:t>
      </w:r>
      <w:bookmarkEnd w:id="18"/>
      <w:bookmarkEnd w:id="19"/>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According to Lewin’s 3-step model (Lewin, 1947), the change includes unfreezing the present conditions, moving to the new condition, and refreezing the new condition. In the first stage, the change in the company’s quasi-stationary equilibrium is caused by the interaction of driving forces and restraining forces (Burnes, 2004). This requires the company to be well prepared for the change, to create the internal and external environment for the change and to set deadlines. For Lululemon, the company needed to deeply understand the limitations and shortcomings of the company at this stage of development. This included the solidification of the brand image and the inadequacy of the product line in current operation. These limitations could lead to a significant drop in sales revenue after a rapid change in consumer preferences. A five-year plan to restructure the company’s business and rebrand is therefore necessary to enable the company to withstand external shocks.</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 xml:space="preserve">In the second phase, the company needed to initiate actions to implement the strategic goals set by the change. This process involved opening stores in other parts of the world for Lululemon’s change, increasing the DTC model to optimize the online shopping experience, and strengthening the company’s competitiveness as a branded community operator through a membership system. </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In the third phase, the company needed to maintain a new quasi-stationary equilibrium to ensure that the new behaviors of the company did not revert to the original state (Sarayreh et al., 2013). For Lululemon, this required the company to fix the company culture, discipline, organizational structure and business practices that have changed to ensure that its operations are stable. In this way the company’s change is considered to be successfully completed.</w:t>
      </w:r>
    </w:p>
    <w:p>
      <w:pPr>
        <w:spacing w:line="480" w:lineRule="auto"/>
        <w:outlineLvl w:val="1"/>
        <w:rPr>
          <w:rFonts w:ascii="Times New Roman" w:hAnsi="Times New Roman" w:cs="Times New Roman"/>
          <w:sz w:val="24"/>
          <w:szCs w:val="24"/>
        </w:rPr>
      </w:pPr>
      <w:bookmarkStart w:id="20" w:name="_Toc133779848"/>
      <w:r>
        <w:rPr>
          <w:rFonts w:ascii="Times New Roman" w:hAnsi="Times New Roman" w:cs="Times New Roman"/>
          <w:sz w:val="24"/>
          <w:szCs w:val="24"/>
        </w:rPr>
        <w:t xml:space="preserve">4.2 </w:t>
      </w:r>
      <w:bookmarkStart w:id="21" w:name="_Hlk133778830"/>
      <w:r>
        <w:rPr>
          <w:rFonts w:ascii="Times New Roman" w:hAnsi="Times New Roman" w:cs="Times New Roman"/>
          <w:sz w:val="24"/>
          <w:szCs w:val="24"/>
        </w:rPr>
        <w:t>Kotter’s 8-step model</w:t>
      </w:r>
      <w:bookmarkEnd w:id="20"/>
      <w:bookmarkEnd w:id="21"/>
    </w:p>
    <w:p>
      <w:pPr>
        <w:spacing w:line="480" w:lineRule="auto"/>
        <w:rPr>
          <w:rFonts w:ascii="Times New Roman" w:hAnsi="Times New Roman" w:cs="Times New Roman"/>
          <w:sz w:val="24"/>
          <w:szCs w:val="24"/>
        </w:rPr>
      </w:pPr>
      <w:r>
        <w:rPr>
          <w:rFonts w:ascii="Times New Roman" w:hAnsi="Times New Roman" w:cs="Times New Roman"/>
          <w:sz w:val="24"/>
          <w:szCs w:val="24"/>
        </w:rPr>
        <w:tab/>
      </w:r>
      <w:bookmarkStart w:id="22" w:name="_Hlk133773050"/>
      <w:r>
        <w:rPr>
          <w:rFonts w:ascii="Times New Roman" w:hAnsi="Times New Roman" w:cs="Times New Roman"/>
          <w:sz w:val="24"/>
          <w:szCs w:val="24"/>
        </w:rPr>
        <w:t>Kotter’s 8-step model</w:t>
      </w:r>
      <w:bookmarkEnd w:id="22"/>
      <w:r>
        <w:rPr>
          <w:rFonts w:ascii="Times New Roman" w:hAnsi="Times New Roman" w:cs="Times New Roman"/>
          <w:sz w:val="24"/>
          <w:szCs w:val="24"/>
        </w:rPr>
        <w:t xml:space="preserve"> (Kotter, 1996) focuses on people’s behavior and describes the process of change in terms of behavioral steps. Lululemon’s change is further elaborated below by using this model.</w:t>
      </w:r>
    </w:p>
    <w:p>
      <w:pPr>
        <w:spacing w:line="480" w:lineRule="auto"/>
        <w:ind w:firstLine="420"/>
        <w:rPr>
          <w:rFonts w:ascii="Times New Roman" w:hAnsi="Times New Roman" w:cs="Times New Roman"/>
          <w:sz w:val="24"/>
          <w:szCs w:val="24"/>
        </w:rPr>
      </w:pPr>
      <w:bookmarkStart w:id="23" w:name="_Hlk133773196"/>
      <w:r>
        <w:rPr>
          <w:rFonts w:ascii="Times New Roman" w:hAnsi="Times New Roman" w:cs="Times New Roman"/>
          <w:sz w:val="24"/>
          <w:szCs w:val="24"/>
        </w:rPr>
        <w:t>1) Establishing a sense of urgency. This required the company to answer the reasons for the change and the benefits to the organization. The company needs to complete its transformation from a regional women’s yoga brand to a global sports and wellness brand and to achieve higher sales revenue and profits to meet the need to maximize shareholder wealth. Without diversifying its revenue streams, the company will face operational risks associated with changing consumer preferences, which could be fatal to the company.</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2) Creating a guiding coalition. This required the company to first build a transformational leadership team. In the case of Lululemon, this was associated with a restructuring of the company, the appointment of a creative director and a change of CEO.</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3) Developing a vision and strategy. This required the company to re-establish its strategic goal of doubling or tripling revenue growth in Lululemon's men’s business, e-commerce business and international business. Its vision aims to attract global customers to the company’s healthy living solutions.</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4) Communicating the change vision. This required the new leadership team to communicate with employees about the need for change and to build collaborative relationships with them.</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5) Empowering broad-based action.</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6) Generating short-term wins.</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7) Consolidating gains and producing more change. This is reflected in the company’s announcement in 2022 of its new Power of Three × 2 growth strategy, which reaffirmed the growth targets in the three areas mentioned above. This will further strengthen the team’s confidence and commitment to its goals.</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8) Anchoring new approaches in the culture. This required managers to clearly communicate to employees the cause-and-effect relationship between new change behaviors and organizational success. Its purpose is to prevent team members to revert back to the prior behavior styles (Galli, 2018). This would continue to be reflected in Lululemon’s future operational and strategic deployments.</w:t>
      </w:r>
    </w:p>
    <w:bookmarkEnd w:id="23"/>
    <w:p>
      <w:pPr>
        <w:spacing w:line="480" w:lineRule="auto"/>
        <w:outlineLvl w:val="0"/>
        <w:rPr>
          <w:rFonts w:ascii="Times New Roman" w:hAnsi="Times New Roman" w:cs="Times New Roman"/>
          <w:sz w:val="24"/>
          <w:szCs w:val="24"/>
        </w:rPr>
      </w:pPr>
      <w:bookmarkStart w:id="24" w:name="_Toc133779849"/>
      <w:r>
        <w:rPr>
          <w:rFonts w:ascii="Times New Roman" w:hAnsi="Times New Roman" w:cs="Times New Roman"/>
          <w:sz w:val="24"/>
          <w:szCs w:val="24"/>
        </w:rPr>
        <w:t>5. Evaluation of change</w:t>
      </w:r>
      <w:bookmarkEnd w:id="24"/>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When evaluating change, both financial and non-financial indicators must be taken into account, and the costs associated with resistance to change must not be ignored. First, the company’s sales revenue has increased significantly since the company first introduced its Power of Three growth strategy in 2019. The company’s share price has also increased over the same period (see Chart in Section 3.1.1), and these changes have effectively met the needs of the key player in this change, the company’s shareholders. Secondly, Lululemon’s global expansion plans are also progressing steadily. The number of stores in China reached 117 at the end of January 2023, second only to the company’s stores in the United States (Lululemon, 2023). The company has also improved the customer shopping experience in its offline stores by adopting virtual waiting lists, mobile POS and appointment shopping. The company is constantly increasing its e-commerce investments, and its digital channel revenue growth rate has also increased significantly in the past few years (Zacks Equity Research, 2023).</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In terms of innovations, Lululemon has been gradually increasing the development and patenting of other product categories since 2021, including patents for shorts, bras, tights, shoes, and inventions such as motion sensors (Vembar, 2021). Having intellectual property helped the company increase its competitive advantage in the retail sector and signaled to its customers that it is looking out for their needs and services.</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The measurement of resistance to change is also important. According to Pardo del Val and Martínez Fuentes (2003),</w:t>
      </w:r>
      <w:bookmarkStart w:id="25" w:name="_Hlk133770378"/>
      <w:r>
        <w:rPr>
          <w:rFonts w:ascii="Times New Roman" w:hAnsi="Times New Roman" w:cs="Times New Roman"/>
          <w:sz w:val="24"/>
          <w:szCs w:val="24"/>
        </w:rPr>
        <w:t xml:space="preserve"> resistance to change </w:t>
      </w:r>
      <w:bookmarkEnd w:id="25"/>
      <w:r>
        <w:rPr>
          <w:rFonts w:ascii="Times New Roman" w:hAnsi="Times New Roman" w:cs="Times New Roman"/>
          <w:sz w:val="24"/>
          <w:szCs w:val="24"/>
        </w:rPr>
        <w:t>happen in the formation and implementation phases. Communication barriers, and organizational silence are cognitive barriers. Cannibalization cost, past failure, and interest conflict are lacks of motivation in the formation phases. In the implementation phase, human factors such as political struggle and lack of leadership may lead to the failure of change. As for Lululemon’s change, it continued to improve its corporate culture and provide more benefits to its employees (Lululemon, 2021). The number of negative news related to the company has decreased in recent years and employee complaints have decreased. Besides, the company’s revenue is growing in all business lines and are not cannibalizing each other as a result of the changes. The company is building a healthy community atmosphere by organizing more events to bring more people on board and achieve a healthy lifestyle.</w:t>
      </w:r>
    </w:p>
    <w:p>
      <w:pPr>
        <w:spacing w:line="480" w:lineRule="auto"/>
        <w:outlineLvl w:val="0"/>
        <w:rPr>
          <w:rFonts w:ascii="Times New Roman" w:hAnsi="Times New Roman" w:cs="Times New Roman"/>
          <w:sz w:val="24"/>
          <w:szCs w:val="24"/>
        </w:rPr>
      </w:pPr>
      <w:bookmarkStart w:id="26" w:name="_Toc133779850"/>
      <w:r>
        <w:rPr>
          <w:rFonts w:ascii="Times New Roman" w:hAnsi="Times New Roman" w:cs="Times New Roman"/>
          <w:sz w:val="24"/>
          <w:szCs w:val="24"/>
        </w:rPr>
        <w:t>6. Conclusion and recommendation</w:t>
      </w:r>
      <w:bookmarkEnd w:id="26"/>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For company growth and development, transforming the current business model, increasing sales revenue, implementing new talent development programs, and making mergers and acquisitions all require change management (Schaffer, 2017). This report introduced the Power of Three strategic plan and related changes proposed by Lululemon in 2019. The reasons for change, stakeholders, and leadership characteristics were analyzed, and the change management theory model was used to illustrate the process of change. The main findings of this report were as follows: first, the drivers of change at Lululemon included market development, consumer preferences, and shareholder demands. These were more influential than internal inhibitors such as management reluctance and company culture. Secondly, shareholders were the most influential stakeholder in the change, and transformational leadership was implemented for the change. Finally, the change could be divided into three stages of “unfreeze, move and refreeze”, and people’s change behaviors could be well explained. Overall, the company’s change accomplished various financial and non-financial goals and mitigated the impact of resistance to change.</w:t>
      </w:r>
    </w:p>
    <w:p>
      <w:pPr>
        <w:spacing w:line="480" w:lineRule="auto"/>
        <w:ind w:firstLine="420"/>
        <w:rPr>
          <w:rFonts w:ascii="Times New Roman" w:hAnsi="Times New Roman" w:cs="Times New Roman"/>
          <w:sz w:val="24"/>
          <w:szCs w:val="24"/>
        </w:rPr>
      </w:pPr>
      <w:r>
        <w:rPr>
          <w:rFonts w:ascii="Times New Roman" w:hAnsi="Times New Roman" w:cs="Times New Roman"/>
          <w:sz w:val="24"/>
          <w:szCs w:val="24"/>
        </w:rPr>
        <w:t>In the future, Lululemon’s change needs to focus on three more areas. First, it is recommended that Lululemon further adopt big data and artificial intelligence to capture changes in consumer demand faster and adjust the product line layout. Second, Lululemon could accelerate its focus on local development while expanding into overseas markets, and launch more types of products and events that incorporate the physical qualities and lifestyles of local people. Third, the company could strengthen leadership training, enhance employee ownership, and further integrate the goals of shareholders, management, and employees in its change management.</w:t>
      </w:r>
    </w:p>
    <w:p>
      <w:pPr>
        <w:widowControl/>
        <w:jc w:val="left"/>
        <w:rPr>
          <w:rFonts w:ascii="Arial" w:hAnsi="Arial" w:cs="Arial"/>
        </w:rPr>
      </w:pPr>
      <w:r>
        <w:rPr>
          <w:rFonts w:ascii="Arial" w:hAnsi="Arial" w:cs="Arial"/>
        </w:rPr>
        <w:br w:type="page"/>
      </w:r>
    </w:p>
    <w:p>
      <w:pPr>
        <w:autoSpaceDE w:val="0"/>
        <w:autoSpaceDN w:val="0"/>
        <w:adjustRightInd w:val="0"/>
        <w:spacing w:line="480" w:lineRule="auto"/>
        <w:jc w:val="left"/>
        <w:outlineLvl w:val="0"/>
        <w:rPr>
          <w:rFonts w:ascii="Times New Roman" w:hAnsi="Times New Roman" w:cs="Times New Roman"/>
          <w:kern w:val="0"/>
          <w:sz w:val="36"/>
          <w:szCs w:val="36"/>
        </w:rPr>
      </w:pPr>
      <w:bookmarkStart w:id="27" w:name="_Toc133779851"/>
      <w:r>
        <w:rPr>
          <w:rFonts w:ascii="Times New Roman" w:hAnsi="Times New Roman" w:cs="Times New Roman"/>
          <w:kern w:val="0"/>
          <w:sz w:val="36"/>
          <w:szCs w:val="36"/>
        </w:rPr>
        <w:t>Reference list</w:t>
      </w:r>
      <w:bookmarkEnd w:id="27"/>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Agnihotri, A. and Bhattacharya, S. (2019). Executive Crisis at Lululemon: Who Is Responsible for Establishing Company Culture? doi:</w:t>
      </w:r>
      <w:r>
        <w:fldChar w:fldCharType="begin"/>
      </w:r>
      <w:r>
        <w:instrText xml:space="preserve"> HYPERLINK "https://doi.org/10.4135/9781526467928" </w:instrText>
      </w:r>
      <w:r>
        <w:fldChar w:fldCharType="separate"/>
      </w:r>
      <w:r>
        <w:rPr>
          <w:rFonts w:ascii="Times New Roman" w:hAnsi="Times New Roman" w:cs="Times New Roman"/>
          <w:kern w:val="0"/>
          <w:sz w:val="24"/>
          <w:szCs w:val="24"/>
        </w:rPr>
        <w:t>https://doi.org/10.4135/9781526467928</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Boyles, M. (2023). </w:t>
      </w:r>
      <w:r>
        <w:rPr>
          <w:rFonts w:ascii="Times New Roman" w:hAnsi="Times New Roman" w:cs="Times New Roman"/>
          <w:i/>
          <w:iCs/>
          <w:kern w:val="0"/>
          <w:sz w:val="24"/>
          <w:szCs w:val="24"/>
        </w:rPr>
        <w:t>How to Implement Organizational Change Successfully</w:t>
      </w:r>
      <w:r>
        <w:rPr>
          <w:rFonts w:ascii="Times New Roman" w:hAnsi="Times New Roman" w:cs="Times New Roman"/>
          <w:kern w:val="0"/>
          <w:sz w:val="24"/>
          <w:szCs w:val="24"/>
        </w:rPr>
        <w:t xml:space="preserve">. [online] Business Insights Blog. Available at: </w:t>
      </w:r>
      <w:r>
        <w:fldChar w:fldCharType="begin"/>
      </w:r>
      <w:r>
        <w:instrText xml:space="preserve"> HYPERLINK "https://online.hbs.edu/blog/post/implement-organizational-change" </w:instrText>
      </w:r>
      <w:r>
        <w:fldChar w:fldCharType="separate"/>
      </w:r>
      <w:r>
        <w:rPr>
          <w:rFonts w:ascii="Times New Roman" w:hAnsi="Times New Roman" w:cs="Times New Roman"/>
          <w:kern w:val="0"/>
          <w:sz w:val="24"/>
          <w:szCs w:val="24"/>
        </w:rPr>
        <w:t>https://online.hbs.edu/blog/post/implement-organizational-change</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Brugha, R. and Varvasovszky, Z. (2000). Stakeholder analysis: a review. </w:t>
      </w:r>
      <w:r>
        <w:rPr>
          <w:rFonts w:ascii="Times New Roman" w:hAnsi="Times New Roman" w:cs="Times New Roman"/>
          <w:i/>
          <w:iCs/>
          <w:kern w:val="0"/>
          <w:sz w:val="24"/>
          <w:szCs w:val="24"/>
        </w:rPr>
        <w:t>Health Policy and Planning</w:t>
      </w:r>
      <w:r>
        <w:rPr>
          <w:rFonts w:ascii="Times New Roman" w:hAnsi="Times New Roman" w:cs="Times New Roman"/>
          <w:kern w:val="0"/>
          <w:sz w:val="24"/>
          <w:szCs w:val="24"/>
        </w:rPr>
        <w:t>, [online] 15(3), pp.239–246. doi:</w:t>
      </w:r>
      <w:r>
        <w:fldChar w:fldCharType="begin"/>
      </w:r>
      <w:r>
        <w:instrText xml:space="preserve"> HYPERLINK "https://doi.org/10.1093/heapol/15.3.239" </w:instrText>
      </w:r>
      <w:r>
        <w:fldChar w:fldCharType="separate"/>
      </w:r>
      <w:r>
        <w:rPr>
          <w:rFonts w:ascii="Times New Roman" w:hAnsi="Times New Roman" w:cs="Times New Roman"/>
          <w:kern w:val="0"/>
          <w:sz w:val="24"/>
          <w:szCs w:val="24"/>
        </w:rPr>
        <w:t>https://doi.org/10.1093/heapol/15.3.239</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Burnes, B. (2004). Kurt Lewin and the Planned Approach to change: a re-appraisal. </w:t>
      </w:r>
      <w:r>
        <w:rPr>
          <w:rFonts w:ascii="Times New Roman" w:hAnsi="Times New Roman" w:cs="Times New Roman"/>
          <w:i/>
          <w:iCs/>
          <w:kern w:val="0"/>
          <w:sz w:val="24"/>
          <w:szCs w:val="24"/>
        </w:rPr>
        <w:t>Journal of Management Studies</w:t>
      </w:r>
      <w:r>
        <w:rPr>
          <w:rFonts w:ascii="Times New Roman" w:hAnsi="Times New Roman" w:cs="Times New Roman"/>
          <w:kern w:val="0"/>
          <w:sz w:val="24"/>
          <w:szCs w:val="24"/>
        </w:rPr>
        <w:t>, 41(6), pp.977–1002.</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Galli, B.J. (2018). Change Management Models: A Comparative Analysis and Concerns. </w:t>
      </w:r>
      <w:r>
        <w:rPr>
          <w:rFonts w:ascii="Times New Roman" w:hAnsi="Times New Roman" w:cs="Times New Roman"/>
          <w:i/>
          <w:iCs/>
          <w:kern w:val="0"/>
          <w:sz w:val="24"/>
          <w:szCs w:val="24"/>
        </w:rPr>
        <w:t>IEEE Engineering Management Review</w:t>
      </w:r>
      <w:r>
        <w:rPr>
          <w:rFonts w:ascii="Times New Roman" w:hAnsi="Times New Roman" w:cs="Times New Roman"/>
          <w:kern w:val="0"/>
          <w:sz w:val="24"/>
          <w:szCs w:val="24"/>
        </w:rPr>
        <w:t>, 46(3), pp.124–132.</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Garces, K. (2022). </w:t>
      </w:r>
      <w:r>
        <w:rPr>
          <w:rFonts w:ascii="Times New Roman" w:hAnsi="Times New Roman" w:cs="Times New Roman"/>
          <w:i/>
          <w:iCs/>
          <w:kern w:val="0"/>
          <w:sz w:val="24"/>
          <w:szCs w:val="24"/>
        </w:rPr>
        <w:t>What Brands Can Learn from Lululemon’s Marketing Strategy</w:t>
      </w:r>
      <w:r>
        <w:rPr>
          <w:rFonts w:ascii="Times New Roman" w:hAnsi="Times New Roman" w:cs="Times New Roman"/>
          <w:kern w:val="0"/>
          <w:sz w:val="24"/>
          <w:szCs w:val="24"/>
        </w:rPr>
        <w:t xml:space="preserve">. [online] Unlimited Graphic Design Service. Available at: </w:t>
      </w:r>
      <w:r>
        <w:fldChar w:fldCharType="begin"/>
      </w:r>
      <w:r>
        <w:instrText xml:space="preserve"> HYPERLINK "https://penji.co/lululemon-marketing-strategy/" </w:instrText>
      </w:r>
      <w:r>
        <w:fldChar w:fldCharType="separate"/>
      </w:r>
      <w:r>
        <w:rPr>
          <w:rFonts w:ascii="Times New Roman" w:hAnsi="Times New Roman" w:cs="Times New Roman"/>
          <w:kern w:val="0"/>
          <w:sz w:val="24"/>
          <w:szCs w:val="24"/>
        </w:rPr>
        <w:t>https://penji.co/lululemon-marketing-strategy/</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Ghemawat, P. (2020). </w:t>
      </w:r>
      <w:r>
        <w:rPr>
          <w:rFonts w:ascii="Times New Roman" w:hAnsi="Times New Roman" w:cs="Times New Roman"/>
          <w:i/>
          <w:iCs/>
          <w:kern w:val="0"/>
          <w:sz w:val="24"/>
          <w:szCs w:val="24"/>
        </w:rPr>
        <w:t>Competition and Business Strategy in Historical Perspective - From Functionary to Manager: How Business Theory Took Hold</w:t>
      </w:r>
      <w:r>
        <w:rPr>
          <w:rFonts w:ascii="Times New Roman" w:hAnsi="Times New Roman" w:cs="Times New Roman"/>
          <w:kern w:val="0"/>
          <w:sz w:val="24"/>
          <w:szCs w:val="24"/>
        </w:rPr>
        <w:t xml:space="preserve">. [online] HBS Working Knowledge. Available at: </w:t>
      </w:r>
      <w:r>
        <w:fldChar w:fldCharType="begin"/>
      </w:r>
      <w:r>
        <w:instrText xml:space="preserve"> HYPERLINK "https://hbswk.hbs.edu/archive/competition-and-business-strategy-in-historical-perspective-from-functionary-to-manager-how-business-theory-took-hold" </w:instrText>
      </w:r>
      <w:r>
        <w:fldChar w:fldCharType="separate"/>
      </w:r>
      <w:r>
        <w:rPr>
          <w:rFonts w:ascii="Times New Roman" w:hAnsi="Times New Roman" w:cs="Times New Roman"/>
          <w:kern w:val="0"/>
          <w:sz w:val="24"/>
          <w:szCs w:val="24"/>
        </w:rPr>
        <w:t>https://hbswk.hbs.edu/archive/competition-and-business-strategy-in-historical-perspective-from-functionary-to-manager-how-business-theory-took-hold</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Gurel, E. and TAT, M. (2017). SWOT analysis: a Theoretical Review. </w:t>
      </w:r>
      <w:r>
        <w:rPr>
          <w:rFonts w:ascii="Times New Roman" w:hAnsi="Times New Roman" w:cs="Times New Roman"/>
          <w:i/>
          <w:iCs/>
          <w:kern w:val="0"/>
          <w:sz w:val="24"/>
          <w:szCs w:val="24"/>
        </w:rPr>
        <w:t>Journal of International Social Research</w:t>
      </w:r>
      <w:r>
        <w:rPr>
          <w:rFonts w:ascii="Times New Roman" w:hAnsi="Times New Roman" w:cs="Times New Roman"/>
          <w:kern w:val="0"/>
          <w:sz w:val="24"/>
          <w:szCs w:val="24"/>
        </w:rPr>
        <w:t>, 10(51), pp.994–1006. doi:</w:t>
      </w:r>
      <w:r>
        <w:fldChar w:fldCharType="begin"/>
      </w:r>
      <w:r>
        <w:instrText xml:space="preserve"> HYPERLINK "http://dx.doi.org/10.17719/jisr.2017.1832" </w:instrText>
      </w:r>
      <w:r>
        <w:fldChar w:fldCharType="separate"/>
      </w:r>
      <w:r>
        <w:rPr>
          <w:rFonts w:ascii="Times New Roman" w:hAnsi="Times New Roman" w:cs="Times New Roman"/>
          <w:kern w:val="0"/>
          <w:sz w:val="24"/>
          <w:szCs w:val="24"/>
        </w:rPr>
        <w:t>http://dx.doi.org/10.17719/jisr.2017.1832</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Hodges, J. and Gill, R. (2015). </w:t>
      </w:r>
      <w:r>
        <w:rPr>
          <w:rFonts w:ascii="Times New Roman" w:hAnsi="Times New Roman" w:cs="Times New Roman"/>
          <w:i/>
          <w:iCs/>
          <w:kern w:val="0"/>
          <w:sz w:val="24"/>
          <w:szCs w:val="24"/>
        </w:rPr>
        <w:t>Sustaining change in organizations</w:t>
      </w:r>
      <w:r>
        <w:rPr>
          <w:rFonts w:ascii="Times New Roman" w:hAnsi="Times New Roman" w:cs="Times New Roman"/>
          <w:kern w:val="0"/>
          <w:sz w:val="24"/>
          <w:szCs w:val="24"/>
        </w:rPr>
        <w:t>. London: Sage.</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Johnson, G. (1992). Managing strategic change— strategy, culture and action. </w:t>
      </w:r>
      <w:r>
        <w:rPr>
          <w:rFonts w:ascii="Times New Roman" w:hAnsi="Times New Roman" w:cs="Times New Roman"/>
          <w:i/>
          <w:iCs/>
          <w:kern w:val="0"/>
          <w:sz w:val="24"/>
          <w:szCs w:val="24"/>
        </w:rPr>
        <w:t>Long Range Planning</w:t>
      </w:r>
      <w:r>
        <w:rPr>
          <w:rFonts w:ascii="Times New Roman" w:hAnsi="Times New Roman" w:cs="Times New Roman"/>
          <w:kern w:val="0"/>
          <w:sz w:val="24"/>
          <w:szCs w:val="24"/>
        </w:rPr>
        <w:t>, 25(1), pp.28–36. doi:</w:t>
      </w:r>
      <w:r>
        <w:fldChar w:fldCharType="begin"/>
      </w:r>
      <w:r>
        <w:instrText xml:space="preserve"> HYPERLINK "https://doi.org/10.1016/0024-6301(92)90307-N" </w:instrText>
      </w:r>
      <w:r>
        <w:fldChar w:fldCharType="separate"/>
      </w:r>
      <w:r>
        <w:rPr>
          <w:rFonts w:ascii="Times New Roman" w:hAnsi="Times New Roman" w:cs="Times New Roman"/>
          <w:kern w:val="0"/>
          <w:sz w:val="24"/>
          <w:szCs w:val="24"/>
        </w:rPr>
        <w:t>https://doi.org/10.1016/0024-6301(92)90307-N</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Kindler, H.S. (1979). Two Planning Strategies: Incremental Change and Transformational Change. </w:t>
      </w:r>
      <w:r>
        <w:rPr>
          <w:rFonts w:ascii="Times New Roman" w:hAnsi="Times New Roman" w:cs="Times New Roman"/>
          <w:i/>
          <w:iCs/>
          <w:kern w:val="0"/>
          <w:sz w:val="24"/>
          <w:szCs w:val="24"/>
        </w:rPr>
        <w:t>Group &amp; Organization Studies</w:t>
      </w:r>
      <w:r>
        <w:rPr>
          <w:rFonts w:ascii="Times New Roman" w:hAnsi="Times New Roman" w:cs="Times New Roman"/>
          <w:kern w:val="0"/>
          <w:sz w:val="24"/>
          <w:szCs w:val="24"/>
        </w:rPr>
        <w:t>, 4(4), pp.476–484. doi:</w:t>
      </w:r>
      <w:r>
        <w:fldChar w:fldCharType="begin"/>
      </w:r>
      <w:r>
        <w:instrText xml:space="preserve"> HYPERLINK "https://doi.org/10.1177/105960117900400409" </w:instrText>
      </w:r>
      <w:r>
        <w:fldChar w:fldCharType="separate"/>
      </w:r>
      <w:r>
        <w:rPr>
          <w:rFonts w:ascii="Times New Roman" w:hAnsi="Times New Roman" w:cs="Times New Roman"/>
          <w:kern w:val="0"/>
          <w:sz w:val="24"/>
          <w:szCs w:val="24"/>
        </w:rPr>
        <w:t>https://doi.org/10.1177/105960117900400409</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Kotter, J. (2021). </w:t>
      </w:r>
      <w:r>
        <w:rPr>
          <w:rFonts w:ascii="Times New Roman" w:hAnsi="Times New Roman" w:cs="Times New Roman"/>
          <w:i/>
          <w:iCs/>
          <w:kern w:val="0"/>
          <w:sz w:val="24"/>
          <w:szCs w:val="24"/>
        </w:rPr>
        <w:t>The 8 Steps for Leading Change</w:t>
      </w:r>
      <w:r>
        <w:rPr>
          <w:rFonts w:ascii="Times New Roman" w:hAnsi="Times New Roman" w:cs="Times New Roman"/>
          <w:kern w:val="0"/>
          <w:sz w:val="24"/>
          <w:szCs w:val="24"/>
        </w:rPr>
        <w:t xml:space="preserve">. [online] Kotter International Inc. Available at: </w:t>
      </w:r>
      <w:r>
        <w:fldChar w:fldCharType="begin"/>
      </w:r>
      <w:r>
        <w:instrText xml:space="preserve"> HYPERLINK "https://www.kotterinc.com/methodology/8-steps/" </w:instrText>
      </w:r>
      <w:r>
        <w:fldChar w:fldCharType="separate"/>
      </w:r>
      <w:r>
        <w:rPr>
          <w:rFonts w:ascii="Times New Roman" w:hAnsi="Times New Roman" w:cs="Times New Roman"/>
          <w:kern w:val="0"/>
          <w:sz w:val="24"/>
          <w:szCs w:val="24"/>
        </w:rPr>
        <w:t>https://www.kotterinc.com/methodology/8-steps/</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Kotter, J.P. (1996). </w:t>
      </w:r>
      <w:r>
        <w:rPr>
          <w:rFonts w:ascii="Times New Roman" w:hAnsi="Times New Roman" w:cs="Times New Roman"/>
          <w:i/>
          <w:iCs/>
          <w:kern w:val="0"/>
          <w:sz w:val="24"/>
          <w:szCs w:val="24"/>
        </w:rPr>
        <w:t>Leading Change</w:t>
      </w:r>
      <w:r>
        <w:rPr>
          <w:rFonts w:ascii="Times New Roman" w:hAnsi="Times New Roman" w:cs="Times New Roman"/>
          <w:kern w:val="0"/>
          <w:sz w:val="24"/>
          <w:szCs w:val="24"/>
        </w:rPr>
        <w:t>. Boston, Mass.: Harvard Business School Press.</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Kuzmin, O. and Khilukha, O. (2016). Regulation of stakeholders’ interests in corporate governance through negotiations. </w:t>
      </w:r>
      <w:r>
        <w:rPr>
          <w:rFonts w:ascii="Times New Roman" w:hAnsi="Times New Roman" w:cs="Times New Roman"/>
          <w:i/>
          <w:iCs/>
          <w:kern w:val="0"/>
          <w:sz w:val="24"/>
          <w:szCs w:val="24"/>
        </w:rPr>
        <w:t>Economic Annals-ХХI</w:t>
      </w:r>
      <w:r>
        <w:rPr>
          <w:rFonts w:ascii="Times New Roman" w:hAnsi="Times New Roman" w:cs="Times New Roman"/>
          <w:kern w:val="0"/>
          <w:sz w:val="24"/>
          <w:szCs w:val="24"/>
        </w:rPr>
        <w:t>, 161(9-10), pp.56–60. doi:</w:t>
      </w:r>
      <w:r>
        <w:fldChar w:fldCharType="begin"/>
      </w:r>
      <w:r>
        <w:instrText xml:space="preserve"> HYPERLINK "https://doi.org/10.21003/ea.v161-13" </w:instrText>
      </w:r>
      <w:r>
        <w:fldChar w:fldCharType="separate"/>
      </w:r>
      <w:r>
        <w:rPr>
          <w:rFonts w:ascii="Times New Roman" w:hAnsi="Times New Roman" w:cs="Times New Roman"/>
          <w:kern w:val="0"/>
          <w:sz w:val="24"/>
          <w:szCs w:val="24"/>
        </w:rPr>
        <w:t>https://doi.org/10.21003/ea.v161-13</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Lectra (2021). </w:t>
      </w:r>
      <w:r>
        <w:rPr>
          <w:rFonts w:ascii="Times New Roman" w:hAnsi="Times New Roman" w:cs="Times New Roman"/>
          <w:i/>
          <w:iCs/>
          <w:kern w:val="0"/>
          <w:sz w:val="24"/>
          <w:szCs w:val="24"/>
        </w:rPr>
        <w:t>Lululemon’s strategy: when a challenger threatens the big players of activewear | Lectra</w:t>
      </w:r>
      <w:r>
        <w:rPr>
          <w:rFonts w:ascii="Times New Roman" w:hAnsi="Times New Roman" w:cs="Times New Roman"/>
          <w:kern w:val="0"/>
          <w:sz w:val="24"/>
          <w:szCs w:val="24"/>
        </w:rPr>
        <w:t xml:space="preserve">. [online] www.lectra.com. Available at: </w:t>
      </w:r>
      <w:r>
        <w:fldChar w:fldCharType="begin"/>
      </w:r>
      <w:r>
        <w:instrText xml:space="preserve"> HYPERLINK "https://www.lectra.com/en/library/lululemon-strategy-when-a-challenger-threatens-the-big-players-of-activewear" </w:instrText>
      </w:r>
      <w:r>
        <w:fldChar w:fldCharType="separate"/>
      </w:r>
      <w:r>
        <w:rPr>
          <w:rFonts w:ascii="Times New Roman" w:hAnsi="Times New Roman" w:cs="Times New Roman"/>
          <w:kern w:val="0"/>
          <w:sz w:val="24"/>
          <w:szCs w:val="24"/>
        </w:rPr>
        <w:t>https://www.lectra.com/en/library/lululemon-strategy-when-a-challenger-threatens-the-big-players-of-activewear</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Lewin, K. (1951). Field Theory in Social Science. </w:t>
      </w:r>
      <w:r>
        <w:rPr>
          <w:rFonts w:ascii="Times New Roman" w:hAnsi="Times New Roman" w:cs="Times New Roman"/>
          <w:i/>
          <w:iCs/>
          <w:kern w:val="0"/>
          <w:sz w:val="24"/>
          <w:szCs w:val="24"/>
        </w:rPr>
        <w:t>The American Catholic Sociological Review</w:t>
      </w:r>
      <w:r>
        <w:rPr>
          <w:rFonts w:ascii="Times New Roman" w:hAnsi="Times New Roman" w:cs="Times New Roman"/>
          <w:kern w:val="0"/>
          <w:sz w:val="24"/>
          <w:szCs w:val="24"/>
        </w:rPr>
        <w:t>, 12(2), p.103. doi:</w:t>
      </w:r>
      <w:r>
        <w:fldChar w:fldCharType="begin"/>
      </w:r>
      <w:r>
        <w:instrText xml:space="preserve"> HYPERLINK "https://doi.org/10.2307/3707800" </w:instrText>
      </w:r>
      <w:r>
        <w:fldChar w:fldCharType="separate"/>
      </w:r>
      <w:r>
        <w:rPr>
          <w:rFonts w:ascii="Times New Roman" w:hAnsi="Times New Roman" w:cs="Times New Roman"/>
          <w:kern w:val="0"/>
          <w:sz w:val="24"/>
          <w:szCs w:val="24"/>
        </w:rPr>
        <w:t>https://doi.org/10.2307/3707800</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Lululemon (2015). </w:t>
      </w:r>
      <w:r>
        <w:rPr>
          <w:rFonts w:ascii="Times New Roman" w:hAnsi="Times New Roman" w:cs="Times New Roman"/>
          <w:i/>
          <w:iCs/>
          <w:kern w:val="0"/>
          <w:sz w:val="24"/>
          <w:szCs w:val="24"/>
        </w:rPr>
        <w:t>lululemon Announces Organizational Changes to Elevate Design and Innovation</w:t>
      </w:r>
      <w:r>
        <w:rPr>
          <w:rFonts w:ascii="Times New Roman" w:hAnsi="Times New Roman" w:cs="Times New Roman"/>
          <w:kern w:val="0"/>
          <w:sz w:val="24"/>
          <w:szCs w:val="24"/>
        </w:rPr>
        <w:t xml:space="preserve">. [online] corporate.lululemon.com. Available at: </w:t>
      </w:r>
      <w:r>
        <w:fldChar w:fldCharType="begin"/>
      </w:r>
      <w:r>
        <w:instrText xml:space="preserve"> HYPERLINK "https://corporate.lululemon.com/media/press-releases/2015/10-21-2015-085455074" </w:instrText>
      </w:r>
      <w:r>
        <w:fldChar w:fldCharType="separate"/>
      </w:r>
      <w:r>
        <w:rPr>
          <w:rFonts w:ascii="Times New Roman" w:hAnsi="Times New Roman" w:cs="Times New Roman"/>
          <w:kern w:val="0"/>
          <w:sz w:val="24"/>
          <w:szCs w:val="24"/>
        </w:rPr>
        <w:t>https://corporate.lululemon.com/media/press-releases/2015/10-21-2015-085455074</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Lululemon (2019). </w:t>
      </w:r>
      <w:r>
        <w:rPr>
          <w:rFonts w:ascii="Times New Roman" w:hAnsi="Times New Roman" w:cs="Times New Roman"/>
          <w:i/>
          <w:iCs/>
          <w:kern w:val="0"/>
          <w:sz w:val="24"/>
          <w:szCs w:val="24"/>
        </w:rPr>
        <w:t>Lululemon Unveils ‘Power of Three’ Strategic Plan to Accelerate Growth</w:t>
      </w:r>
      <w:r>
        <w:rPr>
          <w:rFonts w:ascii="Times New Roman" w:hAnsi="Times New Roman" w:cs="Times New Roman"/>
          <w:kern w:val="0"/>
          <w:sz w:val="24"/>
          <w:szCs w:val="24"/>
        </w:rPr>
        <w:t xml:space="preserve">. [online] corporate.lululemon.com. Available at: </w:t>
      </w:r>
      <w:r>
        <w:fldChar w:fldCharType="begin"/>
      </w:r>
      <w:r>
        <w:instrText xml:space="preserve"> HYPERLINK "https://corporate.lululemon.com/media/press-releases/2019/04-24-2019-090026432" </w:instrText>
      </w:r>
      <w:r>
        <w:fldChar w:fldCharType="separate"/>
      </w:r>
      <w:r>
        <w:rPr>
          <w:rFonts w:ascii="Times New Roman" w:hAnsi="Times New Roman" w:cs="Times New Roman"/>
          <w:kern w:val="0"/>
          <w:sz w:val="24"/>
          <w:szCs w:val="24"/>
        </w:rPr>
        <w:t>https://corporate.lululemon.com/media/press-releases/2019/04-24-2019-090026432</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Lululemon (2021). </w:t>
      </w:r>
      <w:r>
        <w:rPr>
          <w:rFonts w:ascii="Times New Roman" w:hAnsi="Times New Roman" w:cs="Times New Roman"/>
          <w:i/>
          <w:iCs/>
          <w:kern w:val="0"/>
          <w:sz w:val="24"/>
          <w:szCs w:val="24"/>
        </w:rPr>
        <w:t>lululemon Continues to Expand Employee Benefits, Raising Minimum Base Pay</w:t>
      </w:r>
      <w:r>
        <w:rPr>
          <w:rFonts w:ascii="Times New Roman" w:hAnsi="Times New Roman" w:cs="Times New Roman"/>
          <w:kern w:val="0"/>
          <w:sz w:val="24"/>
          <w:szCs w:val="24"/>
        </w:rPr>
        <w:t xml:space="preserve">. [online] corporate.lululemon.com. Available at: </w:t>
      </w:r>
      <w:r>
        <w:fldChar w:fldCharType="begin"/>
      </w:r>
      <w:r>
        <w:instrText xml:space="preserve"> HYPERLINK "https://corporate.lululemon.com/media/press-releases/2021/08-26-2021-085825666" </w:instrText>
      </w:r>
      <w:r>
        <w:fldChar w:fldCharType="separate"/>
      </w:r>
      <w:r>
        <w:rPr>
          <w:rFonts w:ascii="Times New Roman" w:hAnsi="Times New Roman" w:cs="Times New Roman"/>
          <w:kern w:val="0"/>
          <w:sz w:val="24"/>
          <w:szCs w:val="24"/>
        </w:rPr>
        <w:t>https://corporate.lululemon.com/media/press-releases/2021/08-26-2021-085825666</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Lululemon (2022a). </w:t>
      </w:r>
      <w:r>
        <w:rPr>
          <w:rFonts w:ascii="Times New Roman" w:hAnsi="Times New Roman" w:cs="Times New Roman"/>
          <w:i/>
          <w:iCs/>
          <w:kern w:val="0"/>
          <w:sz w:val="24"/>
          <w:szCs w:val="24"/>
        </w:rPr>
        <w:t>2021 Impact Report</w:t>
      </w:r>
      <w:r>
        <w:rPr>
          <w:rFonts w:ascii="Times New Roman" w:hAnsi="Times New Roman" w:cs="Times New Roman"/>
          <w:kern w:val="0"/>
          <w:sz w:val="24"/>
          <w:szCs w:val="24"/>
        </w:rPr>
        <w:t xml:space="preserve">. [online] Lululemon.com. Available at: </w:t>
      </w:r>
      <w:r>
        <w:fldChar w:fldCharType="begin"/>
      </w:r>
      <w:r>
        <w:instrText xml:space="preserve"> HYPERLINK "https://shop.lululemon.com/story/sustainability" </w:instrText>
      </w:r>
      <w:r>
        <w:fldChar w:fldCharType="separate"/>
      </w:r>
      <w:r>
        <w:rPr>
          <w:rFonts w:ascii="Times New Roman" w:hAnsi="Times New Roman" w:cs="Times New Roman"/>
          <w:kern w:val="0"/>
          <w:sz w:val="24"/>
          <w:szCs w:val="24"/>
        </w:rPr>
        <w:t>https://shop.lululemon.com/story/sustainability</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Lululemon (2022b). </w:t>
      </w:r>
      <w:r>
        <w:rPr>
          <w:rFonts w:ascii="Times New Roman" w:hAnsi="Times New Roman" w:cs="Times New Roman"/>
          <w:i/>
          <w:iCs/>
          <w:kern w:val="0"/>
          <w:sz w:val="24"/>
          <w:szCs w:val="24"/>
        </w:rPr>
        <w:t>lululemon Announces Five-Year Growth Plan to Double Revenue by 2026 to $12.5 Billion</w:t>
      </w:r>
      <w:r>
        <w:rPr>
          <w:rFonts w:ascii="Times New Roman" w:hAnsi="Times New Roman" w:cs="Times New Roman"/>
          <w:kern w:val="0"/>
          <w:sz w:val="24"/>
          <w:szCs w:val="24"/>
        </w:rPr>
        <w:t xml:space="preserve">. [online] corporate.lululemon.com. Available at: </w:t>
      </w:r>
      <w:r>
        <w:fldChar w:fldCharType="begin"/>
      </w:r>
      <w:r>
        <w:instrText xml:space="preserve"> HYPERLINK "https://corporate.lululemon.com/media/press-releases/2022/04-20-2022-113017957" </w:instrText>
      </w:r>
      <w:r>
        <w:fldChar w:fldCharType="separate"/>
      </w:r>
      <w:r>
        <w:rPr>
          <w:rFonts w:ascii="Times New Roman" w:hAnsi="Times New Roman" w:cs="Times New Roman"/>
          <w:kern w:val="0"/>
          <w:sz w:val="24"/>
          <w:szCs w:val="24"/>
        </w:rPr>
        <w:t>https://corporate.lululemon.com/media/press-releases/2022/04-20-2022-113017957</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Lululemon (2023). </w:t>
      </w:r>
      <w:r>
        <w:rPr>
          <w:rFonts w:ascii="Times New Roman" w:hAnsi="Times New Roman" w:cs="Times New Roman"/>
          <w:i/>
          <w:iCs/>
          <w:kern w:val="0"/>
          <w:sz w:val="24"/>
          <w:szCs w:val="24"/>
        </w:rPr>
        <w:t>Annual Report | 2022</w:t>
      </w:r>
      <w:r>
        <w:rPr>
          <w:rFonts w:ascii="Times New Roman" w:hAnsi="Times New Roman" w:cs="Times New Roman"/>
          <w:kern w:val="0"/>
          <w:sz w:val="24"/>
          <w:szCs w:val="24"/>
        </w:rPr>
        <w:t xml:space="preserve">. [online] Available at: </w:t>
      </w:r>
      <w:r>
        <w:fldChar w:fldCharType="begin"/>
      </w:r>
      <w:r>
        <w:instrText xml:space="preserve"> HYPERLINK "https://corporate.lululemon.com/~/media/Files/L/Lululemon/investors/annual-reports/lululemon-2022-annual-report.pdf" </w:instrText>
      </w:r>
      <w:r>
        <w:fldChar w:fldCharType="separate"/>
      </w:r>
      <w:r>
        <w:rPr>
          <w:rFonts w:ascii="Times New Roman" w:hAnsi="Times New Roman" w:cs="Times New Roman"/>
          <w:kern w:val="0"/>
          <w:sz w:val="24"/>
          <w:szCs w:val="24"/>
        </w:rPr>
        <w:t>https://corporate.lululemon.com/~/media/Files/L/Lululemon/investors/annual-reports/lululemon-2022-annual-report.pdf</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Mansaray, H.E. (2019). The Role of Leadership Style in Organisational Change Management: A Literature Review. </w:t>
      </w:r>
      <w:r>
        <w:rPr>
          <w:rFonts w:ascii="Times New Roman" w:hAnsi="Times New Roman" w:cs="Times New Roman"/>
          <w:i/>
          <w:iCs/>
          <w:kern w:val="0"/>
          <w:sz w:val="24"/>
          <w:szCs w:val="24"/>
        </w:rPr>
        <w:t>Journal of Human Resource Management</w:t>
      </w:r>
      <w:r>
        <w:rPr>
          <w:rFonts w:ascii="Times New Roman" w:hAnsi="Times New Roman" w:cs="Times New Roman"/>
          <w:kern w:val="0"/>
          <w:sz w:val="24"/>
          <w:szCs w:val="24"/>
        </w:rPr>
        <w:t>, [online] 7(1), pp.18–31. doi:</w:t>
      </w:r>
      <w:r>
        <w:fldChar w:fldCharType="begin"/>
      </w:r>
      <w:r>
        <w:instrText xml:space="preserve"> HYPERLINK "https://doi.org/10.11648/j.jhrm.20190701.13" </w:instrText>
      </w:r>
      <w:r>
        <w:fldChar w:fldCharType="separate"/>
      </w:r>
      <w:r>
        <w:rPr>
          <w:rFonts w:ascii="Times New Roman" w:hAnsi="Times New Roman" w:cs="Times New Roman"/>
          <w:kern w:val="0"/>
          <w:sz w:val="24"/>
          <w:szCs w:val="24"/>
        </w:rPr>
        <w:t>https://doi.org/10.11648/j.jhrm.20190701.13</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Martirosyan, E. and Vashakmadze, T. (2014). SUN Cube: A New Stakeholder Management System for the Post-Merger Integration Process. </w:t>
      </w:r>
      <w:r>
        <w:rPr>
          <w:rFonts w:ascii="Times New Roman" w:hAnsi="Times New Roman" w:cs="Times New Roman"/>
          <w:i/>
          <w:iCs/>
          <w:kern w:val="0"/>
          <w:sz w:val="24"/>
          <w:szCs w:val="24"/>
        </w:rPr>
        <w:t>Zagreb International Review of Economics &amp; Business</w:t>
      </w:r>
      <w:r>
        <w:rPr>
          <w:rFonts w:ascii="Times New Roman" w:hAnsi="Times New Roman" w:cs="Times New Roman"/>
          <w:kern w:val="0"/>
          <w:sz w:val="24"/>
          <w:szCs w:val="24"/>
        </w:rPr>
        <w:t xml:space="preserve">, [online] 17(1), pp.1–13. Available at: </w:t>
      </w:r>
      <w:r>
        <w:fldChar w:fldCharType="begin"/>
      </w:r>
      <w:r>
        <w:instrText xml:space="preserve"> HYPERLINK "https://hrcak.srce.hr/file/178919" </w:instrText>
      </w:r>
      <w:r>
        <w:fldChar w:fldCharType="separate"/>
      </w:r>
      <w:r>
        <w:rPr>
          <w:rFonts w:ascii="Times New Roman" w:hAnsi="Times New Roman" w:cs="Times New Roman"/>
          <w:kern w:val="0"/>
          <w:sz w:val="24"/>
          <w:szCs w:val="24"/>
        </w:rPr>
        <w:t>https://hrcak.srce.hr/file/178919</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McKinnon, T. (2020). </w:t>
      </w:r>
      <w:r>
        <w:rPr>
          <w:rFonts w:ascii="Times New Roman" w:hAnsi="Times New Roman" w:cs="Times New Roman"/>
          <w:i/>
          <w:iCs/>
          <w:kern w:val="0"/>
          <w:sz w:val="24"/>
          <w:szCs w:val="24"/>
        </w:rPr>
        <w:t>The Growth Story Behind lululemon</w:t>
      </w:r>
      <w:r>
        <w:rPr>
          <w:rFonts w:ascii="Times New Roman" w:hAnsi="Times New Roman" w:cs="Times New Roman"/>
          <w:kern w:val="0"/>
          <w:sz w:val="24"/>
          <w:szCs w:val="24"/>
        </w:rPr>
        <w:t xml:space="preserve">. [online] Indigo9 Digital Inc. Available at: </w:t>
      </w:r>
      <w:r>
        <w:fldChar w:fldCharType="begin"/>
      </w:r>
      <w:r>
        <w:instrText xml:space="preserve"> HYPERLINK "https://www.indigo9digital.com/blog/lululemongrowthstrategy" </w:instrText>
      </w:r>
      <w:r>
        <w:fldChar w:fldCharType="separate"/>
      </w:r>
      <w:r>
        <w:rPr>
          <w:rFonts w:ascii="Times New Roman" w:hAnsi="Times New Roman" w:cs="Times New Roman"/>
          <w:kern w:val="0"/>
          <w:sz w:val="24"/>
          <w:szCs w:val="24"/>
        </w:rPr>
        <w:t>https://www.indigo9digital.com/blog/lululemongrowthstrategy</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McKinsey (2022). </w:t>
      </w:r>
      <w:r>
        <w:rPr>
          <w:rFonts w:ascii="Times New Roman" w:hAnsi="Times New Roman" w:cs="Times New Roman"/>
          <w:i/>
          <w:iCs/>
          <w:kern w:val="0"/>
          <w:sz w:val="24"/>
          <w:szCs w:val="24"/>
        </w:rPr>
        <w:t>The tech transformation imperative in retail | McKinsey</w:t>
      </w:r>
      <w:r>
        <w:rPr>
          <w:rFonts w:ascii="Times New Roman" w:hAnsi="Times New Roman" w:cs="Times New Roman"/>
          <w:kern w:val="0"/>
          <w:sz w:val="24"/>
          <w:szCs w:val="24"/>
        </w:rPr>
        <w:t xml:space="preserve">. [online] www.mckinsey.com. Available at: </w:t>
      </w:r>
      <w:r>
        <w:fldChar w:fldCharType="begin"/>
      </w:r>
      <w:r>
        <w:instrText xml:space="preserve"> HYPERLINK "https://www.mckinsey.com/industries/retail/our-insights/the-tech-transformation-imperative-in-retail" </w:instrText>
      </w:r>
      <w:r>
        <w:fldChar w:fldCharType="separate"/>
      </w:r>
      <w:r>
        <w:rPr>
          <w:rFonts w:ascii="Times New Roman" w:hAnsi="Times New Roman" w:cs="Times New Roman"/>
          <w:kern w:val="0"/>
          <w:sz w:val="24"/>
          <w:szCs w:val="24"/>
        </w:rPr>
        <w:t>https://www.mckinsey.com/industries/retail/our-insights/the-tech-transformation-imperative-in-retail</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Mendelow, A. (1991). Stakeholder mapping. Proceedings of the 2nd International Conference on Information Systems, Cambridge, M </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Mixson, E. (2022). </w:t>
      </w:r>
      <w:r>
        <w:rPr>
          <w:rFonts w:ascii="Times New Roman" w:hAnsi="Times New Roman" w:cs="Times New Roman"/>
          <w:i/>
          <w:iCs/>
          <w:kern w:val="0"/>
          <w:sz w:val="24"/>
          <w:szCs w:val="24"/>
        </w:rPr>
        <w:t>Lululemon Bet Big on Digital Technology and Won, Here’s How</w:t>
      </w:r>
      <w:r>
        <w:rPr>
          <w:rFonts w:ascii="Times New Roman" w:hAnsi="Times New Roman" w:cs="Times New Roman"/>
          <w:kern w:val="0"/>
          <w:sz w:val="24"/>
          <w:szCs w:val="24"/>
        </w:rPr>
        <w:t xml:space="preserve">. [online] Intelligent Automation Network. Available at: </w:t>
      </w:r>
      <w:r>
        <w:fldChar w:fldCharType="begin"/>
      </w:r>
      <w:r>
        <w:instrText xml:space="preserve"> HYPERLINK "https://www.intelligentautomation.network/transformation/articles/lululemon-bet-big-on-digital-technology-and-won-heres-how" </w:instrText>
      </w:r>
      <w:r>
        <w:fldChar w:fldCharType="separate"/>
      </w:r>
      <w:r>
        <w:rPr>
          <w:rFonts w:ascii="Times New Roman" w:hAnsi="Times New Roman" w:cs="Times New Roman"/>
          <w:kern w:val="0"/>
          <w:sz w:val="24"/>
          <w:szCs w:val="24"/>
        </w:rPr>
        <w:t>https://www.intelligentautomation.network/transformation/articles/lululemon-bet-big-on-digital-technology-and-won-heres-how</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Morningstar (2023a). </w:t>
      </w:r>
      <w:r>
        <w:rPr>
          <w:rFonts w:ascii="Times New Roman" w:hAnsi="Times New Roman" w:cs="Times New Roman"/>
          <w:i/>
          <w:iCs/>
          <w:kern w:val="0"/>
          <w:sz w:val="24"/>
          <w:szCs w:val="24"/>
        </w:rPr>
        <w:t>LULU - Lululemon Athletica Inc Chart - NASDAQ | Morningstar</w:t>
      </w:r>
      <w:r>
        <w:rPr>
          <w:rFonts w:ascii="Times New Roman" w:hAnsi="Times New Roman" w:cs="Times New Roman"/>
          <w:kern w:val="0"/>
          <w:sz w:val="24"/>
          <w:szCs w:val="24"/>
        </w:rPr>
        <w:t xml:space="preserve">. [online] Morningstar, Inc. Available at: </w:t>
      </w:r>
      <w:r>
        <w:fldChar w:fldCharType="begin"/>
      </w:r>
      <w:r>
        <w:instrText xml:space="preserve"> HYPERLINK "https://www.morningstar.com/stocks/xnas/lulu/chart" </w:instrText>
      </w:r>
      <w:r>
        <w:fldChar w:fldCharType="separate"/>
      </w:r>
      <w:r>
        <w:rPr>
          <w:rFonts w:ascii="Times New Roman" w:hAnsi="Times New Roman" w:cs="Times New Roman"/>
          <w:kern w:val="0"/>
          <w:sz w:val="24"/>
          <w:szCs w:val="24"/>
        </w:rPr>
        <w:t>https://www.morningstar.com/stocks/xnas/lulu/chart</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Morningstar (2023b). </w:t>
      </w:r>
      <w:r>
        <w:rPr>
          <w:rFonts w:ascii="Times New Roman" w:hAnsi="Times New Roman" w:cs="Times New Roman"/>
          <w:i/>
          <w:iCs/>
          <w:kern w:val="0"/>
          <w:sz w:val="24"/>
          <w:szCs w:val="24"/>
        </w:rPr>
        <w:t>Lululemon Athletica Inc (LULU) Financials | Morningstar</w:t>
      </w:r>
      <w:r>
        <w:rPr>
          <w:rFonts w:ascii="Times New Roman" w:hAnsi="Times New Roman" w:cs="Times New Roman"/>
          <w:kern w:val="0"/>
          <w:sz w:val="24"/>
          <w:szCs w:val="24"/>
        </w:rPr>
        <w:t xml:space="preserve">. [online] www.morningstar.com. Available at: </w:t>
      </w:r>
      <w:r>
        <w:fldChar w:fldCharType="begin"/>
      </w:r>
      <w:r>
        <w:instrText xml:space="preserve"> HYPERLINK "https://www.morningstar.com/stocks/xnas/lulu/financials" </w:instrText>
      </w:r>
      <w:r>
        <w:fldChar w:fldCharType="separate"/>
      </w:r>
      <w:r>
        <w:rPr>
          <w:rFonts w:ascii="Times New Roman" w:hAnsi="Times New Roman" w:cs="Times New Roman"/>
          <w:kern w:val="0"/>
          <w:sz w:val="24"/>
          <w:szCs w:val="24"/>
        </w:rPr>
        <w:t>https://www.morningstar.com/stocks/xnas/lulu/financials</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Pitson, M. (2023). </w:t>
      </w:r>
      <w:r>
        <w:rPr>
          <w:rFonts w:ascii="Times New Roman" w:hAnsi="Times New Roman" w:cs="Times New Roman"/>
          <w:i/>
          <w:iCs/>
          <w:kern w:val="0"/>
          <w:sz w:val="24"/>
          <w:szCs w:val="24"/>
        </w:rPr>
        <w:t>Change and Stability Management - Week 2 Lecture (2023 Term 2)</w:t>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Rompoti, K., Madas, M. and Kitsios, F. (2020). A conceptual framework for effective contracting in construction supply chains. </w:t>
      </w:r>
      <w:r>
        <w:rPr>
          <w:rFonts w:ascii="Times New Roman" w:hAnsi="Times New Roman" w:cs="Times New Roman"/>
          <w:i/>
          <w:iCs/>
          <w:kern w:val="0"/>
          <w:sz w:val="24"/>
          <w:szCs w:val="24"/>
        </w:rPr>
        <w:t>International Journal of Construction Supply Chain Management</w:t>
      </w:r>
      <w:r>
        <w:rPr>
          <w:rFonts w:ascii="Times New Roman" w:hAnsi="Times New Roman" w:cs="Times New Roman"/>
          <w:kern w:val="0"/>
          <w:sz w:val="24"/>
          <w:szCs w:val="24"/>
        </w:rPr>
        <w:t>, 10(3), pp.92–114. doi:</w:t>
      </w:r>
      <w:r>
        <w:fldChar w:fldCharType="begin"/>
      </w:r>
      <w:r>
        <w:instrText xml:space="preserve"> HYPERLINK "https://doi.org/10.14424/ijcscm100320-92-114" </w:instrText>
      </w:r>
      <w:r>
        <w:fldChar w:fldCharType="separate"/>
      </w:r>
      <w:r>
        <w:rPr>
          <w:rFonts w:ascii="Times New Roman" w:hAnsi="Times New Roman" w:cs="Times New Roman"/>
          <w:kern w:val="0"/>
          <w:sz w:val="24"/>
          <w:szCs w:val="24"/>
        </w:rPr>
        <w:t>https://doi.org/10.14424/ijcscm100320-92-114</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Sarayreh, B., Jordan, A., Khudair, H., Alabed Barakat, E., Sciences, A. and Jordan (2013). Comparative Study: The Kurt Lewin of Change Management. </w:t>
      </w:r>
      <w:r>
        <w:rPr>
          <w:rFonts w:ascii="Times New Roman" w:hAnsi="Times New Roman" w:cs="Times New Roman"/>
          <w:i/>
          <w:iCs/>
          <w:kern w:val="0"/>
          <w:sz w:val="24"/>
          <w:szCs w:val="24"/>
        </w:rPr>
        <w:t>International Journal of Computer and Information Technology</w:t>
      </w:r>
      <w:r>
        <w:rPr>
          <w:rFonts w:ascii="Times New Roman" w:hAnsi="Times New Roman" w:cs="Times New Roman"/>
          <w:kern w:val="0"/>
          <w:sz w:val="24"/>
          <w:szCs w:val="24"/>
        </w:rPr>
        <w:t xml:space="preserve">, [online] 02(04), p.4. Available at: </w:t>
      </w:r>
      <w:r>
        <w:fldChar w:fldCharType="begin"/>
      </w:r>
      <w:r>
        <w:instrText xml:space="preserve"> HYPERLINK "https://citeseerx.ist.psu.edu/document?repid=rep1&amp;type=pdf&amp;doi=474180cdf55c4ed51818005fd484c6e8d64b88e3" </w:instrText>
      </w:r>
      <w:r>
        <w:fldChar w:fldCharType="separate"/>
      </w:r>
      <w:r>
        <w:rPr>
          <w:rFonts w:ascii="Times New Roman" w:hAnsi="Times New Roman" w:cs="Times New Roman"/>
          <w:kern w:val="0"/>
          <w:sz w:val="24"/>
          <w:szCs w:val="24"/>
        </w:rPr>
        <w:t>https://citeseerx.ist.psu.edu/document?repid=rep1&amp;type=pdf&amp;doi=474180cdf55c4ed51818005fd484c6e8d64b88e3</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Schaffer, R.H. (2017). </w:t>
      </w:r>
      <w:r>
        <w:rPr>
          <w:rFonts w:ascii="Times New Roman" w:hAnsi="Times New Roman" w:cs="Times New Roman"/>
          <w:i/>
          <w:iCs/>
          <w:kern w:val="0"/>
          <w:sz w:val="24"/>
          <w:szCs w:val="24"/>
        </w:rPr>
        <w:t>All Management Is Change Management</w:t>
      </w:r>
      <w:r>
        <w:rPr>
          <w:rFonts w:ascii="Times New Roman" w:hAnsi="Times New Roman" w:cs="Times New Roman"/>
          <w:kern w:val="0"/>
          <w:sz w:val="24"/>
          <w:szCs w:val="24"/>
        </w:rPr>
        <w:t xml:space="preserve">. [online] Harvard Business Review. Available at: </w:t>
      </w:r>
      <w:r>
        <w:fldChar w:fldCharType="begin"/>
      </w:r>
      <w:r>
        <w:instrText xml:space="preserve"> HYPERLINK "https://hbr.org/2017/10/all-management-is-change-management?utm_medium=social&amp;utm_campaign=hbr&amp;utm_source=facebook&amp;tpcc=orgsocial_edit" </w:instrText>
      </w:r>
      <w:r>
        <w:fldChar w:fldCharType="separate"/>
      </w:r>
      <w:r>
        <w:rPr>
          <w:rFonts w:ascii="Times New Roman" w:hAnsi="Times New Roman" w:cs="Times New Roman"/>
          <w:kern w:val="0"/>
          <w:sz w:val="24"/>
          <w:szCs w:val="24"/>
        </w:rPr>
        <w:t>https://hbr.org/2017/10/all-management-is-change-management?utm_medium=social&amp;utm_campaign=hbr&amp;utm_source=facebook&amp;tpcc=orgsocial_edit</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Schroeder, J. (2020). </w:t>
      </w:r>
      <w:r>
        <w:rPr>
          <w:rFonts w:ascii="Times New Roman" w:hAnsi="Times New Roman" w:cs="Times New Roman"/>
          <w:i/>
          <w:iCs/>
          <w:kern w:val="0"/>
          <w:sz w:val="24"/>
          <w:szCs w:val="24"/>
        </w:rPr>
        <w:t>Inside Lululemon’s Crazy Cult-Like Culture</w:t>
      </w:r>
      <w:r>
        <w:rPr>
          <w:rFonts w:ascii="Times New Roman" w:hAnsi="Times New Roman" w:cs="Times New Roman"/>
          <w:kern w:val="0"/>
          <w:sz w:val="24"/>
          <w:szCs w:val="24"/>
        </w:rPr>
        <w:t xml:space="preserve">. [online] Consumersearch.com. Available at: </w:t>
      </w:r>
      <w:r>
        <w:fldChar w:fldCharType="begin"/>
      </w:r>
      <w:r>
        <w:instrText xml:space="preserve"> HYPERLINK "https://www.consumersearch.com/fitness-sports/inside-lululemons-crazy-cult-like-culture" </w:instrText>
      </w:r>
      <w:r>
        <w:fldChar w:fldCharType="separate"/>
      </w:r>
      <w:r>
        <w:rPr>
          <w:rFonts w:ascii="Times New Roman" w:hAnsi="Times New Roman" w:cs="Times New Roman"/>
          <w:kern w:val="0"/>
          <w:sz w:val="24"/>
          <w:szCs w:val="24"/>
        </w:rPr>
        <w:t>https://www.consumersearch.com/fitness-sports/inside-lululemons-crazy-cult-like-culture</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Smith, A. (2013). </w:t>
      </w:r>
      <w:r>
        <w:rPr>
          <w:rFonts w:ascii="Times New Roman" w:hAnsi="Times New Roman" w:cs="Times New Roman"/>
          <w:i/>
          <w:iCs/>
          <w:kern w:val="0"/>
          <w:sz w:val="24"/>
          <w:szCs w:val="24"/>
        </w:rPr>
        <w:t>Lululemon sued for see-through yoga pants</w:t>
      </w:r>
      <w:r>
        <w:rPr>
          <w:rFonts w:ascii="Times New Roman" w:hAnsi="Times New Roman" w:cs="Times New Roman"/>
          <w:kern w:val="0"/>
          <w:sz w:val="24"/>
          <w:szCs w:val="24"/>
        </w:rPr>
        <w:t xml:space="preserve">. [online] CNNMoney. Available at: </w:t>
      </w:r>
      <w:r>
        <w:fldChar w:fldCharType="begin"/>
      </w:r>
      <w:r>
        <w:instrText xml:space="preserve"> HYPERLINK "https://money.cnn.com/2013/07/03/news/companies/lululemon-yoga-lawsuit/index.html" </w:instrText>
      </w:r>
      <w:r>
        <w:fldChar w:fldCharType="separate"/>
      </w:r>
      <w:r>
        <w:rPr>
          <w:rFonts w:ascii="Times New Roman" w:hAnsi="Times New Roman" w:cs="Times New Roman"/>
          <w:kern w:val="0"/>
          <w:sz w:val="24"/>
          <w:szCs w:val="24"/>
        </w:rPr>
        <w:t>https://money.cnn.com/2013/07/03/news/companies/lululemon-yoga-lawsuit/index.html</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Statista (2023). </w:t>
      </w:r>
      <w:r>
        <w:rPr>
          <w:rFonts w:ascii="Times New Roman" w:hAnsi="Times New Roman" w:cs="Times New Roman"/>
          <w:i/>
          <w:iCs/>
          <w:kern w:val="0"/>
          <w:sz w:val="24"/>
          <w:szCs w:val="24"/>
        </w:rPr>
        <w:t>Global sales of the top performance apparel, accessories, and footwear companies 2022</w:t>
      </w:r>
      <w:r>
        <w:rPr>
          <w:rFonts w:ascii="Times New Roman" w:hAnsi="Times New Roman" w:cs="Times New Roman"/>
          <w:kern w:val="0"/>
          <w:sz w:val="24"/>
          <w:szCs w:val="24"/>
        </w:rPr>
        <w:t xml:space="preserve">. [online] Statista. Available at: </w:t>
      </w:r>
      <w:r>
        <w:fldChar w:fldCharType="begin"/>
      </w:r>
      <w:r>
        <w:instrText xml:space="preserve"> HYPERLINK "https://www.statista.com/statistics/900271/leading-sportswear-and-performance-wear-companies-by-sales-worldwide/" </w:instrText>
      </w:r>
      <w:r>
        <w:fldChar w:fldCharType="separate"/>
      </w:r>
      <w:r>
        <w:rPr>
          <w:rFonts w:ascii="Times New Roman" w:hAnsi="Times New Roman" w:cs="Times New Roman"/>
          <w:kern w:val="0"/>
          <w:sz w:val="24"/>
          <w:szCs w:val="24"/>
        </w:rPr>
        <w:t>https://www.statista.com/statistics/900271/leading-sportswear-and-performance-wear-companies-by-sales-worldwide/</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Thomas International (2022). </w:t>
      </w:r>
      <w:r>
        <w:rPr>
          <w:rFonts w:ascii="Times New Roman" w:hAnsi="Times New Roman" w:cs="Times New Roman"/>
          <w:i/>
          <w:iCs/>
          <w:kern w:val="0"/>
          <w:sz w:val="24"/>
          <w:szCs w:val="24"/>
        </w:rPr>
        <w:t>Guide to Change Management</w:t>
      </w:r>
      <w:r>
        <w:rPr>
          <w:rFonts w:ascii="Times New Roman" w:hAnsi="Times New Roman" w:cs="Times New Roman"/>
          <w:kern w:val="0"/>
          <w:sz w:val="24"/>
          <w:szCs w:val="24"/>
        </w:rPr>
        <w:t xml:space="preserve">. [online] Thomas International. Available at: </w:t>
      </w:r>
      <w:r>
        <w:fldChar w:fldCharType="begin"/>
      </w:r>
      <w:r>
        <w:instrText xml:space="preserve"> HYPERLINK "https://www.thomas.co/resources/type/hr-guides/guide-change-management" </w:instrText>
      </w:r>
      <w:r>
        <w:fldChar w:fldCharType="separate"/>
      </w:r>
      <w:r>
        <w:rPr>
          <w:rFonts w:ascii="Times New Roman" w:hAnsi="Times New Roman" w:cs="Times New Roman"/>
          <w:kern w:val="0"/>
          <w:sz w:val="24"/>
          <w:szCs w:val="24"/>
        </w:rPr>
        <w:t>https://www.thomas.co/resources/type/hr-guides/guide-change-management</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Thompson, W.R. (2023). Worldwide Survey of Fitness Trends for 2023. </w:t>
      </w:r>
      <w:r>
        <w:rPr>
          <w:rFonts w:ascii="Times New Roman" w:hAnsi="Times New Roman" w:cs="Times New Roman"/>
          <w:i/>
          <w:iCs/>
          <w:kern w:val="0"/>
          <w:sz w:val="24"/>
          <w:szCs w:val="24"/>
        </w:rPr>
        <w:t>ACSM’s Health &amp; Fitness Journal</w:t>
      </w:r>
      <w:r>
        <w:rPr>
          <w:rFonts w:ascii="Times New Roman" w:hAnsi="Times New Roman" w:cs="Times New Roman"/>
          <w:kern w:val="0"/>
          <w:sz w:val="24"/>
          <w:szCs w:val="24"/>
        </w:rPr>
        <w:t>, [online] 27(1), p.9. doi:</w:t>
      </w:r>
      <w:r>
        <w:fldChar w:fldCharType="begin"/>
      </w:r>
      <w:r>
        <w:instrText xml:space="preserve"> HYPERLINK "https://doi.org/10.1249/FIT.0000000000000834" </w:instrText>
      </w:r>
      <w:r>
        <w:fldChar w:fldCharType="separate"/>
      </w:r>
      <w:r>
        <w:rPr>
          <w:rFonts w:ascii="Times New Roman" w:hAnsi="Times New Roman" w:cs="Times New Roman"/>
          <w:kern w:val="0"/>
          <w:sz w:val="24"/>
          <w:szCs w:val="24"/>
        </w:rPr>
        <w:t>https://doi.org/10.1249/FIT.0000000000000834</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Tighe, D. (2022). </w:t>
      </w:r>
      <w:r>
        <w:rPr>
          <w:rFonts w:ascii="Times New Roman" w:hAnsi="Times New Roman" w:cs="Times New Roman"/>
          <w:i/>
          <w:iCs/>
          <w:kern w:val="0"/>
          <w:sz w:val="24"/>
          <w:szCs w:val="24"/>
        </w:rPr>
        <w:t>lululemon athletica stores, by country worldwide 2011-2018 | Statista</w:t>
      </w:r>
      <w:r>
        <w:rPr>
          <w:rFonts w:ascii="Times New Roman" w:hAnsi="Times New Roman" w:cs="Times New Roman"/>
          <w:kern w:val="0"/>
          <w:sz w:val="24"/>
          <w:szCs w:val="24"/>
        </w:rPr>
        <w:t xml:space="preserve">. [online] Statista. Available at: </w:t>
      </w:r>
      <w:r>
        <w:fldChar w:fldCharType="begin"/>
      </w:r>
      <w:r>
        <w:instrText xml:space="preserve"> HYPERLINK "https://www.statista.com/statistics/291231/number-of-lululemon-stores-worldwide-by-country/" </w:instrText>
      </w:r>
      <w:r>
        <w:fldChar w:fldCharType="separate"/>
      </w:r>
      <w:r>
        <w:rPr>
          <w:rFonts w:ascii="Times New Roman" w:hAnsi="Times New Roman" w:cs="Times New Roman"/>
          <w:kern w:val="0"/>
          <w:sz w:val="24"/>
          <w:szCs w:val="24"/>
        </w:rPr>
        <w:t>https://www.statista.com/statistics/291231/number-of-lululemon-stores-worldwide-by-country/</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Vembar, K. (2021). </w:t>
      </w:r>
      <w:r>
        <w:rPr>
          <w:rFonts w:ascii="Times New Roman" w:hAnsi="Times New Roman" w:cs="Times New Roman"/>
          <w:i/>
          <w:iCs/>
          <w:kern w:val="0"/>
          <w:sz w:val="24"/>
          <w:szCs w:val="24"/>
        </w:rPr>
        <w:t>What’s next for Lululemon’s tech ambitions?</w:t>
      </w:r>
      <w:r>
        <w:rPr>
          <w:rFonts w:ascii="Times New Roman" w:hAnsi="Times New Roman" w:cs="Times New Roman"/>
          <w:kern w:val="0"/>
          <w:sz w:val="24"/>
          <w:szCs w:val="24"/>
        </w:rPr>
        <w:t xml:space="preserve"> [online] Retail Dive. Available at: </w:t>
      </w:r>
      <w:r>
        <w:fldChar w:fldCharType="begin"/>
      </w:r>
      <w:r>
        <w:instrText xml:space="preserve"> HYPERLINK "https://www.retaildive.com/news/whats-next-for-lululemons-tech-ambitions/601500/" </w:instrText>
      </w:r>
      <w:r>
        <w:fldChar w:fldCharType="separate"/>
      </w:r>
      <w:r>
        <w:rPr>
          <w:rFonts w:ascii="Times New Roman" w:hAnsi="Times New Roman" w:cs="Times New Roman"/>
          <w:kern w:val="0"/>
          <w:sz w:val="24"/>
          <w:szCs w:val="24"/>
        </w:rPr>
        <w:t>https://www.retaildive.com/news/whats-next-for-lululemons-tech-ambitions/601500/</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autoSpaceDE w:val="0"/>
        <w:autoSpaceDN w:val="0"/>
        <w:adjustRightInd w:val="0"/>
        <w:spacing w:after="120" w:line="48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Zacks Equity Research (2023). </w:t>
      </w:r>
      <w:r>
        <w:rPr>
          <w:rFonts w:ascii="Times New Roman" w:hAnsi="Times New Roman" w:cs="Times New Roman"/>
          <w:i/>
          <w:iCs/>
          <w:kern w:val="0"/>
          <w:sz w:val="24"/>
          <w:szCs w:val="24"/>
        </w:rPr>
        <w:t>Here’s Why lululemon (LULU) is Marching Ahead of Its Industry</w:t>
      </w:r>
      <w:r>
        <w:rPr>
          <w:rFonts w:ascii="Times New Roman" w:hAnsi="Times New Roman" w:cs="Times New Roman"/>
          <w:kern w:val="0"/>
          <w:sz w:val="24"/>
          <w:szCs w:val="24"/>
        </w:rPr>
        <w:t xml:space="preserve">. [online] Nasdaq.com. Available at: </w:t>
      </w:r>
      <w:r>
        <w:fldChar w:fldCharType="begin"/>
      </w:r>
      <w:r>
        <w:instrText xml:space="preserve"> HYPERLINK "https://www.nasdaq.com/articles/heres-why-lululemon-lulu-is-marching-ahead-of-its-industry" </w:instrText>
      </w:r>
      <w:r>
        <w:fldChar w:fldCharType="separate"/>
      </w:r>
      <w:r>
        <w:rPr>
          <w:rFonts w:ascii="Times New Roman" w:hAnsi="Times New Roman" w:cs="Times New Roman"/>
          <w:kern w:val="0"/>
          <w:sz w:val="24"/>
          <w:szCs w:val="24"/>
        </w:rPr>
        <w:t>https://www.nasdaq.com/articles/heres-why-lululemon-lulu-is-marching-ahead-of-its-industry</w:t>
      </w:r>
      <w:r>
        <w:rPr>
          <w:rFonts w:ascii="Times New Roman" w:hAnsi="Times New Roman" w:cs="Times New Roman"/>
          <w:kern w:val="0"/>
          <w:sz w:val="24"/>
          <w:szCs w:val="24"/>
        </w:rPr>
        <w:fldChar w:fldCharType="end"/>
      </w:r>
      <w:r>
        <w:rPr>
          <w:rFonts w:ascii="Times New Roman" w:hAnsi="Times New Roman" w:cs="Times New Roman"/>
          <w:kern w:val="0"/>
          <w:sz w:val="24"/>
          <w:szCs w:val="24"/>
        </w:rPr>
        <w:t>.</w:t>
      </w:r>
    </w:p>
    <w:p>
      <w:pPr>
        <w:spacing w:line="480" w:lineRule="auto"/>
        <w:rPr>
          <w:rFonts w:ascii="Arial" w:hAnsi="Arial" w:cs="Arial"/>
        </w:rPr>
      </w:pPr>
    </w:p>
    <w:sectPr>
      <w:footerReference r:id="rId3" w:type="default"/>
      <w:pgSz w:w="11906" w:h="16838"/>
      <w:pgMar w:top="1418" w:right="1418" w:bottom="1418" w:left="1418"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宋体"/>
    <w:panose1 w:val="02010600030101010101"/>
    <w:charset w:val="86"/>
    <w:family w:val="auto"/>
    <w:pitch w:val="default"/>
    <w:sig w:usb0="00000000" w:usb1="00000000" w:usb2="00000016" w:usb3="00000000" w:csb0="0004000F" w:csb1="00000000"/>
  </w:font>
  <w:font w:name="等线">
    <w:altName w:val="宋体"/>
    <w:panose1 w:val="00000000000000000000"/>
    <w:charset w:val="86"/>
    <w:family w:val="auto"/>
    <w:pitch w:val="default"/>
    <w:sig w:usb0="00000000" w:usb1="00000000" w:usb2="00000000" w:usb3="00000000" w:csb0="00000000" w:csb1="00000000"/>
  </w:font>
  <w:font w:name="等线">
    <w:altName w:val="Segoe Print"/>
    <w:panose1 w:val="00000000000000000000"/>
    <w:charset w:val="00"/>
    <w:family w:val="auto"/>
    <w:pitch w:val="default"/>
    <w:sig w:usb0="00000000" w:usb1="00000000" w:usb2="00000000" w:usb3="00000000" w:csb0="00000000" w:csb1="00000000"/>
  </w:font>
  <w:font w:name="等线 Light">
    <w:altName w:val="宋体"/>
    <w:panose1 w:val="02010600030101010101"/>
    <w:charset w:val="86"/>
    <w:family w:val="auto"/>
    <w:pitch w:val="default"/>
    <w:sig w:usb0="00000000" w:usb1="00000000" w:usb2="00000016" w:usb3="00000000" w:csb0="0004000F" w:csb1="00000000"/>
  </w:font>
  <w:font w:name="Arial">
    <w:panose1 w:val="020B0604020202020204"/>
    <w:charset w:val="00"/>
    <w:family w:val="swiss"/>
    <w:pitch w:val="default"/>
    <w:sig w:usb0="E0002AFF" w:usb1="C0007843" w:usb2="00000009" w:usb3="00000000" w:csb0="400001FF" w:csb1="FFFF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rPr>
      <w:id w:val="-1759209266"/>
      <w:docPartObj>
        <w:docPartGallery w:val="AutoText"/>
      </w:docPartObj>
    </w:sdtPr>
    <w:sdtEndPr>
      <w:rPr>
        <w:rFonts w:ascii="Times New Roman" w:hAnsi="Times New Roman" w:cs="Times New Roman"/>
      </w:rPr>
    </w:sdtEndPr>
    <w:sdtContent>
      <w:p>
        <w:pPr>
          <w:pStyle w:val="5"/>
          <w:jc w:val="center"/>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PAGE   \* MERGEFORMAT</w:instrText>
        </w:r>
        <w:r>
          <w:rPr>
            <w:rFonts w:ascii="Times New Roman" w:hAnsi="Times New Roman" w:cs="Times New Roman"/>
          </w:rPr>
          <w:fldChar w:fldCharType="separate"/>
        </w:r>
        <w:r>
          <w:rPr>
            <w:rFonts w:ascii="Times New Roman" w:hAnsi="Times New Roman" w:cs="Times New Roman"/>
            <w:lang w:val="zh-CN"/>
          </w:rPr>
          <w:t>2</w:t>
        </w:r>
        <w:r>
          <w:rPr>
            <w:rFonts w:ascii="Times New Roman" w:hAnsi="Times New Roman" w:cs="Times New Roman"/>
          </w:rPr>
          <w:fldChar w:fldCharType="end"/>
        </w:r>
      </w:p>
    </w:sdtContent>
  </w:sdt>
  <w:p>
    <w:pPr>
      <w:pStyle w:val="5"/>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5BBB"/>
    <w:rsid w:val="000B780F"/>
    <w:rsid w:val="000D2A7C"/>
    <w:rsid w:val="00212C70"/>
    <w:rsid w:val="00250A0E"/>
    <w:rsid w:val="002862F8"/>
    <w:rsid w:val="002C071F"/>
    <w:rsid w:val="002C0FC0"/>
    <w:rsid w:val="002C48A4"/>
    <w:rsid w:val="0032087A"/>
    <w:rsid w:val="0039465C"/>
    <w:rsid w:val="003A4A7D"/>
    <w:rsid w:val="003F0EFC"/>
    <w:rsid w:val="004942E2"/>
    <w:rsid w:val="004D2E67"/>
    <w:rsid w:val="0052736D"/>
    <w:rsid w:val="00586F12"/>
    <w:rsid w:val="00590129"/>
    <w:rsid w:val="0059116E"/>
    <w:rsid w:val="005D3B98"/>
    <w:rsid w:val="006613D7"/>
    <w:rsid w:val="0073678D"/>
    <w:rsid w:val="00792E47"/>
    <w:rsid w:val="007A755A"/>
    <w:rsid w:val="00831351"/>
    <w:rsid w:val="00882B14"/>
    <w:rsid w:val="00885D5A"/>
    <w:rsid w:val="00927D3B"/>
    <w:rsid w:val="00A34F47"/>
    <w:rsid w:val="00A853B8"/>
    <w:rsid w:val="00B46DB0"/>
    <w:rsid w:val="00BB33F7"/>
    <w:rsid w:val="00BD1F4A"/>
    <w:rsid w:val="00C434D2"/>
    <w:rsid w:val="00CE1AEE"/>
    <w:rsid w:val="00CF6A3B"/>
    <w:rsid w:val="00D05BBF"/>
    <w:rsid w:val="00D32A78"/>
    <w:rsid w:val="00D67120"/>
    <w:rsid w:val="00D95BBB"/>
    <w:rsid w:val="00DB6510"/>
    <w:rsid w:val="00DC17F0"/>
    <w:rsid w:val="00E36E1B"/>
    <w:rsid w:val="00F75A98"/>
    <w:rsid w:val="00FC467C"/>
    <w:rsid w:val="4B3D38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link w:val="14"/>
    <w:qFormat/>
    <w:uiPriority w:val="9"/>
    <w:pPr>
      <w:keepNext/>
      <w:keepLines/>
      <w:spacing w:before="340" w:after="330" w:line="578" w:lineRule="auto"/>
      <w:outlineLvl w:val="0"/>
    </w:pPr>
    <w:rPr>
      <w:b/>
      <w:bCs/>
      <w:kern w:val="44"/>
      <w:sz w:val="44"/>
      <w:szCs w:val="44"/>
    </w:rPr>
  </w:style>
  <w:style w:type="character" w:default="1" w:styleId="9">
    <w:name w:val="Default Paragraph Font"/>
    <w:semiHidden/>
    <w:unhideWhenUsed/>
    <w:uiPriority w:val="1"/>
  </w:style>
  <w:style w:type="table" w:default="1" w:styleId="11">
    <w:name w:val="Normal Table"/>
    <w:semiHidden/>
    <w:unhideWhenUsed/>
    <w:uiPriority w:val="99"/>
    <w:tblPr>
      <w:tblLayout w:type="fixed"/>
      <w:tblCellMar>
        <w:top w:w="0" w:type="dxa"/>
        <w:left w:w="108" w:type="dxa"/>
        <w:bottom w:w="0" w:type="dxa"/>
        <w:right w:w="108" w:type="dxa"/>
      </w:tblCellMar>
    </w:tblPr>
  </w:style>
  <w:style w:type="paragraph" w:styleId="3">
    <w:name w:val="Body Text"/>
    <w:basedOn w:val="1"/>
    <w:semiHidden/>
    <w:unhideWhenUsed/>
    <w:uiPriority w:val="99"/>
    <w:pPr>
      <w:spacing w:after="120"/>
    </w:pPr>
  </w:style>
  <w:style w:type="paragraph" w:styleId="4">
    <w:name w:val="toc 3"/>
    <w:basedOn w:val="1"/>
    <w:next w:val="1"/>
    <w:unhideWhenUsed/>
    <w:uiPriority w:val="39"/>
    <w:pPr>
      <w:ind w:left="840" w:leftChars="400"/>
    </w:pPr>
  </w:style>
  <w:style w:type="paragraph" w:styleId="5">
    <w:name w:val="footer"/>
    <w:basedOn w:val="1"/>
    <w:link w:val="13"/>
    <w:unhideWhenUsed/>
    <w:uiPriority w:val="99"/>
    <w:pPr>
      <w:tabs>
        <w:tab w:val="center" w:pos="4153"/>
        <w:tab w:val="right" w:pos="8306"/>
      </w:tabs>
      <w:snapToGrid w:val="0"/>
      <w:jc w:val="left"/>
    </w:pPr>
    <w:rPr>
      <w:sz w:val="18"/>
      <w:szCs w:val="18"/>
    </w:rPr>
  </w:style>
  <w:style w:type="paragraph" w:styleId="6">
    <w:name w:val="header"/>
    <w:basedOn w:val="1"/>
    <w:link w:val="12"/>
    <w:unhideWhenUsed/>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unhideWhenUsed/>
    <w:uiPriority w:val="39"/>
  </w:style>
  <w:style w:type="paragraph" w:styleId="8">
    <w:name w:val="toc 2"/>
    <w:basedOn w:val="1"/>
    <w:next w:val="1"/>
    <w:unhideWhenUsed/>
    <w:uiPriority w:val="39"/>
    <w:pPr>
      <w:ind w:left="420" w:leftChars="20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character" w:customStyle="1" w:styleId="12">
    <w:name w:val="页眉 字符"/>
    <w:basedOn w:val="9"/>
    <w:link w:val="6"/>
    <w:qFormat/>
    <w:uiPriority w:val="99"/>
    <w:rPr>
      <w:sz w:val="18"/>
      <w:szCs w:val="18"/>
    </w:rPr>
  </w:style>
  <w:style w:type="character" w:customStyle="1" w:styleId="13">
    <w:name w:val="页脚 字符"/>
    <w:basedOn w:val="9"/>
    <w:link w:val="5"/>
    <w:uiPriority w:val="99"/>
    <w:rPr>
      <w:sz w:val="18"/>
      <w:szCs w:val="18"/>
    </w:rPr>
  </w:style>
  <w:style w:type="character" w:customStyle="1" w:styleId="14">
    <w:name w:val="标题 1 字符"/>
    <w:basedOn w:val="9"/>
    <w:link w:val="2"/>
    <w:uiPriority w:val="9"/>
    <w:rPr>
      <w:b/>
      <w:bCs/>
      <w:kern w:val="44"/>
      <w:sz w:val="44"/>
      <w:szCs w:val="44"/>
    </w:rPr>
  </w:style>
  <w:style w:type="paragraph" w:customStyle="1" w:styleId="15">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ECA33C1-C6F9-47AD-8CC3-84AECFB05D27}">
  <ds:schemaRefs/>
</ds:datastoreItem>
</file>

<file path=docProps/app.xml><?xml version="1.0" encoding="utf-8"?>
<Properties xmlns="http://schemas.openxmlformats.org/officeDocument/2006/extended-properties" xmlns:vt="http://schemas.openxmlformats.org/officeDocument/2006/docPropsVTypes">
  <Template>Normal</Template>
  <Pages>24</Pages>
  <Words>5594</Words>
  <Characters>31889</Characters>
  <Lines>265</Lines>
  <Paragraphs>74</Paragraphs>
  <TotalTime>0</TotalTime>
  <ScaleCrop>false</ScaleCrop>
  <LinksUpToDate>false</LinksUpToDate>
  <CharactersWithSpaces>37409</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2023-04-30T01:42:00Z</dcterms:created>
  <dc:creator>Administrator</dc:creator>
  <cp:lastModifiedBy>Administrator</cp:lastModifiedBy>
  <dcterms:modified xsi:type="dcterms:W3CDTF">2023-05-03T08:47:34Z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