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81FE4CB" w:rsidP="69379DAD" w:rsidRDefault="481FE4CB" w14:paraId="2DAF4EE4" w14:textId="610E791F">
      <w:pPr>
        <w:pStyle w:val="Heading1"/>
        <w:suppressLineNumbers w:val="0"/>
        <w:bidi w:val="0"/>
        <w:spacing w:before="301" w:beforeAutospacing="off" w:after="301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69379DAD" w:rsidR="481FE4C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Competitive activities: A Models based approach</w:t>
      </w:r>
      <w:r w:rsidRPr="69379DAD" w:rsidR="345DD76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- Weekly reflective blogs</w:t>
      </w:r>
    </w:p>
    <w:p w:rsidR="345DD760" w:rsidP="69379DAD" w:rsidRDefault="345DD760" w14:paraId="34BD471D" w14:textId="67E0BC50">
      <w:pPr>
        <w:pStyle w:val="ListParagraph"/>
        <w:numPr>
          <w:ilvl w:val="0"/>
          <w:numId w:val="1"/>
        </w:numPr>
        <w:bidi w:val="0"/>
        <w:rPr>
          <w:rFonts w:ascii="Times New Roman" w:hAnsi="Times New Roman" w:eastAsia="Times New Roman" w:cs="Times New Roman"/>
          <w:noProof w:val="0"/>
          <w:lang w:val="en-GB"/>
        </w:rPr>
      </w:pPr>
      <w:r w:rsidRPr="69379DAD" w:rsidR="345DD760">
        <w:rPr>
          <w:rFonts w:ascii="Times New Roman" w:hAnsi="Times New Roman" w:eastAsia="Times New Roman" w:cs="Times New Roman"/>
          <w:noProof w:val="0"/>
          <w:lang w:val="en-GB"/>
        </w:rPr>
        <w:t>Culminating event</w:t>
      </w:r>
    </w:p>
    <w:p w:rsidR="345DD760" w:rsidP="69379DAD" w:rsidRDefault="345DD760" w14:paraId="25C978EC" w14:textId="02E021BF">
      <w:pPr>
        <w:pStyle w:val="ListParagraph"/>
        <w:numPr>
          <w:ilvl w:val="0"/>
          <w:numId w:val="1"/>
        </w:numPr>
        <w:bidi w:val="0"/>
        <w:rPr>
          <w:rFonts w:ascii="Times New Roman" w:hAnsi="Times New Roman" w:eastAsia="Times New Roman" w:cs="Times New Roman"/>
          <w:noProof w:val="0"/>
          <w:lang w:val="en-GB"/>
        </w:rPr>
      </w:pPr>
      <w:r w:rsidRPr="69379DAD" w:rsidR="345DD760">
        <w:rPr>
          <w:rFonts w:ascii="Times New Roman" w:hAnsi="Times New Roman" w:eastAsia="Times New Roman" w:cs="Times New Roman"/>
          <w:noProof w:val="0"/>
          <w:lang w:val="en-GB"/>
        </w:rPr>
        <w:t>Festivity</w:t>
      </w:r>
    </w:p>
    <w:p w:rsidR="67D1DDDC" w:rsidP="69379DAD" w:rsidRDefault="67D1DDDC" w14:paraId="08298F83" w14:textId="5CA787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69379DAD" w:rsidR="67D1DDDC">
        <w:rPr>
          <w:rFonts w:ascii="Times New Roman" w:hAnsi="Times New Roman" w:eastAsia="Times New Roman" w:cs="Times New Roman"/>
          <w:noProof w:val="0"/>
          <w:lang w:val="en-GB"/>
        </w:rPr>
        <w:t>Dros yr wythnosau diwethaf rydym ni fel dosbarth wedi bod yn edrych ar y defnydd o ‘culminating event’ a ‘festivity’ yn wersi ‘sport education model’. Mae’r ddwy thema yma wedi bod yn rhan o ein gwersi sport education model gan fod y cyfnod dysgu yn dod i ben yn Rhagfyr felly mae’r culminating event wedi cael ei threfnu efo thema Nadolig, y chwaraeon sydd yn cael ei defnyddio yn y wers yw badminton. Mae’r gwersi yma wedi dangos i ni fod sport eduction model yn ffordd effeithiol o gynyddu cymhelliant a dilysrwydd efo’r disgyblion (Siedentop, Hastie and Van den mars, 2011).</w:t>
      </w:r>
    </w:p>
    <w:p w:rsidR="39921178" w:rsidP="69379DAD" w:rsidRDefault="39921178" w14:paraId="454C8B89" w14:textId="3E8B79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  <w:r w:rsidRPr="69379DAD" w:rsidR="39921178">
        <w:rPr>
          <w:rFonts w:ascii="Times New Roman" w:hAnsi="Times New Roman" w:eastAsia="Times New Roman" w:cs="Times New Roman"/>
          <w:noProof w:val="0"/>
          <w:lang w:val="en-GB"/>
        </w:rPr>
        <w:t>Culminating event-</w:t>
      </w:r>
    </w:p>
    <w:p w:rsidR="067BCCA1" w:rsidP="69379DAD" w:rsidRDefault="067BCCA1" w14:paraId="2FA9160B" w14:textId="6292CA45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Trwy’r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defnydd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Sport education model,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culminating event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ffordd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dda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digwyddiad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bawb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medri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edrych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ymlaen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tuag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ddiwedd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cyfnod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wersi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llawer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mwy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gwersi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traddodiadol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Addysg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gorfforol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llawer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pwrpasol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efo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digwyddiadau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cyffrous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edrych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blaen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tuag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y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diwedd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gyfnod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wersi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Yn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ôl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Welk (2008)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gwersi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addysg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gorfforol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bwrpasol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fuddiol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iawn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hybi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physical literacy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o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sôn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os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gwersi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addysg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gorfforol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gwneud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cynyddu'r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siawns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 ‘lifelong’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addysg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gorfforol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Cafwyd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hwn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gyfleu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gwersi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sport education model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trwy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wneud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dydd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ffeinal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badminton,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roedd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bawb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rôl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specific o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ddyfarnwr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chwaraewr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roedd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creu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digwyddiad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culminating event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pawb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379DAD" w:rsidR="067BC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chynnwys.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Gallwch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ddadlau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efallai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gall y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sefyllfa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yma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fynd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o’r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gystadleuol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sydd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gallu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effaith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negatif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ddisgyblion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(Francesco-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Sgrò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2024), felly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fe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wnaethom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ni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fel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athrawon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pwysleisio'r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ffaith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gyfnewid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rolau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aml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addasu'r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system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pwyntiau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roedd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pwyntiau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roi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allan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am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chwarae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teg,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canlyniad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Mae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‘Culminating event’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ffordd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dda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roi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cyfle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i'r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disgyblion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mireinio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sgiliau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thactegau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yr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wythnosau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blaenorol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fe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wnaeth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Timau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gwneud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sessiynnau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ymarfer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yr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hyfforddwr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grŵp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er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mwyn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ceisio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gwella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symudiad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traed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fadminton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Yn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ôl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Siedentop (2002)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mae’r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sport education model 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cynnig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profiadau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dilys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mewn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addysg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gorfforol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gan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ganolbwyntio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annibyniaeth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chymhwysedd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hyrwyddo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cystadleuaeth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gadarnhaol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a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chysylltu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addysg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gorfforol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â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diwylliant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chwaraeon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ehangach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mae’r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tri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ffactor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yma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ei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chyfleu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gadarnhaol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trwy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sefyllfaoedd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fel</w:t>
      </w:r>
      <w:r w:rsidRPr="69379DAD" w:rsidR="5FF4565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y ‘Culminating event’.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Mae’r Culminating event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gorffen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efo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gwobrau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amrywiol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ein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gwers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fe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rhoddwyd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allan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‘most improved </w:t>
      </w:r>
      <w:r w:rsidRPr="69379DAD" w:rsidR="6CA70D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award’</w:t>
      </w:r>
      <w:r w:rsidRPr="69379DAD" w:rsidR="75DBF3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69379DAD" w:rsidR="75DBF3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3E6BF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69379DAD" w:rsidR="79DB0F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most </w:t>
      </w:r>
      <w:r w:rsidRPr="69379DAD" w:rsidR="79DB0F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comitted</w:t>
      </w:r>
      <w:r w:rsidRPr="69379DAD" w:rsidR="79DB0F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participant’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nodi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rhai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Roedd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y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gwobrau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yma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ffordd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dda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dangos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ir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disgyblion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fod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gwaith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galed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galli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heiddi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gwobrau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Roedd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yn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bwysig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ni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gyd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hefyd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cael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tysystgrif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cymrud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rhan</w:t>
      </w:r>
      <w:r w:rsidRPr="69379DAD" w:rsidR="07EEE63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er 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mwyn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pawb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teimlon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perthyn</w:t>
      </w:r>
      <w:r w:rsidRPr="69379DAD" w:rsidR="624972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ir gwersi.</w:t>
      </w:r>
    </w:p>
    <w:p w:rsidR="69379DAD" w:rsidP="69379DAD" w:rsidRDefault="69379DAD" w14:paraId="2A64FF10" w14:textId="422222FF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379DAD" w:rsidP="69379DAD" w:rsidRDefault="69379DAD" w14:paraId="34B7A678" w14:textId="03DD81AB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379DAD" w:rsidP="69379DAD" w:rsidRDefault="69379DAD" w14:paraId="225072D0" w14:textId="42906E14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379DAD" w:rsidP="69379DAD" w:rsidRDefault="69379DAD" w14:paraId="3543D6E8" w14:textId="3404F546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116DB8" w:rsidP="69379DAD" w:rsidRDefault="26116DB8" w14:paraId="3C6B77B2" w14:textId="345ED139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26116DB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Festivity-</w:t>
      </w:r>
    </w:p>
    <w:p w:rsidR="69379DAD" w:rsidP="69379DAD" w:rsidRDefault="69379DAD" w14:paraId="550D86B8" w14:textId="4400A58D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0BE421" w:rsidP="69379DAD" w:rsidRDefault="6E0BE421" w14:paraId="65575A28" w14:textId="231C7864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Segoe UI" w:hAnsi="Segoe UI" w:eastAsia="Segoe UI" w:cs="Segoe UI"/>
          <w:noProof w:val="0"/>
          <w:color w:val="000000" w:themeColor="text1" w:themeTint="FF" w:themeShade="FF"/>
          <w:sz w:val="21"/>
          <w:szCs w:val="21"/>
          <w:lang w:val="en-GB"/>
        </w:rPr>
      </w:pPr>
      <w:r w:rsidRPr="69379DAD" w:rsidR="6E0BE4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Mae cynnwys themâu festivity yn ffordd greadigol o ychwanegu dimensiwn gwahanol  i ddysgu. Yn ôl Siedentop (1994) mae festivity yn cael ei chyfleu fel themâu dathlu sydd yn adlewyrchu sefyllfaoedd byd go iawn. Cafwyd hyn i greu yn ein gwersi badminton, trwy adlewyrchu ‘walk out music’ i bob chwaraewyr, music pryd mae pwyntiau’n cael ei sgorio ac enwau a baneri timau. Yn ôl Tendinha et al (2021) mae festivity a sport education model yn fuddiol iawn gan wella cymhelliant a darparu'r teimlad o berthyn mewn gwersi addysg gorfforol. Rydym ni wedi defnyddio tennis a badminton dros yr wythnosau diwethaf yn ein gwersi, yn ôl Ayvazo (2009) mae’r sport education model yn pwyselisio dathlu a pherthyn yn chwaraeon, gan orffen gyda digwyddiad sy’n nodi diwedd y tymor (culminating event) ac yn cydnabod llwyddiant y disgyblion.</w:t>
      </w:r>
    </w:p>
    <w:p w:rsidR="69379DAD" w:rsidP="69379DAD" w:rsidRDefault="69379DAD" w14:paraId="1F9AA1D5" w14:textId="3CB4DF23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0BE421" w:rsidP="69379DAD" w:rsidRDefault="6E0BE421" w14:paraId="32F640D2" w14:textId="5863092C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6E0BE4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Credaf yn bersonol fod y sport education model yn wersi addysg gorfforol ysgolion yn ffordd ardderchog o ddysgu ac yn llwyddiannus iawn. Mae’r model yn rhoi cyfleoedd unigryw i'r disgyblion fel chwaraewyr a rolau unigryw arall. Mae’r model yma yn rhoi disgyblion yn sefyllfaoedd go iawn ac yn gofyn iddynt addasu fel maint eisiau i'r gem.</w:t>
      </w:r>
    </w:p>
    <w:p w:rsidR="69379DAD" w:rsidP="69379DAD" w:rsidRDefault="69379DAD" w14:paraId="478E275F" w14:textId="02A9555C">
      <w:pPr>
        <w:pStyle w:val="Normal"/>
        <w:suppressLineNumbers w:val="0"/>
        <w:bidi w:val="0"/>
        <w:spacing w:before="0" w:beforeAutospacing="off" w:after="0" w:afterAutospacing="off" w:line="30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9379DAD" w:rsidP="69379DAD" w:rsidRDefault="69379DAD" w14:paraId="45280140" w14:textId="3F73CF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lang w:val="en-GB"/>
        </w:rPr>
      </w:pPr>
    </w:p>
    <w:p w:rsidR="5235B072" w:rsidP="69379DAD" w:rsidRDefault="5235B072" w14:paraId="4C126317" w14:textId="4D28257B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9379DAD" w:rsidR="5235B072">
        <w:rPr>
          <w:rFonts w:ascii="Times New Roman" w:hAnsi="Times New Roman" w:eastAsia="Times New Roman" w:cs="Times New Roman"/>
          <w:color w:val="auto"/>
          <w:sz w:val="24"/>
          <w:szCs w:val="24"/>
        </w:rPr>
        <w:t>Reference list-</w:t>
      </w:r>
    </w:p>
    <w:p w:rsidR="2F606067" w:rsidP="69379DAD" w:rsidRDefault="2F606067" w14:paraId="2EA46A0E" w14:textId="7FD94572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Ayvazo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S. (2009) ‘Applying the Sport Education Model to Tennis’, Strategies (Reston, Va.), 23(1), pp. 8–12. Available at: </w:t>
      </w:r>
      <w:hyperlink r:id="Raa5f6f8ddd934263">
        <w:r w:rsidRPr="69379DAD" w:rsidR="2F6060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https://doi.org/10.1080/08924562.2009.10590852</w:t>
        </w:r>
      </w:hyperlink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606067" w:rsidP="69379DAD" w:rsidRDefault="2F606067" w14:paraId="2DAE356E" w14:textId="23D47C7F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Francesco 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Sgrò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(2024) ‘Sport participation as an educational tool and a means of promoting physical, mental, and social well-being’, 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Formazione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&amp; 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Insegnamento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22(S1). Available at: </w:t>
      </w:r>
      <w:hyperlink r:id="Rd50a6621fa58473c">
        <w:r w:rsidRPr="69379DAD" w:rsidR="2F6060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https://doi.org/10.7346/-feis-XXII-01-24_01</w:t>
        </w:r>
      </w:hyperlink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606067" w:rsidP="69379DAD" w:rsidRDefault="2F606067" w14:paraId="28AF5BBD" w14:textId="32B6D844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Siedentop, D. (1994). Sport education: Quality PE through positive sport experiences. Champaign, IL: Human Kinetics.</w:t>
      </w:r>
    </w:p>
    <w:p w:rsidR="2F606067" w:rsidP="69379DAD" w:rsidRDefault="2F606067" w14:paraId="6A2D220C" w14:textId="4230032F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Siedentop, D. (2002) ‘Sport Education: A Retrospective’, Journal of teaching in physical education, 21(4), pp. 409–418. Available at: </w:t>
      </w:r>
      <w:hyperlink r:id="Re96bae910d184783">
        <w:r w:rsidRPr="69379DAD" w:rsidR="2F6060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https://doi.org/10.1123/jtpe.21.4.409</w:t>
        </w:r>
      </w:hyperlink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606067" w:rsidP="69379DAD" w:rsidRDefault="2F606067" w14:paraId="7157FBC4" w14:textId="0636C4C6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Siedentop, D., Hastie, 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P.A.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Van der Mars, H. (2011) Complete guide to sport education. 2nd ed. Champaign, IL: Human Kinetics.</w:t>
      </w:r>
    </w:p>
    <w:p w:rsidR="2F606067" w:rsidP="69379DAD" w:rsidRDefault="2F606067" w14:paraId="3774078A" w14:textId="44B312C4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Tendinha</w:t>
      </w: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R. et al. (2021) ‘Impact of Sports Education Model in Physical Education on Students’ Motivation: A Systematic Review’, Children (Basel), 8(7), p. 588. Available at: </w:t>
      </w:r>
      <w:hyperlink r:id="R0d6c1a84ed95446d">
        <w:r w:rsidRPr="69379DAD" w:rsidR="2F6060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https://doi.org/10.3390/children8070588</w:t>
        </w:r>
      </w:hyperlink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606067" w:rsidP="69379DAD" w:rsidRDefault="2F606067" w14:paraId="3C504474" w14:textId="18CD1997">
      <w:pPr>
        <w:pStyle w:val="Normal"/>
        <w:spacing w:before="210" w:beforeAutospacing="off" w:after="210" w:afterAutospacing="off" w:line="30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Welk, G.J. (2008) ‘The Role of Physical Activity Assessments for School-Based Physical Activity Promotion’, Measurement in physical education and exercise science, 12(3), pp. 184–206. Available at: </w:t>
      </w:r>
      <w:hyperlink r:id="Ref59a357ce514142">
        <w:r w:rsidRPr="69379DAD" w:rsidR="2F60606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https://doi.org/10.1080/10913670802216130</w:t>
        </w:r>
      </w:hyperlink>
      <w:r w:rsidRPr="69379DAD" w:rsidR="2F6060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9379DAD" w:rsidP="69379DAD" w:rsidRDefault="69379DAD" w14:paraId="71F2E090" w14:textId="737B3D6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9379DAD" w:rsidP="69379DAD" w:rsidRDefault="69379DAD" w14:paraId="52A1FC52" w14:textId="0D1F7F3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9379DAD" w:rsidP="69379DAD" w:rsidRDefault="69379DAD" w14:paraId="47B03BBA" w14:textId="479F513C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232323"/>
          <w:sz w:val="24"/>
          <w:szCs w:val="24"/>
          <w:lang w:val="en-GB"/>
        </w:rPr>
      </w:pPr>
    </w:p>
    <w:p w:rsidR="69379DAD" w:rsidP="69379DAD" w:rsidRDefault="69379DAD" w14:paraId="156A9E04" w14:textId="1D42134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9379DAD" w:rsidP="69379DAD" w:rsidRDefault="69379DAD" w14:paraId="29E8618F" w14:textId="35622E5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9379DAD" w:rsidP="69379DAD" w:rsidRDefault="69379DAD" w14:paraId="43C542D8" w14:textId="766C2C8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9379DAD" w:rsidP="69379DAD" w:rsidRDefault="69379DAD" w14:paraId="7D9BE908" w14:textId="5CA6AFEA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ab471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95ed8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8E3739"/>
    <w:rsid w:val="009CD548"/>
    <w:rsid w:val="01775E96"/>
    <w:rsid w:val="01B7275F"/>
    <w:rsid w:val="0248FB5B"/>
    <w:rsid w:val="0354A459"/>
    <w:rsid w:val="045AD5C7"/>
    <w:rsid w:val="04D486D7"/>
    <w:rsid w:val="067BCCA1"/>
    <w:rsid w:val="07753A67"/>
    <w:rsid w:val="07EEE63A"/>
    <w:rsid w:val="0B3678A5"/>
    <w:rsid w:val="0B847512"/>
    <w:rsid w:val="0DE8D89D"/>
    <w:rsid w:val="10545A20"/>
    <w:rsid w:val="110C0AAD"/>
    <w:rsid w:val="1328E79D"/>
    <w:rsid w:val="139F13D5"/>
    <w:rsid w:val="14042BE5"/>
    <w:rsid w:val="14667A13"/>
    <w:rsid w:val="1564C9C1"/>
    <w:rsid w:val="16FCDEEE"/>
    <w:rsid w:val="174F9031"/>
    <w:rsid w:val="175B3218"/>
    <w:rsid w:val="17757974"/>
    <w:rsid w:val="190F5178"/>
    <w:rsid w:val="19B3CDD6"/>
    <w:rsid w:val="19E56AB5"/>
    <w:rsid w:val="1B930E90"/>
    <w:rsid w:val="1D1D681A"/>
    <w:rsid w:val="1E48867D"/>
    <w:rsid w:val="1F152E5C"/>
    <w:rsid w:val="200E8A14"/>
    <w:rsid w:val="2205C3C9"/>
    <w:rsid w:val="22A9C46D"/>
    <w:rsid w:val="22BD7E7C"/>
    <w:rsid w:val="257821EF"/>
    <w:rsid w:val="257C445E"/>
    <w:rsid w:val="25A61179"/>
    <w:rsid w:val="26116DB8"/>
    <w:rsid w:val="261738A5"/>
    <w:rsid w:val="26B09F51"/>
    <w:rsid w:val="27BE5209"/>
    <w:rsid w:val="28E91FF5"/>
    <w:rsid w:val="2D8DBACB"/>
    <w:rsid w:val="2EA5945D"/>
    <w:rsid w:val="2EE0EB3C"/>
    <w:rsid w:val="2F4DB571"/>
    <w:rsid w:val="2F606067"/>
    <w:rsid w:val="30F64658"/>
    <w:rsid w:val="310F2288"/>
    <w:rsid w:val="345DD760"/>
    <w:rsid w:val="345FB66A"/>
    <w:rsid w:val="35DB1555"/>
    <w:rsid w:val="36D11F95"/>
    <w:rsid w:val="37477E73"/>
    <w:rsid w:val="39921178"/>
    <w:rsid w:val="3D076046"/>
    <w:rsid w:val="3DDEB036"/>
    <w:rsid w:val="3DF17918"/>
    <w:rsid w:val="3EC9CE4F"/>
    <w:rsid w:val="437ABB3F"/>
    <w:rsid w:val="454496F1"/>
    <w:rsid w:val="45CC4A29"/>
    <w:rsid w:val="47356DAF"/>
    <w:rsid w:val="481FE4CB"/>
    <w:rsid w:val="48A8F330"/>
    <w:rsid w:val="48FF5423"/>
    <w:rsid w:val="4A6CE88E"/>
    <w:rsid w:val="4D6791D9"/>
    <w:rsid w:val="4F67B03F"/>
    <w:rsid w:val="504D4EAC"/>
    <w:rsid w:val="508E3739"/>
    <w:rsid w:val="51BD1BF3"/>
    <w:rsid w:val="5235B072"/>
    <w:rsid w:val="5548D83A"/>
    <w:rsid w:val="576BB10C"/>
    <w:rsid w:val="5A7B0F44"/>
    <w:rsid w:val="5BDF2E3D"/>
    <w:rsid w:val="5C947928"/>
    <w:rsid w:val="5F8692F5"/>
    <w:rsid w:val="5FF45652"/>
    <w:rsid w:val="609699B2"/>
    <w:rsid w:val="61B71C07"/>
    <w:rsid w:val="6249728A"/>
    <w:rsid w:val="6267C2DB"/>
    <w:rsid w:val="63E6BFDD"/>
    <w:rsid w:val="6726C6EB"/>
    <w:rsid w:val="675DF4C5"/>
    <w:rsid w:val="67C45C5B"/>
    <w:rsid w:val="67D1DDDC"/>
    <w:rsid w:val="688DCF69"/>
    <w:rsid w:val="69379DAD"/>
    <w:rsid w:val="695504A4"/>
    <w:rsid w:val="69DF1AFE"/>
    <w:rsid w:val="6A8A2C13"/>
    <w:rsid w:val="6AAE09EC"/>
    <w:rsid w:val="6B02E36E"/>
    <w:rsid w:val="6B2DD49B"/>
    <w:rsid w:val="6CA70D2E"/>
    <w:rsid w:val="6CAF9481"/>
    <w:rsid w:val="6CC69E80"/>
    <w:rsid w:val="6CFB27EE"/>
    <w:rsid w:val="6E0BE421"/>
    <w:rsid w:val="6E31683B"/>
    <w:rsid w:val="70EB6898"/>
    <w:rsid w:val="71671B37"/>
    <w:rsid w:val="7228E805"/>
    <w:rsid w:val="72EF91D0"/>
    <w:rsid w:val="75A9BBDC"/>
    <w:rsid w:val="75D06BF6"/>
    <w:rsid w:val="75DBF38A"/>
    <w:rsid w:val="773E0461"/>
    <w:rsid w:val="775D96AC"/>
    <w:rsid w:val="77E5B10D"/>
    <w:rsid w:val="79179C3B"/>
    <w:rsid w:val="793B2AE1"/>
    <w:rsid w:val="7985BB27"/>
    <w:rsid w:val="79D99DE6"/>
    <w:rsid w:val="79DB0FF0"/>
    <w:rsid w:val="7A89B6B3"/>
    <w:rsid w:val="7A9FB133"/>
    <w:rsid w:val="7AF4B327"/>
    <w:rsid w:val="7DC8F7F1"/>
    <w:rsid w:val="7E7859F2"/>
    <w:rsid w:val="7F3D772F"/>
    <w:rsid w:val="7F748050"/>
    <w:rsid w:val="7FB585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8E3739"/>
  <w15:chartTrackingRefBased/>
  <w15:docId w15:val="{D452579F-1328-4862-B9DD-CC66BBEAD0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9379DA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69379DA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9379DA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80/08924562.2009.10590852" TargetMode="External" Id="Raa5f6f8ddd934263" /><Relationship Type="http://schemas.openxmlformats.org/officeDocument/2006/relationships/hyperlink" Target="https://doi.org/10.7346/-feis-XXII-01-24_01" TargetMode="External" Id="Rd50a6621fa58473c" /><Relationship Type="http://schemas.openxmlformats.org/officeDocument/2006/relationships/hyperlink" Target="https://doi.org/10.1123/jtpe.21.4.409" TargetMode="External" Id="Re96bae910d184783" /><Relationship Type="http://schemas.openxmlformats.org/officeDocument/2006/relationships/hyperlink" Target="https://doi.org/10.3390/children8070588" TargetMode="External" Id="R0d6c1a84ed95446d" /><Relationship Type="http://schemas.openxmlformats.org/officeDocument/2006/relationships/hyperlink" Target="https://doi.org/10.1080/10913670802216130" TargetMode="External" Id="Ref59a357ce514142" /><Relationship Type="http://schemas.openxmlformats.org/officeDocument/2006/relationships/numbering" Target="/word/numbering.xml" Id="R178bcf9cbade45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Ifan Knott (2405014)</dc:creator>
  <keywords/>
  <dc:description/>
  <lastModifiedBy>Ifan Knott (2405014)</lastModifiedBy>
  <revision>2</revision>
  <dcterms:created xsi:type="dcterms:W3CDTF">2025-12-08T12:05:44.4877510Z</dcterms:created>
  <dcterms:modified xsi:type="dcterms:W3CDTF">2025-12-12T14:12:49.3507390Z</dcterms:modified>
</coreProperties>
</file>