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8717AE" w14:textId="77777777" w:rsidR="001D6393" w:rsidRDefault="001D6393" w:rsidP="001D6393">
      <w:pPr>
        <w:autoSpaceDE w:val="0"/>
        <w:autoSpaceDN w:val="0"/>
        <w:adjustRightInd w:val="0"/>
        <w:rPr>
          <w:rFonts w:ascii="Times" w:hAnsi="Times" w:cs="Times"/>
          <w:u w:val="single"/>
          <w:lang w:val="en-US"/>
        </w:rPr>
      </w:pPr>
      <w:r>
        <w:rPr>
          <w:rFonts w:ascii="Times" w:hAnsi="Times" w:cs="Times"/>
          <w:u w:val="single"/>
          <w:lang w:val="en-US"/>
        </w:rPr>
        <w:t>Critically reflect on the benefits of additional methods of promoting and ensuring quality above statutory requirements. Critically analyse methods of quality assurance with a focus on a minimum of two types. These may include official Quality Assurance Marks or research based professional development tools.</w:t>
      </w:r>
    </w:p>
    <w:p w14:paraId="17A45132" w14:textId="77777777" w:rsidR="001D6393" w:rsidRDefault="001D6393" w:rsidP="001D6393">
      <w:pPr>
        <w:autoSpaceDE w:val="0"/>
        <w:autoSpaceDN w:val="0"/>
        <w:adjustRightInd w:val="0"/>
        <w:rPr>
          <w:rFonts w:ascii="Times" w:hAnsi="Times" w:cs="Times"/>
          <w:u w:val="single"/>
          <w:lang w:val="en-US"/>
        </w:rPr>
      </w:pPr>
    </w:p>
    <w:p w14:paraId="15CB9C9F" w14:textId="77777777" w:rsidR="001D6393" w:rsidRDefault="001D6393" w:rsidP="001D6393">
      <w:pPr>
        <w:autoSpaceDE w:val="0"/>
        <w:autoSpaceDN w:val="0"/>
        <w:adjustRightInd w:val="0"/>
        <w:spacing w:after="240"/>
        <w:jc w:val="both"/>
        <w:rPr>
          <w:rFonts w:ascii="Arial" w:hAnsi="Arial" w:cs="Arial"/>
          <w:color w:val="181818"/>
          <w:lang w:val="en-US"/>
        </w:rPr>
      </w:pPr>
      <w:r>
        <w:rPr>
          <w:rFonts w:ascii="Arial" w:hAnsi="Arial" w:cs="Arial"/>
          <w:color w:val="181818"/>
          <w:lang w:val="en-US"/>
        </w:rPr>
        <w:t xml:space="preserve">EYFS (Early Years Foundation Stage) is where the children are mainly taught from a child-initiated task perspective or even a play based approach (Fisher, 2010). This is an excellent method that encourages play, which is recognised as a key element of a child’s development in many countries (Fung and Cheng, 2012). The theory of play was developed by Jean Piaget who believed that, children perform and learn more information in a relaxed environment; which can be seen through play (Marwaha et al., 2017). Piaget’s theory (1976) of play being an impact on a child’s development focuses upon ‘the development of cognitive functions’ (Zelazo et al., 2008). Each child’s health will also be put first whilst leaders take their guidance from the new curriculum (Tickell, 2011) and the development of holistic education, mainly in the United Kingdom and it will help prepare them for the future (Miller, 2019). </w:t>
      </w:r>
    </w:p>
    <w:p w14:paraId="3F442EBE" w14:textId="77777777" w:rsidR="001D6393" w:rsidRDefault="001D6393" w:rsidP="001D6393">
      <w:pPr>
        <w:autoSpaceDE w:val="0"/>
        <w:autoSpaceDN w:val="0"/>
        <w:adjustRightInd w:val="0"/>
        <w:jc w:val="both"/>
        <w:rPr>
          <w:rFonts w:ascii="Arial" w:hAnsi="Arial" w:cs="Arial"/>
          <w:color w:val="181818"/>
          <w:lang w:val="en-US"/>
        </w:rPr>
      </w:pPr>
      <w:r>
        <w:rPr>
          <w:rFonts w:ascii="Arial" w:hAnsi="Arial" w:cs="Arial"/>
          <w:color w:val="181818"/>
          <w:lang w:val="en-US"/>
        </w:rPr>
        <w:t xml:space="preserve">There are many moderate relations between parenting practices and behavior problems and Brotman et al (2011) highlights the need of consistent behavior management practices and positive parenting to determine a healthy child development no matter what cultural background the individual has; it is inclusive. Parents and leaders express a common goal of aiming for each child to succeed academically and develop holistically (Sclafani, 2008) likewise; this will help children socially and emotionally (Elias and Weissberg, 2000). Yes there may be a difference in cultures and their beliefs however, this approach includes the basic principles underlying effective parenting practices, which are considered cross-culturally robust (Sanders, 2008) and can be implemented worldwide. Furthermore, Lombard (1981) states that education begins at home which is similar to Kozleski et al (2015) view that education happens everywhere; and it is a never ending journey for the children, teachers and he stresses the idea that inclusive education is principle of practice, not an end game even those who are disadvantaged (Stepaniuk, 2019). It has been identified that these groups of parents and teachers are heterogeneous (Wyman and Watson, 2020). Continuing on with the concept of parents and their effect on a child’s development, a key method to help is </w:t>
      </w:r>
      <w:r>
        <w:rPr>
          <w:rFonts w:ascii="Arial" w:hAnsi="Arial" w:cs="Arial"/>
          <w:color w:val="1C1D1E"/>
          <w:lang w:val="en-US"/>
        </w:rPr>
        <w:t>responsiveness within the parent–child relationship because; it promotes wholesome socio-emotional development and leads to improved physical and cognitive outcomes</w:t>
      </w:r>
      <w:r>
        <w:rPr>
          <w:rFonts w:ascii="Arial" w:hAnsi="Arial" w:cs="Arial"/>
          <w:lang w:val="en-US"/>
        </w:rPr>
        <w:t xml:space="preserve"> (Bornstein et al., 2012). </w:t>
      </w:r>
      <w:r>
        <w:rPr>
          <w:rFonts w:ascii="Arial" w:hAnsi="Arial" w:cs="Arial"/>
          <w:color w:val="181818"/>
          <w:lang w:val="en-US"/>
        </w:rPr>
        <w:t>Furthermore, a study by Brotman (et al., 2011) suggests that creating a universal family for children forms a community for the children, which creates a consistent link (Daro and Dodge, 2009) and will lead to active progression through child development (Epstein, 2010).</w:t>
      </w:r>
    </w:p>
    <w:p w14:paraId="35C20498" w14:textId="77777777" w:rsidR="001D6393" w:rsidRDefault="001D6393" w:rsidP="001D6393">
      <w:pPr>
        <w:autoSpaceDE w:val="0"/>
        <w:autoSpaceDN w:val="0"/>
        <w:adjustRightInd w:val="0"/>
        <w:jc w:val="both"/>
        <w:rPr>
          <w:rFonts w:ascii="Arial" w:hAnsi="Arial" w:cs="Arial"/>
          <w:color w:val="181818"/>
          <w:lang w:val="en-US"/>
        </w:rPr>
      </w:pPr>
    </w:p>
    <w:p w14:paraId="6F36FF53" w14:textId="77777777" w:rsidR="001D6393" w:rsidRDefault="001D6393" w:rsidP="001D6393">
      <w:pPr>
        <w:autoSpaceDE w:val="0"/>
        <w:autoSpaceDN w:val="0"/>
        <w:adjustRightInd w:val="0"/>
        <w:spacing w:after="240"/>
        <w:jc w:val="both"/>
        <w:rPr>
          <w:rFonts w:ascii="Arial" w:hAnsi="Arial" w:cs="Arial"/>
          <w:color w:val="181818"/>
          <w:lang w:val="en-US"/>
        </w:rPr>
      </w:pPr>
      <w:r>
        <w:rPr>
          <w:rFonts w:ascii="Arial" w:hAnsi="Arial" w:cs="Arial"/>
          <w:color w:val="181818"/>
          <w:lang w:val="en-US"/>
        </w:rPr>
        <w:t>Some methods that have been used to study child development are clinical interview, naturalistic observation and structured observation (Sperling and Repetti, 2018; Greenspan, 2008; Bindman et al., 2013). These methods are scientific however, their approaches range from in-depth focus on each subject, studying the children in their usual environments such as at home, during play or at school. Lastly, leaders or facilitators will conduct research based on what their children engage in during designed tasks or situation (Pressbooks, 2020).</w:t>
      </w:r>
    </w:p>
    <w:p w14:paraId="2BEE17A1" w14:textId="77777777" w:rsidR="001D6393" w:rsidRDefault="001D6393" w:rsidP="001D6393">
      <w:pPr>
        <w:autoSpaceDE w:val="0"/>
        <w:autoSpaceDN w:val="0"/>
        <w:adjustRightInd w:val="0"/>
        <w:jc w:val="both"/>
        <w:rPr>
          <w:rFonts w:ascii="Arial" w:hAnsi="Arial" w:cs="Arial"/>
          <w:lang w:val="en-US"/>
        </w:rPr>
      </w:pPr>
      <w:r>
        <w:rPr>
          <w:rFonts w:ascii="Arial" w:hAnsi="Arial" w:cs="Arial"/>
          <w:lang w:val="en-US"/>
        </w:rPr>
        <w:lastRenderedPageBreak/>
        <w:t>Statutory sounds a complicated term however, it simply refers to practices or prices being required, legislation permitted or enacted by statue (Biber and Ruhl, 2014). It means something is set or always/must happen. Statutory requirements are key when assessing and promoting child development (Fenech, 2007). In regards to the early years foundation stage, there is a statutory framework (Roberts-Holmes, 2012), which outlines and set the standards for promoting the learning, development as well as the safety of children from birth to the age of 5 years old in the Ofsted registered settings (Wood, 2019). The statutory framework for the early years foundation stage address issues of children’s welfare through a series of requirements (Powell, 2010) that clearly link to a child’s development process. Furthermore, the statutory framework for the early years foundation stage became legally binding through its inclusion in the Childcare Act (HM Government, 2006). One reason as to why we have one in place is due to the fact that when parents choose to place their child in an early years setting they require to know that the service has a provision in place that will keep their children safe as well as help them to thrive (DCSF, 2008). Furthermore Layard and Dunn (2009) highlight that excessive individualism presents a threat to children’s wellbeing. However, individualism supports many of the Early learning goals for children reaching the end of the EYFS (Garrick et al., 2010). These goals are vital when discussing the EYFS statutory framework due the expectations identified of what most children should achieve or exceed by the age of five (Neuman and Roskos, 2005). According to Powell (2010) they are grouped into six areas of learning development, which are: Personal, Social and Emotional Development; Communication, Language and Literacy; Problem solving, Reasoning and Numeracy; Knowledge and Understanding of the World; Physical Development and Creative Development.</w:t>
      </w:r>
    </w:p>
    <w:p w14:paraId="680D345B" w14:textId="77777777" w:rsidR="001D6393" w:rsidRDefault="001D6393" w:rsidP="001D6393">
      <w:pPr>
        <w:autoSpaceDE w:val="0"/>
        <w:autoSpaceDN w:val="0"/>
        <w:adjustRightInd w:val="0"/>
        <w:jc w:val="both"/>
        <w:rPr>
          <w:rFonts w:ascii="Arial" w:hAnsi="Arial" w:cs="Arial"/>
          <w:lang w:val="en-US"/>
        </w:rPr>
      </w:pPr>
    </w:p>
    <w:p w14:paraId="5D9E8217" w14:textId="77777777" w:rsidR="001D6393" w:rsidRDefault="001D6393" w:rsidP="001D6393">
      <w:pPr>
        <w:autoSpaceDE w:val="0"/>
        <w:autoSpaceDN w:val="0"/>
        <w:adjustRightInd w:val="0"/>
        <w:jc w:val="both"/>
        <w:rPr>
          <w:rFonts w:ascii="Arial" w:hAnsi="Arial" w:cs="Arial"/>
          <w:color w:val="202124"/>
          <w:lang w:val="en-US"/>
        </w:rPr>
      </w:pPr>
      <w:r>
        <w:rPr>
          <w:rFonts w:ascii="Arial" w:hAnsi="Arial" w:cs="Arial"/>
          <w:color w:val="202124"/>
          <w:lang w:val="en-US"/>
        </w:rPr>
        <w:t>Quality assurance schemes support quality improvement systems and provide recognition that</w:t>
      </w:r>
      <w:r>
        <w:rPr>
          <w:rFonts w:ascii="Arial" w:hAnsi="Arial" w:cs="Arial"/>
          <w:b/>
          <w:bCs/>
          <w:color w:val="202124"/>
          <w:lang w:val="en-US"/>
        </w:rPr>
        <w:t xml:space="preserve"> </w:t>
      </w:r>
      <w:r>
        <w:rPr>
          <w:rFonts w:ascii="Arial" w:hAnsi="Arial" w:cs="Arial"/>
          <w:color w:val="202124"/>
          <w:lang w:val="en-US"/>
        </w:rPr>
        <w:t>an individual setting has made real progress against an agreed set of standards, achieving an accredited level (Martin and Stella, 2007). Quality assurance schemes (QAS) offer early years providers the opportunity to gain recognition for the quality of service provision. They are designed to promote the highest quality experiences of care, play and education by encourage childcare providers to reflect on and evaluate their practice (Cheeseman and Torr, 2009). Furthermore, quality assurance involves the systematic review of educational programs and process that will maintain and improve their quality, equity and efficiency (Dzhurylo, 2021).</w:t>
      </w:r>
    </w:p>
    <w:p w14:paraId="24F18FF0" w14:textId="77777777" w:rsidR="001D6393" w:rsidRDefault="001D6393" w:rsidP="001D6393">
      <w:pPr>
        <w:autoSpaceDE w:val="0"/>
        <w:autoSpaceDN w:val="0"/>
        <w:adjustRightInd w:val="0"/>
        <w:jc w:val="both"/>
        <w:rPr>
          <w:rFonts w:ascii="Arial" w:hAnsi="Arial" w:cs="Arial"/>
          <w:color w:val="202124"/>
          <w:lang w:val="en-US"/>
        </w:rPr>
      </w:pPr>
    </w:p>
    <w:p w14:paraId="622BAD06" w14:textId="77777777" w:rsidR="001D6393" w:rsidRDefault="001D6393" w:rsidP="001D6393">
      <w:pPr>
        <w:autoSpaceDE w:val="0"/>
        <w:autoSpaceDN w:val="0"/>
        <w:adjustRightInd w:val="0"/>
        <w:jc w:val="both"/>
        <w:rPr>
          <w:rFonts w:ascii="Arial" w:hAnsi="Arial" w:cs="Arial"/>
          <w:lang w:val="en-US"/>
        </w:rPr>
      </w:pPr>
      <w:r>
        <w:rPr>
          <w:rFonts w:ascii="Arial" w:hAnsi="Arial" w:cs="Arial"/>
          <w:lang w:val="en-US"/>
        </w:rPr>
        <w:t xml:space="preserve">Within a research-based learning approach, children or leaders can actively search for and then use multiple resources, materials and texts in order to explore important, relevant and interesting questions and challenges. This can enable them to find, process, organize and evaluate information and ideas as they build upon their reading skills and vocabulary (Seif, 2021). This development tool can allow the children access to a successful progression during life long learning (Field, 200). There are two professional development tools which can promotes successful progression for facilitators, leaders, teachers and students; these are more so in regards to the practitioners and are known as behavioural attributes and role-specific skills (Cambridge University, 2022). Both allow space to identify a range of characteristics which can be measured and used to support expected behavior across all ages of children and even staff, it allows the ability to </w:t>
      </w:r>
      <w:r>
        <w:rPr>
          <w:rFonts w:ascii="Arial" w:hAnsi="Arial" w:cs="Arial"/>
          <w:lang w:val="en-US"/>
        </w:rPr>
        <w:lastRenderedPageBreak/>
        <w:t>express what should be expected of the individuals (Frick and White, 2008). Whereas role-specific skills can form collections of generic skills, which are expected within each area of learning and development and can be used individually or within a group setting (Marks et al., 2002).</w:t>
      </w:r>
    </w:p>
    <w:p w14:paraId="409999EB" w14:textId="77777777" w:rsidR="001D6393" w:rsidRDefault="001D6393" w:rsidP="001D6393">
      <w:pPr>
        <w:autoSpaceDE w:val="0"/>
        <w:autoSpaceDN w:val="0"/>
        <w:adjustRightInd w:val="0"/>
        <w:jc w:val="both"/>
        <w:rPr>
          <w:rFonts w:ascii="Arial" w:hAnsi="Arial" w:cs="Arial"/>
          <w:lang w:val="en-US"/>
        </w:rPr>
      </w:pPr>
    </w:p>
    <w:p w14:paraId="5FB2A4EF" w14:textId="77777777" w:rsidR="001D6393" w:rsidRDefault="001D6393" w:rsidP="001D6393">
      <w:pPr>
        <w:autoSpaceDE w:val="0"/>
        <w:autoSpaceDN w:val="0"/>
        <w:adjustRightInd w:val="0"/>
        <w:jc w:val="both"/>
        <w:rPr>
          <w:rFonts w:ascii="Arial" w:hAnsi="Arial" w:cs="Arial"/>
          <w:lang w:val="en-US"/>
        </w:rPr>
      </w:pPr>
      <w:r>
        <w:rPr>
          <w:rFonts w:ascii="Arial" w:hAnsi="Arial" w:cs="Arial"/>
          <w:lang w:val="en-US"/>
        </w:rPr>
        <w:t>Professional development in the early years identifies all the activities individuals will undertake in order for practitioners to develop their abilities and understanding within their role (Charissi, 2020). In regards to how these tools can be used within the setting, practitioners also use assessment tools, which in turn; help identify whether or not the development tools are accurate or at least having an affect (Colloopy, 2003).  Within an early year setting, practitioners most commonly use informal methods of child assessment to identify whether or not their processional development is occurring (Grant, 2002).  Furthermore, these include practitioners conducting natural observations, collecting data and children’s work portfolio, using educator and teacher ratings (Resources for Early Learning, 2014) however, when wanting to see the wider picture they can completed formal assessment tools such as questionnaires for the parents or careers of the child and as the children get older and progress through education, standardized testing is a tool commonly used (Allen. 2007).</w:t>
      </w:r>
    </w:p>
    <w:p w14:paraId="636E597C" w14:textId="77777777" w:rsidR="001D6393" w:rsidRDefault="001D6393" w:rsidP="001D6393">
      <w:pPr>
        <w:autoSpaceDE w:val="0"/>
        <w:autoSpaceDN w:val="0"/>
        <w:adjustRightInd w:val="0"/>
        <w:jc w:val="both"/>
        <w:rPr>
          <w:rFonts w:ascii="Arial" w:hAnsi="Arial" w:cs="Arial"/>
          <w:lang w:val="en-US"/>
        </w:rPr>
      </w:pPr>
    </w:p>
    <w:p w14:paraId="1B6BE322" w14:textId="77777777" w:rsidR="001D6393" w:rsidRDefault="001D6393" w:rsidP="001D6393">
      <w:pPr>
        <w:autoSpaceDE w:val="0"/>
        <w:autoSpaceDN w:val="0"/>
        <w:adjustRightInd w:val="0"/>
        <w:jc w:val="both"/>
        <w:rPr>
          <w:rFonts w:ascii="Arial" w:hAnsi="Arial" w:cs="Arial"/>
          <w:lang w:val="en-US"/>
        </w:rPr>
      </w:pPr>
      <w:r>
        <w:rPr>
          <w:rFonts w:ascii="Arial" w:hAnsi="Arial" w:cs="Arial"/>
          <w:lang w:val="en-US"/>
        </w:rPr>
        <w:t>Providing quality services for young children is never simple and sadly not accessible to all and this is beginning to be solved however, it still remains a problem (Lombardi, 2008). Quality provision in early years education and childcare is only secured through a workforce that are confident and active in working together (Barr, 2008), engaging with the community and relations to the child as well as having a high understanding of the importance in pedagogy (Anderson and Dron, 2011), child development ensuring high expectations for children to achieve and gain the greatest outcome (Moyles, 2014). Early Years Foundation Stage practitioners also face some difficulties especially with the children who come into the setting whilst having perhaps absent parents, emotional and behavioural problems and even abusive to the staff or have an abusive background (CVO, 2022).  Quite a few quality problems have been introduced due to the recent pandemic (Singh, 2020) and early years foundation stage environments and staff have not only faced financial strain and loss of staff but also a plunge in numbers and the children have been greatly effected socially, emotionally and even academically; even on top of those already children who have background problems or difficulties (Engle and Black, 2008).</w:t>
      </w:r>
    </w:p>
    <w:p w14:paraId="14F55736" w14:textId="77777777" w:rsidR="001D6393" w:rsidRDefault="001D6393" w:rsidP="001D6393">
      <w:pPr>
        <w:autoSpaceDE w:val="0"/>
        <w:autoSpaceDN w:val="0"/>
        <w:adjustRightInd w:val="0"/>
        <w:jc w:val="both"/>
        <w:rPr>
          <w:rFonts w:ascii="Arial" w:hAnsi="Arial" w:cs="Arial"/>
          <w:lang w:val="en-US"/>
        </w:rPr>
      </w:pPr>
    </w:p>
    <w:p w14:paraId="231F6D83" w14:textId="77777777" w:rsidR="001D6393" w:rsidRDefault="001D6393" w:rsidP="001D6393">
      <w:pPr>
        <w:autoSpaceDE w:val="0"/>
        <w:autoSpaceDN w:val="0"/>
        <w:adjustRightInd w:val="0"/>
        <w:jc w:val="both"/>
        <w:rPr>
          <w:rFonts w:ascii="Arial" w:hAnsi="Arial" w:cs="Arial"/>
          <w:lang w:val="en-US"/>
        </w:rPr>
      </w:pPr>
      <w:r>
        <w:rPr>
          <w:rFonts w:ascii="Arial" w:hAnsi="Arial" w:cs="Arial"/>
          <w:lang w:val="en-US"/>
        </w:rPr>
        <w:t xml:space="preserve">Quality assurance seeks to avoid problems, stabilize and improve development and their services by monitoring the children on an ongoing basis and this helps the early years practitioners to follow a child’s mental wellbeing (Burchard and Schaefer, 1992). Educational providers have frequent inspections to monitor progress and development of not only the children, but also the practitioners (Litjens, 2013). Inspections have been defined as allowances, due to the examinations that take place across the board and has a significant impact on how and where change is implemented (Gaertner, 2014). School inspections are used by most education systems within the United Kingdom and is seen as a major instrument for controlling and the promoting the quality of educational settings and even early years foundation settings (Ehren et al., 2013). Moreover, governments </w:t>
      </w:r>
      <w:r>
        <w:rPr>
          <w:rFonts w:ascii="Arial" w:hAnsi="Arial" w:cs="Arial"/>
          <w:lang w:val="en-US"/>
        </w:rPr>
        <w:lastRenderedPageBreak/>
        <w:t>are unable to implement the national education policies and goals without conducting school inspections (Alexander*, 2004). Oftsed will go into schools and hold inspections to check for quality of academics once every four years when the school has been previously judged as good or outstanding, they will visit to confirm whether or not the education setting remains good or outstanding and that safeguarding is effective (Exley and Ball, 2011). Oftsed was created after the Education Act of 1992 (Perryman, 2010).</w:t>
      </w:r>
    </w:p>
    <w:p w14:paraId="07B90B97" w14:textId="77777777" w:rsidR="001D6393" w:rsidRDefault="001D6393" w:rsidP="001D6393">
      <w:pPr>
        <w:autoSpaceDE w:val="0"/>
        <w:autoSpaceDN w:val="0"/>
        <w:adjustRightInd w:val="0"/>
        <w:jc w:val="both"/>
        <w:rPr>
          <w:rFonts w:ascii="Arial" w:hAnsi="Arial" w:cs="Arial"/>
          <w:lang w:val="en-US"/>
        </w:rPr>
      </w:pPr>
    </w:p>
    <w:p w14:paraId="60FE60E4" w14:textId="77777777" w:rsidR="001D6393" w:rsidRDefault="001D6393" w:rsidP="001D6393">
      <w:pPr>
        <w:autoSpaceDE w:val="0"/>
        <w:autoSpaceDN w:val="0"/>
        <w:adjustRightInd w:val="0"/>
        <w:jc w:val="both"/>
        <w:rPr>
          <w:rFonts w:ascii="Arial" w:hAnsi="Arial" w:cs="Arial"/>
          <w:lang w:val="en-US"/>
        </w:rPr>
      </w:pPr>
      <w:r>
        <w:rPr>
          <w:rFonts w:ascii="Arial" w:hAnsi="Arial" w:cs="Arial"/>
          <w:lang w:val="en-US"/>
        </w:rPr>
        <w:t>To help ensure quality above the statutory requirements some additional methods which have been deemed to be quality assured and effective are early years foundation stage settings that: implement student-centered learning, increasing the number of high achieving new student admissions, strengthening human resources, providing educational rewards and learning outside the classroom (Puspita and Sugiyono, 2021).  Continuing on with the concept of learning outside the classroom, Tovey (2007) highlights that playing outdoors teaches young people how to deal with risk, as well as being able to develop holistically without the child noticing. Furthermore, some parents or practitioners might see this as risky or it could lead to injury however, without this they may become ill equipped to deal with working life (Kalhuran, 2016). Children of all ages and abilities are naturally curious. They have an appetite for experience, and an urge to explore and understand. They want to find out how the world around them works and what they can do, and to extend their abilities and build their sense of themselves as competent, capable people. In the last few centuries there have been an increasing number of discussions about children’s safety in play environments. As a result of this, risk-taking during play has become increasingly regulated, managed and controlled and even removed all together (Tovey, 2010).  It is assumed that by removing risks, children will be able to play in a safer environment. This approach however fails to acknowledge risk-taking as a positive feature of children’s play and learning (Little and Wyver, 2008). That is why risk is important (Outdoor Classroom day, 2016). Waite and Pratt (2011) claims that the value of working outside the classroom is in providing pupils with experiences that are different from those inside it and allows them to learn to behave in ways that are different to classroom behaviour. Early years providers should develop a clear approach to risky play that balances the benefits of stimulating, challenging and exciting play with a rigorous risk assessment. Good practice should include: developing a risky play policy which all staff are aware of including parents, undertaking and reviewing risk assessments regularly, modifying the environment and activities to meet the needs of the child, ensuring constant supervision, eliminating hazards and make sure all playground apparatus complies with safety standards and is properly maintained (Croner-i, 2019).</w:t>
      </w:r>
    </w:p>
    <w:p w14:paraId="19D7FE25" w14:textId="77777777" w:rsidR="001D6393" w:rsidRDefault="001D6393" w:rsidP="001D6393">
      <w:pPr>
        <w:autoSpaceDE w:val="0"/>
        <w:autoSpaceDN w:val="0"/>
        <w:adjustRightInd w:val="0"/>
        <w:jc w:val="both"/>
        <w:rPr>
          <w:rFonts w:ascii="Arial" w:hAnsi="Arial" w:cs="Arial"/>
          <w:lang w:val="en-US"/>
        </w:rPr>
      </w:pPr>
    </w:p>
    <w:p w14:paraId="0E3D99D3" w14:textId="77777777" w:rsidR="001D6393" w:rsidRDefault="001D6393" w:rsidP="001D6393">
      <w:pPr>
        <w:autoSpaceDE w:val="0"/>
        <w:autoSpaceDN w:val="0"/>
        <w:adjustRightInd w:val="0"/>
        <w:jc w:val="both"/>
        <w:rPr>
          <w:rFonts w:ascii="Arial" w:hAnsi="Arial" w:cs="Arial"/>
          <w:lang w:val="en-US"/>
        </w:rPr>
      </w:pPr>
    </w:p>
    <w:p w14:paraId="6C42F8F5" w14:textId="77777777" w:rsidR="001D6393" w:rsidRDefault="001D6393" w:rsidP="001D6393">
      <w:pPr>
        <w:autoSpaceDE w:val="0"/>
        <w:autoSpaceDN w:val="0"/>
        <w:adjustRightInd w:val="0"/>
        <w:jc w:val="both"/>
        <w:rPr>
          <w:rFonts w:ascii="Arial" w:hAnsi="Arial" w:cs="Arial"/>
          <w:lang w:val="en-US"/>
        </w:rPr>
      </w:pPr>
      <w:r>
        <w:rPr>
          <w:rFonts w:ascii="Arial" w:hAnsi="Arial" w:cs="Arial"/>
          <w:lang w:val="en-US"/>
        </w:rPr>
        <w:t xml:space="preserve">Teachers, leaders and practitioners can promote quality education by conducting meaningful evaluations on lessons they teach as well as their fellow colleagues (Darling-Hammond, 2010). This can allow leaders to offer constructive feedback and suggestions that will be acted on to provide greater quality lessons in the future. Feedback enables the teacher, leader, practitioner or facilitators to see how their teaching practice can be improved and overcome any barriers to learning highlighted from an inspection or observation (Jensen et al., 2020). This will then in turn create more effective teaching and </w:t>
      </w:r>
      <w:r>
        <w:rPr>
          <w:rFonts w:ascii="Arial" w:hAnsi="Arial" w:cs="Arial"/>
          <w:lang w:val="en-US"/>
        </w:rPr>
        <w:lastRenderedPageBreak/>
        <w:t>learning strategies, which will ensure quality above the statutory requirements. Effective learning must be meaningful to a child because, they can then transfer what they have learned and are able to apply it to new situations (Brown, 1990). These abilities and attitudes of strong learners will support them to learn well and make the required progress against the statutory requirements holistically (Early Education, 2022).</w:t>
      </w:r>
    </w:p>
    <w:p w14:paraId="6055CFE1" w14:textId="77777777" w:rsidR="001D6393" w:rsidRDefault="001D6393" w:rsidP="001D6393">
      <w:pPr>
        <w:autoSpaceDE w:val="0"/>
        <w:autoSpaceDN w:val="0"/>
        <w:adjustRightInd w:val="0"/>
        <w:rPr>
          <w:rFonts w:ascii="Arial" w:hAnsi="Arial" w:cs="Arial"/>
          <w:lang w:val="en-US"/>
        </w:rPr>
      </w:pPr>
    </w:p>
    <w:p w14:paraId="5714D4C3" w14:textId="77777777" w:rsidR="001D6393" w:rsidRDefault="001D6393" w:rsidP="001D6393">
      <w:pPr>
        <w:autoSpaceDE w:val="0"/>
        <w:autoSpaceDN w:val="0"/>
        <w:adjustRightInd w:val="0"/>
        <w:rPr>
          <w:rFonts w:ascii="Arial" w:hAnsi="Arial" w:cs="Arial"/>
          <w:lang w:val="en-US"/>
        </w:rPr>
      </w:pPr>
    </w:p>
    <w:p w14:paraId="55331781" w14:textId="77777777" w:rsidR="001D6393" w:rsidRDefault="001D6393" w:rsidP="001D6393">
      <w:pPr>
        <w:autoSpaceDE w:val="0"/>
        <w:autoSpaceDN w:val="0"/>
        <w:adjustRightInd w:val="0"/>
        <w:rPr>
          <w:rFonts w:ascii="Arial" w:hAnsi="Arial" w:cs="Arial"/>
          <w:lang w:val="en-US"/>
        </w:rPr>
      </w:pPr>
    </w:p>
    <w:p w14:paraId="24198176" w14:textId="77777777" w:rsidR="001D6393" w:rsidRDefault="001D6393" w:rsidP="001D6393">
      <w:pPr>
        <w:autoSpaceDE w:val="0"/>
        <w:autoSpaceDN w:val="0"/>
        <w:adjustRightInd w:val="0"/>
        <w:rPr>
          <w:rFonts w:ascii="Arial" w:hAnsi="Arial" w:cs="Arial"/>
          <w:lang w:val="en-US"/>
        </w:rPr>
      </w:pPr>
    </w:p>
    <w:p w14:paraId="01885E4B" w14:textId="77777777" w:rsidR="001D6393" w:rsidRDefault="001D6393" w:rsidP="001D6393">
      <w:pPr>
        <w:autoSpaceDE w:val="0"/>
        <w:autoSpaceDN w:val="0"/>
        <w:adjustRightInd w:val="0"/>
        <w:rPr>
          <w:rFonts w:ascii="Arial" w:hAnsi="Arial" w:cs="Arial"/>
          <w:lang w:val="en-US"/>
        </w:rPr>
      </w:pPr>
    </w:p>
    <w:p w14:paraId="67960F3A" w14:textId="77777777" w:rsidR="001D6393" w:rsidRDefault="001D6393" w:rsidP="001D6393">
      <w:pPr>
        <w:autoSpaceDE w:val="0"/>
        <w:autoSpaceDN w:val="0"/>
        <w:adjustRightInd w:val="0"/>
        <w:rPr>
          <w:rFonts w:ascii="Arial" w:hAnsi="Arial" w:cs="Arial"/>
          <w:lang w:val="en-US"/>
        </w:rPr>
      </w:pPr>
    </w:p>
    <w:p w14:paraId="02D315D1" w14:textId="77777777" w:rsidR="001D6393" w:rsidRDefault="001D6393" w:rsidP="001D6393">
      <w:pPr>
        <w:autoSpaceDE w:val="0"/>
        <w:autoSpaceDN w:val="0"/>
        <w:adjustRightInd w:val="0"/>
        <w:rPr>
          <w:rFonts w:ascii="Arial" w:hAnsi="Arial" w:cs="Arial"/>
          <w:lang w:val="en-US"/>
        </w:rPr>
      </w:pPr>
    </w:p>
    <w:p w14:paraId="76F8A786" w14:textId="77777777" w:rsidR="001D6393" w:rsidRDefault="001D6393" w:rsidP="001D6393">
      <w:pPr>
        <w:autoSpaceDE w:val="0"/>
        <w:autoSpaceDN w:val="0"/>
        <w:adjustRightInd w:val="0"/>
        <w:rPr>
          <w:rFonts w:ascii="Arial" w:hAnsi="Arial" w:cs="Arial"/>
          <w:lang w:val="en-US"/>
        </w:rPr>
      </w:pPr>
    </w:p>
    <w:p w14:paraId="3C3FAD27" w14:textId="77777777" w:rsidR="001D6393" w:rsidRDefault="001D6393" w:rsidP="001D6393">
      <w:pPr>
        <w:autoSpaceDE w:val="0"/>
        <w:autoSpaceDN w:val="0"/>
        <w:adjustRightInd w:val="0"/>
        <w:rPr>
          <w:rFonts w:ascii="Arial" w:hAnsi="Arial" w:cs="Arial"/>
          <w:lang w:val="en-US"/>
        </w:rPr>
      </w:pPr>
    </w:p>
    <w:p w14:paraId="71E28A1B" w14:textId="77777777" w:rsidR="001D6393" w:rsidRDefault="001D6393" w:rsidP="001D6393">
      <w:pPr>
        <w:autoSpaceDE w:val="0"/>
        <w:autoSpaceDN w:val="0"/>
        <w:adjustRightInd w:val="0"/>
        <w:rPr>
          <w:rFonts w:ascii="Arial" w:hAnsi="Arial" w:cs="Arial"/>
          <w:lang w:val="en-US"/>
        </w:rPr>
      </w:pPr>
    </w:p>
    <w:p w14:paraId="1AD91EF4" w14:textId="77777777" w:rsidR="001D6393" w:rsidRDefault="001D6393" w:rsidP="001D6393">
      <w:pPr>
        <w:autoSpaceDE w:val="0"/>
        <w:autoSpaceDN w:val="0"/>
        <w:adjustRightInd w:val="0"/>
        <w:rPr>
          <w:rFonts w:ascii="Arial" w:hAnsi="Arial" w:cs="Arial"/>
          <w:lang w:val="en-US"/>
        </w:rPr>
      </w:pPr>
    </w:p>
    <w:p w14:paraId="168534E9" w14:textId="77777777" w:rsidR="001D6393" w:rsidRDefault="001D6393" w:rsidP="001D6393">
      <w:pPr>
        <w:autoSpaceDE w:val="0"/>
        <w:autoSpaceDN w:val="0"/>
        <w:adjustRightInd w:val="0"/>
        <w:rPr>
          <w:rFonts w:ascii="Arial" w:hAnsi="Arial" w:cs="Arial"/>
          <w:lang w:val="en-US"/>
        </w:rPr>
      </w:pPr>
    </w:p>
    <w:p w14:paraId="0F4B7FF3" w14:textId="77777777" w:rsidR="001D6393" w:rsidRDefault="001D6393" w:rsidP="001D6393">
      <w:pPr>
        <w:autoSpaceDE w:val="0"/>
        <w:autoSpaceDN w:val="0"/>
        <w:adjustRightInd w:val="0"/>
        <w:rPr>
          <w:rFonts w:ascii="Arial" w:hAnsi="Arial" w:cs="Arial"/>
          <w:lang w:val="en-US"/>
        </w:rPr>
      </w:pPr>
    </w:p>
    <w:p w14:paraId="1686C6EB" w14:textId="77777777" w:rsidR="001D6393" w:rsidRDefault="001D6393" w:rsidP="001D6393">
      <w:pPr>
        <w:autoSpaceDE w:val="0"/>
        <w:autoSpaceDN w:val="0"/>
        <w:adjustRightInd w:val="0"/>
        <w:rPr>
          <w:rFonts w:ascii="Times" w:hAnsi="Times" w:cs="Times"/>
          <w:u w:val="single"/>
          <w:lang w:val="en-US"/>
        </w:rPr>
      </w:pPr>
    </w:p>
    <w:p w14:paraId="05F7047A" w14:textId="77777777" w:rsidR="001D6393" w:rsidRDefault="001D6393" w:rsidP="001D6393">
      <w:pPr>
        <w:autoSpaceDE w:val="0"/>
        <w:autoSpaceDN w:val="0"/>
        <w:adjustRightInd w:val="0"/>
        <w:rPr>
          <w:rFonts w:ascii="Times" w:hAnsi="Times" w:cs="Times"/>
          <w:u w:val="single"/>
          <w:lang w:val="en-US"/>
        </w:rPr>
      </w:pPr>
    </w:p>
    <w:p w14:paraId="1804D1BE" w14:textId="77777777" w:rsidR="001D6393" w:rsidRDefault="001D6393" w:rsidP="001D6393">
      <w:pPr>
        <w:autoSpaceDE w:val="0"/>
        <w:autoSpaceDN w:val="0"/>
        <w:adjustRightInd w:val="0"/>
        <w:rPr>
          <w:rFonts w:ascii="Times" w:hAnsi="Times" w:cs="Times"/>
          <w:u w:val="single"/>
          <w:lang w:val="en-US"/>
        </w:rPr>
      </w:pPr>
    </w:p>
    <w:p w14:paraId="6D8CE25C" w14:textId="77777777" w:rsidR="001D6393" w:rsidRDefault="001D6393" w:rsidP="001D6393">
      <w:pPr>
        <w:autoSpaceDE w:val="0"/>
        <w:autoSpaceDN w:val="0"/>
        <w:adjustRightInd w:val="0"/>
        <w:rPr>
          <w:rFonts w:ascii="Times" w:hAnsi="Times" w:cs="Times"/>
          <w:u w:val="single"/>
          <w:lang w:val="en-US"/>
        </w:rPr>
      </w:pPr>
    </w:p>
    <w:p w14:paraId="11DCC67F" w14:textId="77777777" w:rsidR="001D6393" w:rsidRDefault="001D6393" w:rsidP="001D6393">
      <w:pPr>
        <w:autoSpaceDE w:val="0"/>
        <w:autoSpaceDN w:val="0"/>
        <w:adjustRightInd w:val="0"/>
        <w:rPr>
          <w:rFonts w:ascii="Times" w:hAnsi="Times" w:cs="Times"/>
          <w:u w:val="single"/>
          <w:lang w:val="en-US"/>
        </w:rPr>
      </w:pPr>
    </w:p>
    <w:p w14:paraId="6AF851F0" w14:textId="77777777" w:rsidR="001D6393" w:rsidRDefault="001D6393" w:rsidP="001D6393">
      <w:pPr>
        <w:autoSpaceDE w:val="0"/>
        <w:autoSpaceDN w:val="0"/>
        <w:adjustRightInd w:val="0"/>
        <w:rPr>
          <w:rFonts w:ascii="Times" w:hAnsi="Times" w:cs="Times"/>
          <w:u w:val="single"/>
          <w:lang w:val="en-US"/>
        </w:rPr>
      </w:pPr>
    </w:p>
    <w:p w14:paraId="7BCDB61D" w14:textId="77777777" w:rsidR="001D6393" w:rsidRDefault="001D6393" w:rsidP="001D6393">
      <w:pPr>
        <w:autoSpaceDE w:val="0"/>
        <w:autoSpaceDN w:val="0"/>
        <w:adjustRightInd w:val="0"/>
        <w:rPr>
          <w:rFonts w:ascii="Times" w:hAnsi="Times" w:cs="Times"/>
          <w:u w:val="single"/>
          <w:lang w:val="en-US"/>
        </w:rPr>
      </w:pPr>
    </w:p>
    <w:p w14:paraId="63030FFD" w14:textId="77777777" w:rsidR="001D6393" w:rsidRDefault="001D6393" w:rsidP="001D6393">
      <w:pPr>
        <w:autoSpaceDE w:val="0"/>
        <w:autoSpaceDN w:val="0"/>
        <w:adjustRightInd w:val="0"/>
        <w:rPr>
          <w:rFonts w:ascii="Times" w:hAnsi="Times" w:cs="Times"/>
          <w:u w:val="single"/>
          <w:lang w:val="en-US"/>
        </w:rPr>
      </w:pPr>
    </w:p>
    <w:p w14:paraId="35F7D612" w14:textId="77777777" w:rsidR="001D6393" w:rsidRDefault="001D6393" w:rsidP="001D6393">
      <w:pPr>
        <w:autoSpaceDE w:val="0"/>
        <w:autoSpaceDN w:val="0"/>
        <w:adjustRightInd w:val="0"/>
        <w:rPr>
          <w:rFonts w:ascii="Times" w:hAnsi="Times" w:cs="Times"/>
          <w:u w:val="single"/>
          <w:lang w:val="en-US"/>
        </w:rPr>
      </w:pPr>
    </w:p>
    <w:p w14:paraId="3E63BC56" w14:textId="77777777" w:rsidR="001D6393" w:rsidRDefault="001D6393" w:rsidP="001D6393">
      <w:pPr>
        <w:autoSpaceDE w:val="0"/>
        <w:autoSpaceDN w:val="0"/>
        <w:adjustRightInd w:val="0"/>
        <w:rPr>
          <w:rFonts w:ascii="Times" w:hAnsi="Times" w:cs="Times"/>
          <w:u w:val="single"/>
          <w:lang w:val="en-US"/>
        </w:rPr>
      </w:pPr>
    </w:p>
    <w:p w14:paraId="281C3618" w14:textId="77777777" w:rsidR="001D6393" w:rsidRDefault="001D6393" w:rsidP="001D6393">
      <w:pPr>
        <w:autoSpaceDE w:val="0"/>
        <w:autoSpaceDN w:val="0"/>
        <w:adjustRightInd w:val="0"/>
        <w:rPr>
          <w:rFonts w:ascii="Times" w:hAnsi="Times" w:cs="Times"/>
          <w:u w:val="single"/>
          <w:lang w:val="en-US"/>
        </w:rPr>
      </w:pPr>
    </w:p>
    <w:p w14:paraId="7C14DABD" w14:textId="77777777" w:rsidR="001D6393" w:rsidRDefault="001D6393" w:rsidP="001D6393">
      <w:pPr>
        <w:autoSpaceDE w:val="0"/>
        <w:autoSpaceDN w:val="0"/>
        <w:adjustRightInd w:val="0"/>
        <w:rPr>
          <w:rFonts w:ascii="Times" w:hAnsi="Times" w:cs="Times"/>
          <w:u w:val="single"/>
          <w:lang w:val="en-US"/>
        </w:rPr>
      </w:pPr>
    </w:p>
    <w:p w14:paraId="13FB5508" w14:textId="77777777" w:rsidR="001D6393" w:rsidRDefault="001D6393" w:rsidP="001D6393">
      <w:pPr>
        <w:autoSpaceDE w:val="0"/>
        <w:autoSpaceDN w:val="0"/>
        <w:adjustRightInd w:val="0"/>
        <w:rPr>
          <w:rFonts w:ascii="Times" w:hAnsi="Times" w:cs="Times"/>
          <w:u w:val="single"/>
          <w:lang w:val="en-US"/>
        </w:rPr>
      </w:pPr>
    </w:p>
    <w:p w14:paraId="2C763D54" w14:textId="77777777" w:rsidR="001D6393" w:rsidRDefault="001D6393" w:rsidP="001D6393">
      <w:pPr>
        <w:autoSpaceDE w:val="0"/>
        <w:autoSpaceDN w:val="0"/>
        <w:adjustRightInd w:val="0"/>
        <w:rPr>
          <w:rFonts w:ascii="Times" w:hAnsi="Times" w:cs="Times"/>
          <w:u w:val="single"/>
          <w:lang w:val="en-US"/>
        </w:rPr>
      </w:pPr>
    </w:p>
    <w:p w14:paraId="70CE6A1E" w14:textId="77777777" w:rsidR="001D6393" w:rsidRDefault="001D6393" w:rsidP="001D6393">
      <w:pPr>
        <w:autoSpaceDE w:val="0"/>
        <w:autoSpaceDN w:val="0"/>
        <w:adjustRightInd w:val="0"/>
        <w:rPr>
          <w:rFonts w:ascii="Times" w:hAnsi="Times" w:cs="Times"/>
          <w:u w:val="single"/>
          <w:lang w:val="en-US"/>
        </w:rPr>
      </w:pPr>
    </w:p>
    <w:p w14:paraId="11A261EC" w14:textId="77777777" w:rsidR="001D6393" w:rsidRDefault="001D6393" w:rsidP="001D6393">
      <w:pPr>
        <w:autoSpaceDE w:val="0"/>
        <w:autoSpaceDN w:val="0"/>
        <w:adjustRightInd w:val="0"/>
        <w:rPr>
          <w:rFonts w:ascii="Times" w:hAnsi="Times" w:cs="Times"/>
          <w:u w:val="single"/>
          <w:lang w:val="en-US"/>
        </w:rPr>
      </w:pPr>
    </w:p>
    <w:p w14:paraId="38BBCD50" w14:textId="77777777" w:rsidR="001D6393" w:rsidRDefault="001D6393" w:rsidP="001D6393">
      <w:pPr>
        <w:autoSpaceDE w:val="0"/>
        <w:autoSpaceDN w:val="0"/>
        <w:adjustRightInd w:val="0"/>
        <w:rPr>
          <w:rFonts w:ascii="Times" w:hAnsi="Times" w:cs="Times"/>
          <w:u w:val="single"/>
          <w:lang w:val="en-US"/>
        </w:rPr>
      </w:pPr>
    </w:p>
    <w:p w14:paraId="48197ED7" w14:textId="77777777" w:rsidR="001D6393" w:rsidRDefault="001D6393" w:rsidP="001D6393">
      <w:pPr>
        <w:autoSpaceDE w:val="0"/>
        <w:autoSpaceDN w:val="0"/>
        <w:adjustRightInd w:val="0"/>
        <w:rPr>
          <w:rFonts w:ascii="Times" w:hAnsi="Times" w:cs="Times"/>
          <w:u w:val="single"/>
          <w:lang w:val="en-US"/>
        </w:rPr>
      </w:pPr>
    </w:p>
    <w:p w14:paraId="1A6558FF" w14:textId="77777777" w:rsidR="001D6393" w:rsidRDefault="001D6393" w:rsidP="001D6393">
      <w:pPr>
        <w:autoSpaceDE w:val="0"/>
        <w:autoSpaceDN w:val="0"/>
        <w:adjustRightInd w:val="0"/>
        <w:rPr>
          <w:rFonts w:ascii="Times" w:hAnsi="Times" w:cs="Times"/>
          <w:u w:val="single"/>
          <w:lang w:val="en-US"/>
        </w:rPr>
      </w:pPr>
    </w:p>
    <w:p w14:paraId="3EAB2626" w14:textId="77777777" w:rsidR="001D6393" w:rsidRDefault="001D6393" w:rsidP="001D6393">
      <w:pPr>
        <w:autoSpaceDE w:val="0"/>
        <w:autoSpaceDN w:val="0"/>
        <w:adjustRightInd w:val="0"/>
        <w:rPr>
          <w:rFonts w:ascii="Times" w:hAnsi="Times" w:cs="Times"/>
          <w:u w:val="single"/>
          <w:lang w:val="en-US"/>
        </w:rPr>
      </w:pPr>
    </w:p>
    <w:p w14:paraId="18A59B21" w14:textId="77777777" w:rsidR="001D6393" w:rsidRDefault="001D6393" w:rsidP="001D6393">
      <w:pPr>
        <w:autoSpaceDE w:val="0"/>
        <w:autoSpaceDN w:val="0"/>
        <w:adjustRightInd w:val="0"/>
        <w:rPr>
          <w:rFonts w:ascii="Times" w:hAnsi="Times" w:cs="Times"/>
          <w:u w:val="single"/>
          <w:lang w:val="en-US"/>
        </w:rPr>
      </w:pPr>
    </w:p>
    <w:p w14:paraId="5189AA41" w14:textId="77777777" w:rsidR="001D6393" w:rsidRDefault="001D6393" w:rsidP="001D6393">
      <w:pPr>
        <w:autoSpaceDE w:val="0"/>
        <w:autoSpaceDN w:val="0"/>
        <w:adjustRightInd w:val="0"/>
        <w:rPr>
          <w:rFonts w:ascii="Times" w:hAnsi="Times" w:cs="Times"/>
          <w:u w:val="single"/>
          <w:lang w:val="en-US"/>
        </w:rPr>
      </w:pPr>
    </w:p>
    <w:p w14:paraId="4CED8AF0" w14:textId="77777777" w:rsidR="001D6393" w:rsidRDefault="001D6393" w:rsidP="001D6393">
      <w:pPr>
        <w:autoSpaceDE w:val="0"/>
        <w:autoSpaceDN w:val="0"/>
        <w:adjustRightInd w:val="0"/>
        <w:rPr>
          <w:rFonts w:ascii="Times" w:hAnsi="Times" w:cs="Times"/>
          <w:u w:val="single"/>
          <w:lang w:val="en-US"/>
        </w:rPr>
      </w:pPr>
    </w:p>
    <w:p w14:paraId="7732F9B4" w14:textId="77777777" w:rsidR="001D6393" w:rsidRDefault="001D6393" w:rsidP="001D6393">
      <w:pPr>
        <w:autoSpaceDE w:val="0"/>
        <w:autoSpaceDN w:val="0"/>
        <w:adjustRightInd w:val="0"/>
        <w:rPr>
          <w:rFonts w:ascii="Times" w:hAnsi="Times" w:cs="Times"/>
          <w:u w:val="single"/>
          <w:lang w:val="en-US"/>
        </w:rPr>
      </w:pPr>
    </w:p>
    <w:p w14:paraId="642F54EE" w14:textId="77777777" w:rsidR="001D6393" w:rsidRDefault="001D6393" w:rsidP="001D6393">
      <w:pPr>
        <w:autoSpaceDE w:val="0"/>
        <w:autoSpaceDN w:val="0"/>
        <w:adjustRightInd w:val="0"/>
        <w:rPr>
          <w:rFonts w:ascii="Times" w:hAnsi="Times" w:cs="Times"/>
          <w:u w:val="single"/>
          <w:lang w:val="en-US"/>
        </w:rPr>
      </w:pPr>
    </w:p>
    <w:p w14:paraId="7A400CCF" w14:textId="77777777" w:rsidR="001D6393" w:rsidRDefault="001D6393" w:rsidP="001D6393">
      <w:pPr>
        <w:autoSpaceDE w:val="0"/>
        <w:autoSpaceDN w:val="0"/>
        <w:adjustRightInd w:val="0"/>
        <w:rPr>
          <w:rFonts w:ascii="Times" w:hAnsi="Times" w:cs="Times"/>
          <w:u w:val="single"/>
          <w:lang w:val="en-US"/>
        </w:rPr>
      </w:pPr>
    </w:p>
    <w:p w14:paraId="38C76327" w14:textId="77777777" w:rsidR="001D6393" w:rsidRDefault="001D6393" w:rsidP="001D6393">
      <w:pPr>
        <w:autoSpaceDE w:val="0"/>
        <w:autoSpaceDN w:val="0"/>
        <w:adjustRightInd w:val="0"/>
        <w:rPr>
          <w:rFonts w:ascii="Times" w:hAnsi="Times" w:cs="Times"/>
          <w:u w:val="single"/>
          <w:lang w:val="en-US"/>
        </w:rPr>
      </w:pPr>
    </w:p>
    <w:p w14:paraId="5C496A83" w14:textId="77777777" w:rsidR="001D6393" w:rsidRDefault="001D6393" w:rsidP="001D6393">
      <w:pPr>
        <w:autoSpaceDE w:val="0"/>
        <w:autoSpaceDN w:val="0"/>
        <w:adjustRightInd w:val="0"/>
        <w:rPr>
          <w:rFonts w:ascii="Times" w:hAnsi="Times" w:cs="Times"/>
          <w:u w:val="single"/>
          <w:lang w:val="en-US"/>
        </w:rPr>
      </w:pPr>
    </w:p>
    <w:p w14:paraId="5E7854AF" w14:textId="5433A4E3" w:rsidR="001D6393" w:rsidRDefault="001D6393" w:rsidP="001D6393">
      <w:pPr>
        <w:autoSpaceDE w:val="0"/>
        <w:autoSpaceDN w:val="0"/>
        <w:adjustRightInd w:val="0"/>
        <w:rPr>
          <w:rFonts w:ascii="Times" w:hAnsi="Times" w:cs="Times"/>
          <w:u w:val="single"/>
          <w:lang w:val="en-US"/>
        </w:rPr>
      </w:pPr>
      <w:bookmarkStart w:id="0" w:name="_GoBack"/>
      <w:bookmarkEnd w:id="0"/>
      <w:r>
        <w:rPr>
          <w:rFonts w:ascii="Times" w:hAnsi="Times" w:cs="Times"/>
          <w:u w:val="single"/>
          <w:lang w:val="en-US"/>
        </w:rPr>
        <w:lastRenderedPageBreak/>
        <w:t>Reference List</w:t>
      </w:r>
    </w:p>
    <w:p w14:paraId="49559B62" w14:textId="77777777" w:rsidR="001D6393" w:rsidRDefault="001D6393" w:rsidP="001D6393">
      <w:pPr>
        <w:autoSpaceDE w:val="0"/>
        <w:autoSpaceDN w:val="0"/>
        <w:adjustRightInd w:val="0"/>
        <w:rPr>
          <w:rFonts w:ascii="Times" w:hAnsi="Times" w:cs="Times"/>
          <w:u w:val="single"/>
          <w:lang w:val="en-US"/>
        </w:rPr>
      </w:pPr>
    </w:p>
    <w:p w14:paraId="7436E853"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Alexander*, R., (2004). Still no pedagogy? Principle, pragmatism and compliance in primary education. </w:t>
      </w:r>
      <w:r>
        <w:rPr>
          <w:rFonts w:ascii="Arial" w:hAnsi="Arial" w:cs="Arial"/>
          <w:i/>
          <w:iCs/>
          <w:color w:val="222222"/>
          <w:lang w:val="en-US"/>
        </w:rPr>
        <w:t>Cambridge Journal of education</w:t>
      </w:r>
      <w:r>
        <w:rPr>
          <w:rFonts w:ascii="Arial" w:hAnsi="Arial" w:cs="Arial"/>
          <w:color w:val="222222"/>
          <w:lang w:val="en-US"/>
        </w:rPr>
        <w:t>, </w:t>
      </w:r>
      <w:r>
        <w:rPr>
          <w:rFonts w:ascii="Arial" w:hAnsi="Arial" w:cs="Arial"/>
          <w:i/>
          <w:iCs/>
          <w:color w:val="222222"/>
          <w:lang w:val="en-US"/>
        </w:rPr>
        <w:t>34</w:t>
      </w:r>
      <w:r>
        <w:rPr>
          <w:rFonts w:ascii="Arial" w:hAnsi="Arial" w:cs="Arial"/>
          <w:color w:val="222222"/>
          <w:lang w:val="en-US"/>
        </w:rPr>
        <w:t>(1), pp.7-33.</w:t>
      </w:r>
    </w:p>
    <w:p w14:paraId="797B9D4D" w14:textId="77777777" w:rsidR="001D6393" w:rsidRDefault="001D6393" w:rsidP="001D6393">
      <w:pPr>
        <w:autoSpaceDE w:val="0"/>
        <w:autoSpaceDN w:val="0"/>
        <w:adjustRightInd w:val="0"/>
        <w:ind w:left="360"/>
        <w:jc w:val="both"/>
        <w:rPr>
          <w:rFonts w:ascii="Arial" w:hAnsi="Arial" w:cs="Arial"/>
          <w:color w:val="222222"/>
          <w:lang w:val="en-US"/>
        </w:rPr>
      </w:pPr>
    </w:p>
    <w:p w14:paraId="164E9B92"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Anderson, T. and Dron, J., (2011). Three generations of distance education pedagogy. </w:t>
      </w:r>
      <w:r>
        <w:rPr>
          <w:rFonts w:ascii="Arial" w:hAnsi="Arial" w:cs="Arial"/>
          <w:i/>
          <w:iCs/>
          <w:color w:val="222222"/>
          <w:lang w:val="en-US"/>
        </w:rPr>
        <w:t>International Review of Research in Open and Distributed Learning</w:t>
      </w:r>
      <w:r>
        <w:rPr>
          <w:rFonts w:ascii="Arial" w:hAnsi="Arial" w:cs="Arial"/>
          <w:color w:val="222222"/>
          <w:lang w:val="en-US"/>
        </w:rPr>
        <w:t>, </w:t>
      </w:r>
      <w:r>
        <w:rPr>
          <w:rFonts w:ascii="Arial" w:hAnsi="Arial" w:cs="Arial"/>
          <w:i/>
          <w:iCs/>
          <w:color w:val="222222"/>
          <w:lang w:val="en-US"/>
        </w:rPr>
        <w:t>12</w:t>
      </w:r>
      <w:r>
        <w:rPr>
          <w:rFonts w:ascii="Arial" w:hAnsi="Arial" w:cs="Arial"/>
          <w:color w:val="222222"/>
          <w:lang w:val="en-US"/>
        </w:rPr>
        <w:t>(3), pp.80-97.</w:t>
      </w:r>
    </w:p>
    <w:p w14:paraId="60B2E89C" w14:textId="77777777" w:rsidR="001D6393" w:rsidRDefault="001D6393" w:rsidP="001D6393">
      <w:pPr>
        <w:autoSpaceDE w:val="0"/>
        <w:autoSpaceDN w:val="0"/>
        <w:adjustRightInd w:val="0"/>
        <w:ind w:left="360"/>
        <w:jc w:val="both"/>
        <w:rPr>
          <w:rFonts w:ascii="Arial" w:hAnsi="Arial" w:cs="Arial"/>
          <w:color w:val="222222"/>
          <w:lang w:val="en-US"/>
        </w:rPr>
      </w:pPr>
    </w:p>
    <w:p w14:paraId="4A9287D5"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Barr, A., Gillard, J., Firth, V., Scrymgour, M., Welford, R., Lomax-Smith, J., Bartlett, D., Pike, B. and Constable, E., (2008). </w:t>
      </w:r>
      <w:r>
        <w:rPr>
          <w:rFonts w:ascii="Arial" w:hAnsi="Arial" w:cs="Arial"/>
          <w:i/>
          <w:iCs/>
          <w:color w:val="222222"/>
          <w:lang w:val="en-US"/>
        </w:rPr>
        <w:t>Melbourne declaration on educational goals for young Australians</w:t>
      </w:r>
      <w:r>
        <w:rPr>
          <w:rFonts w:ascii="Arial" w:hAnsi="Arial" w:cs="Arial"/>
          <w:color w:val="222222"/>
          <w:lang w:val="en-US"/>
        </w:rPr>
        <w:t>. Ministerial Council on Education, Employment, Training and Youth Affairs. PO Box 202 Carlton South Victoria, 3053, Australia.</w:t>
      </w:r>
    </w:p>
    <w:p w14:paraId="7271C414" w14:textId="77777777" w:rsidR="001D6393" w:rsidRDefault="001D6393" w:rsidP="001D6393">
      <w:pPr>
        <w:autoSpaceDE w:val="0"/>
        <w:autoSpaceDN w:val="0"/>
        <w:adjustRightInd w:val="0"/>
        <w:ind w:left="360"/>
        <w:jc w:val="both"/>
        <w:rPr>
          <w:rFonts w:ascii="Arial" w:hAnsi="Arial" w:cs="Arial"/>
          <w:color w:val="222222"/>
          <w:lang w:val="en-US"/>
        </w:rPr>
      </w:pPr>
    </w:p>
    <w:p w14:paraId="117C1AF8"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Biber, E. and Ruhl, J.B., (2014). The permit power revisited: The theory and practice of regulatory permits in the administrative state. </w:t>
      </w:r>
      <w:r>
        <w:rPr>
          <w:rFonts w:ascii="Arial" w:hAnsi="Arial" w:cs="Arial"/>
          <w:i/>
          <w:iCs/>
          <w:color w:val="222222"/>
          <w:lang w:val="en-US"/>
        </w:rPr>
        <w:t>Duke LJ</w:t>
      </w:r>
      <w:r>
        <w:rPr>
          <w:rFonts w:ascii="Arial" w:hAnsi="Arial" w:cs="Arial"/>
          <w:color w:val="222222"/>
          <w:lang w:val="en-US"/>
        </w:rPr>
        <w:t>, </w:t>
      </w:r>
      <w:r>
        <w:rPr>
          <w:rFonts w:ascii="Arial" w:hAnsi="Arial" w:cs="Arial"/>
          <w:i/>
          <w:iCs/>
          <w:color w:val="222222"/>
          <w:lang w:val="en-US"/>
        </w:rPr>
        <w:t>64</w:t>
      </w:r>
      <w:r>
        <w:rPr>
          <w:rFonts w:ascii="Arial" w:hAnsi="Arial" w:cs="Arial"/>
          <w:color w:val="222222"/>
          <w:lang w:val="en-US"/>
        </w:rPr>
        <w:t>, p.133.</w:t>
      </w:r>
    </w:p>
    <w:p w14:paraId="61235E8E" w14:textId="77777777" w:rsidR="001D6393" w:rsidRDefault="001D6393" w:rsidP="001D6393">
      <w:pPr>
        <w:autoSpaceDE w:val="0"/>
        <w:autoSpaceDN w:val="0"/>
        <w:adjustRightInd w:val="0"/>
        <w:ind w:left="360"/>
        <w:jc w:val="both"/>
        <w:rPr>
          <w:rFonts w:ascii="Arial" w:hAnsi="Arial" w:cs="Arial"/>
          <w:color w:val="222222"/>
          <w:lang w:val="en-US"/>
        </w:rPr>
      </w:pPr>
    </w:p>
    <w:p w14:paraId="24EF4BD9"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Bindman, S.W., Hindman, A.H., Bowles, R.P. and Morrison, F.J., (2013). The contributions of parental management language to executive function in preschool children. </w:t>
      </w:r>
      <w:r>
        <w:rPr>
          <w:rFonts w:ascii="Arial" w:hAnsi="Arial" w:cs="Arial"/>
          <w:i/>
          <w:iCs/>
          <w:color w:val="222222"/>
          <w:lang w:val="en-US"/>
        </w:rPr>
        <w:t>Early childhood research quarterly</w:t>
      </w:r>
      <w:r>
        <w:rPr>
          <w:rFonts w:ascii="Arial" w:hAnsi="Arial" w:cs="Arial"/>
          <w:color w:val="222222"/>
          <w:lang w:val="en-US"/>
        </w:rPr>
        <w:t>, </w:t>
      </w:r>
      <w:r>
        <w:rPr>
          <w:rFonts w:ascii="Arial" w:hAnsi="Arial" w:cs="Arial"/>
          <w:i/>
          <w:iCs/>
          <w:color w:val="222222"/>
          <w:lang w:val="en-US"/>
        </w:rPr>
        <w:t>28</w:t>
      </w:r>
      <w:r>
        <w:rPr>
          <w:rFonts w:ascii="Arial" w:hAnsi="Arial" w:cs="Arial"/>
          <w:color w:val="222222"/>
          <w:lang w:val="en-US"/>
        </w:rPr>
        <w:t>(3), pp.529-539.</w:t>
      </w:r>
    </w:p>
    <w:p w14:paraId="0B3D8AA5" w14:textId="77777777" w:rsidR="001D6393" w:rsidRDefault="001D6393" w:rsidP="001D6393">
      <w:pPr>
        <w:autoSpaceDE w:val="0"/>
        <w:autoSpaceDN w:val="0"/>
        <w:adjustRightInd w:val="0"/>
        <w:ind w:left="360"/>
        <w:jc w:val="both"/>
        <w:rPr>
          <w:rFonts w:ascii="Arial" w:hAnsi="Arial" w:cs="Arial"/>
          <w:color w:val="222222"/>
          <w:lang w:val="en-US"/>
        </w:rPr>
      </w:pPr>
    </w:p>
    <w:p w14:paraId="52FC8201"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Bornstein, M.H., Suwalsky, J.T. and Breakstone, D.A., (2012). Emotional relationships between mothers and infants: Knowns, unknowns, and unknown unknowns. </w:t>
      </w:r>
      <w:r>
        <w:rPr>
          <w:rFonts w:ascii="Arial" w:hAnsi="Arial" w:cs="Arial"/>
          <w:i/>
          <w:iCs/>
          <w:color w:val="222222"/>
          <w:lang w:val="en-US"/>
        </w:rPr>
        <w:t>Development and psychopathology</w:t>
      </w:r>
      <w:r>
        <w:rPr>
          <w:rFonts w:ascii="Arial" w:hAnsi="Arial" w:cs="Arial"/>
          <w:color w:val="222222"/>
          <w:lang w:val="en-US"/>
        </w:rPr>
        <w:t>, </w:t>
      </w:r>
      <w:r>
        <w:rPr>
          <w:rFonts w:ascii="Arial" w:hAnsi="Arial" w:cs="Arial"/>
          <w:i/>
          <w:iCs/>
          <w:color w:val="222222"/>
          <w:lang w:val="en-US"/>
        </w:rPr>
        <w:t>24</w:t>
      </w:r>
      <w:r>
        <w:rPr>
          <w:rFonts w:ascii="Arial" w:hAnsi="Arial" w:cs="Arial"/>
          <w:color w:val="222222"/>
          <w:lang w:val="en-US"/>
        </w:rPr>
        <w:t>(1), pp.113-123.</w:t>
      </w:r>
    </w:p>
    <w:p w14:paraId="3C1444B1" w14:textId="77777777" w:rsidR="001D6393" w:rsidRDefault="001D6393" w:rsidP="001D6393">
      <w:pPr>
        <w:autoSpaceDE w:val="0"/>
        <w:autoSpaceDN w:val="0"/>
        <w:adjustRightInd w:val="0"/>
        <w:ind w:left="360"/>
        <w:jc w:val="both"/>
        <w:rPr>
          <w:rFonts w:ascii="Arial" w:hAnsi="Arial" w:cs="Arial"/>
          <w:color w:val="222222"/>
          <w:lang w:val="en-US"/>
        </w:rPr>
      </w:pPr>
    </w:p>
    <w:p w14:paraId="709C1C74"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Brotman, L.M., Calzada, E., Huang, K.Y., Kingston, S., Dawson</w:t>
      </w:r>
      <w:r>
        <w:rPr>
          <w:rFonts w:ascii="Cambria Math" w:hAnsi="Cambria Math" w:cs="Cambria Math"/>
          <w:color w:val="222222"/>
          <w:lang w:val="en-US"/>
        </w:rPr>
        <w:t>‐</w:t>
      </w:r>
      <w:r>
        <w:rPr>
          <w:rFonts w:ascii="Arial" w:hAnsi="Arial" w:cs="Arial"/>
          <w:color w:val="222222"/>
          <w:lang w:val="en-US"/>
        </w:rPr>
        <w:t>McClure, S., Kamboukos, D., Rosenfelt, A., Schwab, A. and Petkova, E., (2011). Promoting effective parenting practices and preventing child behavior problems in school among ethnically diverse families from underserved, urban communities. </w:t>
      </w:r>
      <w:r>
        <w:rPr>
          <w:rFonts w:ascii="Arial" w:hAnsi="Arial" w:cs="Arial"/>
          <w:i/>
          <w:iCs/>
          <w:color w:val="222222"/>
          <w:lang w:val="en-US"/>
        </w:rPr>
        <w:t>Child development</w:t>
      </w:r>
      <w:r>
        <w:rPr>
          <w:rFonts w:ascii="Arial" w:hAnsi="Arial" w:cs="Arial"/>
          <w:color w:val="222222"/>
          <w:lang w:val="en-US"/>
        </w:rPr>
        <w:t>, </w:t>
      </w:r>
      <w:r>
        <w:rPr>
          <w:rFonts w:ascii="Arial" w:hAnsi="Arial" w:cs="Arial"/>
          <w:i/>
          <w:iCs/>
          <w:color w:val="222222"/>
          <w:lang w:val="en-US"/>
        </w:rPr>
        <w:t>82</w:t>
      </w:r>
      <w:r>
        <w:rPr>
          <w:rFonts w:ascii="Arial" w:hAnsi="Arial" w:cs="Arial"/>
          <w:color w:val="222222"/>
          <w:lang w:val="en-US"/>
        </w:rPr>
        <w:t>(1), pp.258-276.</w:t>
      </w:r>
    </w:p>
    <w:p w14:paraId="2FFC8C65" w14:textId="77777777" w:rsidR="001D6393" w:rsidRDefault="001D6393" w:rsidP="001D6393">
      <w:pPr>
        <w:autoSpaceDE w:val="0"/>
        <w:autoSpaceDN w:val="0"/>
        <w:adjustRightInd w:val="0"/>
        <w:ind w:left="360"/>
        <w:jc w:val="both"/>
        <w:rPr>
          <w:rFonts w:ascii="Arial" w:hAnsi="Arial" w:cs="Arial"/>
          <w:color w:val="222222"/>
          <w:lang w:val="en-US"/>
        </w:rPr>
      </w:pPr>
    </w:p>
    <w:p w14:paraId="06A2DB15"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Brown, A.L., (1990). Domain</w:t>
      </w:r>
      <w:r>
        <w:rPr>
          <w:rFonts w:ascii="Cambria Math" w:hAnsi="Cambria Math" w:cs="Cambria Math"/>
          <w:color w:val="222222"/>
          <w:lang w:val="en-US"/>
        </w:rPr>
        <w:t>‐</w:t>
      </w:r>
      <w:r>
        <w:rPr>
          <w:rFonts w:ascii="Arial" w:hAnsi="Arial" w:cs="Arial"/>
          <w:color w:val="222222"/>
          <w:lang w:val="en-US"/>
        </w:rPr>
        <w:t>specific principles affect learning and transfer in children. </w:t>
      </w:r>
      <w:r>
        <w:rPr>
          <w:rFonts w:ascii="Arial" w:hAnsi="Arial" w:cs="Arial"/>
          <w:i/>
          <w:iCs/>
          <w:color w:val="222222"/>
          <w:lang w:val="en-US"/>
        </w:rPr>
        <w:t>Cognitive science</w:t>
      </w:r>
      <w:r>
        <w:rPr>
          <w:rFonts w:ascii="Arial" w:hAnsi="Arial" w:cs="Arial"/>
          <w:color w:val="222222"/>
          <w:lang w:val="en-US"/>
        </w:rPr>
        <w:t>, </w:t>
      </w:r>
      <w:r>
        <w:rPr>
          <w:rFonts w:ascii="Arial" w:hAnsi="Arial" w:cs="Arial"/>
          <w:i/>
          <w:iCs/>
          <w:color w:val="222222"/>
          <w:lang w:val="en-US"/>
        </w:rPr>
        <w:t>14</w:t>
      </w:r>
      <w:r>
        <w:rPr>
          <w:rFonts w:ascii="Arial" w:hAnsi="Arial" w:cs="Arial"/>
          <w:color w:val="222222"/>
          <w:lang w:val="en-US"/>
        </w:rPr>
        <w:t>(1), pp.107-133.</w:t>
      </w:r>
    </w:p>
    <w:p w14:paraId="30BB66AF" w14:textId="77777777" w:rsidR="001D6393" w:rsidRDefault="001D6393" w:rsidP="001D6393">
      <w:pPr>
        <w:autoSpaceDE w:val="0"/>
        <w:autoSpaceDN w:val="0"/>
        <w:adjustRightInd w:val="0"/>
        <w:ind w:left="360"/>
        <w:jc w:val="both"/>
        <w:rPr>
          <w:rFonts w:ascii="Arial" w:hAnsi="Arial" w:cs="Arial"/>
          <w:color w:val="222222"/>
          <w:lang w:val="en-US"/>
        </w:rPr>
      </w:pPr>
    </w:p>
    <w:p w14:paraId="205F07F1"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Burchard, J.D. and Schaefer, M., (1992). Improving accountability in a service delivery system in children's mental health. </w:t>
      </w:r>
      <w:r>
        <w:rPr>
          <w:rFonts w:ascii="Arial" w:hAnsi="Arial" w:cs="Arial"/>
          <w:i/>
          <w:iCs/>
          <w:color w:val="222222"/>
          <w:lang w:val="en-US"/>
        </w:rPr>
        <w:t>Clinical Psychology Review</w:t>
      </w:r>
      <w:r>
        <w:rPr>
          <w:rFonts w:ascii="Arial" w:hAnsi="Arial" w:cs="Arial"/>
          <w:color w:val="222222"/>
          <w:lang w:val="en-US"/>
        </w:rPr>
        <w:t>, </w:t>
      </w:r>
      <w:r>
        <w:rPr>
          <w:rFonts w:ascii="Arial" w:hAnsi="Arial" w:cs="Arial"/>
          <w:i/>
          <w:iCs/>
          <w:color w:val="222222"/>
          <w:lang w:val="en-US"/>
        </w:rPr>
        <w:t>12</w:t>
      </w:r>
      <w:r>
        <w:rPr>
          <w:rFonts w:ascii="Arial" w:hAnsi="Arial" w:cs="Arial"/>
          <w:color w:val="222222"/>
          <w:lang w:val="en-US"/>
        </w:rPr>
        <w:t>(8), pp.867-882.</w:t>
      </w:r>
    </w:p>
    <w:p w14:paraId="78C05D26" w14:textId="77777777" w:rsidR="001D6393" w:rsidRDefault="001D6393" w:rsidP="001D6393">
      <w:pPr>
        <w:autoSpaceDE w:val="0"/>
        <w:autoSpaceDN w:val="0"/>
        <w:adjustRightInd w:val="0"/>
        <w:ind w:left="360"/>
        <w:jc w:val="both"/>
        <w:rPr>
          <w:rFonts w:ascii="Arial" w:hAnsi="Arial" w:cs="Arial"/>
          <w:color w:val="222222"/>
          <w:lang w:val="en-US"/>
        </w:rPr>
      </w:pPr>
    </w:p>
    <w:p w14:paraId="06C26847" w14:textId="77777777" w:rsidR="001D6393" w:rsidRDefault="001D6393" w:rsidP="001D6393">
      <w:pPr>
        <w:autoSpaceDE w:val="0"/>
        <w:autoSpaceDN w:val="0"/>
        <w:adjustRightInd w:val="0"/>
        <w:ind w:left="360"/>
        <w:jc w:val="both"/>
        <w:rPr>
          <w:rFonts w:ascii="Arial" w:hAnsi="Arial" w:cs="Arial"/>
          <w:lang w:val="en-US"/>
        </w:rPr>
      </w:pPr>
      <w:r>
        <w:rPr>
          <w:rFonts w:ascii="Arial" w:hAnsi="Arial" w:cs="Arial"/>
          <w:lang w:val="en-US"/>
        </w:rPr>
        <w:t xml:space="preserve">Cambridge University (2022). </w:t>
      </w:r>
      <w:r>
        <w:rPr>
          <w:rFonts w:ascii="Arial" w:hAnsi="Arial" w:cs="Arial"/>
          <w:i/>
          <w:iCs/>
          <w:lang w:val="en-US"/>
        </w:rPr>
        <w:t xml:space="preserve">Personal and Professional Development. </w:t>
      </w:r>
      <w:r>
        <w:rPr>
          <w:rFonts w:ascii="Arial" w:hAnsi="Arial" w:cs="Arial"/>
          <w:lang w:val="en-US"/>
        </w:rPr>
        <w:t>Tools to support development. Available at: https://www.ppd.admin.cam.ac.uk/career-development/tools-support-development (Accessed 20/04/2022).</w:t>
      </w:r>
    </w:p>
    <w:p w14:paraId="6B272DCD" w14:textId="77777777" w:rsidR="001D6393" w:rsidRDefault="001D6393" w:rsidP="001D6393">
      <w:pPr>
        <w:autoSpaceDE w:val="0"/>
        <w:autoSpaceDN w:val="0"/>
        <w:adjustRightInd w:val="0"/>
        <w:ind w:left="360"/>
        <w:jc w:val="both"/>
        <w:rPr>
          <w:rFonts w:ascii="Arial" w:hAnsi="Arial" w:cs="Arial"/>
          <w:lang w:val="en-US"/>
        </w:rPr>
      </w:pPr>
    </w:p>
    <w:p w14:paraId="591512A6"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Cevher-Kalburan, N. and Ivrendi, A., (2016). Risky play and parenting styles. </w:t>
      </w:r>
      <w:r>
        <w:rPr>
          <w:rFonts w:ascii="Arial" w:hAnsi="Arial" w:cs="Arial"/>
          <w:i/>
          <w:iCs/>
          <w:color w:val="222222"/>
          <w:lang w:val="en-US"/>
        </w:rPr>
        <w:t>Journal of Child and Family Studies</w:t>
      </w:r>
      <w:r>
        <w:rPr>
          <w:rFonts w:ascii="Arial" w:hAnsi="Arial" w:cs="Arial"/>
          <w:color w:val="222222"/>
          <w:lang w:val="en-US"/>
        </w:rPr>
        <w:t>, </w:t>
      </w:r>
      <w:r>
        <w:rPr>
          <w:rFonts w:ascii="Arial" w:hAnsi="Arial" w:cs="Arial"/>
          <w:i/>
          <w:iCs/>
          <w:color w:val="222222"/>
          <w:lang w:val="en-US"/>
        </w:rPr>
        <w:t>25</w:t>
      </w:r>
      <w:r>
        <w:rPr>
          <w:rFonts w:ascii="Arial" w:hAnsi="Arial" w:cs="Arial"/>
          <w:color w:val="222222"/>
          <w:lang w:val="en-US"/>
        </w:rPr>
        <w:t>(2), pp.355-366.</w:t>
      </w:r>
    </w:p>
    <w:p w14:paraId="187949D7" w14:textId="77777777" w:rsidR="001D6393" w:rsidRDefault="001D6393" w:rsidP="001D6393">
      <w:pPr>
        <w:autoSpaceDE w:val="0"/>
        <w:autoSpaceDN w:val="0"/>
        <w:adjustRightInd w:val="0"/>
        <w:ind w:left="360"/>
        <w:jc w:val="both"/>
        <w:rPr>
          <w:rFonts w:ascii="Arial" w:hAnsi="Arial" w:cs="Arial"/>
          <w:color w:val="222222"/>
          <w:lang w:val="en-US"/>
        </w:rPr>
      </w:pPr>
    </w:p>
    <w:p w14:paraId="0012874A"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lastRenderedPageBreak/>
        <w:t>Charissi, A., (2020). The educational autobiography as a critical reflection tool towards personal and professional development of pre-service early years practitioners. </w:t>
      </w:r>
      <w:r>
        <w:rPr>
          <w:rFonts w:ascii="Arial" w:hAnsi="Arial" w:cs="Arial"/>
          <w:i/>
          <w:iCs/>
          <w:color w:val="222222"/>
          <w:lang w:val="en-US"/>
        </w:rPr>
        <w:t>European Journal of Education Studies</w:t>
      </w:r>
      <w:r>
        <w:rPr>
          <w:rFonts w:ascii="Arial" w:hAnsi="Arial" w:cs="Arial"/>
          <w:color w:val="222222"/>
          <w:lang w:val="en-US"/>
        </w:rPr>
        <w:t>.</w:t>
      </w:r>
    </w:p>
    <w:p w14:paraId="61DCCE9D" w14:textId="77777777" w:rsidR="001D6393" w:rsidRDefault="001D6393" w:rsidP="001D6393">
      <w:pPr>
        <w:autoSpaceDE w:val="0"/>
        <w:autoSpaceDN w:val="0"/>
        <w:adjustRightInd w:val="0"/>
        <w:ind w:left="360"/>
        <w:jc w:val="both"/>
        <w:rPr>
          <w:rFonts w:ascii="Arial" w:hAnsi="Arial" w:cs="Arial"/>
          <w:color w:val="222222"/>
          <w:lang w:val="en-US"/>
        </w:rPr>
      </w:pPr>
    </w:p>
    <w:p w14:paraId="6EEF47BB"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Cheeseman, S. and Torr, J., (2009). From ideology to productivity: Reforming early childhood education and care in Australia. </w:t>
      </w:r>
      <w:r>
        <w:rPr>
          <w:rFonts w:ascii="Arial" w:hAnsi="Arial" w:cs="Arial"/>
          <w:i/>
          <w:iCs/>
          <w:color w:val="222222"/>
          <w:lang w:val="en-US"/>
        </w:rPr>
        <w:t>International Journal of Child Care and Education Policy</w:t>
      </w:r>
      <w:r>
        <w:rPr>
          <w:rFonts w:ascii="Arial" w:hAnsi="Arial" w:cs="Arial"/>
          <w:color w:val="222222"/>
          <w:lang w:val="en-US"/>
        </w:rPr>
        <w:t>, </w:t>
      </w:r>
      <w:r>
        <w:rPr>
          <w:rFonts w:ascii="Arial" w:hAnsi="Arial" w:cs="Arial"/>
          <w:i/>
          <w:iCs/>
          <w:color w:val="222222"/>
          <w:lang w:val="en-US"/>
        </w:rPr>
        <w:t>3</w:t>
      </w:r>
      <w:r>
        <w:rPr>
          <w:rFonts w:ascii="Arial" w:hAnsi="Arial" w:cs="Arial"/>
          <w:color w:val="222222"/>
          <w:lang w:val="en-US"/>
        </w:rPr>
        <w:t>(1), pp.61-74.</w:t>
      </w:r>
    </w:p>
    <w:p w14:paraId="6C9FD195" w14:textId="77777777" w:rsidR="001D6393" w:rsidRDefault="001D6393" w:rsidP="001D6393">
      <w:pPr>
        <w:autoSpaceDE w:val="0"/>
        <w:autoSpaceDN w:val="0"/>
        <w:adjustRightInd w:val="0"/>
        <w:ind w:left="360"/>
        <w:jc w:val="both"/>
        <w:rPr>
          <w:rFonts w:ascii="Arial" w:hAnsi="Arial" w:cs="Arial"/>
          <w:color w:val="222222"/>
          <w:lang w:val="en-US"/>
        </w:rPr>
      </w:pPr>
    </w:p>
    <w:p w14:paraId="4A383CAF"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Collopy, R., (2003). Curriculum materials as a professional development tool: How a mathematics textbook affected two teachers' learning. </w:t>
      </w:r>
      <w:r>
        <w:rPr>
          <w:rFonts w:ascii="Arial" w:hAnsi="Arial" w:cs="Arial"/>
          <w:i/>
          <w:iCs/>
          <w:color w:val="222222"/>
          <w:lang w:val="en-US"/>
        </w:rPr>
        <w:t>The elementary school journal</w:t>
      </w:r>
      <w:r>
        <w:rPr>
          <w:rFonts w:ascii="Arial" w:hAnsi="Arial" w:cs="Arial"/>
          <w:color w:val="222222"/>
          <w:lang w:val="en-US"/>
        </w:rPr>
        <w:t>, </w:t>
      </w:r>
      <w:r>
        <w:rPr>
          <w:rFonts w:ascii="Arial" w:hAnsi="Arial" w:cs="Arial"/>
          <w:i/>
          <w:iCs/>
          <w:color w:val="222222"/>
          <w:lang w:val="en-US"/>
        </w:rPr>
        <w:t>103</w:t>
      </w:r>
      <w:r>
        <w:rPr>
          <w:rFonts w:ascii="Arial" w:hAnsi="Arial" w:cs="Arial"/>
          <w:color w:val="222222"/>
          <w:lang w:val="en-US"/>
        </w:rPr>
        <w:t>(3), pp.287-311.</w:t>
      </w:r>
    </w:p>
    <w:p w14:paraId="6A7CF3A4" w14:textId="77777777" w:rsidR="001D6393" w:rsidRDefault="001D6393" w:rsidP="001D6393">
      <w:pPr>
        <w:autoSpaceDE w:val="0"/>
        <w:autoSpaceDN w:val="0"/>
        <w:adjustRightInd w:val="0"/>
        <w:ind w:left="360"/>
        <w:jc w:val="both"/>
        <w:rPr>
          <w:rFonts w:ascii="Arial" w:hAnsi="Arial" w:cs="Arial"/>
          <w:color w:val="222222"/>
          <w:lang w:val="en-US"/>
        </w:rPr>
      </w:pPr>
    </w:p>
    <w:p w14:paraId="569BD443" w14:textId="77777777" w:rsidR="001D6393" w:rsidRDefault="001D6393" w:rsidP="001D6393">
      <w:pPr>
        <w:autoSpaceDE w:val="0"/>
        <w:autoSpaceDN w:val="0"/>
        <w:adjustRightInd w:val="0"/>
        <w:ind w:left="360"/>
        <w:jc w:val="both"/>
        <w:rPr>
          <w:rFonts w:ascii="Arial" w:hAnsi="Arial" w:cs="Arial"/>
          <w:lang w:val="en-US"/>
        </w:rPr>
      </w:pPr>
      <w:r>
        <w:rPr>
          <w:rFonts w:ascii="Arial" w:hAnsi="Arial" w:cs="Arial"/>
          <w:lang w:val="en-US"/>
        </w:rPr>
        <w:t>Croner-i (2019) Supporting Risky Play. Available at https://app.croneri.co.uk/feature-articles/supporting-risky-play. (Accessed: 20/04/2022).</w:t>
      </w:r>
    </w:p>
    <w:p w14:paraId="332AE795" w14:textId="77777777" w:rsidR="001D6393" w:rsidRDefault="001D6393" w:rsidP="001D6393">
      <w:pPr>
        <w:autoSpaceDE w:val="0"/>
        <w:autoSpaceDN w:val="0"/>
        <w:adjustRightInd w:val="0"/>
        <w:ind w:left="360"/>
        <w:jc w:val="both"/>
        <w:rPr>
          <w:rFonts w:ascii="Arial" w:hAnsi="Arial" w:cs="Arial"/>
          <w:lang w:val="en-US"/>
        </w:rPr>
      </w:pPr>
    </w:p>
    <w:p w14:paraId="1002FF6C" w14:textId="77777777" w:rsidR="001D6393" w:rsidRDefault="001D6393" w:rsidP="001D6393">
      <w:pPr>
        <w:autoSpaceDE w:val="0"/>
        <w:autoSpaceDN w:val="0"/>
        <w:adjustRightInd w:val="0"/>
        <w:ind w:left="360"/>
        <w:jc w:val="both"/>
        <w:rPr>
          <w:rFonts w:ascii="Arial" w:hAnsi="Arial" w:cs="Arial"/>
          <w:lang w:val="en-US"/>
        </w:rPr>
      </w:pPr>
      <w:r>
        <w:rPr>
          <w:rFonts w:ascii="Arial" w:hAnsi="Arial" w:cs="Arial"/>
          <w:lang w:val="en-US"/>
        </w:rPr>
        <w:t>CVO, (2022). 7 Main Challenges for Early Childhood Education Teachers. Available at: https://www.collegevaluesonline.com/challenges-facing-early-childhood-education-teachers/ (Accessed: 20/04/2022).</w:t>
      </w:r>
    </w:p>
    <w:p w14:paraId="5E0D7FDD" w14:textId="77777777" w:rsidR="001D6393" w:rsidRDefault="001D6393" w:rsidP="001D6393">
      <w:pPr>
        <w:autoSpaceDE w:val="0"/>
        <w:autoSpaceDN w:val="0"/>
        <w:adjustRightInd w:val="0"/>
        <w:ind w:left="360"/>
        <w:jc w:val="both"/>
        <w:rPr>
          <w:rFonts w:ascii="Arial" w:hAnsi="Arial" w:cs="Arial"/>
          <w:lang w:val="en-US"/>
        </w:rPr>
      </w:pPr>
    </w:p>
    <w:p w14:paraId="46EF32E0"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Darling-Hammond, L., (2010). Evaluating teacher effectiveness: How teacher performance assessments can measure and improve teaching. </w:t>
      </w:r>
      <w:r>
        <w:rPr>
          <w:rFonts w:ascii="Arial" w:hAnsi="Arial" w:cs="Arial"/>
          <w:i/>
          <w:iCs/>
          <w:color w:val="222222"/>
          <w:lang w:val="en-US"/>
        </w:rPr>
        <w:t>Center for American Progress</w:t>
      </w:r>
      <w:r>
        <w:rPr>
          <w:rFonts w:ascii="Arial" w:hAnsi="Arial" w:cs="Arial"/>
          <w:color w:val="222222"/>
          <w:lang w:val="en-US"/>
        </w:rPr>
        <w:t>.</w:t>
      </w:r>
    </w:p>
    <w:p w14:paraId="617FA34C" w14:textId="77777777" w:rsidR="001D6393" w:rsidRDefault="001D6393" w:rsidP="001D6393">
      <w:pPr>
        <w:autoSpaceDE w:val="0"/>
        <w:autoSpaceDN w:val="0"/>
        <w:adjustRightInd w:val="0"/>
        <w:ind w:left="360"/>
        <w:jc w:val="both"/>
        <w:rPr>
          <w:rFonts w:ascii="Arial" w:hAnsi="Arial" w:cs="Arial"/>
          <w:color w:val="222222"/>
          <w:lang w:val="en-US"/>
        </w:rPr>
      </w:pPr>
    </w:p>
    <w:p w14:paraId="78A89856"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Daro, D. and Dodge, K.A., (2009). Creating community responsibility for child protection: Possibilities and challenges. </w:t>
      </w:r>
      <w:r>
        <w:rPr>
          <w:rFonts w:ascii="Arial" w:hAnsi="Arial" w:cs="Arial"/>
          <w:i/>
          <w:iCs/>
          <w:color w:val="222222"/>
          <w:lang w:val="en-US"/>
        </w:rPr>
        <w:t>The Future of Children/Center for the Future of Children, The David and Lucile Packard Foundation</w:t>
      </w:r>
      <w:r>
        <w:rPr>
          <w:rFonts w:ascii="Arial" w:hAnsi="Arial" w:cs="Arial"/>
          <w:color w:val="222222"/>
          <w:lang w:val="en-US"/>
        </w:rPr>
        <w:t>, </w:t>
      </w:r>
      <w:r>
        <w:rPr>
          <w:rFonts w:ascii="Arial" w:hAnsi="Arial" w:cs="Arial"/>
          <w:i/>
          <w:iCs/>
          <w:color w:val="222222"/>
          <w:lang w:val="en-US"/>
        </w:rPr>
        <w:t>19</w:t>
      </w:r>
      <w:r>
        <w:rPr>
          <w:rFonts w:ascii="Arial" w:hAnsi="Arial" w:cs="Arial"/>
          <w:color w:val="222222"/>
          <w:lang w:val="en-US"/>
        </w:rPr>
        <w:t>(2), p.67.</w:t>
      </w:r>
    </w:p>
    <w:p w14:paraId="76E91380" w14:textId="77777777" w:rsidR="001D6393" w:rsidRDefault="001D6393" w:rsidP="001D6393">
      <w:pPr>
        <w:autoSpaceDE w:val="0"/>
        <w:autoSpaceDN w:val="0"/>
        <w:adjustRightInd w:val="0"/>
        <w:ind w:left="360"/>
        <w:jc w:val="both"/>
        <w:rPr>
          <w:rFonts w:ascii="Arial" w:hAnsi="Arial" w:cs="Arial"/>
          <w:color w:val="222222"/>
          <w:lang w:val="en-US"/>
        </w:rPr>
      </w:pPr>
    </w:p>
    <w:p w14:paraId="669E03DE"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DCSF, (2008(. Statutory framework for the early years foundation stage.</w:t>
      </w:r>
    </w:p>
    <w:p w14:paraId="57074AEA" w14:textId="77777777" w:rsidR="001D6393" w:rsidRDefault="001D6393" w:rsidP="001D6393">
      <w:pPr>
        <w:autoSpaceDE w:val="0"/>
        <w:autoSpaceDN w:val="0"/>
        <w:adjustRightInd w:val="0"/>
        <w:ind w:left="360"/>
        <w:jc w:val="both"/>
        <w:rPr>
          <w:rFonts w:ascii="Arial" w:hAnsi="Arial" w:cs="Arial"/>
          <w:color w:val="222222"/>
          <w:lang w:val="en-US"/>
        </w:rPr>
      </w:pPr>
    </w:p>
    <w:p w14:paraId="4DD1E918"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Dzhurylo, A., (2021). Guiding Principles for Policy Development on Quality Assurance in School Education: European Experience for Ukrainian Success. </w:t>
      </w:r>
      <w:r>
        <w:rPr>
          <w:rFonts w:ascii="Arial" w:hAnsi="Arial" w:cs="Arial"/>
          <w:i/>
          <w:iCs/>
          <w:color w:val="222222"/>
          <w:lang w:val="en-US"/>
        </w:rPr>
        <w:t>Ukrainian Educational Journal</w:t>
      </w:r>
      <w:r>
        <w:rPr>
          <w:rFonts w:ascii="Arial" w:hAnsi="Arial" w:cs="Arial"/>
          <w:color w:val="222222"/>
          <w:lang w:val="en-US"/>
        </w:rPr>
        <w:t>, (3), pp.13-23.</w:t>
      </w:r>
    </w:p>
    <w:p w14:paraId="08E821C0" w14:textId="77777777" w:rsidR="001D6393" w:rsidRDefault="001D6393" w:rsidP="001D6393">
      <w:pPr>
        <w:autoSpaceDE w:val="0"/>
        <w:autoSpaceDN w:val="0"/>
        <w:adjustRightInd w:val="0"/>
        <w:ind w:left="360"/>
        <w:jc w:val="both"/>
        <w:rPr>
          <w:rFonts w:ascii="Arial" w:hAnsi="Arial" w:cs="Arial"/>
          <w:color w:val="222222"/>
          <w:lang w:val="en-US"/>
        </w:rPr>
      </w:pPr>
    </w:p>
    <w:p w14:paraId="4C638908" w14:textId="77777777" w:rsidR="001D6393" w:rsidRDefault="001D6393" w:rsidP="001D6393">
      <w:pPr>
        <w:autoSpaceDE w:val="0"/>
        <w:autoSpaceDN w:val="0"/>
        <w:adjustRightInd w:val="0"/>
        <w:ind w:left="360"/>
        <w:jc w:val="both"/>
        <w:rPr>
          <w:rFonts w:ascii="Arial" w:hAnsi="Arial" w:cs="Arial"/>
          <w:lang w:val="en-US"/>
        </w:rPr>
      </w:pPr>
      <w:r>
        <w:rPr>
          <w:rFonts w:ascii="Arial" w:hAnsi="Arial" w:cs="Arial"/>
          <w:lang w:val="en-US"/>
        </w:rPr>
        <w:t>Early Education (2022).  Overview – Characteristics of Effective Learning, and Areas of Learning and Development. Available at: https://birthto5matters.org.uk/overview-characteristics-of-effective-learning-and-areas-of-learning-and-development/ (Accessed 20/04/2022).</w:t>
      </w:r>
    </w:p>
    <w:p w14:paraId="218CE049" w14:textId="77777777" w:rsidR="001D6393" w:rsidRDefault="001D6393" w:rsidP="001D6393">
      <w:pPr>
        <w:autoSpaceDE w:val="0"/>
        <w:autoSpaceDN w:val="0"/>
        <w:adjustRightInd w:val="0"/>
        <w:ind w:left="360"/>
        <w:jc w:val="both"/>
        <w:rPr>
          <w:rFonts w:ascii="Arial" w:hAnsi="Arial" w:cs="Arial"/>
          <w:lang w:val="en-US"/>
        </w:rPr>
      </w:pPr>
    </w:p>
    <w:p w14:paraId="348504F8"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Ehren, M.C., Altrichter, H., McNamara, G. and O’Hara, J., (2013). Impact of school inspections on improvement of schools—describing assumptions on causal mechanisms in six European countries. </w:t>
      </w:r>
      <w:r>
        <w:rPr>
          <w:rFonts w:ascii="Arial" w:hAnsi="Arial" w:cs="Arial"/>
          <w:i/>
          <w:iCs/>
          <w:color w:val="222222"/>
          <w:lang w:val="en-US"/>
        </w:rPr>
        <w:t>Educational Assessment, Evaluation and Accountability</w:t>
      </w:r>
      <w:r>
        <w:rPr>
          <w:rFonts w:ascii="Arial" w:hAnsi="Arial" w:cs="Arial"/>
          <w:color w:val="222222"/>
          <w:lang w:val="en-US"/>
        </w:rPr>
        <w:t>, </w:t>
      </w:r>
      <w:r>
        <w:rPr>
          <w:rFonts w:ascii="Arial" w:hAnsi="Arial" w:cs="Arial"/>
          <w:i/>
          <w:iCs/>
          <w:color w:val="222222"/>
          <w:lang w:val="en-US"/>
        </w:rPr>
        <w:t>25</w:t>
      </w:r>
      <w:r>
        <w:rPr>
          <w:rFonts w:ascii="Arial" w:hAnsi="Arial" w:cs="Arial"/>
          <w:color w:val="222222"/>
          <w:lang w:val="en-US"/>
        </w:rPr>
        <w:t>(1), pp.3-43.</w:t>
      </w:r>
    </w:p>
    <w:p w14:paraId="6E1C7DA0" w14:textId="77777777" w:rsidR="001D6393" w:rsidRDefault="001D6393" w:rsidP="001D6393">
      <w:pPr>
        <w:autoSpaceDE w:val="0"/>
        <w:autoSpaceDN w:val="0"/>
        <w:adjustRightInd w:val="0"/>
        <w:ind w:left="360"/>
        <w:jc w:val="both"/>
        <w:rPr>
          <w:rFonts w:ascii="Arial" w:hAnsi="Arial" w:cs="Arial"/>
          <w:color w:val="222222"/>
          <w:lang w:val="en-US"/>
        </w:rPr>
      </w:pPr>
    </w:p>
    <w:p w14:paraId="560C53AB"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Elias, M.J. and Weissberg, R.P., (2000). Primary prevention: Educational approaches to enhance social and emotional learning. </w:t>
      </w:r>
      <w:r>
        <w:rPr>
          <w:rFonts w:ascii="Arial" w:hAnsi="Arial" w:cs="Arial"/>
          <w:i/>
          <w:iCs/>
          <w:color w:val="222222"/>
          <w:lang w:val="en-US"/>
        </w:rPr>
        <w:t>Journal of School Health</w:t>
      </w:r>
      <w:r>
        <w:rPr>
          <w:rFonts w:ascii="Arial" w:hAnsi="Arial" w:cs="Arial"/>
          <w:color w:val="222222"/>
          <w:lang w:val="en-US"/>
        </w:rPr>
        <w:t>, </w:t>
      </w:r>
      <w:r>
        <w:rPr>
          <w:rFonts w:ascii="Arial" w:hAnsi="Arial" w:cs="Arial"/>
          <w:i/>
          <w:iCs/>
          <w:color w:val="222222"/>
          <w:lang w:val="en-US"/>
        </w:rPr>
        <w:t>70</w:t>
      </w:r>
      <w:r>
        <w:rPr>
          <w:rFonts w:ascii="Arial" w:hAnsi="Arial" w:cs="Arial"/>
          <w:color w:val="222222"/>
          <w:lang w:val="en-US"/>
        </w:rPr>
        <w:t>(5), pp.186-190.</w:t>
      </w:r>
    </w:p>
    <w:p w14:paraId="31F29A5E" w14:textId="77777777" w:rsidR="001D6393" w:rsidRDefault="001D6393" w:rsidP="001D6393">
      <w:pPr>
        <w:autoSpaceDE w:val="0"/>
        <w:autoSpaceDN w:val="0"/>
        <w:adjustRightInd w:val="0"/>
        <w:ind w:left="360"/>
        <w:jc w:val="both"/>
        <w:rPr>
          <w:rFonts w:ascii="Arial" w:hAnsi="Arial" w:cs="Arial"/>
          <w:color w:val="222222"/>
          <w:lang w:val="en-US"/>
        </w:rPr>
      </w:pPr>
    </w:p>
    <w:p w14:paraId="4318DA6B"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Engle, P.L. and Black, M.M., (2008). The effect of poverty on child development and educational outcomes. </w:t>
      </w:r>
      <w:r>
        <w:rPr>
          <w:rFonts w:ascii="Arial" w:hAnsi="Arial" w:cs="Arial"/>
          <w:i/>
          <w:iCs/>
          <w:color w:val="222222"/>
          <w:lang w:val="en-US"/>
        </w:rPr>
        <w:t>Annals of the New York Academy of Sciences</w:t>
      </w:r>
      <w:r>
        <w:rPr>
          <w:rFonts w:ascii="Arial" w:hAnsi="Arial" w:cs="Arial"/>
          <w:color w:val="222222"/>
          <w:lang w:val="en-US"/>
        </w:rPr>
        <w:t>, </w:t>
      </w:r>
      <w:r>
        <w:rPr>
          <w:rFonts w:ascii="Arial" w:hAnsi="Arial" w:cs="Arial"/>
          <w:i/>
          <w:iCs/>
          <w:color w:val="222222"/>
          <w:lang w:val="en-US"/>
        </w:rPr>
        <w:t>1136</w:t>
      </w:r>
      <w:r>
        <w:rPr>
          <w:rFonts w:ascii="Arial" w:hAnsi="Arial" w:cs="Arial"/>
          <w:color w:val="222222"/>
          <w:lang w:val="en-US"/>
        </w:rPr>
        <w:t>(1), pp.243-256.</w:t>
      </w:r>
    </w:p>
    <w:p w14:paraId="2B8025A5" w14:textId="77777777" w:rsidR="001D6393" w:rsidRDefault="001D6393" w:rsidP="001D6393">
      <w:pPr>
        <w:autoSpaceDE w:val="0"/>
        <w:autoSpaceDN w:val="0"/>
        <w:adjustRightInd w:val="0"/>
        <w:ind w:left="360"/>
        <w:jc w:val="both"/>
        <w:rPr>
          <w:rFonts w:ascii="Arial" w:hAnsi="Arial" w:cs="Arial"/>
          <w:color w:val="222222"/>
          <w:lang w:val="en-US"/>
        </w:rPr>
      </w:pPr>
    </w:p>
    <w:p w14:paraId="6E30FE8F"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Epstein, J.L., (2010). School/family/community partnerships: Caring for the children we share. </w:t>
      </w:r>
      <w:r>
        <w:rPr>
          <w:rFonts w:ascii="Arial" w:hAnsi="Arial" w:cs="Arial"/>
          <w:i/>
          <w:iCs/>
          <w:color w:val="222222"/>
          <w:lang w:val="en-US"/>
        </w:rPr>
        <w:t>Phi delta kappan</w:t>
      </w:r>
      <w:r>
        <w:rPr>
          <w:rFonts w:ascii="Arial" w:hAnsi="Arial" w:cs="Arial"/>
          <w:color w:val="222222"/>
          <w:lang w:val="en-US"/>
        </w:rPr>
        <w:t>, </w:t>
      </w:r>
      <w:r>
        <w:rPr>
          <w:rFonts w:ascii="Arial" w:hAnsi="Arial" w:cs="Arial"/>
          <w:i/>
          <w:iCs/>
          <w:color w:val="222222"/>
          <w:lang w:val="en-US"/>
        </w:rPr>
        <w:t>92</w:t>
      </w:r>
      <w:r>
        <w:rPr>
          <w:rFonts w:ascii="Arial" w:hAnsi="Arial" w:cs="Arial"/>
          <w:color w:val="222222"/>
          <w:lang w:val="en-US"/>
        </w:rPr>
        <w:t>(3), pp.81-96.</w:t>
      </w:r>
    </w:p>
    <w:p w14:paraId="68A2A90F" w14:textId="77777777" w:rsidR="001D6393" w:rsidRDefault="001D6393" w:rsidP="001D6393">
      <w:pPr>
        <w:autoSpaceDE w:val="0"/>
        <w:autoSpaceDN w:val="0"/>
        <w:adjustRightInd w:val="0"/>
        <w:ind w:left="360"/>
        <w:jc w:val="both"/>
        <w:rPr>
          <w:rFonts w:ascii="Arial" w:hAnsi="Arial" w:cs="Arial"/>
          <w:color w:val="222222"/>
          <w:lang w:val="en-US"/>
        </w:rPr>
      </w:pPr>
    </w:p>
    <w:p w14:paraId="433CA10E"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Exley, S. and Ball, S.J., (2011). Something old, something new... understanding Conservative education policy. </w:t>
      </w:r>
      <w:r>
        <w:rPr>
          <w:rFonts w:ascii="Arial" w:hAnsi="Arial" w:cs="Arial"/>
          <w:i/>
          <w:iCs/>
          <w:color w:val="222222"/>
          <w:lang w:val="en-US"/>
        </w:rPr>
        <w:t>The conservative party and social policy</w:t>
      </w:r>
      <w:r>
        <w:rPr>
          <w:rFonts w:ascii="Arial" w:hAnsi="Arial" w:cs="Arial"/>
          <w:color w:val="222222"/>
          <w:lang w:val="en-US"/>
        </w:rPr>
        <w:t>, pp.97-118.</w:t>
      </w:r>
    </w:p>
    <w:p w14:paraId="07FB728D" w14:textId="77777777" w:rsidR="001D6393" w:rsidRDefault="001D6393" w:rsidP="001D6393">
      <w:pPr>
        <w:autoSpaceDE w:val="0"/>
        <w:autoSpaceDN w:val="0"/>
        <w:adjustRightInd w:val="0"/>
        <w:ind w:left="360"/>
        <w:jc w:val="both"/>
        <w:rPr>
          <w:rFonts w:ascii="Arial" w:hAnsi="Arial" w:cs="Arial"/>
          <w:color w:val="222222"/>
          <w:lang w:val="en-US"/>
        </w:rPr>
      </w:pPr>
    </w:p>
    <w:p w14:paraId="5466443E"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Fenech, M., Robertson, G., Sumsion, J. and Goodfellow, J., (2007). Working by the rules: early childhood professionals' perceptions of regulatory requirements. </w:t>
      </w:r>
      <w:r>
        <w:rPr>
          <w:rFonts w:ascii="Arial" w:hAnsi="Arial" w:cs="Arial"/>
          <w:i/>
          <w:iCs/>
          <w:color w:val="222222"/>
          <w:lang w:val="en-US"/>
        </w:rPr>
        <w:t>Early Child Development and Care</w:t>
      </w:r>
      <w:r>
        <w:rPr>
          <w:rFonts w:ascii="Arial" w:hAnsi="Arial" w:cs="Arial"/>
          <w:color w:val="222222"/>
          <w:lang w:val="en-US"/>
        </w:rPr>
        <w:t>, </w:t>
      </w:r>
      <w:r>
        <w:rPr>
          <w:rFonts w:ascii="Arial" w:hAnsi="Arial" w:cs="Arial"/>
          <w:i/>
          <w:iCs/>
          <w:color w:val="222222"/>
          <w:lang w:val="en-US"/>
        </w:rPr>
        <w:t>177</w:t>
      </w:r>
      <w:r>
        <w:rPr>
          <w:rFonts w:ascii="Arial" w:hAnsi="Arial" w:cs="Arial"/>
          <w:color w:val="222222"/>
          <w:lang w:val="en-US"/>
        </w:rPr>
        <w:t>(1), pp.93-106.</w:t>
      </w:r>
    </w:p>
    <w:p w14:paraId="7254E120" w14:textId="77777777" w:rsidR="001D6393" w:rsidRDefault="001D6393" w:rsidP="001D6393">
      <w:pPr>
        <w:autoSpaceDE w:val="0"/>
        <w:autoSpaceDN w:val="0"/>
        <w:adjustRightInd w:val="0"/>
        <w:ind w:left="360"/>
        <w:jc w:val="both"/>
        <w:rPr>
          <w:rFonts w:ascii="Arial" w:hAnsi="Arial" w:cs="Arial"/>
          <w:color w:val="222222"/>
          <w:lang w:val="en-US"/>
        </w:rPr>
      </w:pPr>
    </w:p>
    <w:p w14:paraId="3D4D8A54"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Field, J., (2000). </w:t>
      </w:r>
      <w:r>
        <w:rPr>
          <w:rFonts w:ascii="Arial" w:hAnsi="Arial" w:cs="Arial"/>
          <w:i/>
          <w:iCs/>
          <w:color w:val="222222"/>
          <w:lang w:val="en-US"/>
        </w:rPr>
        <w:t>Lifelong learning and the new educational order</w:t>
      </w:r>
      <w:r>
        <w:rPr>
          <w:rFonts w:ascii="Arial" w:hAnsi="Arial" w:cs="Arial"/>
          <w:color w:val="222222"/>
          <w:lang w:val="en-US"/>
        </w:rPr>
        <w:t>. Trentham Books, Ltd., Westview House, 734 London Road, Stoke on Trent, ST4 5NP, United Kingdom UK (15.99 British pounds; 25 Euros).</w:t>
      </w:r>
    </w:p>
    <w:p w14:paraId="62C07C2D" w14:textId="77777777" w:rsidR="001D6393" w:rsidRDefault="001D6393" w:rsidP="001D6393">
      <w:pPr>
        <w:autoSpaceDE w:val="0"/>
        <w:autoSpaceDN w:val="0"/>
        <w:adjustRightInd w:val="0"/>
        <w:ind w:left="360"/>
        <w:jc w:val="both"/>
        <w:rPr>
          <w:rFonts w:ascii="Arial" w:hAnsi="Arial" w:cs="Arial"/>
          <w:color w:val="222222"/>
          <w:lang w:val="en-US"/>
        </w:rPr>
      </w:pPr>
    </w:p>
    <w:p w14:paraId="0D68A504"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Fisher, J., (2010). </w:t>
      </w:r>
      <w:r>
        <w:rPr>
          <w:rFonts w:ascii="Arial" w:hAnsi="Arial" w:cs="Arial"/>
          <w:i/>
          <w:iCs/>
          <w:color w:val="222222"/>
          <w:lang w:val="en-US"/>
        </w:rPr>
        <w:t>Moving on to key stage 1: improving transition from the early years foundation stage</w:t>
      </w:r>
      <w:r>
        <w:rPr>
          <w:rFonts w:ascii="Arial" w:hAnsi="Arial" w:cs="Arial"/>
          <w:color w:val="222222"/>
          <w:lang w:val="en-US"/>
        </w:rPr>
        <w:t>. McGraw-Hill Education (UK).</w:t>
      </w:r>
    </w:p>
    <w:p w14:paraId="028F35B1" w14:textId="77777777" w:rsidR="001D6393" w:rsidRDefault="001D6393" w:rsidP="001D6393">
      <w:pPr>
        <w:autoSpaceDE w:val="0"/>
        <w:autoSpaceDN w:val="0"/>
        <w:adjustRightInd w:val="0"/>
        <w:ind w:left="360"/>
        <w:jc w:val="both"/>
        <w:rPr>
          <w:rFonts w:ascii="Arial" w:hAnsi="Arial" w:cs="Arial"/>
          <w:color w:val="222222"/>
          <w:lang w:val="en-US"/>
        </w:rPr>
      </w:pPr>
    </w:p>
    <w:p w14:paraId="4B0B735C"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Frick, P.J. and White, S.F., (2008). Research review: The importance of callous</w:t>
      </w:r>
      <w:r>
        <w:rPr>
          <w:rFonts w:ascii="Cambria Math" w:hAnsi="Cambria Math" w:cs="Cambria Math"/>
          <w:color w:val="222222"/>
          <w:lang w:val="en-US"/>
        </w:rPr>
        <w:t>‐</w:t>
      </w:r>
      <w:r>
        <w:rPr>
          <w:rFonts w:ascii="Arial" w:hAnsi="Arial" w:cs="Arial"/>
          <w:color w:val="222222"/>
          <w:lang w:val="en-US"/>
        </w:rPr>
        <w:t>unemotional traits for developmental models of aggressive and antisocial behavior. </w:t>
      </w:r>
      <w:r>
        <w:rPr>
          <w:rFonts w:ascii="Arial" w:hAnsi="Arial" w:cs="Arial"/>
          <w:i/>
          <w:iCs/>
          <w:color w:val="222222"/>
          <w:lang w:val="en-US"/>
        </w:rPr>
        <w:t>Journal of child psychology and psychiatry</w:t>
      </w:r>
      <w:r>
        <w:rPr>
          <w:rFonts w:ascii="Arial" w:hAnsi="Arial" w:cs="Arial"/>
          <w:color w:val="222222"/>
          <w:lang w:val="en-US"/>
        </w:rPr>
        <w:t>, </w:t>
      </w:r>
      <w:r>
        <w:rPr>
          <w:rFonts w:ascii="Arial" w:hAnsi="Arial" w:cs="Arial"/>
          <w:i/>
          <w:iCs/>
          <w:color w:val="222222"/>
          <w:lang w:val="en-US"/>
        </w:rPr>
        <w:t>49</w:t>
      </w:r>
      <w:r>
        <w:rPr>
          <w:rFonts w:ascii="Arial" w:hAnsi="Arial" w:cs="Arial"/>
          <w:color w:val="222222"/>
          <w:lang w:val="en-US"/>
        </w:rPr>
        <w:t xml:space="preserve">(4), </w:t>
      </w:r>
    </w:p>
    <w:p w14:paraId="115562C6"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pp.359-375.</w:t>
      </w:r>
    </w:p>
    <w:p w14:paraId="13BB01F3" w14:textId="77777777" w:rsidR="001D6393" w:rsidRDefault="001D6393" w:rsidP="001D6393">
      <w:pPr>
        <w:autoSpaceDE w:val="0"/>
        <w:autoSpaceDN w:val="0"/>
        <w:adjustRightInd w:val="0"/>
        <w:ind w:left="360"/>
        <w:jc w:val="both"/>
        <w:rPr>
          <w:rFonts w:ascii="Arial" w:hAnsi="Arial" w:cs="Arial"/>
          <w:color w:val="222222"/>
          <w:lang w:val="en-US"/>
        </w:rPr>
      </w:pPr>
    </w:p>
    <w:p w14:paraId="08468DB7"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Fung, C.K.H. and Cheng, D.P.W., (2012). Consensus or dissensus? Stakeholders’ views on the role of play in learning. </w:t>
      </w:r>
      <w:r>
        <w:rPr>
          <w:rFonts w:ascii="Arial" w:hAnsi="Arial" w:cs="Arial"/>
          <w:i/>
          <w:iCs/>
          <w:color w:val="222222"/>
          <w:lang w:val="en-US"/>
        </w:rPr>
        <w:t>Early Years</w:t>
      </w:r>
      <w:r>
        <w:rPr>
          <w:rFonts w:ascii="Arial" w:hAnsi="Arial" w:cs="Arial"/>
          <w:color w:val="222222"/>
          <w:lang w:val="en-US"/>
        </w:rPr>
        <w:t>, </w:t>
      </w:r>
      <w:r>
        <w:rPr>
          <w:rFonts w:ascii="Arial" w:hAnsi="Arial" w:cs="Arial"/>
          <w:i/>
          <w:iCs/>
          <w:color w:val="222222"/>
          <w:lang w:val="en-US"/>
        </w:rPr>
        <w:t>32</w:t>
      </w:r>
      <w:r>
        <w:rPr>
          <w:rFonts w:ascii="Arial" w:hAnsi="Arial" w:cs="Arial"/>
          <w:color w:val="222222"/>
          <w:lang w:val="en-US"/>
        </w:rPr>
        <w:t>(1), pp.17-33.</w:t>
      </w:r>
    </w:p>
    <w:p w14:paraId="15B74F12" w14:textId="77777777" w:rsidR="001D6393" w:rsidRDefault="001D6393" w:rsidP="001D6393">
      <w:pPr>
        <w:autoSpaceDE w:val="0"/>
        <w:autoSpaceDN w:val="0"/>
        <w:adjustRightInd w:val="0"/>
        <w:ind w:left="360"/>
        <w:jc w:val="both"/>
        <w:rPr>
          <w:rFonts w:ascii="Arial" w:hAnsi="Arial" w:cs="Arial"/>
          <w:color w:val="222222"/>
          <w:lang w:val="en-US"/>
        </w:rPr>
      </w:pPr>
    </w:p>
    <w:p w14:paraId="346111BF"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Gaertner, H., Wurster, S. and Pant, H.A., (2014). The effect of school inspections on school improvement. </w:t>
      </w:r>
      <w:r>
        <w:rPr>
          <w:rFonts w:ascii="Arial" w:hAnsi="Arial" w:cs="Arial"/>
          <w:i/>
          <w:iCs/>
          <w:color w:val="222222"/>
          <w:lang w:val="en-US"/>
        </w:rPr>
        <w:t>School Effectiveness and School Improvement</w:t>
      </w:r>
      <w:r>
        <w:rPr>
          <w:rFonts w:ascii="Arial" w:hAnsi="Arial" w:cs="Arial"/>
          <w:color w:val="222222"/>
          <w:lang w:val="en-US"/>
        </w:rPr>
        <w:t>, </w:t>
      </w:r>
      <w:r>
        <w:rPr>
          <w:rFonts w:ascii="Arial" w:hAnsi="Arial" w:cs="Arial"/>
          <w:i/>
          <w:iCs/>
          <w:color w:val="222222"/>
          <w:lang w:val="en-US"/>
        </w:rPr>
        <w:t>25</w:t>
      </w:r>
      <w:r>
        <w:rPr>
          <w:rFonts w:ascii="Arial" w:hAnsi="Arial" w:cs="Arial"/>
          <w:color w:val="222222"/>
          <w:lang w:val="en-US"/>
        </w:rPr>
        <w:t>(4), pp.489-508.</w:t>
      </w:r>
    </w:p>
    <w:p w14:paraId="0AF2ACAC" w14:textId="77777777" w:rsidR="001D6393" w:rsidRDefault="001D6393" w:rsidP="001D6393">
      <w:pPr>
        <w:autoSpaceDE w:val="0"/>
        <w:autoSpaceDN w:val="0"/>
        <w:adjustRightInd w:val="0"/>
        <w:ind w:left="360"/>
        <w:jc w:val="both"/>
        <w:rPr>
          <w:rFonts w:ascii="Arial" w:hAnsi="Arial" w:cs="Arial"/>
          <w:color w:val="222222"/>
          <w:lang w:val="en-US"/>
        </w:rPr>
      </w:pPr>
    </w:p>
    <w:p w14:paraId="1AD7059F"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Garrick, R., Bath, C., Dunn, K., Maconochie, H., Willis, B. and Wolstenholme, C., (2010). Children's experiences of the early years foundation stage.</w:t>
      </w:r>
    </w:p>
    <w:p w14:paraId="45FF7503" w14:textId="77777777" w:rsidR="001D6393" w:rsidRDefault="001D6393" w:rsidP="001D6393">
      <w:pPr>
        <w:autoSpaceDE w:val="0"/>
        <w:autoSpaceDN w:val="0"/>
        <w:adjustRightInd w:val="0"/>
        <w:ind w:left="360"/>
        <w:jc w:val="both"/>
        <w:rPr>
          <w:rFonts w:ascii="Arial" w:hAnsi="Arial" w:cs="Arial"/>
          <w:color w:val="222222"/>
          <w:lang w:val="en-US"/>
        </w:rPr>
      </w:pPr>
    </w:p>
    <w:p w14:paraId="7438BC2B"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Greenspan, S.I., (2008). </w:t>
      </w:r>
      <w:r>
        <w:rPr>
          <w:rFonts w:ascii="Arial" w:hAnsi="Arial" w:cs="Arial"/>
          <w:i/>
          <w:iCs/>
          <w:color w:val="222222"/>
          <w:lang w:val="en-US"/>
        </w:rPr>
        <w:t>The clinical interview of the child</w:t>
      </w:r>
      <w:r>
        <w:rPr>
          <w:rFonts w:ascii="Arial" w:hAnsi="Arial" w:cs="Arial"/>
          <w:color w:val="222222"/>
          <w:lang w:val="en-US"/>
        </w:rPr>
        <w:t>. American Psychiatric Pub.</w:t>
      </w:r>
    </w:p>
    <w:p w14:paraId="3F97B3C9" w14:textId="77777777" w:rsidR="001D6393" w:rsidRDefault="001D6393" w:rsidP="001D6393">
      <w:pPr>
        <w:autoSpaceDE w:val="0"/>
        <w:autoSpaceDN w:val="0"/>
        <w:adjustRightInd w:val="0"/>
        <w:ind w:left="360"/>
        <w:jc w:val="both"/>
        <w:rPr>
          <w:rFonts w:ascii="Arial" w:hAnsi="Arial" w:cs="Arial"/>
          <w:color w:val="222222"/>
          <w:lang w:val="en-US"/>
        </w:rPr>
      </w:pPr>
    </w:p>
    <w:p w14:paraId="39D8EABB"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HM Government, (2006). Childcare Act 2006.</w:t>
      </w:r>
    </w:p>
    <w:p w14:paraId="51B1D110" w14:textId="77777777" w:rsidR="001D6393" w:rsidRDefault="001D6393" w:rsidP="001D6393">
      <w:pPr>
        <w:autoSpaceDE w:val="0"/>
        <w:autoSpaceDN w:val="0"/>
        <w:adjustRightInd w:val="0"/>
        <w:ind w:left="360"/>
        <w:jc w:val="both"/>
        <w:rPr>
          <w:rFonts w:ascii="Arial" w:hAnsi="Arial" w:cs="Arial"/>
          <w:color w:val="222222"/>
          <w:lang w:val="en-US"/>
        </w:rPr>
      </w:pPr>
    </w:p>
    <w:p w14:paraId="2DAE3771"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Kozleski, E.B., Yu, T., Satter, A.L., Francis, G.L. and Haines, S.J., (2015). A never ending journey: Inclusive education is a principle of practice, not an end game. </w:t>
      </w:r>
      <w:r>
        <w:rPr>
          <w:rFonts w:ascii="Arial" w:hAnsi="Arial" w:cs="Arial"/>
          <w:i/>
          <w:iCs/>
          <w:color w:val="222222"/>
          <w:lang w:val="en-US"/>
        </w:rPr>
        <w:t>Research and Practice for Persons with Severe Disabilities</w:t>
      </w:r>
      <w:r>
        <w:rPr>
          <w:rFonts w:ascii="Arial" w:hAnsi="Arial" w:cs="Arial"/>
          <w:color w:val="222222"/>
          <w:lang w:val="en-US"/>
        </w:rPr>
        <w:t>, </w:t>
      </w:r>
      <w:r>
        <w:rPr>
          <w:rFonts w:ascii="Arial" w:hAnsi="Arial" w:cs="Arial"/>
          <w:i/>
          <w:iCs/>
          <w:color w:val="222222"/>
          <w:lang w:val="en-US"/>
        </w:rPr>
        <w:t>40</w:t>
      </w:r>
      <w:r>
        <w:rPr>
          <w:rFonts w:ascii="Arial" w:hAnsi="Arial" w:cs="Arial"/>
          <w:color w:val="222222"/>
          <w:lang w:val="en-US"/>
        </w:rPr>
        <w:t>(3), pp.211-226.</w:t>
      </w:r>
    </w:p>
    <w:p w14:paraId="0F91C1B8" w14:textId="77777777" w:rsidR="001D6393" w:rsidRDefault="001D6393" w:rsidP="001D6393">
      <w:pPr>
        <w:autoSpaceDE w:val="0"/>
        <w:autoSpaceDN w:val="0"/>
        <w:adjustRightInd w:val="0"/>
        <w:ind w:left="360"/>
        <w:jc w:val="both"/>
        <w:rPr>
          <w:rFonts w:ascii="Arial" w:hAnsi="Arial" w:cs="Arial"/>
          <w:color w:val="222222"/>
          <w:lang w:val="en-US"/>
        </w:rPr>
      </w:pPr>
    </w:p>
    <w:p w14:paraId="65C17740"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lastRenderedPageBreak/>
        <w:t>Litjens, I., (2013). Literature review on monitoring quality in Early Childhood Education and Care (ECEC).</w:t>
      </w:r>
    </w:p>
    <w:p w14:paraId="4A08B00F" w14:textId="77777777" w:rsidR="001D6393" w:rsidRDefault="001D6393" w:rsidP="001D6393">
      <w:pPr>
        <w:autoSpaceDE w:val="0"/>
        <w:autoSpaceDN w:val="0"/>
        <w:adjustRightInd w:val="0"/>
        <w:ind w:left="360"/>
        <w:jc w:val="both"/>
        <w:rPr>
          <w:rFonts w:ascii="Arial" w:hAnsi="Arial" w:cs="Arial"/>
          <w:color w:val="222222"/>
          <w:lang w:val="en-US"/>
        </w:rPr>
      </w:pPr>
    </w:p>
    <w:p w14:paraId="4A57192C"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Little, H. and Wyver, S., (2008). Outdoor play: Does avoiding the risks reduce the benefits?. </w:t>
      </w:r>
      <w:r>
        <w:rPr>
          <w:rFonts w:ascii="Arial" w:hAnsi="Arial" w:cs="Arial"/>
          <w:i/>
          <w:iCs/>
          <w:color w:val="222222"/>
          <w:lang w:val="en-US"/>
        </w:rPr>
        <w:t>Australasian Journal of Early Childhood</w:t>
      </w:r>
      <w:r>
        <w:rPr>
          <w:rFonts w:ascii="Arial" w:hAnsi="Arial" w:cs="Arial"/>
          <w:color w:val="222222"/>
          <w:lang w:val="en-US"/>
        </w:rPr>
        <w:t>, </w:t>
      </w:r>
      <w:r>
        <w:rPr>
          <w:rFonts w:ascii="Arial" w:hAnsi="Arial" w:cs="Arial"/>
          <w:i/>
          <w:iCs/>
          <w:color w:val="222222"/>
          <w:lang w:val="en-US"/>
        </w:rPr>
        <w:t>33</w:t>
      </w:r>
      <w:r>
        <w:rPr>
          <w:rFonts w:ascii="Arial" w:hAnsi="Arial" w:cs="Arial"/>
          <w:color w:val="222222"/>
          <w:lang w:val="en-US"/>
        </w:rPr>
        <w:t>(2), pp.33-40.</w:t>
      </w:r>
    </w:p>
    <w:p w14:paraId="0A6D9224" w14:textId="77777777" w:rsidR="001D6393" w:rsidRDefault="001D6393" w:rsidP="001D6393">
      <w:pPr>
        <w:autoSpaceDE w:val="0"/>
        <w:autoSpaceDN w:val="0"/>
        <w:adjustRightInd w:val="0"/>
        <w:ind w:left="360"/>
        <w:jc w:val="both"/>
        <w:rPr>
          <w:rFonts w:ascii="Arial" w:hAnsi="Arial" w:cs="Arial"/>
          <w:color w:val="222222"/>
          <w:lang w:val="en-US"/>
        </w:rPr>
      </w:pPr>
    </w:p>
    <w:p w14:paraId="288C2ACC"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Lombard, A.D., (1981). </w:t>
      </w:r>
      <w:r>
        <w:rPr>
          <w:rFonts w:ascii="Arial" w:hAnsi="Arial" w:cs="Arial"/>
          <w:i/>
          <w:iCs/>
          <w:color w:val="222222"/>
          <w:lang w:val="en-US"/>
        </w:rPr>
        <w:t>Success Begins at Home</w:t>
      </w:r>
      <w:r>
        <w:rPr>
          <w:rFonts w:ascii="Arial" w:hAnsi="Arial" w:cs="Arial"/>
          <w:color w:val="222222"/>
          <w:lang w:val="en-US"/>
        </w:rPr>
        <w:t>. Lexington Books, DC Heath and Company, Lexington, MA 02173.</w:t>
      </w:r>
    </w:p>
    <w:p w14:paraId="2452A509" w14:textId="77777777" w:rsidR="001D6393" w:rsidRDefault="001D6393" w:rsidP="001D6393">
      <w:pPr>
        <w:autoSpaceDE w:val="0"/>
        <w:autoSpaceDN w:val="0"/>
        <w:adjustRightInd w:val="0"/>
        <w:ind w:left="360"/>
        <w:jc w:val="both"/>
        <w:rPr>
          <w:rFonts w:ascii="Arial" w:hAnsi="Arial" w:cs="Arial"/>
          <w:color w:val="222222"/>
          <w:lang w:val="en-US"/>
        </w:rPr>
      </w:pPr>
    </w:p>
    <w:p w14:paraId="11920458"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Lombardi, J., (2008). </w:t>
      </w:r>
      <w:r>
        <w:rPr>
          <w:rFonts w:ascii="Arial" w:hAnsi="Arial" w:cs="Arial"/>
          <w:i/>
          <w:iCs/>
          <w:color w:val="222222"/>
          <w:lang w:val="en-US"/>
        </w:rPr>
        <w:t>Time to care: Redesigning child care to promote education, support families, and build communities</w:t>
      </w:r>
      <w:r>
        <w:rPr>
          <w:rFonts w:ascii="Arial" w:hAnsi="Arial" w:cs="Arial"/>
          <w:color w:val="222222"/>
          <w:lang w:val="en-US"/>
        </w:rPr>
        <w:t>. Temple University Press.</w:t>
      </w:r>
    </w:p>
    <w:p w14:paraId="29BD4EAE" w14:textId="77777777" w:rsidR="001D6393" w:rsidRDefault="001D6393" w:rsidP="001D6393">
      <w:pPr>
        <w:autoSpaceDE w:val="0"/>
        <w:autoSpaceDN w:val="0"/>
        <w:adjustRightInd w:val="0"/>
        <w:ind w:left="360"/>
        <w:jc w:val="both"/>
        <w:rPr>
          <w:rFonts w:ascii="Arial" w:hAnsi="Arial" w:cs="Arial"/>
          <w:color w:val="222222"/>
          <w:lang w:val="en-US"/>
        </w:rPr>
      </w:pPr>
    </w:p>
    <w:p w14:paraId="5E803137"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Marks, M.A., Sabella, M.J., Burke, C.S. and Zaccaro, S.J., (2002). The impact of cross-training on team effectiveness. </w:t>
      </w:r>
      <w:r>
        <w:rPr>
          <w:rFonts w:ascii="Arial" w:hAnsi="Arial" w:cs="Arial"/>
          <w:i/>
          <w:iCs/>
          <w:color w:val="222222"/>
          <w:lang w:val="en-US"/>
        </w:rPr>
        <w:t>Journal of Applied Psychology</w:t>
      </w:r>
      <w:r>
        <w:rPr>
          <w:rFonts w:ascii="Arial" w:hAnsi="Arial" w:cs="Arial"/>
          <w:color w:val="222222"/>
          <w:lang w:val="en-US"/>
        </w:rPr>
        <w:t>, </w:t>
      </w:r>
      <w:r>
        <w:rPr>
          <w:rFonts w:ascii="Arial" w:hAnsi="Arial" w:cs="Arial"/>
          <w:i/>
          <w:iCs/>
          <w:color w:val="222222"/>
          <w:lang w:val="en-US"/>
        </w:rPr>
        <w:t>87</w:t>
      </w:r>
      <w:r>
        <w:rPr>
          <w:rFonts w:ascii="Arial" w:hAnsi="Arial" w:cs="Arial"/>
          <w:color w:val="222222"/>
          <w:lang w:val="en-US"/>
        </w:rPr>
        <w:t>(1), p.3.</w:t>
      </w:r>
    </w:p>
    <w:p w14:paraId="76ECFA2C" w14:textId="77777777" w:rsidR="001D6393" w:rsidRDefault="001D6393" w:rsidP="001D6393">
      <w:pPr>
        <w:autoSpaceDE w:val="0"/>
        <w:autoSpaceDN w:val="0"/>
        <w:adjustRightInd w:val="0"/>
        <w:ind w:left="360"/>
        <w:jc w:val="both"/>
        <w:rPr>
          <w:rFonts w:ascii="Arial" w:hAnsi="Arial" w:cs="Arial"/>
          <w:color w:val="222222"/>
          <w:lang w:val="en-US"/>
        </w:rPr>
      </w:pPr>
    </w:p>
    <w:p w14:paraId="7C46591A"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Martin, M. and Stella, A., (2007). </w:t>
      </w:r>
      <w:r>
        <w:rPr>
          <w:rFonts w:ascii="Arial" w:hAnsi="Arial" w:cs="Arial"/>
          <w:i/>
          <w:iCs/>
          <w:color w:val="222222"/>
          <w:lang w:val="en-US"/>
        </w:rPr>
        <w:t>External Quality Assurance in Higher Education: Making Choices. Fundamentals of Educational Planning 85</w:t>
      </w:r>
      <w:r>
        <w:rPr>
          <w:rFonts w:ascii="Arial" w:hAnsi="Arial" w:cs="Arial"/>
          <w:color w:val="222222"/>
          <w:lang w:val="en-US"/>
        </w:rPr>
        <w:t>. International Institute for Educational Planning (IIEP) UNESCO. 7-9 rue Eugene-Delacroix, 75116 Paris, France.</w:t>
      </w:r>
    </w:p>
    <w:p w14:paraId="31D522AC" w14:textId="77777777" w:rsidR="001D6393" w:rsidRDefault="001D6393" w:rsidP="001D6393">
      <w:pPr>
        <w:autoSpaceDE w:val="0"/>
        <w:autoSpaceDN w:val="0"/>
        <w:adjustRightInd w:val="0"/>
        <w:ind w:left="360"/>
        <w:jc w:val="both"/>
        <w:rPr>
          <w:rFonts w:ascii="Arial" w:hAnsi="Arial" w:cs="Arial"/>
          <w:color w:val="222222"/>
          <w:lang w:val="en-US"/>
        </w:rPr>
      </w:pPr>
    </w:p>
    <w:p w14:paraId="589FED6F"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Marwaha, S., Goswami, M. and Vashist, B., (2017). Prevalence of Principles of Piaget’s Theory Among 4-7-year-old Children and their Correlation with IQ. </w:t>
      </w:r>
      <w:r>
        <w:rPr>
          <w:rFonts w:ascii="Arial" w:hAnsi="Arial" w:cs="Arial"/>
          <w:i/>
          <w:iCs/>
          <w:color w:val="222222"/>
          <w:lang w:val="en-US"/>
        </w:rPr>
        <w:t>Journal of clinical and diagnostic research: JCDR</w:t>
      </w:r>
      <w:r>
        <w:rPr>
          <w:rFonts w:ascii="Arial" w:hAnsi="Arial" w:cs="Arial"/>
          <w:color w:val="222222"/>
          <w:lang w:val="en-US"/>
        </w:rPr>
        <w:t>, </w:t>
      </w:r>
      <w:r>
        <w:rPr>
          <w:rFonts w:ascii="Arial" w:hAnsi="Arial" w:cs="Arial"/>
          <w:i/>
          <w:iCs/>
          <w:color w:val="222222"/>
          <w:lang w:val="en-US"/>
        </w:rPr>
        <w:t>11</w:t>
      </w:r>
      <w:r>
        <w:rPr>
          <w:rFonts w:ascii="Arial" w:hAnsi="Arial" w:cs="Arial"/>
          <w:color w:val="222222"/>
          <w:lang w:val="en-US"/>
        </w:rPr>
        <w:t>(8), p.ZC111.</w:t>
      </w:r>
    </w:p>
    <w:p w14:paraId="0A64AA12" w14:textId="77777777" w:rsidR="001D6393" w:rsidRDefault="001D6393" w:rsidP="001D6393">
      <w:pPr>
        <w:autoSpaceDE w:val="0"/>
        <w:autoSpaceDN w:val="0"/>
        <w:adjustRightInd w:val="0"/>
        <w:ind w:left="360"/>
        <w:jc w:val="both"/>
        <w:rPr>
          <w:rFonts w:ascii="Arial" w:hAnsi="Arial" w:cs="Arial"/>
          <w:color w:val="222222"/>
          <w:lang w:val="en-US"/>
        </w:rPr>
      </w:pPr>
    </w:p>
    <w:p w14:paraId="52DD39D9"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Miller, J.P., (2019). The holistic curriculum. In </w:t>
      </w:r>
      <w:r>
        <w:rPr>
          <w:rFonts w:ascii="Arial" w:hAnsi="Arial" w:cs="Arial"/>
          <w:i/>
          <w:iCs/>
          <w:color w:val="222222"/>
          <w:lang w:val="en-US"/>
        </w:rPr>
        <w:t>The Holistic Curriculum, Third Edition</w:t>
      </w:r>
      <w:r>
        <w:rPr>
          <w:rFonts w:ascii="Arial" w:hAnsi="Arial" w:cs="Arial"/>
          <w:color w:val="222222"/>
          <w:lang w:val="en-US"/>
        </w:rPr>
        <w:t>. University of Toronto press.</w:t>
      </w:r>
    </w:p>
    <w:p w14:paraId="0C011459" w14:textId="77777777" w:rsidR="001D6393" w:rsidRDefault="001D6393" w:rsidP="001D6393">
      <w:pPr>
        <w:autoSpaceDE w:val="0"/>
        <w:autoSpaceDN w:val="0"/>
        <w:adjustRightInd w:val="0"/>
        <w:jc w:val="both"/>
        <w:rPr>
          <w:rFonts w:ascii="Arial" w:hAnsi="Arial" w:cs="Arial"/>
          <w:color w:val="222222"/>
          <w:lang w:val="en-US"/>
        </w:rPr>
      </w:pPr>
    </w:p>
    <w:p w14:paraId="20765DFF"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Moyles, J., (2014). </w:t>
      </w:r>
      <w:r>
        <w:rPr>
          <w:rFonts w:ascii="Arial" w:hAnsi="Arial" w:cs="Arial"/>
          <w:i/>
          <w:iCs/>
          <w:color w:val="222222"/>
          <w:lang w:val="en-US"/>
        </w:rPr>
        <w:t>EBOOK: The Excellence of Play</w:t>
      </w:r>
      <w:r>
        <w:rPr>
          <w:rFonts w:ascii="Arial" w:hAnsi="Arial" w:cs="Arial"/>
          <w:color w:val="222222"/>
          <w:lang w:val="en-US"/>
        </w:rPr>
        <w:t>. McGraw-Hill Education (UK).</w:t>
      </w:r>
    </w:p>
    <w:p w14:paraId="7800B3EF" w14:textId="77777777" w:rsidR="001D6393" w:rsidRDefault="001D6393" w:rsidP="001D6393">
      <w:pPr>
        <w:autoSpaceDE w:val="0"/>
        <w:autoSpaceDN w:val="0"/>
        <w:adjustRightInd w:val="0"/>
        <w:ind w:left="360"/>
        <w:jc w:val="both"/>
        <w:rPr>
          <w:rFonts w:ascii="Arial" w:hAnsi="Arial" w:cs="Arial"/>
          <w:color w:val="222222"/>
          <w:lang w:val="en-US"/>
        </w:rPr>
      </w:pPr>
    </w:p>
    <w:p w14:paraId="4E03CFC9"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Neuman, S.B. and Roskos, K., (2005). The state of state pre-kindergarten standards. </w:t>
      </w:r>
      <w:r>
        <w:rPr>
          <w:rFonts w:ascii="Arial" w:hAnsi="Arial" w:cs="Arial"/>
          <w:i/>
          <w:iCs/>
          <w:color w:val="222222"/>
          <w:lang w:val="en-US"/>
        </w:rPr>
        <w:t>Early Childhood Research Quarterly</w:t>
      </w:r>
      <w:r>
        <w:rPr>
          <w:rFonts w:ascii="Arial" w:hAnsi="Arial" w:cs="Arial"/>
          <w:color w:val="222222"/>
          <w:lang w:val="en-US"/>
        </w:rPr>
        <w:t>, </w:t>
      </w:r>
      <w:r>
        <w:rPr>
          <w:rFonts w:ascii="Arial" w:hAnsi="Arial" w:cs="Arial"/>
          <w:i/>
          <w:iCs/>
          <w:color w:val="222222"/>
          <w:lang w:val="en-US"/>
        </w:rPr>
        <w:t>20</w:t>
      </w:r>
      <w:r>
        <w:rPr>
          <w:rFonts w:ascii="Arial" w:hAnsi="Arial" w:cs="Arial"/>
          <w:color w:val="222222"/>
          <w:lang w:val="en-US"/>
        </w:rPr>
        <w:t>(2), pp.125-145.</w:t>
      </w:r>
    </w:p>
    <w:p w14:paraId="03472485" w14:textId="77777777" w:rsidR="001D6393" w:rsidRDefault="001D6393" w:rsidP="001D6393">
      <w:pPr>
        <w:autoSpaceDE w:val="0"/>
        <w:autoSpaceDN w:val="0"/>
        <w:adjustRightInd w:val="0"/>
        <w:ind w:left="360"/>
        <w:jc w:val="both"/>
        <w:rPr>
          <w:rFonts w:ascii="Arial" w:hAnsi="Arial" w:cs="Arial"/>
          <w:color w:val="222222"/>
          <w:lang w:val="en-US"/>
        </w:rPr>
      </w:pPr>
    </w:p>
    <w:p w14:paraId="5B50B544" w14:textId="77777777" w:rsidR="001D6393" w:rsidRDefault="001D6393" w:rsidP="001D6393">
      <w:pPr>
        <w:autoSpaceDE w:val="0"/>
        <w:autoSpaceDN w:val="0"/>
        <w:adjustRightInd w:val="0"/>
        <w:ind w:left="360"/>
        <w:jc w:val="both"/>
        <w:rPr>
          <w:rFonts w:ascii="Arial" w:hAnsi="Arial" w:cs="Arial"/>
          <w:lang w:val="en-US"/>
        </w:rPr>
      </w:pPr>
      <w:r>
        <w:rPr>
          <w:rFonts w:ascii="Arial" w:hAnsi="Arial" w:cs="Arial"/>
          <w:lang w:val="en-US"/>
        </w:rPr>
        <w:t xml:space="preserve">Outdoor Class Room Day (2016) ‘Balancing Risks and Benefits in Outdoor Learning and Play’, </w:t>
      </w:r>
      <w:r>
        <w:rPr>
          <w:rFonts w:ascii="Arial" w:hAnsi="Arial" w:cs="Arial"/>
          <w:i/>
          <w:iCs/>
          <w:lang w:val="en-US"/>
        </w:rPr>
        <w:t xml:space="preserve">A briefing for teachers and practitioners working with children. </w:t>
      </w:r>
      <w:r>
        <w:rPr>
          <w:rFonts w:ascii="Arial" w:hAnsi="Arial" w:cs="Arial"/>
          <w:lang w:val="en-US"/>
        </w:rPr>
        <w:t>Available at: https://outdoorclassroomday.org.uk/wpcontent/uploads/sites/2/2016/06/160606_PROJECTDIRT_ECD_BOOK7_A4-1.pdf (Accessed:20/4/2022).</w:t>
      </w:r>
    </w:p>
    <w:p w14:paraId="4246DF53" w14:textId="77777777" w:rsidR="001D6393" w:rsidRDefault="001D6393" w:rsidP="001D6393">
      <w:pPr>
        <w:autoSpaceDE w:val="0"/>
        <w:autoSpaceDN w:val="0"/>
        <w:adjustRightInd w:val="0"/>
        <w:ind w:left="360"/>
        <w:jc w:val="both"/>
        <w:rPr>
          <w:rFonts w:ascii="Arial" w:hAnsi="Arial" w:cs="Arial"/>
          <w:lang w:val="en-US"/>
        </w:rPr>
      </w:pPr>
    </w:p>
    <w:p w14:paraId="33F25A08"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Perryman, J., (2010). Improvement after inspection. </w:t>
      </w:r>
      <w:r>
        <w:rPr>
          <w:rFonts w:ascii="Arial" w:hAnsi="Arial" w:cs="Arial"/>
          <w:i/>
          <w:iCs/>
          <w:color w:val="222222"/>
          <w:lang w:val="en-US"/>
        </w:rPr>
        <w:t>Improving schools</w:t>
      </w:r>
      <w:r>
        <w:rPr>
          <w:rFonts w:ascii="Arial" w:hAnsi="Arial" w:cs="Arial"/>
          <w:color w:val="222222"/>
          <w:lang w:val="en-US"/>
        </w:rPr>
        <w:t>, </w:t>
      </w:r>
      <w:r>
        <w:rPr>
          <w:rFonts w:ascii="Arial" w:hAnsi="Arial" w:cs="Arial"/>
          <w:i/>
          <w:iCs/>
          <w:color w:val="222222"/>
          <w:lang w:val="en-US"/>
        </w:rPr>
        <w:t>13</w:t>
      </w:r>
      <w:r>
        <w:rPr>
          <w:rFonts w:ascii="Arial" w:hAnsi="Arial" w:cs="Arial"/>
          <w:color w:val="222222"/>
          <w:lang w:val="en-US"/>
        </w:rPr>
        <w:t>(2), pp.182-196.</w:t>
      </w:r>
    </w:p>
    <w:p w14:paraId="7374A771" w14:textId="77777777" w:rsidR="001D6393" w:rsidRDefault="001D6393" w:rsidP="001D6393">
      <w:pPr>
        <w:autoSpaceDE w:val="0"/>
        <w:autoSpaceDN w:val="0"/>
        <w:adjustRightInd w:val="0"/>
        <w:spacing w:after="240"/>
        <w:ind w:left="360"/>
        <w:jc w:val="both"/>
        <w:rPr>
          <w:rFonts w:ascii="Arial" w:hAnsi="Arial" w:cs="Arial"/>
          <w:color w:val="222222"/>
          <w:lang w:val="en-US"/>
        </w:rPr>
      </w:pPr>
    </w:p>
    <w:p w14:paraId="5D487F47" w14:textId="77777777" w:rsidR="001D6393" w:rsidRDefault="001D6393" w:rsidP="001D6393">
      <w:pPr>
        <w:autoSpaceDE w:val="0"/>
        <w:autoSpaceDN w:val="0"/>
        <w:adjustRightInd w:val="0"/>
        <w:spacing w:after="240"/>
        <w:ind w:left="360"/>
        <w:jc w:val="both"/>
        <w:rPr>
          <w:rFonts w:ascii="Arial" w:hAnsi="Arial" w:cs="Arial"/>
          <w:lang w:val="en-US"/>
        </w:rPr>
      </w:pPr>
      <w:r>
        <w:rPr>
          <w:rFonts w:ascii="Arial" w:hAnsi="Arial" w:cs="Arial"/>
          <w:lang w:val="en-US"/>
        </w:rPr>
        <w:t xml:space="preserve">Piaget, J., (1976). Piaget’s theory. In </w:t>
      </w:r>
      <w:r>
        <w:rPr>
          <w:rFonts w:ascii="Arial" w:hAnsi="Arial" w:cs="Arial"/>
          <w:i/>
          <w:iCs/>
          <w:lang w:val="en-US"/>
        </w:rPr>
        <w:t xml:space="preserve">Piaget and his school </w:t>
      </w:r>
      <w:r>
        <w:rPr>
          <w:rFonts w:ascii="Arial" w:hAnsi="Arial" w:cs="Arial"/>
          <w:lang w:val="en-US"/>
        </w:rPr>
        <w:t>(pp. 11-23). Springer, Berlin, Heidelberg.</w:t>
      </w:r>
    </w:p>
    <w:p w14:paraId="4147AFEB" w14:textId="77777777" w:rsidR="001D6393" w:rsidRDefault="001D6393" w:rsidP="001D6393">
      <w:pPr>
        <w:autoSpaceDE w:val="0"/>
        <w:autoSpaceDN w:val="0"/>
        <w:adjustRightInd w:val="0"/>
        <w:ind w:left="360"/>
        <w:jc w:val="both"/>
        <w:rPr>
          <w:rFonts w:ascii="Arial" w:hAnsi="Arial" w:cs="Arial"/>
          <w:lang w:val="en-US"/>
        </w:rPr>
      </w:pPr>
    </w:p>
    <w:p w14:paraId="76349E23"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Powell, S., (2010). Hide and seek: Values in early childhood education and care. </w:t>
      </w:r>
      <w:r>
        <w:rPr>
          <w:rFonts w:ascii="Arial" w:hAnsi="Arial" w:cs="Arial"/>
          <w:i/>
          <w:iCs/>
          <w:color w:val="222222"/>
          <w:lang w:val="en-US"/>
        </w:rPr>
        <w:t>British Journal of Educational Studies</w:t>
      </w:r>
      <w:r>
        <w:rPr>
          <w:rFonts w:ascii="Arial" w:hAnsi="Arial" w:cs="Arial"/>
          <w:color w:val="222222"/>
          <w:lang w:val="en-US"/>
        </w:rPr>
        <w:t>, </w:t>
      </w:r>
      <w:r>
        <w:rPr>
          <w:rFonts w:ascii="Arial" w:hAnsi="Arial" w:cs="Arial"/>
          <w:i/>
          <w:iCs/>
          <w:color w:val="222222"/>
          <w:lang w:val="en-US"/>
        </w:rPr>
        <w:t>58</w:t>
      </w:r>
      <w:r>
        <w:rPr>
          <w:rFonts w:ascii="Arial" w:hAnsi="Arial" w:cs="Arial"/>
          <w:color w:val="222222"/>
          <w:lang w:val="en-US"/>
        </w:rPr>
        <w:t>(2), pp.213-229.</w:t>
      </w:r>
    </w:p>
    <w:p w14:paraId="5BA3A7C3" w14:textId="77777777" w:rsidR="001D6393" w:rsidRDefault="001D6393" w:rsidP="001D6393">
      <w:pPr>
        <w:autoSpaceDE w:val="0"/>
        <w:autoSpaceDN w:val="0"/>
        <w:adjustRightInd w:val="0"/>
        <w:ind w:left="360"/>
        <w:jc w:val="both"/>
        <w:rPr>
          <w:rFonts w:ascii="Arial" w:hAnsi="Arial" w:cs="Arial"/>
          <w:color w:val="222222"/>
          <w:lang w:val="en-US"/>
        </w:rPr>
      </w:pPr>
    </w:p>
    <w:p w14:paraId="3067D834"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 xml:space="preserve">Pressbooks (2020) </w:t>
      </w:r>
      <w:r>
        <w:rPr>
          <w:rFonts w:ascii="Arial" w:hAnsi="Arial" w:cs="Arial"/>
          <w:i/>
          <w:iCs/>
          <w:color w:val="222222"/>
          <w:lang w:val="en-US"/>
        </w:rPr>
        <w:t xml:space="preserve">Research Methods in Physchology. </w:t>
      </w:r>
      <w:r>
        <w:rPr>
          <w:rFonts w:ascii="Arial" w:hAnsi="Arial" w:cs="Arial"/>
          <w:color w:val="222222"/>
          <w:lang w:val="en-US"/>
        </w:rPr>
        <w:t xml:space="preserve">6.5 Obervational Research. Available at: </w:t>
      </w:r>
      <w:r>
        <w:rPr>
          <w:rFonts w:ascii="Arial" w:hAnsi="Arial" w:cs="Arial"/>
          <w:lang w:val="en-US"/>
        </w:rPr>
        <w:t>https://opentext.wsu.edu/carriecuttler/chapter/observational-research/</w:t>
      </w:r>
      <w:r>
        <w:rPr>
          <w:rFonts w:ascii="Arial" w:hAnsi="Arial" w:cs="Arial"/>
          <w:color w:val="222222"/>
          <w:lang w:val="en-US"/>
        </w:rPr>
        <w:t xml:space="preserve"> (Accessed: 20/04/2022).</w:t>
      </w:r>
    </w:p>
    <w:p w14:paraId="1ADE201B" w14:textId="77777777" w:rsidR="001D6393" w:rsidRDefault="001D6393" w:rsidP="001D6393">
      <w:pPr>
        <w:autoSpaceDE w:val="0"/>
        <w:autoSpaceDN w:val="0"/>
        <w:adjustRightInd w:val="0"/>
        <w:ind w:left="360"/>
        <w:jc w:val="both"/>
        <w:rPr>
          <w:rFonts w:ascii="Arial" w:hAnsi="Arial" w:cs="Arial"/>
          <w:color w:val="222222"/>
          <w:lang w:val="en-US"/>
        </w:rPr>
      </w:pPr>
    </w:p>
    <w:p w14:paraId="56825DC9"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Puspita, D.G. and Sugiyono, S., (2021). Strategies to Improve Education Quality at Junior High Schools. </w:t>
      </w:r>
      <w:r>
        <w:rPr>
          <w:rFonts w:ascii="Arial" w:hAnsi="Arial" w:cs="Arial"/>
          <w:i/>
          <w:iCs/>
          <w:color w:val="222222"/>
          <w:lang w:val="en-US"/>
        </w:rPr>
        <w:t>KnE Social Sciences</w:t>
      </w:r>
      <w:r>
        <w:rPr>
          <w:rFonts w:ascii="Arial" w:hAnsi="Arial" w:cs="Arial"/>
          <w:color w:val="222222"/>
          <w:lang w:val="en-US"/>
        </w:rPr>
        <w:t>, pp.182-194.</w:t>
      </w:r>
    </w:p>
    <w:p w14:paraId="6254C7C7" w14:textId="77777777" w:rsidR="001D6393" w:rsidRDefault="001D6393" w:rsidP="001D6393">
      <w:pPr>
        <w:autoSpaceDE w:val="0"/>
        <w:autoSpaceDN w:val="0"/>
        <w:adjustRightInd w:val="0"/>
        <w:ind w:left="360"/>
        <w:jc w:val="both"/>
        <w:rPr>
          <w:rFonts w:ascii="Arial" w:hAnsi="Arial" w:cs="Arial"/>
          <w:color w:val="222222"/>
          <w:lang w:val="en-US"/>
        </w:rPr>
      </w:pPr>
    </w:p>
    <w:p w14:paraId="6980FC60" w14:textId="77777777" w:rsidR="001D6393" w:rsidRDefault="001D6393" w:rsidP="001D6393">
      <w:pPr>
        <w:autoSpaceDE w:val="0"/>
        <w:autoSpaceDN w:val="0"/>
        <w:adjustRightInd w:val="0"/>
        <w:ind w:left="360"/>
        <w:jc w:val="both"/>
        <w:rPr>
          <w:rFonts w:ascii="Arial" w:hAnsi="Arial" w:cs="Arial"/>
          <w:lang w:val="en-US"/>
        </w:rPr>
      </w:pPr>
      <w:r>
        <w:rPr>
          <w:rFonts w:ascii="Arial" w:hAnsi="Arial" w:cs="Arial"/>
          <w:lang w:val="en-US"/>
        </w:rPr>
        <w:t>Resources for Early Learning (2014) Early childhood assessment. Available at: http://resourcesforearlylearning.org/fm/early-childhood-assessment/ (Accessed 20/04/2022).</w:t>
      </w:r>
    </w:p>
    <w:p w14:paraId="145EDBF9" w14:textId="77777777" w:rsidR="001D6393" w:rsidRDefault="001D6393" w:rsidP="001D6393">
      <w:pPr>
        <w:autoSpaceDE w:val="0"/>
        <w:autoSpaceDN w:val="0"/>
        <w:adjustRightInd w:val="0"/>
        <w:ind w:left="360"/>
        <w:jc w:val="both"/>
        <w:rPr>
          <w:rFonts w:ascii="Arial" w:hAnsi="Arial" w:cs="Arial"/>
          <w:lang w:val="en-US"/>
        </w:rPr>
      </w:pPr>
    </w:p>
    <w:p w14:paraId="1629A4EB"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Roberts-Holmes, G., (2012). ‘It's the bread and butter of our practice’: experiencing the Early Years Foundation Stage. </w:t>
      </w:r>
      <w:r>
        <w:rPr>
          <w:rFonts w:ascii="Arial" w:hAnsi="Arial" w:cs="Arial"/>
          <w:i/>
          <w:iCs/>
          <w:color w:val="222222"/>
          <w:lang w:val="en-US"/>
        </w:rPr>
        <w:t>International Journal of Early Years Education</w:t>
      </w:r>
      <w:r>
        <w:rPr>
          <w:rFonts w:ascii="Arial" w:hAnsi="Arial" w:cs="Arial"/>
          <w:color w:val="222222"/>
          <w:lang w:val="en-US"/>
        </w:rPr>
        <w:t>, </w:t>
      </w:r>
      <w:r>
        <w:rPr>
          <w:rFonts w:ascii="Arial" w:hAnsi="Arial" w:cs="Arial"/>
          <w:i/>
          <w:iCs/>
          <w:color w:val="222222"/>
          <w:lang w:val="en-US"/>
        </w:rPr>
        <w:t>20</w:t>
      </w:r>
      <w:r>
        <w:rPr>
          <w:rFonts w:ascii="Arial" w:hAnsi="Arial" w:cs="Arial"/>
          <w:color w:val="222222"/>
          <w:lang w:val="en-US"/>
        </w:rPr>
        <w:t>(1), pp.30-42.</w:t>
      </w:r>
    </w:p>
    <w:p w14:paraId="56A88D75" w14:textId="77777777" w:rsidR="001D6393" w:rsidRDefault="001D6393" w:rsidP="001D6393">
      <w:pPr>
        <w:autoSpaceDE w:val="0"/>
        <w:autoSpaceDN w:val="0"/>
        <w:adjustRightInd w:val="0"/>
        <w:ind w:left="360"/>
        <w:jc w:val="both"/>
        <w:rPr>
          <w:rFonts w:ascii="Arial" w:hAnsi="Arial" w:cs="Arial"/>
          <w:color w:val="222222"/>
          <w:lang w:val="en-US"/>
        </w:rPr>
      </w:pPr>
    </w:p>
    <w:p w14:paraId="1B47A34A"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Sanders, M.R., (2008). Triple P-Positive Parenting Program as a public health approach to strengthening parenting. </w:t>
      </w:r>
      <w:r>
        <w:rPr>
          <w:rFonts w:ascii="Arial" w:hAnsi="Arial" w:cs="Arial"/>
          <w:i/>
          <w:iCs/>
          <w:color w:val="222222"/>
          <w:lang w:val="en-US"/>
        </w:rPr>
        <w:t>Journal of family psychology</w:t>
      </w:r>
      <w:r>
        <w:rPr>
          <w:rFonts w:ascii="Arial" w:hAnsi="Arial" w:cs="Arial"/>
          <w:color w:val="222222"/>
          <w:lang w:val="en-US"/>
        </w:rPr>
        <w:t>, </w:t>
      </w:r>
      <w:r>
        <w:rPr>
          <w:rFonts w:ascii="Arial" w:hAnsi="Arial" w:cs="Arial"/>
          <w:i/>
          <w:iCs/>
          <w:color w:val="222222"/>
          <w:lang w:val="en-US"/>
        </w:rPr>
        <w:t>22</w:t>
      </w:r>
      <w:r>
        <w:rPr>
          <w:rFonts w:ascii="Arial" w:hAnsi="Arial" w:cs="Arial"/>
          <w:color w:val="222222"/>
          <w:lang w:val="en-US"/>
        </w:rPr>
        <w:t>(4), p.506.</w:t>
      </w:r>
    </w:p>
    <w:p w14:paraId="265002EF" w14:textId="77777777" w:rsidR="001D6393" w:rsidRDefault="001D6393" w:rsidP="001D6393">
      <w:pPr>
        <w:autoSpaceDE w:val="0"/>
        <w:autoSpaceDN w:val="0"/>
        <w:adjustRightInd w:val="0"/>
        <w:ind w:left="360"/>
        <w:jc w:val="both"/>
        <w:rPr>
          <w:rFonts w:ascii="Arial" w:hAnsi="Arial" w:cs="Arial"/>
          <w:color w:val="222222"/>
          <w:lang w:val="en-US"/>
        </w:rPr>
      </w:pPr>
    </w:p>
    <w:p w14:paraId="668D5560"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Sclafani, S., (2008). Rethinking Human Capital in Education: Singapore as a Model for Teacher Development. </w:t>
      </w:r>
      <w:r>
        <w:rPr>
          <w:rFonts w:ascii="Arial" w:hAnsi="Arial" w:cs="Arial"/>
          <w:i/>
          <w:iCs/>
          <w:color w:val="222222"/>
          <w:lang w:val="en-US"/>
        </w:rPr>
        <w:t>Aspen Institute</w:t>
      </w:r>
      <w:r>
        <w:rPr>
          <w:rFonts w:ascii="Arial" w:hAnsi="Arial" w:cs="Arial"/>
          <w:color w:val="222222"/>
          <w:lang w:val="en-US"/>
        </w:rPr>
        <w:t>.</w:t>
      </w:r>
    </w:p>
    <w:p w14:paraId="571139D0" w14:textId="77777777" w:rsidR="001D6393" w:rsidRDefault="001D6393" w:rsidP="001D6393">
      <w:pPr>
        <w:autoSpaceDE w:val="0"/>
        <w:autoSpaceDN w:val="0"/>
        <w:adjustRightInd w:val="0"/>
        <w:ind w:left="360"/>
        <w:jc w:val="both"/>
        <w:rPr>
          <w:rFonts w:ascii="Arial" w:hAnsi="Arial" w:cs="Arial"/>
          <w:color w:val="222222"/>
          <w:lang w:val="en-US"/>
        </w:rPr>
      </w:pPr>
    </w:p>
    <w:p w14:paraId="4AE3B6A8" w14:textId="77777777" w:rsidR="001D6393" w:rsidRDefault="001D6393" w:rsidP="001D6393">
      <w:pPr>
        <w:autoSpaceDE w:val="0"/>
        <w:autoSpaceDN w:val="0"/>
        <w:adjustRightInd w:val="0"/>
        <w:ind w:left="360"/>
        <w:jc w:val="both"/>
        <w:rPr>
          <w:rFonts w:ascii="Arial" w:hAnsi="Arial" w:cs="Arial"/>
          <w:lang w:val="en-US"/>
        </w:rPr>
      </w:pPr>
      <w:r>
        <w:rPr>
          <w:rFonts w:ascii="Arial" w:hAnsi="Arial" w:cs="Arial"/>
          <w:lang w:val="en-US"/>
        </w:rPr>
        <w:t>Seif, E (2021). Research Based Learning: a Lifelong Learning Necessity. Available at: https://www.solutiontree.com/blog/research-based-learning-a-lifelong-learning-necessity/ (accessed: 20/04/2022).</w:t>
      </w:r>
    </w:p>
    <w:p w14:paraId="1CE3198F" w14:textId="77777777" w:rsidR="001D6393" w:rsidRDefault="001D6393" w:rsidP="001D6393">
      <w:pPr>
        <w:autoSpaceDE w:val="0"/>
        <w:autoSpaceDN w:val="0"/>
        <w:adjustRightInd w:val="0"/>
        <w:ind w:left="360"/>
        <w:jc w:val="both"/>
        <w:rPr>
          <w:rFonts w:ascii="Arial" w:hAnsi="Arial" w:cs="Arial"/>
          <w:lang w:val="en-US"/>
        </w:rPr>
      </w:pPr>
    </w:p>
    <w:p w14:paraId="4F584436"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Singh, S., Roy, D., Sinha, K., Parveen, S., Sharma, G. and Joshi, G., (2020). Impact of COVID-19 and lockdown on mental health of children and adolescents: A narrative review with recommendations. </w:t>
      </w:r>
      <w:r>
        <w:rPr>
          <w:rFonts w:ascii="Arial" w:hAnsi="Arial" w:cs="Arial"/>
          <w:i/>
          <w:iCs/>
          <w:color w:val="222222"/>
          <w:lang w:val="en-US"/>
        </w:rPr>
        <w:t>Psychiatry research</w:t>
      </w:r>
      <w:r>
        <w:rPr>
          <w:rFonts w:ascii="Arial" w:hAnsi="Arial" w:cs="Arial"/>
          <w:color w:val="222222"/>
          <w:lang w:val="en-US"/>
        </w:rPr>
        <w:t>, </w:t>
      </w:r>
      <w:r>
        <w:rPr>
          <w:rFonts w:ascii="Arial" w:hAnsi="Arial" w:cs="Arial"/>
          <w:i/>
          <w:iCs/>
          <w:color w:val="222222"/>
          <w:lang w:val="en-US"/>
        </w:rPr>
        <w:t>293</w:t>
      </w:r>
      <w:r>
        <w:rPr>
          <w:rFonts w:ascii="Arial" w:hAnsi="Arial" w:cs="Arial"/>
          <w:color w:val="222222"/>
          <w:lang w:val="en-US"/>
        </w:rPr>
        <w:t>, p.113429.</w:t>
      </w:r>
    </w:p>
    <w:p w14:paraId="083DAD7A" w14:textId="77777777" w:rsidR="001D6393" w:rsidRDefault="001D6393" w:rsidP="001D6393">
      <w:pPr>
        <w:autoSpaceDE w:val="0"/>
        <w:autoSpaceDN w:val="0"/>
        <w:adjustRightInd w:val="0"/>
        <w:ind w:left="360"/>
        <w:jc w:val="both"/>
        <w:rPr>
          <w:rFonts w:ascii="Arial" w:hAnsi="Arial" w:cs="Arial"/>
          <w:color w:val="222222"/>
          <w:lang w:val="en-US"/>
        </w:rPr>
      </w:pPr>
    </w:p>
    <w:p w14:paraId="4134DD57"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Sperling, J. and Repetti, R.L., (2018). Understanding emotion socialization through naturalistic observations of parent–child interactions. </w:t>
      </w:r>
      <w:r>
        <w:rPr>
          <w:rFonts w:ascii="Arial" w:hAnsi="Arial" w:cs="Arial"/>
          <w:i/>
          <w:iCs/>
          <w:color w:val="222222"/>
          <w:lang w:val="en-US"/>
        </w:rPr>
        <w:t>Family Relations</w:t>
      </w:r>
      <w:r>
        <w:rPr>
          <w:rFonts w:ascii="Arial" w:hAnsi="Arial" w:cs="Arial"/>
          <w:color w:val="222222"/>
          <w:lang w:val="en-US"/>
        </w:rPr>
        <w:t>, </w:t>
      </w:r>
      <w:r>
        <w:rPr>
          <w:rFonts w:ascii="Arial" w:hAnsi="Arial" w:cs="Arial"/>
          <w:i/>
          <w:iCs/>
          <w:color w:val="222222"/>
          <w:lang w:val="en-US"/>
        </w:rPr>
        <w:t>67</w:t>
      </w:r>
      <w:r>
        <w:rPr>
          <w:rFonts w:ascii="Arial" w:hAnsi="Arial" w:cs="Arial"/>
          <w:color w:val="222222"/>
          <w:lang w:val="en-US"/>
        </w:rPr>
        <w:t>(3), pp.325-338.</w:t>
      </w:r>
    </w:p>
    <w:p w14:paraId="241C190A" w14:textId="77777777" w:rsidR="001D6393" w:rsidRDefault="001D6393" w:rsidP="001D6393">
      <w:pPr>
        <w:autoSpaceDE w:val="0"/>
        <w:autoSpaceDN w:val="0"/>
        <w:adjustRightInd w:val="0"/>
        <w:ind w:left="360"/>
        <w:jc w:val="both"/>
        <w:rPr>
          <w:rFonts w:ascii="Arial" w:hAnsi="Arial" w:cs="Arial"/>
          <w:color w:val="222222"/>
          <w:lang w:val="en-US"/>
        </w:rPr>
      </w:pPr>
    </w:p>
    <w:p w14:paraId="64F96494"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Stepaniuk, I., (2019). Inclusive education in Eastern European countries: a current state and future directions. </w:t>
      </w:r>
      <w:r>
        <w:rPr>
          <w:rFonts w:ascii="Arial" w:hAnsi="Arial" w:cs="Arial"/>
          <w:i/>
          <w:iCs/>
          <w:color w:val="222222"/>
          <w:lang w:val="en-US"/>
        </w:rPr>
        <w:t>International Journal of Inclusive Education</w:t>
      </w:r>
      <w:r>
        <w:rPr>
          <w:rFonts w:ascii="Arial" w:hAnsi="Arial" w:cs="Arial"/>
          <w:color w:val="222222"/>
          <w:lang w:val="en-US"/>
        </w:rPr>
        <w:t>, </w:t>
      </w:r>
      <w:r>
        <w:rPr>
          <w:rFonts w:ascii="Arial" w:hAnsi="Arial" w:cs="Arial"/>
          <w:i/>
          <w:iCs/>
          <w:color w:val="222222"/>
          <w:lang w:val="en-US"/>
        </w:rPr>
        <w:t>23</w:t>
      </w:r>
      <w:r>
        <w:rPr>
          <w:rFonts w:ascii="Arial" w:hAnsi="Arial" w:cs="Arial"/>
          <w:color w:val="222222"/>
          <w:lang w:val="en-US"/>
        </w:rPr>
        <w:t>(3), pp.328-352.</w:t>
      </w:r>
    </w:p>
    <w:p w14:paraId="4E947AB3" w14:textId="77777777" w:rsidR="001D6393" w:rsidRDefault="001D6393" w:rsidP="001D6393">
      <w:pPr>
        <w:autoSpaceDE w:val="0"/>
        <w:autoSpaceDN w:val="0"/>
        <w:adjustRightInd w:val="0"/>
        <w:ind w:left="360"/>
        <w:jc w:val="both"/>
        <w:rPr>
          <w:rFonts w:ascii="Arial" w:hAnsi="Arial" w:cs="Arial"/>
          <w:color w:val="222222"/>
          <w:lang w:val="en-US"/>
        </w:rPr>
      </w:pPr>
    </w:p>
    <w:p w14:paraId="31340550"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Tickell, C., (2011). The Early Years: Foundations for life, health and learning: an independent report on the early years foundation stage to Her Majesty's government.</w:t>
      </w:r>
    </w:p>
    <w:p w14:paraId="33BC9133" w14:textId="77777777" w:rsidR="001D6393" w:rsidRDefault="001D6393" w:rsidP="001D6393">
      <w:pPr>
        <w:autoSpaceDE w:val="0"/>
        <w:autoSpaceDN w:val="0"/>
        <w:adjustRightInd w:val="0"/>
        <w:ind w:left="360"/>
        <w:jc w:val="both"/>
        <w:rPr>
          <w:rFonts w:ascii="Arial" w:hAnsi="Arial" w:cs="Arial"/>
          <w:color w:val="222222"/>
          <w:lang w:val="en-US"/>
        </w:rPr>
      </w:pPr>
    </w:p>
    <w:p w14:paraId="641B21C6" w14:textId="77777777" w:rsidR="001D6393" w:rsidRDefault="001D6393" w:rsidP="001D6393">
      <w:pPr>
        <w:autoSpaceDE w:val="0"/>
        <w:autoSpaceDN w:val="0"/>
        <w:adjustRightInd w:val="0"/>
        <w:ind w:left="360"/>
        <w:jc w:val="both"/>
        <w:rPr>
          <w:rFonts w:ascii="Arial" w:hAnsi="Arial" w:cs="Arial"/>
          <w:lang w:val="en-US"/>
        </w:rPr>
      </w:pPr>
      <w:r>
        <w:rPr>
          <w:rFonts w:ascii="Arial" w:hAnsi="Arial" w:cs="Arial"/>
          <w:lang w:val="en-US"/>
        </w:rPr>
        <w:t xml:space="preserve">Tovey, H. (2010). Playing on the Edge: Perceptions of Risk and Danger in Outdoor Play. In P. Broadhead, J. Howard &amp; E. Wood (eds), </w:t>
      </w:r>
      <w:r>
        <w:rPr>
          <w:rFonts w:ascii="Arial" w:hAnsi="Arial" w:cs="Arial"/>
          <w:i/>
          <w:iCs/>
          <w:lang w:val="en-US"/>
        </w:rPr>
        <w:t>Play and Learning in the Early Years</w:t>
      </w:r>
      <w:r>
        <w:rPr>
          <w:rFonts w:ascii="Arial" w:hAnsi="Arial" w:cs="Arial"/>
          <w:lang w:val="en-US"/>
        </w:rPr>
        <w:t xml:space="preserve"> (79-94). London: Sage</w:t>
      </w:r>
    </w:p>
    <w:p w14:paraId="7FEB975F" w14:textId="77777777" w:rsidR="001D6393" w:rsidRDefault="001D6393" w:rsidP="001D6393">
      <w:pPr>
        <w:autoSpaceDE w:val="0"/>
        <w:autoSpaceDN w:val="0"/>
        <w:adjustRightInd w:val="0"/>
        <w:ind w:left="360"/>
        <w:jc w:val="both"/>
        <w:rPr>
          <w:rFonts w:ascii="Arial" w:hAnsi="Arial" w:cs="Arial"/>
          <w:lang w:val="en-US"/>
        </w:rPr>
      </w:pPr>
    </w:p>
    <w:p w14:paraId="0C1B0DAD"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lastRenderedPageBreak/>
        <w:t>Tovey, H., (2007). </w:t>
      </w:r>
      <w:r>
        <w:rPr>
          <w:rFonts w:ascii="Arial" w:hAnsi="Arial" w:cs="Arial"/>
          <w:i/>
          <w:iCs/>
          <w:color w:val="222222"/>
          <w:lang w:val="en-US"/>
        </w:rPr>
        <w:t>EBOOK: Playing Outdoors: Spaces and Places, Risk and Challenge</w:t>
      </w:r>
      <w:r>
        <w:rPr>
          <w:rFonts w:ascii="Arial" w:hAnsi="Arial" w:cs="Arial"/>
          <w:color w:val="222222"/>
          <w:lang w:val="en-US"/>
        </w:rPr>
        <w:t>. McGraw-Hill Education (UK).</w:t>
      </w:r>
    </w:p>
    <w:p w14:paraId="04E86A90" w14:textId="77777777" w:rsidR="001D6393" w:rsidRDefault="001D6393" w:rsidP="001D6393">
      <w:pPr>
        <w:autoSpaceDE w:val="0"/>
        <w:autoSpaceDN w:val="0"/>
        <w:adjustRightInd w:val="0"/>
        <w:ind w:left="360"/>
        <w:jc w:val="both"/>
        <w:rPr>
          <w:rFonts w:ascii="Arial" w:hAnsi="Arial" w:cs="Arial"/>
          <w:color w:val="222222"/>
          <w:lang w:val="en-US"/>
        </w:rPr>
      </w:pPr>
    </w:p>
    <w:p w14:paraId="634CB914"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Waite, S. and Pratt, N., (2011). Theoretical perspectives on learning outside the classroom: relationships between learning and place. </w:t>
      </w:r>
      <w:r>
        <w:rPr>
          <w:rFonts w:ascii="Arial" w:hAnsi="Arial" w:cs="Arial"/>
          <w:i/>
          <w:iCs/>
          <w:color w:val="222222"/>
          <w:lang w:val="en-US"/>
        </w:rPr>
        <w:t>Children learning outside the classroom from birth to eleven</w:t>
      </w:r>
      <w:r>
        <w:rPr>
          <w:rFonts w:ascii="Arial" w:hAnsi="Arial" w:cs="Arial"/>
          <w:color w:val="222222"/>
          <w:lang w:val="en-US"/>
        </w:rPr>
        <w:t>, pp.1-18.</w:t>
      </w:r>
    </w:p>
    <w:p w14:paraId="116518E6" w14:textId="77777777" w:rsidR="001D6393" w:rsidRDefault="001D6393" w:rsidP="001D6393">
      <w:pPr>
        <w:autoSpaceDE w:val="0"/>
        <w:autoSpaceDN w:val="0"/>
        <w:adjustRightInd w:val="0"/>
        <w:ind w:left="360"/>
        <w:jc w:val="both"/>
        <w:rPr>
          <w:rFonts w:ascii="Arial" w:hAnsi="Arial" w:cs="Arial"/>
          <w:color w:val="222222"/>
          <w:lang w:val="en-US"/>
        </w:rPr>
      </w:pPr>
    </w:p>
    <w:p w14:paraId="6E78E0DB"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Wood, E., (2019). Unbalanced and unbalancing acts in the Early Years Foundation Stage: a critical discourse analysis of policy-led evidence on teaching and play from the office for standards in education in England (Ofsted). </w:t>
      </w:r>
      <w:r>
        <w:rPr>
          <w:rFonts w:ascii="Arial" w:hAnsi="Arial" w:cs="Arial"/>
          <w:i/>
          <w:iCs/>
          <w:color w:val="222222"/>
          <w:lang w:val="en-US"/>
        </w:rPr>
        <w:t>Education 3-13</w:t>
      </w:r>
      <w:r>
        <w:rPr>
          <w:rFonts w:ascii="Arial" w:hAnsi="Arial" w:cs="Arial"/>
          <w:color w:val="222222"/>
          <w:lang w:val="en-US"/>
        </w:rPr>
        <w:t>, </w:t>
      </w:r>
      <w:r>
        <w:rPr>
          <w:rFonts w:ascii="Arial" w:hAnsi="Arial" w:cs="Arial"/>
          <w:i/>
          <w:iCs/>
          <w:color w:val="222222"/>
          <w:lang w:val="en-US"/>
        </w:rPr>
        <w:t>47</w:t>
      </w:r>
      <w:r>
        <w:rPr>
          <w:rFonts w:ascii="Arial" w:hAnsi="Arial" w:cs="Arial"/>
          <w:color w:val="222222"/>
          <w:lang w:val="en-US"/>
        </w:rPr>
        <w:t>(7), pp.784-795.</w:t>
      </w:r>
    </w:p>
    <w:p w14:paraId="2E571F54" w14:textId="77777777" w:rsidR="001D6393" w:rsidRDefault="001D6393" w:rsidP="001D6393">
      <w:pPr>
        <w:autoSpaceDE w:val="0"/>
        <w:autoSpaceDN w:val="0"/>
        <w:adjustRightInd w:val="0"/>
        <w:ind w:left="360"/>
        <w:jc w:val="both"/>
        <w:rPr>
          <w:rFonts w:ascii="Arial" w:hAnsi="Arial" w:cs="Arial"/>
          <w:color w:val="222222"/>
          <w:lang w:val="en-US"/>
        </w:rPr>
      </w:pPr>
    </w:p>
    <w:p w14:paraId="5F59B766"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Wyman, P.J. and Watson, S.B., (2020). Academic achievement with cooperative learning using homogeneous and heterogeneous groups. </w:t>
      </w:r>
      <w:r>
        <w:rPr>
          <w:rFonts w:ascii="Arial" w:hAnsi="Arial" w:cs="Arial"/>
          <w:i/>
          <w:iCs/>
          <w:color w:val="222222"/>
          <w:lang w:val="en-US"/>
        </w:rPr>
        <w:t>School Science and Mathematics</w:t>
      </w:r>
      <w:r>
        <w:rPr>
          <w:rFonts w:ascii="Arial" w:hAnsi="Arial" w:cs="Arial"/>
          <w:color w:val="222222"/>
          <w:lang w:val="en-US"/>
        </w:rPr>
        <w:t>, </w:t>
      </w:r>
      <w:r>
        <w:rPr>
          <w:rFonts w:ascii="Arial" w:hAnsi="Arial" w:cs="Arial"/>
          <w:i/>
          <w:iCs/>
          <w:color w:val="222222"/>
          <w:lang w:val="en-US"/>
        </w:rPr>
        <w:t>120</w:t>
      </w:r>
      <w:r>
        <w:rPr>
          <w:rFonts w:ascii="Arial" w:hAnsi="Arial" w:cs="Arial"/>
          <w:color w:val="222222"/>
          <w:lang w:val="en-US"/>
        </w:rPr>
        <w:t>(6), pp.356-363.</w:t>
      </w:r>
    </w:p>
    <w:p w14:paraId="0FDDB4C0" w14:textId="77777777" w:rsidR="001D6393" w:rsidRDefault="001D6393" w:rsidP="001D6393">
      <w:pPr>
        <w:autoSpaceDE w:val="0"/>
        <w:autoSpaceDN w:val="0"/>
        <w:adjustRightInd w:val="0"/>
        <w:ind w:left="360"/>
        <w:jc w:val="both"/>
        <w:rPr>
          <w:rFonts w:ascii="Arial" w:hAnsi="Arial" w:cs="Arial"/>
          <w:color w:val="222222"/>
          <w:lang w:val="en-US"/>
        </w:rPr>
      </w:pPr>
    </w:p>
    <w:p w14:paraId="476BE46B" w14:textId="77777777" w:rsidR="001D6393" w:rsidRDefault="001D6393" w:rsidP="001D6393">
      <w:pPr>
        <w:autoSpaceDE w:val="0"/>
        <w:autoSpaceDN w:val="0"/>
        <w:adjustRightInd w:val="0"/>
        <w:ind w:left="360"/>
        <w:jc w:val="both"/>
        <w:rPr>
          <w:rFonts w:ascii="Arial" w:hAnsi="Arial" w:cs="Arial"/>
          <w:color w:val="222222"/>
          <w:lang w:val="en-US"/>
        </w:rPr>
      </w:pPr>
      <w:r>
        <w:rPr>
          <w:rFonts w:ascii="Arial" w:hAnsi="Arial" w:cs="Arial"/>
          <w:color w:val="222222"/>
          <w:lang w:val="en-US"/>
        </w:rPr>
        <w:t>Zelazo, P.D., Carlson, S.M. and Kesek, A., (2008). The development of executive function in childhood.</w:t>
      </w:r>
    </w:p>
    <w:p w14:paraId="57AD8E0C" w14:textId="77777777" w:rsidR="00AC0128" w:rsidRDefault="001D6393"/>
    <w:sectPr w:rsidR="00AC0128" w:rsidSect="00F919DF">
      <w:pgSz w:w="12240" w:h="15840"/>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7"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393"/>
    <w:rsid w:val="001D6393"/>
    <w:rsid w:val="00981A0E"/>
    <w:rsid w:val="00FE63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B4D03A"/>
  <w15:chartTrackingRefBased/>
  <w15:docId w15:val="{74A6D580-291D-874F-9B45-B17BC80A14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3986</Words>
  <Characters>22725</Characters>
  <Application>Microsoft Office Word</Application>
  <DocSecurity>0</DocSecurity>
  <Lines>189</Lines>
  <Paragraphs>53</Paragraphs>
  <ScaleCrop>false</ScaleCrop>
  <Company/>
  <LinksUpToDate>false</LinksUpToDate>
  <CharactersWithSpaces>26658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Green</dc:creator>
  <cp:keywords/>
  <dc:description/>
  <cp:lastModifiedBy>Bethany Green</cp:lastModifiedBy>
  <cp:revision>1</cp:revision>
  <dcterms:created xsi:type="dcterms:W3CDTF">2022-04-22T22:11:00Z</dcterms:created>
  <dcterms:modified xsi:type="dcterms:W3CDTF">2022-04-22T22:12:00Z</dcterms:modified>
</cp:coreProperties>
</file>