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0811C" w14:textId="33167ABD" w:rsidR="006F0DF2" w:rsidRDefault="006F0DF2" w:rsidP="00AC62B8">
      <w:pPr>
        <w:jc w:val="center"/>
        <w:rPr>
          <w:b/>
          <w:bCs/>
          <w:lang w:val="en-GB"/>
        </w:rPr>
      </w:pPr>
      <w:r w:rsidRPr="00F417B2">
        <w:rPr>
          <w:b/>
          <w:bCs/>
          <w:noProof/>
          <w:lang w:val="en-GB"/>
        </w:rPr>
        <w:drawing>
          <wp:inline distT="0" distB="0" distL="0" distR="0" wp14:anchorId="0A83B769" wp14:editId="6262F9C1">
            <wp:extent cx="2103120" cy="790467"/>
            <wp:effectExtent l="0" t="0" r="0" b="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5"/>
                    <a:stretch>
                      <a:fillRect/>
                    </a:stretch>
                  </pic:blipFill>
                  <pic:spPr>
                    <a:xfrm>
                      <a:off x="0" y="0"/>
                      <a:ext cx="2154094" cy="809626"/>
                    </a:xfrm>
                    <a:prstGeom prst="rect">
                      <a:avLst/>
                    </a:prstGeom>
                  </pic:spPr>
                </pic:pic>
              </a:graphicData>
            </a:graphic>
          </wp:inline>
        </w:drawing>
      </w:r>
    </w:p>
    <w:p w14:paraId="507464C0" w14:textId="77777777" w:rsidR="00AC62B8" w:rsidRPr="00AC62B8" w:rsidRDefault="00AC62B8" w:rsidP="00AC62B8">
      <w:pPr>
        <w:jc w:val="center"/>
        <w:rPr>
          <w:b/>
          <w:bCs/>
          <w:lang w:val="en-GB"/>
        </w:rPr>
      </w:pPr>
    </w:p>
    <w:p w14:paraId="1945D6A8" w14:textId="77777777" w:rsidR="006F0DF2" w:rsidRPr="00F417B2" w:rsidRDefault="006F0DF2" w:rsidP="006F0DF2">
      <w:pPr>
        <w:jc w:val="center"/>
        <w:rPr>
          <w:b/>
          <w:bCs/>
          <w:sz w:val="36"/>
          <w:szCs w:val="36"/>
          <w:lang w:val="en-GB"/>
        </w:rPr>
      </w:pPr>
      <w:r w:rsidRPr="00F417B2">
        <w:rPr>
          <w:b/>
          <w:bCs/>
          <w:sz w:val="36"/>
          <w:szCs w:val="36"/>
          <w:lang w:val="en-GB"/>
        </w:rPr>
        <w:t>Sustainable Hospitality &amp; Tourism Management</w:t>
      </w:r>
    </w:p>
    <w:p w14:paraId="2748A973" w14:textId="77777777" w:rsidR="006F0DF2" w:rsidRPr="00F417B2" w:rsidRDefault="006F0DF2" w:rsidP="006F0DF2">
      <w:pPr>
        <w:jc w:val="center"/>
        <w:rPr>
          <w:b/>
          <w:bCs/>
          <w:sz w:val="36"/>
          <w:szCs w:val="36"/>
          <w:lang w:val="en-GB"/>
        </w:rPr>
      </w:pPr>
      <w:r w:rsidRPr="00F417B2">
        <w:rPr>
          <w:b/>
          <w:bCs/>
          <w:sz w:val="36"/>
          <w:szCs w:val="36"/>
          <w:lang w:val="en-GB"/>
        </w:rPr>
        <w:t>BMIH5006</w:t>
      </w:r>
    </w:p>
    <w:p w14:paraId="29996005" w14:textId="77777777" w:rsidR="006F0DF2" w:rsidRPr="00F417B2" w:rsidRDefault="006F0DF2" w:rsidP="006F0DF2">
      <w:pPr>
        <w:jc w:val="center"/>
        <w:rPr>
          <w:b/>
          <w:bCs/>
          <w:sz w:val="28"/>
          <w:szCs w:val="28"/>
          <w:lang w:val="en-GB"/>
        </w:rPr>
      </w:pPr>
      <w:r w:rsidRPr="00F417B2">
        <w:rPr>
          <w:b/>
          <w:bCs/>
          <w:sz w:val="28"/>
          <w:szCs w:val="28"/>
          <w:lang w:val="en-GB"/>
        </w:rPr>
        <w:t>Student Name: Abul Fozol Oliullah</w:t>
      </w:r>
    </w:p>
    <w:p w14:paraId="7C055EFA" w14:textId="77777777" w:rsidR="006F0DF2" w:rsidRDefault="006F0DF2" w:rsidP="006F0DF2">
      <w:pPr>
        <w:jc w:val="center"/>
        <w:rPr>
          <w:b/>
          <w:bCs/>
          <w:sz w:val="28"/>
          <w:szCs w:val="28"/>
          <w:lang w:val="en-GB"/>
        </w:rPr>
      </w:pPr>
      <w:r w:rsidRPr="00F417B2">
        <w:rPr>
          <w:b/>
          <w:bCs/>
          <w:sz w:val="28"/>
          <w:szCs w:val="28"/>
          <w:lang w:val="en-GB"/>
        </w:rPr>
        <w:t>Student ID: 2226836</w:t>
      </w:r>
    </w:p>
    <w:p w14:paraId="32BA2FC5" w14:textId="3DDB284F" w:rsidR="008702FA" w:rsidRPr="00F417B2" w:rsidRDefault="008702FA" w:rsidP="006F0DF2">
      <w:pPr>
        <w:jc w:val="center"/>
        <w:rPr>
          <w:b/>
          <w:bCs/>
          <w:sz w:val="28"/>
          <w:szCs w:val="28"/>
          <w:lang w:val="en-GB"/>
        </w:rPr>
      </w:pPr>
      <w:r>
        <w:rPr>
          <w:b/>
          <w:bCs/>
          <w:sz w:val="28"/>
          <w:szCs w:val="28"/>
          <w:lang w:val="en-GB"/>
        </w:rPr>
        <w:t>Lecturer Name</w:t>
      </w:r>
      <w:r w:rsidR="00D41BFA">
        <w:rPr>
          <w:b/>
          <w:bCs/>
          <w:sz w:val="28"/>
          <w:szCs w:val="28"/>
          <w:lang w:val="en-GB"/>
        </w:rPr>
        <w:t xml:space="preserve">: </w:t>
      </w:r>
      <w:r w:rsidR="0095481E">
        <w:rPr>
          <w:b/>
          <w:bCs/>
          <w:sz w:val="28"/>
          <w:szCs w:val="28"/>
          <w:lang w:val="en-GB"/>
        </w:rPr>
        <w:t>K</w:t>
      </w:r>
      <w:r w:rsidR="00D2334A">
        <w:rPr>
          <w:b/>
          <w:bCs/>
          <w:sz w:val="28"/>
          <w:szCs w:val="28"/>
          <w:lang w:val="en-GB"/>
        </w:rPr>
        <w:t>athryn Roberts</w:t>
      </w:r>
    </w:p>
    <w:p w14:paraId="7519A1BD" w14:textId="77777777" w:rsidR="006F0DF2" w:rsidRPr="00F417B2" w:rsidRDefault="006F0DF2" w:rsidP="006F0DF2">
      <w:pPr>
        <w:rPr>
          <w:b/>
          <w:bCs/>
          <w:sz w:val="32"/>
          <w:szCs w:val="32"/>
          <w:lang w:val="en-GB"/>
        </w:rPr>
      </w:pPr>
    </w:p>
    <w:p w14:paraId="735ED8DA" w14:textId="77777777" w:rsidR="006F0DF2" w:rsidRPr="00F417B2" w:rsidRDefault="006F0DF2" w:rsidP="006F0DF2">
      <w:pPr>
        <w:jc w:val="center"/>
        <w:rPr>
          <w:b/>
          <w:bCs/>
          <w:sz w:val="28"/>
          <w:szCs w:val="28"/>
          <w:lang w:val="en-GB"/>
        </w:rPr>
      </w:pPr>
      <w:r w:rsidRPr="00F417B2">
        <w:rPr>
          <w:b/>
          <w:bCs/>
          <w:sz w:val="28"/>
          <w:szCs w:val="28"/>
          <w:lang w:val="en-GB"/>
        </w:rPr>
        <w:t>AI Acknowledgement</w:t>
      </w:r>
    </w:p>
    <w:p w14:paraId="18B21384" w14:textId="77777777" w:rsidR="006F0DF2" w:rsidRPr="00F417B2" w:rsidRDefault="006F0DF2" w:rsidP="006F0DF2">
      <w:pPr>
        <w:rPr>
          <w:b/>
          <w:bCs/>
          <w:szCs w:val="24"/>
          <w:lang w:val="en-GB"/>
        </w:rPr>
      </w:pPr>
      <w:r w:rsidRPr="00F417B2">
        <w:rPr>
          <w:b/>
          <w:bCs/>
          <w:szCs w:val="24"/>
          <w:lang w:val="en-GB"/>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02A36D39" w14:textId="77777777" w:rsidR="006F0DF2" w:rsidRPr="00F417B2" w:rsidRDefault="006F0DF2" w:rsidP="006F0DF2">
      <w:pPr>
        <w:jc w:val="center"/>
        <w:rPr>
          <w:b/>
          <w:bCs/>
          <w:lang w:val="en-GB"/>
        </w:rPr>
      </w:pPr>
    </w:p>
    <w:p w14:paraId="52A1D502" w14:textId="77777777" w:rsidR="006F0DF2" w:rsidRPr="00F417B2" w:rsidRDefault="006F0DF2" w:rsidP="006F0DF2">
      <w:pPr>
        <w:jc w:val="center"/>
        <w:rPr>
          <w:b/>
          <w:bCs/>
          <w:lang w:val="en-GB"/>
        </w:rPr>
      </w:pPr>
    </w:p>
    <w:p w14:paraId="25759B80" w14:textId="77777777" w:rsidR="006F0DF2" w:rsidRPr="00F417B2" w:rsidRDefault="006F0DF2" w:rsidP="006F0DF2">
      <w:pPr>
        <w:jc w:val="center"/>
        <w:rPr>
          <w:b/>
          <w:bCs/>
          <w:lang w:val="en-GB"/>
        </w:rPr>
      </w:pPr>
    </w:p>
    <w:p w14:paraId="2BDB4BF4" w14:textId="77777777" w:rsidR="006F0DF2" w:rsidRPr="00F417B2" w:rsidRDefault="006F0DF2" w:rsidP="006F0DF2">
      <w:pPr>
        <w:jc w:val="center"/>
        <w:rPr>
          <w:b/>
          <w:bCs/>
          <w:lang w:val="en-GB"/>
        </w:rPr>
      </w:pPr>
    </w:p>
    <w:p w14:paraId="16FD89F0" w14:textId="77777777" w:rsidR="006F0DF2" w:rsidRPr="00F417B2" w:rsidRDefault="006F0DF2" w:rsidP="006F0DF2">
      <w:pPr>
        <w:jc w:val="center"/>
        <w:rPr>
          <w:b/>
          <w:bCs/>
          <w:lang w:val="en-GB"/>
        </w:rPr>
      </w:pPr>
    </w:p>
    <w:p w14:paraId="17A17BCE" w14:textId="77777777" w:rsidR="006F0DF2" w:rsidRPr="00F417B2" w:rsidRDefault="006F0DF2" w:rsidP="006F0DF2">
      <w:pPr>
        <w:spacing w:after="160" w:line="259" w:lineRule="auto"/>
        <w:jc w:val="left"/>
        <w:rPr>
          <w:b/>
          <w:bCs/>
          <w:lang w:val="en-GB"/>
        </w:rPr>
      </w:pPr>
      <w:r w:rsidRPr="00F417B2">
        <w:rPr>
          <w:b/>
          <w:bCs/>
          <w:lang w:val="en-GB"/>
        </w:rPr>
        <w:br w:type="page"/>
      </w:r>
    </w:p>
    <w:p w14:paraId="5AF631CB" w14:textId="6167F3DC" w:rsidR="00AC62B8" w:rsidRDefault="00030704" w:rsidP="006F0DF2">
      <w:pPr>
        <w:rPr>
          <w:lang w:val="en-GB"/>
        </w:rPr>
      </w:pPr>
      <w:r>
        <w:rPr>
          <w:lang w:val="en-GB"/>
        </w:rPr>
        <w:lastRenderedPageBreak/>
        <w:t>Essay</w:t>
      </w:r>
    </w:p>
    <w:p w14:paraId="2917497B" w14:textId="78496236" w:rsidR="006F0DF2" w:rsidRDefault="006F0DF2" w:rsidP="006F0DF2">
      <w:pPr>
        <w:rPr>
          <w:lang w:val="en-GB"/>
        </w:rPr>
      </w:pPr>
      <w:r w:rsidRPr="00F417B2">
        <w:rPr>
          <w:lang w:val="en-GB"/>
        </w:rPr>
        <w:t xml:space="preserve">Sustainable practices </w:t>
      </w:r>
      <w:r w:rsidR="00E17205" w:rsidRPr="00F417B2">
        <w:rPr>
          <w:lang w:val="en-GB"/>
        </w:rPr>
        <w:t>refer</w:t>
      </w:r>
      <w:r w:rsidRPr="00F417B2">
        <w:rPr>
          <w:lang w:val="en-GB"/>
        </w:rPr>
        <w:t xml:space="preserve"> to eco-friendly and socially acceptable hospitality practices adopted by hotels to minimi</w:t>
      </w:r>
      <w:r>
        <w:rPr>
          <w:lang w:val="en-GB"/>
        </w:rPr>
        <w:t>s</w:t>
      </w:r>
      <w:r w:rsidRPr="00F417B2">
        <w:rPr>
          <w:lang w:val="en-GB"/>
        </w:rPr>
        <w:t>e</w:t>
      </w:r>
      <w:r w:rsidR="00030704">
        <w:rPr>
          <w:lang w:val="en-GB"/>
        </w:rPr>
        <w:t xml:space="preserve"> or redu</w:t>
      </w:r>
      <w:r w:rsidR="002E7DEB">
        <w:rPr>
          <w:lang w:val="en-GB"/>
        </w:rPr>
        <w:t>ce</w:t>
      </w:r>
      <w:r w:rsidRPr="00F417B2">
        <w:rPr>
          <w:lang w:val="en-GB"/>
        </w:rPr>
        <w:t xml:space="preserve"> their carbon footprint and attain the economic sustainability of the business and the ecosystem. These practices include energy-efficient operations, minimi</w:t>
      </w:r>
      <w:r>
        <w:rPr>
          <w:lang w:val="en-GB"/>
        </w:rPr>
        <w:t>s</w:t>
      </w:r>
      <w:r w:rsidRPr="00F417B2">
        <w:rPr>
          <w:lang w:val="en-GB"/>
        </w:rPr>
        <w:t>ing waste production, reducing water consumption, responsible sourcing and engagement with stakeholders. Sustainability is the order of the day and hotels across the world are shelling out loads of resources to come up with and execute green initiatives that not only cater to the needs of eco-savvy travellers but also aim at reducing their carbon footprint. One more reason why the world-famous Belmont Hotel is going green with real actions, not words, to make sustainable living more affordable without any loss of luxury and comfort through its uniquely modern hospitality. The hotel features energy-saving lighting, waste management programs, and green amenities. But on closer inspection, some shortcomings in its sustainability ambitions are also revealed. Moreover, since solar energy utilization is low, water consumption is high and involvement with local and sustainable suppliers is limited, there are plenty of opportunities to improve on areas of performance. This essay is going to identify those gaps in The Belmont Hotel's sustainability practices and pinpoint the areas of improvement and action that are needed for a truly sustainable mechanism of operations. By joining these shortcomings, the hotel will improve its sustainability efforts, becoming a model of responsible hospitality (Ganiyu, Idris Olayiwola et al., 2024).</w:t>
      </w:r>
    </w:p>
    <w:p w14:paraId="7D6ABDA2" w14:textId="77777777" w:rsidR="006F0DF2" w:rsidRPr="00F417B2" w:rsidRDefault="006F0DF2" w:rsidP="006F0DF2">
      <w:pPr>
        <w:rPr>
          <w:lang w:val="en-GB"/>
        </w:rPr>
      </w:pPr>
    </w:p>
    <w:p w14:paraId="02F9FAC6" w14:textId="77777777" w:rsidR="006F0DF2" w:rsidRPr="00F417B2" w:rsidRDefault="006F0DF2" w:rsidP="006F0DF2">
      <w:pPr>
        <w:rPr>
          <w:lang w:val="en-GB"/>
        </w:rPr>
      </w:pPr>
      <w:r w:rsidRPr="00F417B2">
        <w:rPr>
          <w:lang w:val="en-GB"/>
        </w:rPr>
        <w:t xml:space="preserve">Implementing renewable energy usage is the most conspicuous component lacking in The Belmont Hotel's otherwise commendable placement as green energy practitioners. This reliance on traditional energy supplies there risks heightened carbon emissions -- and thus operational expenses. The hotel has equipped the property with energy-efficient light fixtures and energy-efficient appliances, but it does not yet have a plan for the generation of renewable </w:t>
      </w:r>
      <w:r w:rsidRPr="00F417B2">
        <w:rPr>
          <w:lang w:val="en-GB"/>
        </w:rPr>
        <w:lastRenderedPageBreak/>
        <w:t>energy, ultimately limiting the hotel from reaching its full potential of being a sustainable development. So there’s a gap that’s fillable and improvable a hotel’s eco-friendliness with a shift to renewable energy, say solar or wind power (Holden, 2018). With the implementation of renewable energy, the Belmont Hotel will significantly reduce its carbon footprint and contribute to the global commitment to sustainable, efficient energy use. Add solar panels or wind turbines which is also, in the long run, a great factor to minimize the expense of energy and can have a great impact on the hotel’s credibility as an eco-friendly hotel. For example, battery storage systems can guarantee energy reliability and efficiency in accordance with the green missions of Hotel 1s. Collaborating with local renewable energy companies or applying for government-sponsored incentives for green renovations might help ease the transition. Transitioning to renewable energy would allow The Belmont Hotel to improve sustainability investment and entice eco-friendly guests (Ertz, Lucian-Ionel Cioca and Martinez, 2023).</w:t>
      </w:r>
    </w:p>
    <w:p w14:paraId="4B16286A" w14:textId="77777777" w:rsidR="006F0DF2" w:rsidRPr="00F417B2" w:rsidRDefault="006F0DF2" w:rsidP="006F0DF2">
      <w:pPr>
        <w:rPr>
          <w:lang w:val="en-GB"/>
        </w:rPr>
      </w:pPr>
      <w:r w:rsidRPr="00F417B2">
        <w:rPr>
          <w:lang w:val="en-GB"/>
        </w:rPr>
        <w:t xml:space="preserve">Using such systems, the final part of renewable energy systems implementation is building and construction, this can include renewable energy systems replacing or become part of the system i.e. solar, wind, geothermal energy etc. It decreases reliance on fossil fuels, decreases greenhouse gas emissions, and at the end of the day, it conserves energy. The plan involves putting solar panels on the roof of the hotel, pulling down wind energy when possible and looking at geothermal heating and cooling options. All of these would lead to a more sustainable operation- taking the hotel closer to global best practice &amp; aligning with increasing customer demand (Shirvan et al., 2016). Finally, there are Energy Management systems that can also help The Belmont Hotel monitor more of the available resources on the premises more efficiently and thereby reduce wastage. With battery storage, we will have a stable power supply, and we will be able to use all the green energy. The donation of sustainable building materials to the construction stages should further solidify the hotel's commitment to eco-friendliness. The hotel can also help raise awareness of the environmental responsibility culture </w:t>
      </w:r>
      <w:r w:rsidRPr="00F417B2">
        <w:rPr>
          <w:lang w:val="en-GB"/>
        </w:rPr>
        <w:lastRenderedPageBreak/>
        <w:t>and the guests and the owners can experience the benefits of renewable energy directly which will further add to their brand appeal (Miguel Angel Gardetti and Ana Laura Torres, 2017).</w:t>
      </w:r>
    </w:p>
    <w:p w14:paraId="2C1943FA" w14:textId="77777777" w:rsidR="006F0DF2" w:rsidRPr="00F417B2" w:rsidRDefault="006F0DF2" w:rsidP="006F0DF2">
      <w:pPr>
        <w:rPr>
          <w:lang w:val="en-GB"/>
        </w:rPr>
      </w:pPr>
      <w:r w:rsidRPr="00F417B2">
        <w:rPr>
          <w:lang w:val="en-GB"/>
        </w:rPr>
        <w:t xml:space="preserve">All around the world, thousands of hotels and businesses have adopted the use of renewable energy. The Hilton Worldwide chain, for instance, has partnered with the Environmental Defense Fund to reduce its environmental footprint by 50 percent by 2030, and many of its properties have turned to solar power. The Proximity Hotel, North Carolina, USA, the first LEED Platinum-certified hotel that is now 100 percent powered by renewable energy is another superstar example (The et al., 2021). </w:t>
      </w:r>
    </w:p>
    <w:p w14:paraId="605193A7" w14:textId="77777777" w:rsidR="006F0DF2" w:rsidRPr="00F417B2" w:rsidRDefault="006F0DF2" w:rsidP="006F0DF2">
      <w:pPr>
        <w:rPr>
          <w:lang w:val="en-GB"/>
        </w:rPr>
      </w:pPr>
      <w:r w:rsidRPr="00F417B2">
        <w:rPr>
          <w:lang w:val="en-GB"/>
        </w:rPr>
        <w:t xml:space="preserve">There are more advantages and benefits to establishing renewable energy sources at The Belmont Hotel. For one, it drastically lowers the hotel’s carbon footprint, in sync with global sustainability agendas. Second, although the upfront cost could be high, long-term savings on your utility cost can be huge. Moreover, guests are now more likely to </w:t>
      </w:r>
      <w:r>
        <w:rPr>
          <w:lang w:val="en-GB"/>
        </w:rPr>
        <w:t>f</w:t>
      </w:r>
      <w:r w:rsidRPr="00F417B2">
        <w:rPr>
          <w:lang w:val="en-GB"/>
        </w:rPr>
        <w:t>avour eco-friendly accommodations, which also bolsters the hotel’s image and helps the hotel to attract more environmentally friendly guests. Renewable energy also comes with energy security, which decreases reliance on volatile fossil fuel costs. In general, the initiative promotes corporate social responsibility with tangible financial and reputational benefits (Idowu, 2016).</w:t>
      </w:r>
    </w:p>
    <w:p w14:paraId="349A5299" w14:textId="77777777" w:rsidR="006F0DF2" w:rsidRDefault="006F0DF2" w:rsidP="006F0DF2">
      <w:pPr>
        <w:rPr>
          <w:lang w:val="en-GB"/>
        </w:rPr>
      </w:pPr>
      <w:r w:rsidRPr="00F417B2">
        <w:rPr>
          <w:lang w:val="en-GB"/>
        </w:rPr>
        <w:t>There are problems as well as advantages of renewable energy picking renewable energy at The Belmont Hotel. The cost of installing solar panels or wind turbines for a hotel is at the heart of the Installation of solar or wind turbines at the hotel. This means space is limited, and it is difficult to install large solar or wind installations. Weather dependency also plays a role, as solar panels are less efficient on overcast days, and wind power relies on an adequate wind supply. Furthermore, the combination of renewable energy sources with current infrastructures could have significant technical and logistical challenges (Ellabban, Abu-Rub and Blaabjerg, 2020).</w:t>
      </w:r>
    </w:p>
    <w:p w14:paraId="1F5F84C3" w14:textId="54853336" w:rsidR="006F0DF2" w:rsidRPr="00F417B2" w:rsidRDefault="006F0DF2" w:rsidP="006F0DF2">
      <w:pPr>
        <w:rPr>
          <w:lang w:val="en-GB"/>
        </w:rPr>
      </w:pPr>
      <w:r w:rsidRPr="00F417B2">
        <w:rPr>
          <w:lang w:val="en-GB"/>
        </w:rPr>
        <w:lastRenderedPageBreak/>
        <w:t xml:space="preserve">Renewable energy infrastructure doesn’t come cheap, but it pays out far more in the long run than ever needs to be laid out upfront. Solar panels, for instance, usually </w:t>
      </w:r>
      <w:r w:rsidR="002E7DEB" w:rsidRPr="00F417B2">
        <w:rPr>
          <w:lang w:val="en-GB"/>
        </w:rPr>
        <w:t>pay off</w:t>
      </w:r>
      <w:r w:rsidRPr="00F417B2">
        <w:rPr>
          <w:lang w:val="en-GB"/>
        </w:rPr>
        <w:t xml:space="preserve"> between 5 to 10 years with energy bill savings. Government incentives, tax credits, and grants can make a dent in easing the financial strain (Scott, 2017). Additionally, net metering policies allow hotels to sell energy back to the grid when they have an excess amount, offering yet another avenue for revenue generation. Therefore, despite the upfront costs of renewable energy, the long-term ROI encourages that renewable energy is a cheap solution in the end. Well, from a financial perspective, renewable energy pays off for itself self-sustained in the long term, yes, initially, the infrastructure of renewable energy can be costly (that initial cost can be intimidating), but if you analyse it over the long term, renewable energy is cheaper and looking ahead (for future investment), it will be an attractive option as it will save many resources. Not only did solar panels lower the cost of electricity, </w:t>
      </w:r>
      <w:r w:rsidR="002E7DEB" w:rsidRPr="00F417B2">
        <w:rPr>
          <w:lang w:val="en-GB"/>
        </w:rPr>
        <w:t>but they</w:t>
      </w:r>
      <w:r w:rsidRPr="00F417B2">
        <w:rPr>
          <w:lang w:val="en-GB"/>
        </w:rPr>
        <w:t xml:space="preserve"> also achieved energy independence, protecting the hotel from fluctuating rates from the utility (National Research Council (U.S.). Committee On U.S.-China Cooperation </w:t>
      </w:r>
      <w:r w:rsidR="002E7DEB" w:rsidRPr="00F417B2">
        <w:rPr>
          <w:lang w:val="en-GB"/>
        </w:rPr>
        <w:t>on</w:t>
      </w:r>
      <w:r w:rsidRPr="00F417B2">
        <w:rPr>
          <w:lang w:val="en-GB"/>
        </w:rPr>
        <w:t xml:space="preserve"> Electricity From Renewable Resources et al., 2018). In addition, PPAs for power provide access to clean energy at a lower price with no capital outlays for a hotel. Implementations of energy-efficient upgrades, including LED lighting and smart energy management systems with analytics, can help increase savings. Other governments make low-interest loans available for renewable projects, reducing the financial burden. Through net metering and incentive programs, hotels can create an even additional revenue stream from this investment, making sustainability a financially viable and strategic practice (Engel, Pagiola and Wunder, 2022).</w:t>
      </w:r>
    </w:p>
    <w:p w14:paraId="2E74E3C4" w14:textId="77777777" w:rsidR="006F0DF2" w:rsidRPr="00F417B2" w:rsidRDefault="006F0DF2" w:rsidP="006F0DF2">
      <w:pPr>
        <w:rPr>
          <w:lang w:val="en-GB"/>
        </w:rPr>
      </w:pPr>
      <w:r w:rsidRPr="00F417B2">
        <w:rPr>
          <w:lang w:val="en-GB"/>
        </w:rPr>
        <w:t xml:space="preserve">This goal is achievable if the execution of the new renewable energy system at The Belmont Hotel is done in a phased manner. The hotel could also start by putting solar panels on roofs so that they do not depend so much on the grid to do this. A more practical transition could be made through power purchase agreements (PPAs) and partnering with renewable energy </w:t>
      </w:r>
      <w:r w:rsidRPr="00F417B2">
        <w:rPr>
          <w:lang w:val="en-GB"/>
        </w:rPr>
        <w:lastRenderedPageBreak/>
        <w:t>providers (Clouston, Westcott and Whitcombe, 2018). In addition, a gradual approach allows the hotel to monitor progress and modify plans as needed. By implementing incentives and advice from experts in renewable energy transition, the Belmont Hotel can accomplish this goal without any hiccups. Given the opportunity to phase these costs in overtime, a transition to renewable energy is relatively reasonable for The Belmont Hotel. The first step involves installing solar panels on rooftops to generate clean energy and reduce reliance on the traditional power grid (Asian Development Bank, 2015).</w:t>
      </w:r>
    </w:p>
    <w:p w14:paraId="55528F26" w14:textId="4F5F9F4B" w:rsidR="006F0DF2" w:rsidRPr="00F417B2" w:rsidRDefault="006F0DF2" w:rsidP="006F0DF2">
      <w:pPr>
        <w:rPr>
          <w:lang w:val="en-GB"/>
        </w:rPr>
      </w:pPr>
      <w:r w:rsidRPr="00F417B2">
        <w:rPr>
          <w:lang w:val="en-GB"/>
        </w:rPr>
        <w:t xml:space="preserve">The hotel can even collaborate with renewable energy suppliers, </w:t>
      </w:r>
      <w:r w:rsidR="002E7DEB" w:rsidRPr="00F417B2">
        <w:rPr>
          <w:lang w:val="en-GB"/>
        </w:rPr>
        <w:t>entering</w:t>
      </w:r>
      <w:r w:rsidRPr="00F417B2">
        <w:rPr>
          <w:lang w:val="en-GB"/>
        </w:rPr>
        <w:t xml:space="preserve"> PPAs (power purchase agreements) with them to seek and receive greener power at new competitive prices. The gradual integration also means the progress of gradual energy integration will focus on energy efficiency, energy efficiency. Many tax credits, government grants, and financial incentives can be leveraged to subsidize the hotel (Andrews et al., 2014).</w:t>
      </w:r>
    </w:p>
    <w:p w14:paraId="5B4A8071" w14:textId="77777777" w:rsidR="006F0DF2" w:rsidRPr="00F417B2" w:rsidRDefault="006F0DF2" w:rsidP="006F0DF2">
      <w:pPr>
        <w:rPr>
          <w:lang w:val="en-GB"/>
        </w:rPr>
      </w:pPr>
      <w:r w:rsidRPr="00F417B2">
        <w:rPr>
          <w:lang w:val="en-GB"/>
        </w:rPr>
        <w:t>There are a lot of meaningful and effective environmental upsides to altering to renewable energy sources. Not only will this help the hotel’s carbon footprint reduce significantly, but everyone involved in such extensive procedures contributes towards the ongoing fight against climate change (Patrick Charles Taylor, Langen and Tan, 2023). Less dependence on fossil fuels means fewer greenhouse gas emissions, better air quality, and less environmental degradation. Solar and wind energy also have low water inputs when compared to traditional power plants, which is another way it protects water resources. In general, by adopting renewable energy at The Belmont Hotel, you will be creating a more sustainable and eco-friendly hospitality operation (Rosenheck, 2020).</w:t>
      </w:r>
    </w:p>
    <w:p w14:paraId="542E4E82" w14:textId="4464E7D7" w:rsidR="006F0DF2" w:rsidRDefault="006F0DF2" w:rsidP="006F0DF2">
      <w:pPr>
        <w:rPr>
          <w:lang w:val="en-GB"/>
        </w:rPr>
      </w:pPr>
      <w:r w:rsidRPr="00F417B2">
        <w:rPr>
          <w:lang w:val="en-GB"/>
        </w:rPr>
        <w:t xml:space="preserve">Overcome a key gap in its sustainability, The Belmont Hotel </w:t>
      </w:r>
      <w:r w:rsidR="002E7DEB" w:rsidRPr="00F417B2">
        <w:rPr>
          <w:lang w:val="en-GB"/>
        </w:rPr>
        <w:t>could</w:t>
      </w:r>
      <w:r w:rsidRPr="00F417B2">
        <w:rPr>
          <w:lang w:val="en-GB"/>
        </w:rPr>
        <w:t xml:space="preserve"> address its dependency on fossil fuels and other forms of conventional energy and incorporate renewables into its energy mix. This </w:t>
      </w:r>
      <w:r w:rsidR="00E17205" w:rsidRPr="00F417B2">
        <w:rPr>
          <w:lang w:val="en-GB"/>
        </w:rPr>
        <w:t>moves</w:t>
      </w:r>
      <w:r w:rsidRPr="00F417B2">
        <w:rPr>
          <w:lang w:val="en-GB"/>
        </w:rPr>
        <w:t xml:space="preserve"> echoes global sustainability currents, attracts a rapidly growing class of nature-minded travellers, and, over the long run, should pay off operationally (Zhu et al., 2017). </w:t>
      </w:r>
    </w:p>
    <w:p w14:paraId="0F86BACE" w14:textId="77777777" w:rsidR="006F0DF2" w:rsidRPr="00F417B2" w:rsidRDefault="006F0DF2" w:rsidP="006F0DF2">
      <w:pPr>
        <w:rPr>
          <w:lang w:val="en-GB"/>
        </w:rPr>
      </w:pPr>
    </w:p>
    <w:p w14:paraId="3EB921B1" w14:textId="36D4B656" w:rsidR="006F0DF2" w:rsidRPr="00F417B2" w:rsidRDefault="006F0DF2" w:rsidP="006F0DF2">
      <w:pPr>
        <w:rPr>
          <w:lang w:val="en-GB"/>
        </w:rPr>
      </w:pPr>
      <w:r w:rsidRPr="00F417B2">
        <w:rPr>
          <w:lang w:val="en-GB"/>
        </w:rPr>
        <w:t xml:space="preserve">In conclusion, while this essay has already discussed how The Belmont Hotel has, indeed, taken great strides towards sustainability, the absence of renewable energy makes up an enormous gap in its sustainability plan. It should drive us in the direction of greener alternatives because of this reliance on traditional energy - that frees up carbon emissions, not to mention the stack in cost that is associated with them. Introducing some renewable energy, which can include solar and wind energy, both possible and beneficial, hotels across the globe show that this works (Espen Moe and Midford, 2014). The advantages of renewable energy sources comprise reduced environmental impact, lower long-term energy expenses, and increased brand equity among environmentally conscientious travellers (Alhamzah Alnoor et al., 2024). However, they </w:t>
      </w:r>
      <w:r w:rsidR="00E17205" w:rsidRPr="00F417B2">
        <w:rPr>
          <w:lang w:val="en-GB"/>
        </w:rPr>
        <w:t>must</w:t>
      </w:r>
      <w:r w:rsidRPr="00F417B2">
        <w:rPr>
          <w:lang w:val="en-GB"/>
        </w:rPr>
        <w:t xml:space="preserve"> navigate challenges like high initial costs, space limitations, and reliance on the weather. Yet financial benefits, expert consultations, and a progressive implementation plan make this transition feasible. Renewable energy adoption by The Belmont Hotel can thus enhance its sustainability initiatives, promote its competitive position, and contribute to global environmental goals. It can ultimately result in long-term operational and environmental benefits as well as in improvements for the hotel’s image as a leader in sustainable hospitality in the long run (Ivanova, Ivanov and Magnini, 2016).</w:t>
      </w:r>
    </w:p>
    <w:p w14:paraId="5F4E4742" w14:textId="77777777" w:rsidR="006F0DF2" w:rsidRPr="00F417B2" w:rsidRDefault="006F0DF2" w:rsidP="006F0DF2">
      <w:pPr>
        <w:rPr>
          <w:lang w:val="en-GB"/>
        </w:rPr>
      </w:pPr>
    </w:p>
    <w:p w14:paraId="5910A583" w14:textId="77777777" w:rsidR="006F0DF2" w:rsidRPr="00F417B2" w:rsidRDefault="006F0DF2" w:rsidP="006F0DF2">
      <w:pPr>
        <w:rPr>
          <w:lang w:val="en-GB"/>
        </w:rPr>
      </w:pPr>
    </w:p>
    <w:p w14:paraId="6EAA7A10" w14:textId="77777777" w:rsidR="006F0DF2" w:rsidRPr="00F417B2" w:rsidRDefault="006F0DF2" w:rsidP="006F0DF2">
      <w:pPr>
        <w:rPr>
          <w:lang w:val="en-GB"/>
        </w:rPr>
      </w:pPr>
    </w:p>
    <w:p w14:paraId="1D19B219" w14:textId="77777777" w:rsidR="006F0DF2" w:rsidRPr="00F417B2" w:rsidRDefault="006F0DF2" w:rsidP="006F0DF2">
      <w:pPr>
        <w:rPr>
          <w:lang w:val="en-GB"/>
        </w:rPr>
      </w:pPr>
    </w:p>
    <w:p w14:paraId="7DD22D57" w14:textId="77777777" w:rsidR="006F0DF2" w:rsidRPr="00F417B2" w:rsidRDefault="006F0DF2" w:rsidP="006F0DF2">
      <w:pPr>
        <w:rPr>
          <w:lang w:val="en-GB"/>
        </w:rPr>
      </w:pPr>
    </w:p>
    <w:p w14:paraId="03224EA8" w14:textId="77777777" w:rsidR="006F0DF2" w:rsidRPr="00F417B2" w:rsidRDefault="006F0DF2" w:rsidP="006F0DF2">
      <w:pPr>
        <w:rPr>
          <w:lang w:val="en-GB"/>
        </w:rPr>
      </w:pPr>
    </w:p>
    <w:p w14:paraId="24CD5DD7" w14:textId="77777777" w:rsidR="00E17205" w:rsidRDefault="00E17205" w:rsidP="006F0DF2">
      <w:pPr>
        <w:rPr>
          <w:b/>
          <w:bCs/>
          <w:lang w:val="en-GB"/>
        </w:rPr>
      </w:pPr>
    </w:p>
    <w:p w14:paraId="0E56E61C" w14:textId="77777777" w:rsidR="00E17205" w:rsidRDefault="00E17205" w:rsidP="006F0DF2">
      <w:pPr>
        <w:rPr>
          <w:b/>
          <w:bCs/>
          <w:lang w:val="en-GB"/>
        </w:rPr>
      </w:pPr>
    </w:p>
    <w:p w14:paraId="563033CF" w14:textId="7595C942" w:rsidR="006F0DF2" w:rsidRPr="00F417B2" w:rsidRDefault="006F0DF2" w:rsidP="006F0DF2">
      <w:pPr>
        <w:rPr>
          <w:b/>
          <w:bCs/>
          <w:lang w:val="en-GB"/>
        </w:rPr>
      </w:pPr>
      <w:r w:rsidRPr="00F417B2">
        <w:rPr>
          <w:b/>
          <w:bCs/>
          <w:lang w:val="en-GB"/>
        </w:rPr>
        <w:lastRenderedPageBreak/>
        <w:t>Reference list</w:t>
      </w:r>
    </w:p>
    <w:p w14:paraId="12406F8F" w14:textId="77777777" w:rsidR="006F0DF2" w:rsidRPr="00F417B2" w:rsidRDefault="006F0DF2" w:rsidP="006F0DF2">
      <w:pPr>
        <w:pStyle w:val="ListParagraph"/>
        <w:numPr>
          <w:ilvl w:val="0"/>
          <w:numId w:val="1"/>
        </w:numPr>
        <w:rPr>
          <w:lang w:val="en-GB"/>
        </w:rPr>
      </w:pPr>
      <w:r w:rsidRPr="00F417B2">
        <w:rPr>
          <w:lang w:val="en-GB"/>
        </w:rPr>
        <w:t xml:space="preserve">Alhamzah Alnoor, Gül Erkol Bayram, Chew XinYing and Shah, A. (2024). </w:t>
      </w:r>
      <w:r w:rsidRPr="00F417B2">
        <w:rPr>
          <w:i/>
          <w:iCs/>
          <w:lang w:val="en-GB"/>
        </w:rPr>
        <w:t>The Role of Artificial Intelligence in Regenerative Tourism and Green Destinations</w:t>
      </w:r>
      <w:r w:rsidRPr="00F417B2">
        <w:rPr>
          <w:lang w:val="en-GB"/>
        </w:rPr>
        <w:t>. Emerald Group Publishing.</w:t>
      </w:r>
    </w:p>
    <w:p w14:paraId="4D0485E2" w14:textId="77777777" w:rsidR="006F0DF2" w:rsidRPr="00F417B2" w:rsidRDefault="006F0DF2" w:rsidP="006F0DF2">
      <w:pPr>
        <w:pStyle w:val="ListParagraph"/>
        <w:numPr>
          <w:ilvl w:val="0"/>
          <w:numId w:val="1"/>
        </w:numPr>
        <w:rPr>
          <w:lang w:val="en-GB"/>
        </w:rPr>
      </w:pPr>
      <w:r w:rsidRPr="00F417B2">
        <w:rPr>
          <w:lang w:val="en-GB"/>
        </w:rPr>
        <w:t xml:space="preserve">Andrews, J.G., Buzzi, S., Choi, W., Hanly, S.V., Lozano, A., Soong, A.C.K. and Zhang, J.C. (2014). What Will 5G Be? </w:t>
      </w:r>
      <w:r w:rsidRPr="00F417B2">
        <w:rPr>
          <w:i/>
          <w:iCs/>
          <w:lang w:val="en-GB"/>
        </w:rPr>
        <w:t>IEEE Journal on Selected Areas in Communications</w:t>
      </w:r>
      <w:r w:rsidRPr="00F417B2">
        <w:rPr>
          <w:lang w:val="en-GB"/>
        </w:rPr>
        <w:t>, [online] 32(6), pp.1065–1082. doi:https://doi.org/10.1109/jsac.2014.2328098.</w:t>
      </w:r>
    </w:p>
    <w:p w14:paraId="41910D23" w14:textId="77777777" w:rsidR="006F0DF2" w:rsidRPr="00F417B2" w:rsidRDefault="006F0DF2" w:rsidP="006F0DF2">
      <w:pPr>
        <w:pStyle w:val="ListParagraph"/>
        <w:numPr>
          <w:ilvl w:val="0"/>
          <w:numId w:val="1"/>
        </w:numPr>
        <w:rPr>
          <w:lang w:val="en-GB"/>
        </w:rPr>
      </w:pPr>
      <w:r w:rsidRPr="00F417B2">
        <w:rPr>
          <w:lang w:val="en-GB"/>
        </w:rPr>
        <w:t xml:space="preserve">Asian Development Bank (2015). </w:t>
      </w:r>
      <w:r w:rsidRPr="00F417B2">
        <w:rPr>
          <w:i/>
          <w:iCs/>
          <w:lang w:val="en-GB"/>
        </w:rPr>
        <w:t>Handbook for Rooftop Solar Development in Asia</w:t>
      </w:r>
      <w:r w:rsidRPr="00F417B2">
        <w:rPr>
          <w:lang w:val="en-GB"/>
        </w:rPr>
        <w:t>. Asian Development Bank.</w:t>
      </w:r>
    </w:p>
    <w:p w14:paraId="74B1CFFA" w14:textId="77777777" w:rsidR="006F0DF2" w:rsidRPr="00F417B2" w:rsidRDefault="006F0DF2" w:rsidP="006F0DF2">
      <w:pPr>
        <w:pStyle w:val="ListParagraph"/>
        <w:numPr>
          <w:ilvl w:val="0"/>
          <w:numId w:val="1"/>
        </w:numPr>
        <w:rPr>
          <w:lang w:val="en-GB"/>
        </w:rPr>
      </w:pPr>
      <w:r w:rsidRPr="00F417B2">
        <w:rPr>
          <w:lang w:val="en-GB"/>
        </w:rPr>
        <w:t xml:space="preserve">Clouston, T.J., Westcott, L. and Whitcombe, S.W. (2018). </w:t>
      </w:r>
      <w:r w:rsidRPr="00F417B2">
        <w:rPr>
          <w:i/>
          <w:iCs/>
          <w:lang w:val="en-GB"/>
        </w:rPr>
        <w:t>Transitions to practice : essential concepts for health and social care practitioners</w:t>
      </w:r>
      <w:r w:rsidRPr="00F417B2">
        <w:rPr>
          <w:lang w:val="en-GB"/>
        </w:rPr>
        <w:t>. Keswick: M &amp; K Update Ltd.</w:t>
      </w:r>
    </w:p>
    <w:p w14:paraId="6484A8F9" w14:textId="77777777" w:rsidR="006F0DF2" w:rsidRPr="00F417B2" w:rsidRDefault="006F0DF2" w:rsidP="006F0DF2">
      <w:pPr>
        <w:pStyle w:val="ListParagraph"/>
        <w:numPr>
          <w:ilvl w:val="0"/>
          <w:numId w:val="1"/>
        </w:numPr>
        <w:rPr>
          <w:lang w:val="en-GB"/>
        </w:rPr>
      </w:pPr>
      <w:r w:rsidRPr="00F417B2">
        <w:rPr>
          <w:lang w:val="en-GB"/>
        </w:rPr>
        <w:t xml:space="preserve">Ellabban, O., Abu-Rub, H. and Blaabjerg, F. (2020). Renewable energy resources: Current status, future prospects and their enabling technology. </w:t>
      </w:r>
      <w:r w:rsidRPr="00F417B2">
        <w:rPr>
          <w:i/>
          <w:iCs/>
          <w:lang w:val="en-GB"/>
        </w:rPr>
        <w:t>Renewable and Sustainable Energy Reviews</w:t>
      </w:r>
      <w:r w:rsidRPr="00F417B2">
        <w:rPr>
          <w:lang w:val="en-GB"/>
        </w:rPr>
        <w:t>, [online] 39(39), pp.748–764. doi:https://doi.org/10.1016/j.rser.2014.07.113.</w:t>
      </w:r>
    </w:p>
    <w:p w14:paraId="50533BBD" w14:textId="77777777" w:rsidR="006F0DF2" w:rsidRPr="00F417B2" w:rsidRDefault="006F0DF2" w:rsidP="006F0DF2">
      <w:pPr>
        <w:pStyle w:val="ListParagraph"/>
        <w:numPr>
          <w:ilvl w:val="0"/>
          <w:numId w:val="1"/>
        </w:numPr>
        <w:rPr>
          <w:lang w:val="en-GB"/>
        </w:rPr>
      </w:pPr>
      <w:r w:rsidRPr="00F417B2">
        <w:rPr>
          <w:lang w:val="en-GB"/>
        </w:rPr>
        <w:t xml:space="preserve">Engel, S., Pagiola, S. and Wunder, S. (2022). Designing payments for environmental services in theory and practice: An overview of the issues. </w:t>
      </w:r>
      <w:r w:rsidRPr="00F417B2">
        <w:rPr>
          <w:i/>
          <w:iCs/>
          <w:lang w:val="en-GB"/>
        </w:rPr>
        <w:t>Ecological Economics</w:t>
      </w:r>
      <w:r w:rsidRPr="00F417B2">
        <w:rPr>
          <w:lang w:val="en-GB"/>
        </w:rPr>
        <w:t>, 65(4), pp.663–674.</w:t>
      </w:r>
    </w:p>
    <w:p w14:paraId="24278EFD" w14:textId="77777777" w:rsidR="006F0DF2" w:rsidRPr="00F417B2" w:rsidRDefault="006F0DF2" w:rsidP="006F0DF2">
      <w:pPr>
        <w:pStyle w:val="ListParagraph"/>
        <w:numPr>
          <w:ilvl w:val="0"/>
          <w:numId w:val="1"/>
        </w:numPr>
        <w:rPr>
          <w:lang w:val="en-GB"/>
        </w:rPr>
      </w:pPr>
      <w:r w:rsidRPr="00F417B2">
        <w:rPr>
          <w:lang w:val="en-GB"/>
        </w:rPr>
        <w:t xml:space="preserve">Ertz, M., Lucian-Ionel Cioca and Martinez, L.F. (2023). </w:t>
      </w:r>
      <w:r w:rsidRPr="00F417B2">
        <w:rPr>
          <w:i/>
          <w:iCs/>
          <w:lang w:val="en-GB"/>
        </w:rPr>
        <w:t>Highlights in environmental psychology: Pro-environmental purchase intent</w:t>
      </w:r>
      <w:r w:rsidRPr="00F417B2">
        <w:rPr>
          <w:lang w:val="en-GB"/>
        </w:rPr>
        <w:t>. Frontiers Media SA.</w:t>
      </w:r>
    </w:p>
    <w:p w14:paraId="1CA544C6" w14:textId="77777777" w:rsidR="006F0DF2" w:rsidRPr="00F417B2" w:rsidRDefault="006F0DF2" w:rsidP="006F0DF2">
      <w:pPr>
        <w:pStyle w:val="ListParagraph"/>
        <w:numPr>
          <w:ilvl w:val="0"/>
          <w:numId w:val="1"/>
        </w:numPr>
        <w:rPr>
          <w:lang w:val="en-GB"/>
        </w:rPr>
      </w:pPr>
      <w:r w:rsidRPr="00F417B2">
        <w:rPr>
          <w:lang w:val="en-GB"/>
        </w:rPr>
        <w:t xml:space="preserve">Espen Moe and Midford, P. (2014). </w:t>
      </w:r>
      <w:r w:rsidRPr="00F417B2">
        <w:rPr>
          <w:i/>
          <w:iCs/>
          <w:lang w:val="en-GB"/>
        </w:rPr>
        <w:t>The political economy of renewable energy and energy security ; common challenges and national responses in Japan, China and northern Europe</w:t>
      </w:r>
      <w:r w:rsidRPr="00F417B2">
        <w:rPr>
          <w:lang w:val="en-GB"/>
        </w:rPr>
        <w:t>. Basingstoke: Palgrave Macmillan.</w:t>
      </w:r>
    </w:p>
    <w:p w14:paraId="0B4C10A3" w14:textId="77777777" w:rsidR="006F0DF2" w:rsidRPr="00F417B2" w:rsidRDefault="006F0DF2" w:rsidP="006F0DF2">
      <w:pPr>
        <w:pStyle w:val="ListParagraph"/>
        <w:numPr>
          <w:ilvl w:val="0"/>
          <w:numId w:val="1"/>
        </w:numPr>
        <w:rPr>
          <w:lang w:val="en-GB"/>
        </w:rPr>
      </w:pPr>
      <w:r w:rsidRPr="00F417B2">
        <w:rPr>
          <w:lang w:val="en-GB"/>
        </w:rPr>
        <w:lastRenderedPageBreak/>
        <w:t xml:space="preserve">Ganiyu, Idris Olayiwola, Olarewaju, Odunayo Magret, Ige-Olaobaju, Adejoke Yesimi and Atiku, Sulaiman Olusegun (2024). </w:t>
      </w:r>
      <w:r w:rsidRPr="00F417B2">
        <w:rPr>
          <w:i/>
          <w:iCs/>
          <w:lang w:val="en-GB"/>
        </w:rPr>
        <w:t>Waste Management and Life Cycle Assessment for Sustainable Business Practice</w:t>
      </w:r>
      <w:r w:rsidRPr="00F417B2">
        <w:rPr>
          <w:lang w:val="en-GB"/>
        </w:rPr>
        <w:t>. IGI Global.</w:t>
      </w:r>
    </w:p>
    <w:p w14:paraId="0026F33E" w14:textId="77777777" w:rsidR="006F0DF2" w:rsidRPr="00F417B2" w:rsidRDefault="006F0DF2" w:rsidP="006F0DF2">
      <w:pPr>
        <w:pStyle w:val="ListParagraph"/>
        <w:numPr>
          <w:ilvl w:val="0"/>
          <w:numId w:val="1"/>
        </w:numPr>
        <w:rPr>
          <w:lang w:val="en-GB"/>
        </w:rPr>
      </w:pPr>
      <w:r w:rsidRPr="00F417B2">
        <w:rPr>
          <w:lang w:val="en-GB"/>
        </w:rPr>
        <w:t xml:space="preserve">Holden, A. (2018). </w:t>
      </w:r>
      <w:r w:rsidRPr="00F417B2">
        <w:rPr>
          <w:i/>
          <w:iCs/>
          <w:lang w:val="en-GB"/>
        </w:rPr>
        <w:t>Environment and tourism</w:t>
      </w:r>
      <w:r w:rsidRPr="00F417B2">
        <w:rPr>
          <w:lang w:val="en-GB"/>
        </w:rPr>
        <w:t>. London: Routledge.</w:t>
      </w:r>
    </w:p>
    <w:p w14:paraId="714E4393" w14:textId="77777777" w:rsidR="006F0DF2" w:rsidRPr="00F417B2" w:rsidRDefault="006F0DF2" w:rsidP="006F0DF2">
      <w:pPr>
        <w:pStyle w:val="ListParagraph"/>
        <w:numPr>
          <w:ilvl w:val="0"/>
          <w:numId w:val="1"/>
        </w:numPr>
        <w:rPr>
          <w:lang w:val="en-GB"/>
        </w:rPr>
      </w:pPr>
      <w:r w:rsidRPr="00F417B2">
        <w:rPr>
          <w:lang w:val="en-GB"/>
        </w:rPr>
        <w:t xml:space="preserve">Idowu, S.O. (2016). </w:t>
      </w:r>
      <w:r w:rsidRPr="00F417B2">
        <w:rPr>
          <w:i/>
          <w:iCs/>
          <w:lang w:val="en-GB"/>
        </w:rPr>
        <w:t>Key Initiatives in Corporate Social Responsibility : Global Dimension of CSR in Corporate Entities</w:t>
      </w:r>
      <w:r w:rsidRPr="00F417B2">
        <w:rPr>
          <w:lang w:val="en-GB"/>
        </w:rPr>
        <w:t>. Cham: Springer International Publishing.</w:t>
      </w:r>
    </w:p>
    <w:p w14:paraId="62834521" w14:textId="77777777" w:rsidR="006F0DF2" w:rsidRPr="00F417B2" w:rsidRDefault="006F0DF2" w:rsidP="006F0DF2">
      <w:pPr>
        <w:pStyle w:val="ListParagraph"/>
        <w:numPr>
          <w:ilvl w:val="0"/>
          <w:numId w:val="1"/>
        </w:numPr>
        <w:rPr>
          <w:lang w:val="en-GB"/>
        </w:rPr>
      </w:pPr>
      <w:r w:rsidRPr="00F417B2">
        <w:rPr>
          <w:lang w:val="en-GB"/>
        </w:rPr>
        <w:t xml:space="preserve">Ivanova, M., Ivanov, S. and Magnini, V.P. (2016). </w:t>
      </w:r>
      <w:r w:rsidRPr="00F417B2">
        <w:rPr>
          <w:i/>
          <w:iCs/>
          <w:lang w:val="en-GB"/>
        </w:rPr>
        <w:t>The Routledge Handbook of Hotel Chain Management</w:t>
      </w:r>
      <w:r w:rsidRPr="00F417B2">
        <w:rPr>
          <w:lang w:val="en-GB"/>
        </w:rPr>
        <w:t>. Routledge.</w:t>
      </w:r>
    </w:p>
    <w:p w14:paraId="60FFEC69" w14:textId="77777777" w:rsidR="006F0DF2" w:rsidRPr="00F417B2" w:rsidRDefault="006F0DF2" w:rsidP="006F0DF2">
      <w:pPr>
        <w:pStyle w:val="ListParagraph"/>
        <w:numPr>
          <w:ilvl w:val="0"/>
          <w:numId w:val="1"/>
        </w:numPr>
        <w:rPr>
          <w:lang w:val="en-GB"/>
        </w:rPr>
      </w:pPr>
      <w:r w:rsidRPr="00F417B2">
        <w:rPr>
          <w:lang w:val="en-GB"/>
        </w:rPr>
        <w:t xml:space="preserve">Miguel Angel Gardetti and Ana Laura Torres (2017). </w:t>
      </w:r>
      <w:r w:rsidRPr="00F417B2">
        <w:rPr>
          <w:i/>
          <w:iCs/>
          <w:lang w:val="en-GB"/>
        </w:rPr>
        <w:t>Sustainability in Hospitality</w:t>
      </w:r>
      <w:r w:rsidRPr="00F417B2">
        <w:rPr>
          <w:lang w:val="en-GB"/>
        </w:rPr>
        <w:t>. Routledge.</w:t>
      </w:r>
    </w:p>
    <w:p w14:paraId="551D67C9" w14:textId="77777777" w:rsidR="006F0DF2" w:rsidRPr="00F417B2" w:rsidRDefault="006F0DF2" w:rsidP="006F0DF2">
      <w:pPr>
        <w:pStyle w:val="ListParagraph"/>
        <w:numPr>
          <w:ilvl w:val="0"/>
          <w:numId w:val="1"/>
        </w:numPr>
        <w:rPr>
          <w:lang w:val="en-GB"/>
        </w:rPr>
      </w:pPr>
      <w:r w:rsidRPr="00F417B2">
        <w:rPr>
          <w:lang w:val="en-GB"/>
        </w:rPr>
        <w:t xml:space="preserve">National Research Council (U.S.). Committee On U.S.-China Cooperation On Electricity From Renewable Resources, National Academies (U.S, Zhongguo Ke Xue Yuan, Zhongguo Gong Cheng Yuan and National Academies Press (U.S (2018). </w:t>
      </w:r>
      <w:r w:rsidRPr="00F417B2">
        <w:rPr>
          <w:i/>
          <w:iCs/>
          <w:lang w:val="en-GB"/>
        </w:rPr>
        <w:t>The power of renewables : opportunities and challenges for China and the United States</w:t>
      </w:r>
      <w:r w:rsidRPr="00F417B2">
        <w:rPr>
          <w:lang w:val="en-GB"/>
        </w:rPr>
        <w:t>. Washington, D.C.: National Academies Press.</w:t>
      </w:r>
    </w:p>
    <w:p w14:paraId="64237C95" w14:textId="77777777" w:rsidR="006F0DF2" w:rsidRPr="00F417B2" w:rsidRDefault="006F0DF2" w:rsidP="006F0DF2">
      <w:pPr>
        <w:pStyle w:val="ListParagraph"/>
        <w:numPr>
          <w:ilvl w:val="0"/>
          <w:numId w:val="1"/>
        </w:numPr>
        <w:rPr>
          <w:lang w:val="en-GB"/>
        </w:rPr>
      </w:pPr>
      <w:r w:rsidRPr="00F417B2">
        <w:rPr>
          <w:lang w:val="en-GB"/>
        </w:rPr>
        <w:t xml:space="preserve">Patrick Charles Taylor, Langen, P.L. and Tan, I. (2023). </w:t>
      </w:r>
      <w:r w:rsidRPr="00F417B2">
        <w:rPr>
          <w:i/>
          <w:iCs/>
          <w:lang w:val="en-GB"/>
        </w:rPr>
        <w:t>Arctic amplification: Feedback process interactions and contributions</w:t>
      </w:r>
      <w:r w:rsidRPr="00F417B2">
        <w:rPr>
          <w:lang w:val="en-GB"/>
        </w:rPr>
        <w:t>. Frontiers Media SA.</w:t>
      </w:r>
    </w:p>
    <w:p w14:paraId="406F55EB" w14:textId="77777777" w:rsidR="006F0DF2" w:rsidRPr="00F417B2" w:rsidRDefault="006F0DF2" w:rsidP="006F0DF2">
      <w:pPr>
        <w:pStyle w:val="ListParagraph"/>
        <w:numPr>
          <w:ilvl w:val="0"/>
          <w:numId w:val="1"/>
        </w:numPr>
        <w:rPr>
          <w:lang w:val="en-GB"/>
        </w:rPr>
      </w:pPr>
      <w:r w:rsidRPr="00F417B2">
        <w:rPr>
          <w:lang w:val="en-GB"/>
        </w:rPr>
        <w:t xml:space="preserve">Rosenheck, A. (2020). </w:t>
      </w:r>
      <w:r w:rsidRPr="00F417B2">
        <w:rPr>
          <w:i/>
          <w:iCs/>
          <w:lang w:val="en-GB"/>
        </w:rPr>
        <w:t>The New Southern Style</w:t>
      </w:r>
      <w:r w:rsidRPr="00F417B2">
        <w:rPr>
          <w:lang w:val="en-GB"/>
        </w:rPr>
        <w:t>. Abrams.</w:t>
      </w:r>
    </w:p>
    <w:p w14:paraId="0A3FE088" w14:textId="77777777" w:rsidR="006F0DF2" w:rsidRPr="00F417B2" w:rsidRDefault="006F0DF2" w:rsidP="006F0DF2">
      <w:pPr>
        <w:pStyle w:val="ListParagraph"/>
        <w:numPr>
          <w:ilvl w:val="0"/>
          <w:numId w:val="1"/>
        </w:numPr>
        <w:rPr>
          <w:lang w:val="en-GB"/>
        </w:rPr>
      </w:pPr>
      <w:r w:rsidRPr="00F417B2">
        <w:rPr>
          <w:lang w:val="en-GB"/>
        </w:rPr>
        <w:t xml:space="preserve">Scott, J.T. (2017). </w:t>
      </w:r>
      <w:r w:rsidRPr="00F417B2">
        <w:rPr>
          <w:i/>
          <w:iCs/>
          <w:lang w:val="en-GB"/>
        </w:rPr>
        <w:t>The Sustainable Business</w:t>
      </w:r>
      <w:r w:rsidRPr="00F417B2">
        <w:rPr>
          <w:lang w:val="en-GB"/>
        </w:rPr>
        <w:t>. Routledge.</w:t>
      </w:r>
    </w:p>
    <w:p w14:paraId="4F9571CF" w14:textId="77777777" w:rsidR="006F0DF2" w:rsidRPr="00F417B2" w:rsidRDefault="006F0DF2" w:rsidP="006F0DF2">
      <w:pPr>
        <w:pStyle w:val="ListParagraph"/>
        <w:numPr>
          <w:ilvl w:val="0"/>
          <w:numId w:val="1"/>
        </w:numPr>
        <w:rPr>
          <w:lang w:val="en-GB"/>
        </w:rPr>
      </w:pPr>
      <w:r w:rsidRPr="00F417B2">
        <w:rPr>
          <w:lang w:val="en-GB"/>
        </w:rPr>
        <w:t xml:space="preserve">Shirvan, K., Ballinger, R., Buongiorno, J., Forsberg, C., Kazimi, M. and Todreas, N. (2016). Technology Selection for Offshore Underwater Small Modular Reactors. </w:t>
      </w:r>
      <w:r w:rsidRPr="00F417B2">
        <w:rPr>
          <w:i/>
          <w:iCs/>
          <w:lang w:val="en-GB"/>
        </w:rPr>
        <w:t>Nuclear Engineering and Technology</w:t>
      </w:r>
      <w:r w:rsidRPr="00F417B2">
        <w:rPr>
          <w:lang w:val="en-GB"/>
        </w:rPr>
        <w:t>, 48(6), pp.1303–1314. doi:https://doi.org/10.1016/j.net.2016.06.002.</w:t>
      </w:r>
    </w:p>
    <w:p w14:paraId="333BF914" w14:textId="77777777" w:rsidR="006F0DF2" w:rsidRPr="00F417B2" w:rsidRDefault="006F0DF2" w:rsidP="006F0DF2">
      <w:pPr>
        <w:pStyle w:val="ListParagraph"/>
        <w:numPr>
          <w:ilvl w:val="0"/>
          <w:numId w:val="1"/>
        </w:numPr>
        <w:rPr>
          <w:lang w:val="en-GB"/>
        </w:rPr>
      </w:pPr>
      <w:r w:rsidRPr="00F417B2">
        <w:rPr>
          <w:lang w:val="en-GB"/>
        </w:rPr>
        <w:t xml:space="preserve">The, I., National Academies Of Sciences, Engineering, And Medicine (U.S.). Board On Energy And Environmental Systems, National Academies Of Sciences, Engineering, </w:t>
      </w:r>
      <w:r w:rsidRPr="00F417B2">
        <w:rPr>
          <w:lang w:val="en-GB"/>
        </w:rPr>
        <w:lastRenderedPageBreak/>
        <w:t xml:space="preserve">And Medicine (U.S.). Division On Engineering And Physical Sciences, National Academies Of Sciences, Engineering, And Medicine (U.S.). Board On Environmental Change And Society and National Academies Of Sciences, Engineering, And Medicine (U.S.). Division Of Behavioral And Social Sciences And Education (2021). </w:t>
      </w:r>
      <w:r w:rsidRPr="00F417B2">
        <w:rPr>
          <w:i/>
          <w:iCs/>
          <w:lang w:val="en-GB"/>
        </w:rPr>
        <w:t>Accelerating decarbonization of the U.S. energy system</w:t>
      </w:r>
      <w:r w:rsidRPr="00F417B2">
        <w:rPr>
          <w:lang w:val="en-GB"/>
        </w:rPr>
        <w:t>. Washington, Dc: The National Academies Press.</w:t>
      </w:r>
    </w:p>
    <w:p w14:paraId="1ECF36CE" w14:textId="77777777" w:rsidR="006F0DF2" w:rsidRPr="00F417B2" w:rsidRDefault="006F0DF2" w:rsidP="006F0DF2">
      <w:pPr>
        <w:pStyle w:val="ListParagraph"/>
        <w:numPr>
          <w:ilvl w:val="0"/>
          <w:numId w:val="1"/>
        </w:numPr>
        <w:rPr>
          <w:lang w:val="en-GB"/>
        </w:rPr>
      </w:pPr>
      <w:r w:rsidRPr="00F417B2">
        <w:rPr>
          <w:lang w:val="en-GB"/>
        </w:rPr>
        <w:t xml:space="preserve">Zhu, Y.P., Guo, C., Zheng, Y. and Qiao, S.-Z. (2017). Surface and Interface Engineering of Noble-Metal-Free Electrocatalysts for Efficient Energy Conversion Processes. </w:t>
      </w:r>
      <w:r w:rsidRPr="00F417B2">
        <w:rPr>
          <w:i/>
          <w:iCs/>
          <w:lang w:val="en-GB"/>
        </w:rPr>
        <w:t>Accounts of Chemical Research</w:t>
      </w:r>
      <w:r w:rsidRPr="00F417B2">
        <w:rPr>
          <w:lang w:val="en-GB"/>
        </w:rPr>
        <w:t>, 50(4), pp.915–923. doi:https://doi.org/10.1021/acs.accounts.6b00635.</w:t>
      </w:r>
    </w:p>
    <w:p w14:paraId="0E763BB4" w14:textId="77777777" w:rsidR="006F0DF2" w:rsidRPr="00F417B2" w:rsidRDefault="006F0DF2" w:rsidP="006F0DF2">
      <w:pPr>
        <w:rPr>
          <w:lang w:val="en-GB"/>
        </w:rPr>
      </w:pPr>
    </w:p>
    <w:p w14:paraId="68DD2B13" w14:textId="77777777" w:rsidR="006F0DF2" w:rsidRPr="00F417B2" w:rsidRDefault="006F0DF2" w:rsidP="006F0DF2">
      <w:pPr>
        <w:rPr>
          <w:lang w:val="en-GB"/>
        </w:rPr>
      </w:pPr>
    </w:p>
    <w:p w14:paraId="07CA6B12" w14:textId="77777777" w:rsidR="006F0DF2" w:rsidRPr="00F417B2" w:rsidRDefault="006F0DF2" w:rsidP="006F0DF2">
      <w:pPr>
        <w:rPr>
          <w:lang w:val="en-GB"/>
        </w:rPr>
      </w:pPr>
    </w:p>
    <w:p w14:paraId="7B7A4BFB" w14:textId="77777777" w:rsidR="006F0DF2" w:rsidRPr="00F417B2" w:rsidRDefault="006F0DF2" w:rsidP="006F0DF2">
      <w:pPr>
        <w:rPr>
          <w:lang w:val="en-GB"/>
        </w:rPr>
      </w:pPr>
    </w:p>
    <w:p w14:paraId="1DC1D01A" w14:textId="77777777" w:rsidR="006F0DF2" w:rsidRPr="00F417B2" w:rsidRDefault="006F0DF2" w:rsidP="006F0DF2">
      <w:pPr>
        <w:rPr>
          <w:lang w:val="en-GB"/>
        </w:rPr>
      </w:pPr>
    </w:p>
    <w:p w14:paraId="2F5928EC" w14:textId="77777777" w:rsidR="006F0DF2" w:rsidRPr="00F417B2" w:rsidRDefault="006F0DF2" w:rsidP="006F0DF2">
      <w:pPr>
        <w:rPr>
          <w:lang w:val="en-GB"/>
        </w:rPr>
      </w:pPr>
    </w:p>
    <w:p w14:paraId="69369DAF" w14:textId="6842DEB0" w:rsidR="00B551D0" w:rsidRDefault="00B551D0"/>
    <w:sectPr w:rsidR="00B551D0" w:rsidSect="006F0DF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F692D"/>
    <w:multiLevelType w:val="hybridMultilevel"/>
    <w:tmpl w:val="80E8A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38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D0"/>
    <w:rsid w:val="00030704"/>
    <w:rsid w:val="00286FE8"/>
    <w:rsid w:val="002E7DEB"/>
    <w:rsid w:val="00317D5F"/>
    <w:rsid w:val="006F0DF2"/>
    <w:rsid w:val="008702FA"/>
    <w:rsid w:val="0095481E"/>
    <w:rsid w:val="009B478E"/>
    <w:rsid w:val="00AC62B8"/>
    <w:rsid w:val="00B45085"/>
    <w:rsid w:val="00B551D0"/>
    <w:rsid w:val="00D2334A"/>
    <w:rsid w:val="00D41BFA"/>
    <w:rsid w:val="00D834DD"/>
    <w:rsid w:val="00DE70D1"/>
    <w:rsid w:val="00E1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D0B19"/>
  <w15:chartTrackingRefBased/>
  <w15:docId w15:val="{5853C32E-39F4-44F7-A80E-3E7EDC1E8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DF2"/>
    <w:pPr>
      <w:spacing w:after="0" w:line="48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B551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51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51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51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51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51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1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1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1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1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51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51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51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51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5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1D0"/>
    <w:rPr>
      <w:rFonts w:eastAsiaTheme="majorEastAsia" w:cstheme="majorBidi"/>
      <w:color w:val="272727" w:themeColor="text1" w:themeTint="D8"/>
    </w:rPr>
  </w:style>
  <w:style w:type="paragraph" w:styleId="Title">
    <w:name w:val="Title"/>
    <w:basedOn w:val="Normal"/>
    <w:next w:val="Normal"/>
    <w:link w:val="TitleChar"/>
    <w:uiPriority w:val="10"/>
    <w:qFormat/>
    <w:rsid w:val="00B55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1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1D0"/>
    <w:pPr>
      <w:spacing w:before="160"/>
      <w:jc w:val="center"/>
    </w:pPr>
    <w:rPr>
      <w:i/>
      <w:iCs/>
      <w:color w:val="404040" w:themeColor="text1" w:themeTint="BF"/>
    </w:rPr>
  </w:style>
  <w:style w:type="character" w:customStyle="1" w:styleId="QuoteChar">
    <w:name w:val="Quote Char"/>
    <w:basedOn w:val="DefaultParagraphFont"/>
    <w:link w:val="Quote"/>
    <w:uiPriority w:val="29"/>
    <w:rsid w:val="00B551D0"/>
    <w:rPr>
      <w:i/>
      <w:iCs/>
      <w:color w:val="404040" w:themeColor="text1" w:themeTint="BF"/>
    </w:rPr>
  </w:style>
  <w:style w:type="paragraph" w:styleId="ListParagraph">
    <w:name w:val="List Paragraph"/>
    <w:basedOn w:val="Normal"/>
    <w:uiPriority w:val="34"/>
    <w:qFormat/>
    <w:rsid w:val="00B551D0"/>
    <w:pPr>
      <w:ind w:left="720"/>
      <w:contextualSpacing/>
    </w:pPr>
  </w:style>
  <w:style w:type="character" w:styleId="IntenseEmphasis">
    <w:name w:val="Intense Emphasis"/>
    <w:basedOn w:val="DefaultParagraphFont"/>
    <w:uiPriority w:val="21"/>
    <w:qFormat/>
    <w:rsid w:val="00B551D0"/>
    <w:rPr>
      <w:i/>
      <w:iCs/>
      <w:color w:val="2F5496" w:themeColor="accent1" w:themeShade="BF"/>
    </w:rPr>
  </w:style>
  <w:style w:type="paragraph" w:styleId="IntenseQuote">
    <w:name w:val="Intense Quote"/>
    <w:basedOn w:val="Normal"/>
    <w:next w:val="Normal"/>
    <w:link w:val="IntenseQuoteChar"/>
    <w:uiPriority w:val="30"/>
    <w:qFormat/>
    <w:rsid w:val="00B551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51D0"/>
    <w:rPr>
      <w:i/>
      <w:iCs/>
      <w:color w:val="2F5496" w:themeColor="accent1" w:themeShade="BF"/>
    </w:rPr>
  </w:style>
  <w:style w:type="character" w:styleId="IntenseReference">
    <w:name w:val="Intense Reference"/>
    <w:basedOn w:val="DefaultParagraphFont"/>
    <w:uiPriority w:val="32"/>
    <w:qFormat/>
    <w:rsid w:val="00B551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2497</Words>
  <Characters>14238</Characters>
  <Application>Microsoft Office Word</Application>
  <DocSecurity>0</DocSecurity>
  <Lines>118</Lines>
  <Paragraphs>33</Paragraphs>
  <ScaleCrop>false</ScaleCrop>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Oliullah</dc:creator>
  <cp:keywords/>
  <dc:description/>
  <cp:lastModifiedBy>A Oliullah</cp:lastModifiedBy>
  <cp:revision>10</cp:revision>
  <dcterms:created xsi:type="dcterms:W3CDTF">2025-01-29T12:45:00Z</dcterms:created>
  <dcterms:modified xsi:type="dcterms:W3CDTF">2025-02-06T21:40:00Z</dcterms:modified>
</cp:coreProperties>
</file>