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53771D" w:rsidRDefault="0053771D" w14:paraId="1BF9F4F7" w14:textId="77777777"/>
    <w:p w:rsidR="504DFFB0" w:rsidP="188060B3" w:rsidRDefault="504DFFB0" w14:paraId="434829CE" w14:textId="0855AA3C">
      <w:pPr>
        <w:pStyle w:val="Heading2"/>
        <w:spacing w:before="261" w:beforeAutospacing="off" w:after="261" w:afterAutospacing="off" w:line="300" w:lineRule="auto"/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  <w:t>What’s inside the workbook</w:t>
      </w:r>
    </w:p>
    <w:p w:rsidR="504DFFB0" w:rsidP="188060B3" w:rsidRDefault="504DFFB0" w14:paraId="6151BFCA" w14:textId="0AD852FA">
      <w:pPr>
        <w:spacing w:before="210" w:beforeAutospacing="off" w:after="210" w:afterAutospacing="off" w:line="300" w:lineRule="auto"/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Sheets &amp; what they show</w:t>
      </w:r>
    </w:p>
    <w:p w:rsidR="504DFFB0" w:rsidP="188060B3" w:rsidRDefault="504DFFB0" w14:paraId="4A092008" w14:textId="28ABB0E9">
      <w:pPr>
        <w:pStyle w:val="ListParagraph"/>
        <w:numPr>
          <w:ilvl w:val="0"/>
          <w:numId w:val="23"/>
        </w:numPr>
        <w:spacing w:before="210" w:beforeAutospacing="off" w:after="210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Assumptions</w:t>
      </w:r>
    </w:p>
    <w:p w:rsidR="504DFFB0" w:rsidP="188060B3" w:rsidRDefault="504DFFB0" w14:paraId="1FC2082E" w14:textId="6A2A6AD7">
      <w:pPr>
        <w:pStyle w:val="ListParagraph"/>
        <w:numPr>
          <w:ilvl w:val="1"/>
          <w:numId w:val="2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Project name, hold period,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GLA (anchors vs. inline)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rents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occupancy/lease‑up path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other income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credit loss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opex &amp; inflation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capital reserves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TI/LC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tenant churn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rent growth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costs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debt terms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exit cap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sale costs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.</w:t>
      </w:r>
    </w:p>
    <w:p w:rsidR="504DFFB0" w:rsidP="188060B3" w:rsidRDefault="504DFFB0" w14:paraId="090F9F0B" w14:textId="3C3BC6C8">
      <w:pPr>
        <w:pStyle w:val="ListParagraph"/>
        <w:numPr>
          <w:ilvl w:val="1"/>
          <w:numId w:val="2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All editable. Adjust blue‑sky vs. conservative cases in a few cells.</w:t>
      </w:r>
    </w:p>
    <w:p w:rsidR="504DFFB0" w:rsidP="188060B3" w:rsidRDefault="504DFFB0" w14:paraId="7793A4E9" w14:textId="4877568C">
      <w:pPr>
        <w:pStyle w:val="ListParagraph"/>
        <w:numPr>
          <w:ilvl w:val="0"/>
          <w:numId w:val="23"/>
        </w:numPr>
        <w:spacing w:before="210" w:beforeAutospacing="off" w:after="210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Revenue</w:t>
      </w:r>
    </w:p>
    <w:p w:rsidR="504DFFB0" w:rsidP="188060B3" w:rsidRDefault="504DFFB0" w14:paraId="1D67C6CB" w14:textId="3B80CCB8">
      <w:pPr>
        <w:pStyle w:val="ListParagraph"/>
        <w:numPr>
          <w:ilvl w:val="1"/>
          <w:numId w:val="2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Year‑by‑year: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occupancy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anchor &amp; inline contract rent per sqft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PGI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other income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(as % of base + fixed parking/ads),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credit loss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and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EGI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.</w:t>
      </w:r>
    </w:p>
    <w:p w:rsidR="504DFFB0" w:rsidP="188060B3" w:rsidRDefault="504DFFB0" w14:paraId="1FC80ACB" w14:textId="016CAE57">
      <w:pPr>
        <w:pStyle w:val="ListParagraph"/>
        <w:numPr>
          <w:ilvl w:val="1"/>
          <w:numId w:val="2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Rent rolls are simplified to anchor/inline bands, growing with the rent‑growth rate.</w:t>
      </w:r>
    </w:p>
    <w:p w:rsidR="504DFFB0" w:rsidP="188060B3" w:rsidRDefault="504DFFB0" w14:paraId="679FF674" w14:textId="6695471C">
      <w:pPr>
        <w:pStyle w:val="ListParagraph"/>
        <w:numPr>
          <w:ilvl w:val="0"/>
          <w:numId w:val="23"/>
        </w:numPr>
        <w:spacing w:before="210" w:beforeAutospacing="off" w:after="210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Operations</w:t>
      </w:r>
    </w:p>
    <w:p w:rsidR="504DFFB0" w:rsidP="188060B3" w:rsidRDefault="504DFFB0" w14:paraId="6AA24C0B" w14:textId="2CBD2710">
      <w:pPr>
        <w:pStyle w:val="ListParagraph"/>
        <w:numPr>
          <w:ilvl w:val="1"/>
          <w:numId w:val="2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Opex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(as % of EGI, inflated YoY),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capital reserves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(as % of EGI), and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NOI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.</w:t>
      </w:r>
    </w:p>
    <w:p w:rsidR="504DFFB0" w:rsidP="188060B3" w:rsidRDefault="504DFFB0" w14:paraId="432E80D8" w14:textId="7B39859D">
      <w:pPr>
        <w:pStyle w:val="ListParagraph"/>
        <w:numPr>
          <w:ilvl w:val="0"/>
          <w:numId w:val="23"/>
        </w:numPr>
        <w:spacing w:before="210" w:beforeAutospacing="off" w:after="210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CapEx &amp; Leasing</w:t>
      </w:r>
    </w:p>
    <w:p w:rsidR="504DFFB0" w:rsidP="188060B3" w:rsidRDefault="504DFFB0" w14:paraId="32A79119" w14:textId="6068E8C9">
      <w:pPr>
        <w:pStyle w:val="ListParagraph"/>
        <w:numPr>
          <w:ilvl w:val="1"/>
          <w:numId w:val="2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Stabilization and refurbishment CapEx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timeline.</w:t>
      </w:r>
    </w:p>
    <w:p w:rsidR="504DFFB0" w:rsidP="188060B3" w:rsidRDefault="504DFFB0" w14:paraId="642DB5D5" w14:textId="259C5BE4">
      <w:pPr>
        <w:pStyle w:val="ListParagraph"/>
        <w:numPr>
          <w:ilvl w:val="1"/>
          <w:numId w:val="2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TI &amp; LC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for lease‑up plus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ongoing churn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after stabilization (renewal/re‑let costs).</w:t>
      </w:r>
    </w:p>
    <w:p w:rsidR="504DFFB0" w:rsidP="188060B3" w:rsidRDefault="504DFFB0" w14:paraId="0BC0B076" w14:textId="0CFC4085">
      <w:pPr>
        <w:pStyle w:val="ListParagraph"/>
        <w:numPr>
          <w:ilvl w:val="0"/>
          <w:numId w:val="23"/>
        </w:numPr>
        <w:spacing w:before="210" w:beforeAutospacing="off" w:after="210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Debt Schedule</w:t>
      </w:r>
    </w:p>
    <w:p w:rsidR="504DFFB0" w:rsidP="188060B3" w:rsidRDefault="504DFFB0" w14:paraId="4CE2597C" w14:textId="6D916286">
      <w:pPr>
        <w:pStyle w:val="ListParagraph"/>
        <w:numPr>
          <w:ilvl w:val="1"/>
          <w:numId w:val="2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Draw at close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interest‑only period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then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recast amortization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.</w:t>
      </w:r>
    </w:p>
    <w:p w:rsidR="504DFFB0" w:rsidP="188060B3" w:rsidRDefault="504DFFB0" w14:paraId="3BE50E7E" w14:textId="610D6534">
      <w:pPr>
        <w:pStyle w:val="ListParagraph"/>
        <w:numPr>
          <w:ilvl w:val="1"/>
          <w:numId w:val="2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Beginning balance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interest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principal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ending balance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debt service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per year.</w:t>
      </w:r>
    </w:p>
    <w:p w:rsidR="504DFFB0" w:rsidP="188060B3" w:rsidRDefault="504DFFB0" w14:paraId="57091937" w14:textId="51B6CBA7">
      <w:pPr>
        <w:pStyle w:val="ListParagraph"/>
        <w:numPr>
          <w:ilvl w:val="0"/>
          <w:numId w:val="23"/>
        </w:numPr>
        <w:spacing w:before="210" w:beforeAutospacing="off" w:after="210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Cash Flows</w:t>
      </w:r>
    </w:p>
    <w:p w:rsidR="504DFFB0" w:rsidP="188060B3" w:rsidRDefault="504DFFB0" w14:paraId="40196D79" w14:textId="2DC5BC19">
      <w:pPr>
        <w:pStyle w:val="ListParagraph"/>
        <w:numPr>
          <w:ilvl w:val="1"/>
          <w:numId w:val="2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NOI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CapEx + TI/LC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FCF before financing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interest/principal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net sale proceeds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and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Cash Flow to Equity (CFE)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.</w:t>
      </w:r>
    </w:p>
    <w:p w:rsidR="504DFFB0" w:rsidP="188060B3" w:rsidRDefault="504DFFB0" w14:paraId="2F1F5707" w14:textId="3734AB6A">
      <w:pPr>
        <w:pStyle w:val="ListParagraph"/>
        <w:numPr>
          <w:ilvl w:val="1"/>
          <w:numId w:val="2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Year 0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includes equity outlay (dev/acq + soft costs + loan fees net of loan).</w:t>
      </w:r>
    </w:p>
    <w:p w:rsidR="504DFFB0" w:rsidP="188060B3" w:rsidRDefault="504DFFB0" w14:paraId="300AD670" w14:textId="009932AB">
      <w:pPr>
        <w:pStyle w:val="ListParagraph"/>
        <w:numPr>
          <w:ilvl w:val="1"/>
          <w:numId w:val="2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Exit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(Year 10) priced at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NOI / exit cap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, net of sale costs and debt payoff.</w:t>
      </w:r>
    </w:p>
    <w:p w:rsidR="504DFFB0" w:rsidP="188060B3" w:rsidRDefault="504DFFB0" w14:paraId="0D2C66CA" w14:textId="5CE904BE">
      <w:pPr>
        <w:pStyle w:val="ListParagraph"/>
        <w:numPr>
          <w:ilvl w:val="0"/>
          <w:numId w:val="23"/>
        </w:numPr>
        <w:spacing w:before="210" w:beforeAutospacing="off" w:after="210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KPIs</w:t>
      </w:r>
    </w:p>
    <w:p w:rsidR="504DFFB0" w:rsidP="188060B3" w:rsidRDefault="504DFFB0" w14:paraId="2341565E" w14:textId="66342426">
      <w:pPr>
        <w:pStyle w:val="ListParagraph"/>
        <w:numPr>
          <w:ilvl w:val="1"/>
          <w:numId w:val="2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Equity IRR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Equity Multiple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Total Equity Invested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Sale Price at Exit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.</w:t>
      </w:r>
    </w:p>
    <w:p w:rsidR="188060B3" w:rsidP="188060B3" w:rsidRDefault="188060B3" w14:paraId="5451C827" w14:textId="5BE285A4">
      <w:pPr>
        <w:spacing w:before="0" w:beforeAutospacing="off" w:after="0" w:afterAutospacing="off" w:line="300" w:lineRule="auto"/>
      </w:pPr>
    </w:p>
    <w:p w:rsidR="504DFFB0" w:rsidP="188060B3" w:rsidRDefault="504DFFB0" w14:paraId="1439419C" w14:textId="71C55D31">
      <w:pPr>
        <w:pStyle w:val="Heading2"/>
        <w:spacing w:before="261" w:beforeAutospacing="off" w:after="261" w:afterAutospacing="off" w:line="300" w:lineRule="auto"/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  <w:t>Core modeling logic (plain English)</w:t>
      </w:r>
    </w:p>
    <w:p w:rsidR="504DFFB0" w:rsidP="188060B3" w:rsidRDefault="504DFFB0" w14:paraId="5AC676B4" w14:textId="1883AF2A">
      <w:pPr>
        <w:pStyle w:val="ListParagraph"/>
        <w:numPr>
          <w:ilvl w:val="0"/>
          <w:numId w:val="2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Lease‑up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moves from initial occupancy to a steady‑state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market vacancy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target, improving by X percentage points per year.</w:t>
      </w:r>
    </w:p>
    <w:p w:rsidR="504DFFB0" w:rsidP="188060B3" w:rsidRDefault="504DFFB0" w14:paraId="12842CF8" w14:textId="0B38963B">
      <w:pPr>
        <w:pStyle w:val="ListParagraph"/>
        <w:numPr>
          <w:ilvl w:val="0"/>
          <w:numId w:val="2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Rents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: separate anchor vs. inline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GBP/sqft/year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with annual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rent growth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; PGI = (GLA × rent).</w:t>
      </w:r>
    </w:p>
    <w:p w:rsidR="504DFFB0" w:rsidP="188060B3" w:rsidRDefault="504DFFB0" w14:paraId="15667132" w14:textId="41D5DB3F">
      <w:pPr>
        <w:pStyle w:val="ListParagraph"/>
        <w:numPr>
          <w:ilvl w:val="0"/>
          <w:numId w:val="2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EGI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= Base rent collected (PGI × occupancy) + other income − credit loss.</w:t>
      </w:r>
    </w:p>
    <w:p w:rsidR="504DFFB0" w:rsidP="188060B3" w:rsidRDefault="504DFFB0" w14:paraId="34352848" w14:textId="50B2E0F8">
      <w:pPr>
        <w:pStyle w:val="ListParagraph"/>
        <w:numPr>
          <w:ilvl w:val="0"/>
          <w:numId w:val="2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Opex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= % of EGI, inflating yearly;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capital reserves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= % of EGI.</w:t>
      </w:r>
    </w:p>
    <w:p w:rsidR="504DFFB0" w:rsidP="188060B3" w:rsidRDefault="504DFFB0" w14:paraId="72CF55F6" w14:textId="2470E33B">
      <w:pPr>
        <w:pStyle w:val="ListParagraph"/>
        <w:numPr>
          <w:ilvl w:val="0"/>
          <w:numId w:val="2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NOI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= EGI − opex − capital reserves.</w:t>
      </w:r>
    </w:p>
    <w:p w:rsidR="504DFFB0" w:rsidP="188060B3" w:rsidRDefault="504DFFB0" w14:paraId="3376937F" w14:textId="7836B6F9">
      <w:pPr>
        <w:pStyle w:val="ListParagraph"/>
        <w:numPr>
          <w:ilvl w:val="0"/>
          <w:numId w:val="2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Leasing costs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: TI/LC applied to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newly leased space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during lease‑up and to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annual churn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after stabilization.</w:t>
      </w:r>
    </w:p>
    <w:p w:rsidR="504DFFB0" w:rsidP="188060B3" w:rsidRDefault="504DFFB0" w14:paraId="6ECAB17F" w14:textId="371220C9">
      <w:pPr>
        <w:pStyle w:val="ListParagraph"/>
        <w:numPr>
          <w:ilvl w:val="0"/>
          <w:numId w:val="2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CapEx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: stabilization (Yr0–Yr1) + mid‑cycle refurbishment (Yr5).</w:t>
      </w:r>
    </w:p>
    <w:p w:rsidR="504DFFB0" w:rsidP="188060B3" w:rsidRDefault="504DFFB0" w14:paraId="06FB3CC3" w14:textId="1EF7B949">
      <w:pPr>
        <w:pStyle w:val="ListParagraph"/>
        <w:numPr>
          <w:ilvl w:val="0"/>
          <w:numId w:val="2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Debt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: loan sized by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LTV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interest‑only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for a set period, then amortizing; upfront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loan fees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at close.</w:t>
      </w:r>
    </w:p>
    <w:p w:rsidR="504DFFB0" w:rsidP="188060B3" w:rsidRDefault="504DFFB0" w14:paraId="6B57BF80" w14:textId="6AF2412D">
      <w:pPr>
        <w:pStyle w:val="ListParagraph"/>
        <w:numPr>
          <w:ilvl w:val="0"/>
          <w:numId w:val="2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Exit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: sale price =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Year 10 NOI / exit cap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; net proceeds after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sale costs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and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debt payoff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flow to equity.</w:t>
      </w:r>
    </w:p>
    <w:p w:rsidR="504DFFB0" w:rsidP="188060B3" w:rsidRDefault="504DFFB0" w14:paraId="12484A50" w14:textId="30DC95DB">
      <w:pPr>
        <w:pStyle w:val="ListParagraph"/>
        <w:numPr>
          <w:ilvl w:val="0"/>
          <w:numId w:val="2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CFE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: pre‑financing FCF minus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interest &amp; principal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, with Year 0 equity outflow and exit proceeds in Year 10.</w:t>
      </w:r>
    </w:p>
    <w:p w:rsidR="504DFFB0" w:rsidP="188060B3" w:rsidRDefault="504DFFB0" w14:paraId="4E39E767" w14:textId="05B41FBC">
      <w:pPr>
        <w:pStyle w:val="ListParagraph"/>
        <w:numPr>
          <w:ilvl w:val="0"/>
          <w:numId w:val="2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KPIs compute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IRR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(bisection method) and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equity multiple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on investor cash flows.</w:t>
      </w:r>
    </w:p>
    <w:p w:rsidR="188060B3" w:rsidP="188060B3" w:rsidRDefault="188060B3" w14:paraId="156B44B4" w14:textId="25DA6C25">
      <w:pPr>
        <w:spacing w:before="0" w:beforeAutospacing="off" w:after="0" w:afterAutospacing="off" w:line="300" w:lineRule="auto"/>
      </w:pPr>
    </w:p>
    <w:p w:rsidR="504DFFB0" w:rsidP="188060B3" w:rsidRDefault="504DFFB0" w14:paraId="78E0050B" w14:textId="2CB57050">
      <w:pPr>
        <w:pStyle w:val="Heading2"/>
        <w:spacing w:before="261" w:beforeAutospacing="off" w:after="261" w:afterAutospacing="off" w:line="300" w:lineRule="auto"/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  <w:t>How to tailor this to your project</w:t>
      </w:r>
    </w:p>
    <w:p w:rsidR="504DFFB0" w:rsidP="188060B3" w:rsidRDefault="504DFFB0" w14:paraId="1286E0C9" w14:textId="3ACB58A5">
      <w:pPr>
        <w:pStyle w:val="ListParagraph"/>
        <w:numPr>
          <w:ilvl w:val="0"/>
          <w:numId w:val="25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Plug your realities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into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Assumptions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: actual GLA split, anchor leases, inline rent levels, local vacancy trends, credit loss, service charge recoveries (if applicable), opex benchmarks, TI/LC norms, lender term sheet, and exit market cap rates.</w:t>
      </w:r>
    </w:p>
    <w:p w:rsidR="504DFFB0" w:rsidP="188060B3" w:rsidRDefault="504DFFB0" w14:paraId="00697515" w14:textId="49CA013D">
      <w:pPr>
        <w:pStyle w:val="ListParagraph"/>
        <w:numPr>
          <w:ilvl w:val="0"/>
          <w:numId w:val="25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If you have a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tenant‑by‑tenant rent roll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or phased development, I can expand the model to a granular rent schedule (lease starts/ends, free rent, step‑ups, renewal probabilities) and layer in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turnover rent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for F&amp;B or cinemas.</w:t>
      </w:r>
    </w:p>
    <w:p w:rsidR="188060B3" w:rsidP="188060B3" w:rsidRDefault="188060B3" w14:paraId="0F33FCB4" w14:textId="54360021">
      <w:pPr>
        <w:spacing w:before="0" w:beforeAutospacing="off" w:after="0" w:afterAutospacing="off" w:line="300" w:lineRule="auto"/>
      </w:pPr>
    </w:p>
    <w:p w:rsidR="504DFFB0" w:rsidP="188060B3" w:rsidRDefault="504DFFB0" w14:paraId="59806BC5" w14:textId="68B7E525">
      <w:pPr>
        <w:pStyle w:val="Heading2"/>
        <w:spacing w:before="261" w:beforeAutospacing="off" w:after="261" w:afterAutospacing="off" w:line="300" w:lineRule="auto"/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  <w:t>What “financial reporting” looks like for investors &amp; lenders</w:t>
      </w:r>
    </w:p>
    <w:p w:rsidR="504DFFB0" w:rsidP="188060B3" w:rsidRDefault="504DFFB0" w14:paraId="1434470A" w14:textId="0F3EED92">
      <w:pPr>
        <w:spacing w:before="210" w:beforeAutospacing="off" w:after="210" w:afterAutospacing="off" w:line="300" w:lineRule="auto"/>
      </w:pP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Below is a concise outline you can paste into a memo or investment committee pack. If you want, I can generate this as a formatted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Word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or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PDF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with your logo.</w:t>
      </w:r>
    </w:p>
    <w:p w:rsidR="504DFFB0" w:rsidP="188060B3" w:rsidRDefault="504DFFB0" w14:paraId="2EE6A273" w14:textId="6483B6AF">
      <w:pPr>
        <w:pStyle w:val="Heading3"/>
        <w:spacing w:before="246" w:beforeAutospacing="off" w:after="246" w:afterAutospacing="off" w:line="300" w:lineRule="auto"/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1) Executive Summary</w:t>
      </w:r>
    </w:p>
    <w:p w:rsidR="504DFFB0" w:rsidP="188060B3" w:rsidRDefault="504DFFB0" w14:paraId="42514609" w14:textId="203B0667">
      <w:pPr>
        <w:pStyle w:val="ListParagraph"/>
        <w:numPr>
          <w:ilvl w:val="0"/>
          <w:numId w:val="2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Project overview (location, concept, trade area, footfall drivers).</w:t>
      </w:r>
    </w:p>
    <w:p w:rsidR="504DFFB0" w:rsidP="188060B3" w:rsidRDefault="504DFFB0" w14:paraId="49F27A77" w14:textId="78754DCB">
      <w:pPr>
        <w:pStyle w:val="ListParagraph"/>
        <w:numPr>
          <w:ilvl w:val="0"/>
          <w:numId w:val="2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Sources &amp; Uses at close; key milestones; headline returns (Equity IRR, EM).</w:t>
      </w:r>
    </w:p>
    <w:p w:rsidR="504DFFB0" w:rsidP="188060B3" w:rsidRDefault="504DFFB0" w14:paraId="25C17F04" w14:textId="26530BB3">
      <w:pPr>
        <w:pStyle w:val="ListParagraph"/>
        <w:numPr>
          <w:ilvl w:val="0"/>
          <w:numId w:val="2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Risks &amp; mitigants (leasing risk, interest‑rate risk, construction/refurb risk).</w:t>
      </w:r>
    </w:p>
    <w:p w:rsidR="504DFFB0" w:rsidP="188060B3" w:rsidRDefault="504DFFB0" w14:paraId="54BEC2E9" w14:textId="6AA135F7">
      <w:pPr>
        <w:pStyle w:val="Heading3"/>
        <w:spacing w:before="246" w:beforeAutospacing="off" w:after="246" w:afterAutospacing="off" w:line="300" w:lineRule="auto"/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2) Market &amp; Leasing</w:t>
      </w:r>
    </w:p>
    <w:p w:rsidR="504DFFB0" w:rsidP="188060B3" w:rsidRDefault="504DFFB0" w14:paraId="22B07B1D" w14:textId="6BF0B320">
      <w:pPr>
        <w:pStyle w:val="ListParagraph"/>
        <w:numPr>
          <w:ilvl w:val="0"/>
          <w:numId w:val="27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Competitive set, demand drivers, tenant mix strategy.</w:t>
      </w:r>
    </w:p>
    <w:p w:rsidR="504DFFB0" w:rsidP="188060B3" w:rsidRDefault="504DFFB0" w14:paraId="3B40A2D4" w14:textId="1E19E1EF">
      <w:pPr>
        <w:pStyle w:val="ListParagraph"/>
        <w:numPr>
          <w:ilvl w:val="0"/>
          <w:numId w:val="27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Lease‑up plan (target occupancy vs. market vacancy), WALT, churn assumption.</w:t>
      </w:r>
    </w:p>
    <w:p w:rsidR="504DFFB0" w:rsidP="188060B3" w:rsidRDefault="504DFFB0" w14:paraId="4B353E57" w14:textId="18DD35CE">
      <w:pPr>
        <w:pStyle w:val="ListParagraph"/>
        <w:numPr>
          <w:ilvl w:val="0"/>
          <w:numId w:val="27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TI/LC norms by category (anchor vs. inline), expected downtime.</w:t>
      </w:r>
    </w:p>
    <w:p w:rsidR="504DFFB0" w:rsidP="188060B3" w:rsidRDefault="504DFFB0" w14:paraId="708D25F1" w14:textId="0EEBCB4B">
      <w:pPr>
        <w:pStyle w:val="Heading3"/>
        <w:spacing w:before="246" w:beforeAutospacing="off" w:after="246" w:afterAutospacing="off" w:line="300" w:lineRule="auto"/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3) Financials (10‑Year)</w:t>
      </w:r>
    </w:p>
    <w:p w:rsidR="504DFFB0" w:rsidP="188060B3" w:rsidRDefault="504DFFB0" w14:paraId="3DEE1841" w14:textId="4FA0B168">
      <w:pPr>
        <w:pStyle w:val="ListParagraph"/>
        <w:numPr>
          <w:ilvl w:val="0"/>
          <w:numId w:val="28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Income Statement (NOI bridge)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: PGI → EGI → NOI.</w:t>
      </w:r>
    </w:p>
    <w:p w:rsidR="504DFFB0" w:rsidP="188060B3" w:rsidRDefault="504DFFB0" w14:paraId="6728A965" w14:textId="69087436">
      <w:pPr>
        <w:pStyle w:val="ListParagraph"/>
        <w:numPr>
          <w:ilvl w:val="0"/>
          <w:numId w:val="28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Cash Flow Statement (to Equity)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: FCF pre‑financing → debt service → CFE → exit.</w:t>
      </w:r>
    </w:p>
    <w:p w:rsidR="504DFFB0" w:rsidP="188060B3" w:rsidRDefault="504DFFB0" w14:paraId="15CBB8B0" w14:textId="03434B34">
      <w:pPr>
        <w:pStyle w:val="ListParagraph"/>
        <w:numPr>
          <w:ilvl w:val="0"/>
          <w:numId w:val="28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Balance Sheet Items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: debt balance, CapEx, reserves.</w:t>
      </w:r>
    </w:p>
    <w:p w:rsidR="504DFFB0" w:rsidP="188060B3" w:rsidRDefault="504DFFB0" w14:paraId="49D3DA75" w14:textId="39514E2E">
      <w:pPr>
        <w:pStyle w:val="ListParagraph"/>
        <w:numPr>
          <w:ilvl w:val="0"/>
          <w:numId w:val="28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KPIs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: IRR, equity multiple, DSCR, yield‑on‑cost, stabilized cap rate.</w:t>
      </w:r>
    </w:p>
    <w:p w:rsidR="504DFFB0" w:rsidP="188060B3" w:rsidRDefault="504DFFB0" w14:paraId="06176C42" w14:textId="3112A0A8">
      <w:pPr>
        <w:pStyle w:val="Heading3"/>
        <w:spacing w:before="246" w:beforeAutospacing="off" w:after="246" w:afterAutospacing="off" w:line="300" w:lineRule="auto"/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4) Capital Structure</w:t>
      </w:r>
    </w:p>
    <w:p w:rsidR="504DFFB0" w:rsidP="188060B3" w:rsidRDefault="504DFFB0" w14:paraId="0CE3479C" w14:textId="1AC176B5">
      <w:pPr>
        <w:pStyle w:val="ListParagraph"/>
        <w:numPr>
          <w:ilvl w:val="0"/>
          <w:numId w:val="29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Loan amount, LTV, pricing, IO period, amortization, covenants, DSCR trajectory.</w:t>
      </w:r>
    </w:p>
    <w:p w:rsidR="504DFFB0" w:rsidP="188060B3" w:rsidRDefault="504DFFB0" w14:paraId="46FCED10" w14:textId="0EFD0C98">
      <w:pPr>
        <w:pStyle w:val="ListParagraph"/>
        <w:numPr>
          <w:ilvl w:val="0"/>
          <w:numId w:val="29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Sensitivity: rates ±100 bps, LTV ±5 pts, exit cap ±50 bps.</w:t>
      </w:r>
    </w:p>
    <w:p w:rsidR="504DFFB0" w:rsidP="188060B3" w:rsidRDefault="504DFFB0" w14:paraId="4AC19E4F" w14:textId="3C38DF9D">
      <w:pPr>
        <w:pStyle w:val="Heading3"/>
        <w:spacing w:before="246" w:beforeAutospacing="off" w:after="246" w:afterAutospacing="off" w:line="300" w:lineRule="auto"/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5) Sensitivities &amp; Scenarios</w:t>
      </w:r>
    </w:p>
    <w:p w:rsidR="504DFFB0" w:rsidP="188060B3" w:rsidRDefault="504DFFB0" w14:paraId="7CC60AF9" w14:textId="4FDC8339">
      <w:pPr>
        <w:pStyle w:val="ListParagraph"/>
        <w:numPr>
          <w:ilvl w:val="0"/>
          <w:numId w:val="30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Exit cap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vs.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IRR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rent growth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vs.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value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occupancy path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TI/LC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shocks.</w:t>
      </w:r>
    </w:p>
    <w:p w:rsidR="504DFFB0" w:rsidP="188060B3" w:rsidRDefault="504DFFB0" w14:paraId="630D149F" w14:textId="77E56EE5">
      <w:pPr>
        <w:pStyle w:val="ListParagraph"/>
        <w:numPr>
          <w:ilvl w:val="0"/>
          <w:numId w:val="30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Downside/Upcase cases (e.g., slower lease‑up or higher opex inflation).</w:t>
      </w:r>
    </w:p>
    <w:p w:rsidR="188060B3" w:rsidP="188060B3" w:rsidRDefault="188060B3" w14:paraId="7CCBC15E" w14:textId="42858487">
      <w:pPr>
        <w:spacing w:before="0" w:beforeAutospacing="off" w:after="0" w:afterAutospacing="off" w:line="300" w:lineRule="auto"/>
      </w:pPr>
    </w:p>
    <w:p w:rsidR="504DFFB0" w:rsidP="188060B3" w:rsidRDefault="504DFFB0" w14:paraId="7FBDC79F" w14:textId="3B6B3314">
      <w:pPr>
        <w:pStyle w:val="Heading2"/>
        <w:spacing w:before="261" w:beforeAutospacing="off" w:after="261" w:afterAutospacing="off" w:line="300" w:lineRule="auto"/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  <w:t>Next steps (I can do these for you)</w:t>
      </w:r>
    </w:p>
    <w:p w:rsidR="504DFFB0" w:rsidP="188060B3" w:rsidRDefault="504DFFB0" w14:paraId="59CBC175" w14:textId="5F2B7EF8">
      <w:pPr>
        <w:pStyle w:val="ListParagraph"/>
        <w:numPr>
          <w:ilvl w:val="0"/>
          <w:numId w:val="3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Customize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the workbook to your actual scheme (GLA by floor/zone, named anchors, parking revenues, service charge frameworks).</w:t>
      </w:r>
    </w:p>
    <w:p w:rsidR="504DFFB0" w:rsidP="188060B3" w:rsidRDefault="504DFFB0" w14:paraId="7EFDA93C" w14:textId="5B25DEA0">
      <w:pPr>
        <w:pStyle w:val="ListParagraph"/>
        <w:numPr>
          <w:ilvl w:val="0"/>
          <w:numId w:val="3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Add a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sensitivity dashboard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(data table + tornado chart) for exit cap, rent growth, lease‑up, and interest rate.</w:t>
      </w:r>
    </w:p>
    <w:p w:rsidR="504DFFB0" w:rsidP="188060B3" w:rsidRDefault="504DFFB0" w14:paraId="515BF883" w14:textId="6CDF9639">
      <w:pPr>
        <w:pStyle w:val="ListParagraph"/>
        <w:numPr>
          <w:ilvl w:val="0"/>
          <w:numId w:val="3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Produce an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IC-ready deck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(PowerPoint) with charts/tables auto‑linked to the model.</w:t>
      </w:r>
    </w:p>
    <w:p w:rsidR="504DFFB0" w:rsidP="188060B3" w:rsidRDefault="504DFFB0" w14:paraId="615E0C2E" w14:textId="0EB48E28">
      <w:pPr>
        <w:pStyle w:val="ListParagraph"/>
        <w:numPr>
          <w:ilvl w:val="0"/>
          <w:numId w:val="3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Convert to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quarterly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periods and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tenant‑level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rent roll if you have detailed leases.</w:t>
      </w:r>
    </w:p>
    <w:p w:rsidR="504DFFB0" w:rsidP="188060B3" w:rsidRDefault="504DFFB0" w14:paraId="3F31EB51" w14:textId="2D0EBCBC">
      <w:pPr>
        <w:pStyle w:val="ListParagraph"/>
        <w:numPr>
          <w:ilvl w:val="0"/>
          <w:numId w:val="3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Add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lender metrics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(DSCR, LTV by year, refinance option at stabilization).</w:t>
      </w:r>
    </w:p>
    <w:p w:rsidR="188060B3" w:rsidP="188060B3" w:rsidRDefault="188060B3" w14:paraId="1CC338A5" w14:textId="5DCEA193">
      <w:pPr>
        <w:spacing w:before="0" w:beforeAutospacing="off" w:after="0" w:afterAutospacing="off" w:line="300" w:lineRule="auto"/>
      </w:pPr>
    </w:p>
    <w:p w:rsidR="504DFFB0" w:rsidP="188060B3" w:rsidRDefault="504DFFB0" w14:paraId="4E5BC9A0" w14:textId="6B5EF935">
      <w:pPr>
        <w:pStyle w:val="Heading3"/>
        <w:spacing w:before="246" w:beforeAutospacing="off" w:after="246" w:afterAutospacing="off" w:line="300" w:lineRule="auto"/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Quick questions to tailor it for you</w:t>
      </w:r>
    </w:p>
    <w:p w:rsidR="504DFFB0" w:rsidP="188060B3" w:rsidRDefault="504DFFB0" w14:paraId="7FB6A021" w14:textId="349B8275">
      <w:pPr>
        <w:pStyle w:val="ListParagraph"/>
        <w:numPr>
          <w:ilvl w:val="0"/>
          <w:numId w:val="3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What is your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GLA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and anchor/inline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mix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?</w:t>
      </w:r>
    </w:p>
    <w:p w:rsidR="504DFFB0" w:rsidP="188060B3" w:rsidRDefault="504DFFB0" w14:paraId="1AC3ADAD" w14:textId="5DEA6CFB">
      <w:pPr>
        <w:pStyle w:val="ListParagraph"/>
        <w:numPr>
          <w:ilvl w:val="0"/>
          <w:numId w:val="3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Any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known anchor deals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(rents, terms, opening dates)?</w:t>
      </w:r>
    </w:p>
    <w:p w:rsidR="504DFFB0" w:rsidP="188060B3" w:rsidRDefault="504DFFB0" w14:paraId="4AE06BC5" w14:textId="3DCD305F">
      <w:pPr>
        <w:pStyle w:val="ListParagraph"/>
        <w:numPr>
          <w:ilvl w:val="0"/>
          <w:numId w:val="3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Target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opening/stabilization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timeline?</w:t>
      </w:r>
    </w:p>
    <w:p w:rsidR="504DFFB0" w:rsidP="188060B3" w:rsidRDefault="504DFFB0" w14:paraId="5C476B8A" w14:textId="70171DBF">
      <w:pPr>
        <w:pStyle w:val="ListParagraph"/>
        <w:numPr>
          <w:ilvl w:val="0"/>
          <w:numId w:val="3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Debt term sheet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(rate, IO, amort, fees, covenants)?</w:t>
      </w:r>
    </w:p>
    <w:p w:rsidR="504DFFB0" w:rsidP="188060B3" w:rsidRDefault="504DFFB0" w14:paraId="7170AADF" w14:textId="5F6FC10B">
      <w:pPr>
        <w:pStyle w:val="ListParagraph"/>
        <w:numPr>
          <w:ilvl w:val="0"/>
          <w:numId w:val="3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Preferred </w:t>
      </w:r>
      <w:r w:rsidRPr="188060B3" w:rsidR="504DFFB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report format</w:t>
      </w: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(Excel only, or also Word/PDF/PPT)?</w:t>
      </w:r>
    </w:p>
    <w:p w:rsidR="504DFFB0" w:rsidP="188060B3" w:rsidRDefault="504DFFB0" w14:paraId="626D407F" w14:textId="39E1FC48">
      <w:pPr>
        <w:spacing w:before="210" w:beforeAutospacing="off" w:after="210" w:afterAutospacing="off" w:line="300" w:lineRule="auto"/>
      </w:pPr>
      <w:r w:rsidRPr="188060B3" w:rsidR="504DFF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If you share those, I’ll plug them in and regenerate the file with a clean, branded report.</w:t>
      </w:r>
    </w:p>
    <w:p w:rsidR="188060B3" w:rsidRDefault="188060B3" w14:paraId="6EBE79E4" w14:textId="3C493D9C"/>
    <w:p w:rsidR="188060B3" w:rsidRDefault="188060B3" w14:paraId="0F98B0A9" w14:textId="7D45341C"/>
    <w:p w:rsidR="188060B3" w:rsidRDefault="188060B3" w14:paraId="0191CFE0" w14:textId="77185FF5"/>
    <w:p w:rsidR="188060B3" w:rsidRDefault="188060B3" w14:paraId="44898B00" w14:textId="630E42B3"/>
    <w:p w:rsidR="188060B3" w:rsidRDefault="188060B3" w14:paraId="48E21B36" w14:textId="6CF69066"/>
    <w:p w:rsidR="188060B3" w:rsidRDefault="188060B3" w14:paraId="1301A9EA" w14:textId="0CF93FB6"/>
    <w:p w:rsidR="188060B3" w:rsidRDefault="188060B3" w14:paraId="51330353" w14:textId="39B19351"/>
    <w:p w:rsidR="188060B3" w:rsidRDefault="188060B3" w14:paraId="479ABB09" w14:textId="2CD35D60"/>
    <w:p w:rsidR="188060B3" w:rsidRDefault="188060B3" w14:paraId="1772A9B7" w14:textId="0A0E7E7D"/>
    <w:p w:rsidR="188060B3" w:rsidRDefault="188060B3" w14:paraId="5468010B" w14:textId="6794E9A3"/>
    <w:p w:rsidR="188060B3" w:rsidRDefault="188060B3" w14:paraId="1741765F" w14:textId="5E328B5D"/>
    <w:p w:rsidR="188060B3" w:rsidRDefault="188060B3" w14:paraId="22D18AF2" w14:textId="53DB902E"/>
    <w:p w:rsidR="188060B3" w:rsidRDefault="188060B3" w14:paraId="5B40E6BE" w14:textId="2B7BEC1B"/>
    <w:p w:rsidR="188060B3" w:rsidRDefault="188060B3" w14:paraId="3574B822" w14:textId="5E92FCB6"/>
    <w:p w:rsidRPr="00741A1E" w:rsidR="00741A1E" w:rsidP="00741A1E" w:rsidRDefault="00741A1E" w14:paraId="38BBA50B" w14:textId="77777777">
      <w:r w:rsidRPr="00741A1E">
        <w:t xml:space="preserve">Below is a </w:t>
      </w:r>
      <w:r w:rsidRPr="00741A1E">
        <w:rPr>
          <w:b/>
          <w:bCs/>
        </w:rPr>
        <w:t>complete, practical, and board</w:t>
      </w:r>
      <w:r w:rsidRPr="00741A1E">
        <w:rPr>
          <w:b/>
          <w:bCs/>
        </w:rPr>
        <w:noBreakHyphen/>
        <w:t>ready financial reporting framework</w:t>
      </w:r>
      <w:r w:rsidRPr="00741A1E">
        <w:t xml:space="preserve"> tailored for a </w:t>
      </w:r>
      <w:r w:rsidRPr="00741A1E">
        <w:rPr>
          <w:b/>
          <w:bCs/>
        </w:rPr>
        <w:t>shopping mall project</w:t>
      </w:r>
      <w:r w:rsidRPr="00741A1E">
        <w:t xml:space="preserve">, covering construction and operations phases. It aligns governance, reporting, KPIs, and systems to ensure </w:t>
      </w:r>
      <w:r w:rsidRPr="00741A1E">
        <w:rPr>
          <w:b/>
          <w:bCs/>
        </w:rPr>
        <w:t>transparency, accountability, and decision-making support</w:t>
      </w:r>
      <w:r w:rsidRPr="00741A1E">
        <w:t>.</w:t>
      </w:r>
    </w:p>
    <w:p w:rsidRPr="00741A1E" w:rsidR="00741A1E" w:rsidP="00741A1E" w:rsidRDefault="00741A1E" w14:paraId="11B7598A" w14:textId="77777777">
      <w:r w:rsidRPr="00741A1E">
        <w:pict w14:anchorId="794EC128">
          <v:rect id="_x0000_i1175" style="width:0;height:1.5pt" o:hr="t" o:hrstd="t" o:hralign="center" fillcolor="#a0a0a0" stroked="f"/>
        </w:pict>
      </w:r>
    </w:p>
    <w:p w:rsidRPr="00741A1E" w:rsidR="00741A1E" w:rsidP="00741A1E" w:rsidRDefault="00741A1E" w14:paraId="41F2B2A3" w14:textId="77777777">
      <w:pPr>
        <w:rPr>
          <w:b/>
          <w:bCs/>
        </w:rPr>
      </w:pPr>
      <w:r w:rsidRPr="00741A1E">
        <w:rPr>
          <w:rFonts w:ascii="Segoe UI Emoji" w:hAnsi="Segoe UI Emoji" w:cs="Segoe UI Emoji"/>
          <w:b/>
          <w:bCs/>
        </w:rPr>
        <w:t>🏗️</w:t>
      </w:r>
      <w:r w:rsidRPr="00741A1E">
        <w:rPr>
          <w:b/>
          <w:bCs/>
        </w:rPr>
        <w:t xml:space="preserve"> 1. Reporting Types &amp; Frequency</w:t>
      </w:r>
    </w:p>
    <w:p w:rsidRPr="00741A1E" w:rsidR="00741A1E" w:rsidP="00741A1E" w:rsidRDefault="00741A1E" w14:paraId="16BBF733" w14:textId="77777777">
      <w:r w:rsidRPr="00741A1E">
        <w:t>A shopping mall lifecycle requires different financial reports depending on the project stage. The following structure ensures the right information reaches the right people at the right time.</w:t>
      </w:r>
    </w:p>
    <w:p w:rsidRPr="00741A1E" w:rsidR="00741A1E" w:rsidP="00741A1E" w:rsidRDefault="00741A1E" w14:paraId="44072D27" w14:textId="77777777">
      <w:r w:rsidRPr="00741A1E">
        <w:pict w14:anchorId="5D5522ED">
          <v:rect id="_x0000_i1176" style="width:0;height:1.5pt" o:hr="t" o:hrstd="t" o:hralign="center" fillcolor="#a0a0a0" stroked="f"/>
        </w:pict>
      </w:r>
    </w:p>
    <w:p w:rsidRPr="00741A1E" w:rsidR="00741A1E" w:rsidP="00741A1E" w:rsidRDefault="00741A1E" w14:paraId="625C11E6" w14:textId="77777777">
      <w:pPr>
        <w:rPr>
          <w:b/>
          <w:bCs/>
        </w:rPr>
      </w:pPr>
      <w:r w:rsidRPr="00741A1E">
        <w:rPr>
          <w:b/>
          <w:bCs/>
        </w:rPr>
        <w:t>A) Weekly Reports (Fast Feedback Loop)</w:t>
      </w:r>
    </w:p>
    <w:p w:rsidRPr="00741A1E" w:rsidR="00741A1E" w:rsidP="00741A1E" w:rsidRDefault="00741A1E" w14:paraId="01279181" w14:textId="77777777">
      <w:r w:rsidRPr="00741A1E">
        <w:rPr>
          <w:b/>
          <w:bCs/>
        </w:rPr>
        <w:t>Purpose:</w:t>
      </w:r>
      <w:r w:rsidRPr="00741A1E">
        <w:t xml:space="preserve"> Early warning signs, rapid issue resolution.</w:t>
      </w:r>
    </w:p>
    <w:p w:rsidRPr="00741A1E" w:rsidR="00741A1E" w:rsidP="00741A1E" w:rsidRDefault="00741A1E" w14:paraId="6605B962" w14:textId="77777777">
      <w:pPr>
        <w:rPr>
          <w:b/>
          <w:bCs/>
        </w:rPr>
      </w:pPr>
      <w:r w:rsidRPr="00741A1E">
        <w:rPr>
          <w:b/>
          <w:bCs/>
        </w:rPr>
        <w:t>1. Weekly Cost &amp; Progress Snapshot</w:t>
      </w:r>
    </w:p>
    <w:p w:rsidRPr="00741A1E" w:rsidR="00741A1E" w:rsidP="00741A1E" w:rsidRDefault="00741A1E" w14:paraId="04A5D54C" w14:textId="77777777">
      <w:pPr>
        <w:numPr>
          <w:ilvl w:val="0"/>
          <w:numId w:val="1"/>
        </w:numPr>
      </w:pPr>
      <w:r w:rsidRPr="00741A1E">
        <w:t>Actual expenditure this week</w:t>
      </w:r>
    </w:p>
    <w:p w:rsidRPr="00741A1E" w:rsidR="00741A1E" w:rsidP="00741A1E" w:rsidRDefault="00741A1E" w14:paraId="68F48ABD" w14:textId="77777777">
      <w:pPr>
        <w:numPr>
          <w:ilvl w:val="0"/>
          <w:numId w:val="1"/>
        </w:numPr>
      </w:pPr>
      <w:r w:rsidRPr="00741A1E">
        <w:t>Committed cost changes</w:t>
      </w:r>
    </w:p>
    <w:p w:rsidRPr="00741A1E" w:rsidR="00741A1E" w:rsidP="00741A1E" w:rsidRDefault="00741A1E" w14:paraId="087B7577" w14:textId="77777777">
      <w:pPr>
        <w:numPr>
          <w:ilvl w:val="0"/>
          <w:numId w:val="1"/>
        </w:numPr>
      </w:pPr>
      <w:r w:rsidRPr="00741A1E">
        <w:t>Forecast cost-to-complete (high-level)</w:t>
      </w:r>
    </w:p>
    <w:p w:rsidRPr="00741A1E" w:rsidR="00741A1E" w:rsidP="00741A1E" w:rsidRDefault="00741A1E" w14:paraId="035612ED" w14:textId="77777777">
      <w:pPr>
        <w:numPr>
          <w:ilvl w:val="0"/>
          <w:numId w:val="1"/>
        </w:numPr>
      </w:pPr>
      <w:r w:rsidRPr="00741A1E">
        <w:t>Progress % vs plan (EV, PV comparison)</w:t>
      </w:r>
    </w:p>
    <w:p w:rsidRPr="00741A1E" w:rsidR="00741A1E" w:rsidP="00741A1E" w:rsidRDefault="00741A1E" w14:paraId="1820C685" w14:textId="77777777">
      <w:pPr>
        <w:numPr>
          <w:ilvl w:val="0"/>
          <w:numId w:val="1"/>
        </w:numPr>
      </w:pPr>
      <w:r w:rsidRPr="00741A1E">
        <w:t>On-site productivity trends</w:t>
      </w:r>
    </w:p>
    <w:p w:rsidRPr="00741A1E" w:rsidR="00741A1E" w:rsidP="00741A1E" w:rsidRDefault="00741A1E" w14:paraId="3C6CAD8A" w14:textId="77777777">
      <w:pPr>
        <w:numPr>
          <w:ilvl w:val="0"/>
          <w:numId w:val="1"/>
        </w:numPr>
      </w:pPr>
      <w:r w:rsidRPr="00741A1E">
        <w:t>Top 5 risks affecting cost/schedule</w:t>
      </w:r>
    </w:p>
    <w:p w:rsidRPr="00741A1E" w:rsidR="00741A1E" w:rsidP="00741A1E" w:rsidRDefault="00741A1E" w14:paraId="304A5D14" w14:textId="77777777">
      <w:r w:rsidRPr="00741A1E">
        <w:rPr>
          <w:b/>
          <w:bCs/>
        </w:rPr>
        <w:t>Audience:</w:t>
      </w:r>
      <w:r w:rsidRPr="00741A1E">
        <w:t xml:space="preserve"> Project Director, Cost Manager, Construction Manager.</w:t>
      </w:r>
    </w:p>
    <w:p w:rsidRPr="00741A1E" w:rsidR="00741A1E" w:rsidP="00741A1E" w:rsidRDefault="00741A1E" w14:paraId="2FE188DB" w14:textId="77777777">
      <w:r w:rsidRPr="00741A1E">
        <w:pict w14:anchorId="2629C0A1">
          <v:rect id="_x0000_i1177" style="width:0;height:1.5pt" o:hr="t" o:hrstd="t" o:hralign="center" fillcolor="#a0a0a0" stroked="f"/>
        </w:pict>
      </w:r>
    </w:p>
    <w:p w:rsidRPr="00741A1E" w:rsidR="00741A1E" w:rsidP="00741A1E" w:rsidRDefault="00741A1E" w14:paraId="7A4C030F" w14:textId="77777777">
      <w:pPr>
        <w:rPr>
          <w:b/>
          <w:bCs/>
        </w:rPr>
      </w:pPr>
      <w:r w:rsidRPr="00741A1E">
        <w:rPr>
          <w:b/>
          <w:bCs/>
        </w:rPr>
        <w:t>B) Monthly Reports (Primary Financial Control Pack)</w:t>
      </w:r>
    </w:p>
    <w:p w:rsidRPr="00741A1E" w:rsidR="00741A1E" w:rsidP="00741A1E" w:rsidRDefault="00741A1E" w14:paraId="511E5DEB" w14:textId="77777777">
      <w:r w:rsidRPr="00741A1E">
        <w:rPr>
          <w:b/>
          <w:bCs/>
        </w:rPr>
        <w:t>Purpose:</w:t>
      </w:r>
      <w:r w:rsidRPr="00741A1E">
        <w:t xml:space="preserve"> Formal cost control, forecasting, and executive-level review.</w:t>
      </w:r>
    </w:p>
    <w:p w:rsidRPr="00741A1E" w:rsidR="00741A1E" w:rsidP="00741A1E" w:rsidRDefault="00741A1E" w14:paraId="1505E9CC" w14:textId="77777777">
      <w:pPr>
        <w:rPr>
          <w:b/>
          <w:bCs/>
        </w:rPr>
      </w:pPr>
      <w:r w:rsidRPr="00741A1E">
        <w:rPr>
          <w:b/>
          <w:bCs/>
        </w:rPr>
        <w:t>1. Monthly Cost Report</w:t>
      </w:r>
    </w:p>
    <w:p w:rsidRPr="00741A1E" w:rsidR="00741A1E" w:rsidP="00741A1E" w:rsidRDefault="00741A1E" w14:paraId="1EE70064" w14:textId="77777777">
      <w:pPr>
        <w:numPr>
          <w:ilvl w:val="0"/>
          <w:numId w:val="2"/>
        </w:numPr>
      </w:pPr>
      <w:r w:rsidRPr="00741A1E">
        <w:t>Cost Performance Index (CPI)</w:t>
      </w:r>
    </w:p>
    <w:p w:rsidRPr="00741A1E" w:rsidR="00741A1E" w:rsidP="00741A1E" w:rsidRDefault="00741A1E" w14:paraId="1F06C888" w14:textId="77777777">
      <w:pPr>
        <w:numPr>
          <w:ilvl w:val="0"/>
          <w:numId w:val="2"/>
        </w:numPr>
      </w:pPr>
      <w:r w:rsidRPr="00741A1E">
        <w:t>Cost variance (CV) &amp; trend</w:t>
      </w:r>
    </w:p>
    <w:p w:rsidRPr="00741A1E" w:rsidR="00741A1E" w:rsidP="00741A1E" w:rsidRDefault="00741A1E" w14:paraId="6247D8D4" w14:textId="77777777">
      <w:pPr>
        <w:numPr>
          <w:ilvl w:val="0"/>
          <w:numId w:val="2"/>
        </w:numPr>
      </w:pPr>
      <w:r w:rsidRPr="00741A1E">
        <w:t>Package-level budget tracking</w:t>
      </w:r>
    </w:p>
    <w:p w:rsidRPr="00741A1E" w:rsidR="00741A1E" w:rsidP="00741A1E" w:rsidRDefault="00741A1E" w14:paraId="79562B88" w14:textId="77777777">
      <w:pPr>
        <w:numPr>
          <w:ilvl w:val="0"/>
          <w:numId w:val="2"/>
        </w:numPr>
      </w:pPr>
      <w:r w:rsidRPr="00741A1E">
        <w:t>Committed costs vs approved budget</w:t>
      </w:r>
    </w:p>
    <w:p w:rsidRPr="00741A1E" w:rsidR="00741A1E" w:rsidP="00741A1E" w:rsidRDefault="00741A1E" w14:paraId="79D0FD89" w14:textId="77777777">
      <w:pPr>
        <w:numPr>
          <w:ilvl w:val="0"/>
          <w:numId w:val="2"/>
        </w:numPr>
      </w:pPr>
      <w:r w:rsidRPr="00741A1E">
        <w:lastRenderedPageBreak/>
        <w:t>Updated Estimate at Completion (EAC)</w:t>
      </w:r>
    </w:p>
    <w:p w:rsidRPr="00741A1E" w:rsidR="00741A1E" w:rsidP="00741A1E" w:rsidRDefault="00741A1E" w14:paraId="619B57CB" w14:textId="77777777">
      <w:pPr>
        <w:numPr>
          <w:ilvl w:val="0"/>
          <w:numId w:val="2"/>
        </w:numPr>
      </w:pPr>
      <w:r w:rsidRPr="00741A1E">
        <w:t>Contingency drawdown summary</w:t>
      </w:r>
    </w:p>
    <w:p w:rsidRPr="00741A1E" w:rsidR="00741A1E" w:rsidP="00741A1E" w:rsidRDefault="00741A1E" w14:paraId="1F83FDA9" w14:textId="77777777">
      <w:pPr>
        <w:numPr>
          <w:ilvl w:val="0"/>
          <w:numId w:val="2"/>
        </w:numPr>
      </w:pPr>
      <w:r w:rsidRPr="00741A1E">
        <w:t>Change log (approved, pending, rejected)</w:t>
      </w:r>
    </w:p>
    <w:p w:rsidRPr="00741A1E" w:rsidR="00741A1E" w:rsidP="00741A1E" w:rsidRDefault="00741A1E" w14:paraId="25A6F9FD" w14:textId="77777777">
      <w:pPr>
        <w:rPr>
          <w:b/>
          <w:bCs/>
        </w:rPr>
      </w:pPr>
      <w:r w:rsidRPr="00741A1E">
        <w:rPr>
          <w:b/>
          <w:bCs/>
        </w:rPr>
        <w:t>2. Monthly Schedule &amp; EVM Report</w:t>
      </w:r>
    </w:p>
    <w:p w:rsidRPr="00741A1E" w:rsidR="00741A1E" w:rsidP="00741A1E" w:rsidRDefault="00741A1E" w14:paraId="11D11E3A" w14:textId="77777777">
      <w:pPr>
        <w:numPr>
          <w:ilvl w:val="0"/>
          <w:numId w:val="3"/>
        </w:numPr>
      </w:pPr>
      <w:r w:rsidRPr="00741A1E">
        <w:t>EV, PV, AC</w:t>
      </w:r>
    </w:p>
    <w:p w:rsidRPr="00741A1E" w:rsidR="00741A1E" w:rsidP="00741A1E" w:rsidRDefault="00741A1E" w14:paraId="1E815D35" w14:textId="77777777">
      <w:pPr>
        <w:numPr>
          <w:ilvl w:val="0"/>
          <w:numId w:val="3"/>
        </w:numPr>
      </w:pPr>
      <w:r w:rsidRPr="00741A1E">
        <w:t>SPI, CPI</w:t>
      </w:r>
    </w:p>
    <w:p w:rsidRPr="00741A1E" w:rsidR="00741A1E" w:rsidP="00741A1E" w:rsidRDefault="00741A1E" w14:paraId="63E16E54" w14:textId="77777777">
      <w:pPr>
        <w:numPr>
          <w:ilvl w:val="0"/>
          <w:numId w:val="3"/>
        </w:numPr>
      </w:pPr>
      <w:r w:rsidRPr="00741A1E">
        <w:t>SV and CV</w:t>
      </w:r>
    </w:p>
    <w:p w:rsidRPr="00741A1E" w:rsidR="00741A1E" w:rsidP="00741A1E" w:rsidRDefault="00741A1E" w14:paraId="5A526F92" w14:textId="77777777">
      <w:pPr>
        <w:numPr>
          <w:ilvl w:val="0"/>
          <w:numId w:val="3"/>
        </w:numPr>
      </w:pPr>
      <w:r w:rsidRPr="00741A1E">
        <w:t>EAC based on cost, schedule, and productivity</w:t>
      </w:r>
    </w:p>
    <w:p w:rsidRPr="00741A1E" w:rsidR="00741A1E" w:rsidP="00741A1E" w:rsidRDefault="00741A1E" w14:paraId="278F12D3" w14:textId="77777777">
      <w:pPr>
        <w:rPr>
          <w:b/>
          <w:bCs/>
        </w:rPr>
      </w:pPr>
      <w:r w:rsidRPr="00741A1E">
        <w:rPr>
          <w:b/>
          <w:bCs/>
        </w:rPr>
        <w:t>3. CAPEX Dashboard (Visual Summary)</w:t>
      </w:r>
    </w:p>
    <w:p w:rsidRPr="00741A1E" w:rsidR="00741A1E" w:rsidP="00741A1E" w:rsidRDefault="00741A1E" w14:paraId="36D1F9E0" w14:textId="77777777">
      <w:pPr>
        <w:numPr>
          <w:ilvl w:val="0"/>
          <w:numId w:val="4"/>
        </w:numPr>
      </w:pPr>
      <w:r w:rsidRPr="00741A1E">
        <w:t>S</w:t>
      </w:r>
      <w:r w:rsidRPr="00741A1E">
        <w:noBreakHyphen/>
        <w:t>curves: PV vs EV vs AC</w:t>
      </w:r>
    </w:p>
    <w:p w:rsidRPr="00741A1E" w:rsidR="00741A1E" w:rsidP="00741A1E" w:rsidRDefault="00741A1E" w14:paraId="306BDC52" w14:textId="77777777">
      <w:pPr>
        <w:numPr>
          <w:ilvl w:val="0"/>
          <w:numId w:val="4"/>
        </w:numPr>
      </w:pPr>
      <w:r w:rsidRPr="00741A1E">
        <w:t>Contingency remaining vs % progress</w:t>
      </w:r>
    </w:p>
    <w:p w:rsidRPr="00741A1E" w:rsidR="00741A1E" w:rsidP="00741A1E" w:rsidRDefault="00741A1E" w14:paraId="34EFF661" w14:textId="77777777">
      <w:pPr>
        <w:numPr>
          <w:ilvl w:val="0"/>
          <w:numId w:val="4"/>
        </w:numPr>
      </w:pPr>
      <w:r w:rsidRPr="00741A1E">
        <w:t>Cash</w:t>
      </w:r>
      <w:r w:rsidRPr="00741A1E">
        <w:noBreakHyphen/>
        <w:t>flow forecast vs actual</w:t>
      </w:r>
    </w:p>
    <w:p w:rsidRPr="00741A1E" w:rsidR="00741A1E" w:rsidP="00741A1E" w:rsidRDefault="00741A1E" w14:paraId="74CBB0BD" w14:textId="77777777">
      <w:pPr>
        <w:numPr>
          <w:ilvl w:val="0"/>
          <w:numId w:val="4"/>
        </w:numPr>
      </w:pPr>
      <w:r w:rsidRPr="00741A1E">
        <w:t>Contract commitments</w:t>
      </w:r>
    </w:p>
    <w:p w:rsidRPr="00741A1E" w:rsidR="00741A1E" w:rsidP="00741A1E" w:rsidRDefault="00741A1E" w14:paraId="45484A21" w14:textId="77777777">
      <w:pPr>
        <w:numPr>
          <w:ilvl w:val="0"/>
          <w:numId w:val="4"/>
        </w:numPr>
      </w:pPr>
      <w:r w:rsidRPr="00741A1E">
        <w:t>Risk exposure (QCRA outputs)</w:t>
      </w:r>
    </w:p>
    <w:p w:rsidRPr="00741A1E" w:rsidR="00741A1E" w:rsidP="00741A1E" w:rsidRDefault="00741A1E" w14:paraId="0150BD6B" w14:textId="77777777">
      <w:pPr>
        <w:rPr>
          <w:b/>
          <w:bCs/>
        </w:rPr>
      </w:pPr>
      <w:r w:rsidRPr="00741A1E">
        <w:rPr>
          <w:b/>
          <w:bCs/>
        </w:rPr>
        <w:t>4. Procurement &amp; Contract Status Report</w:t>
      </w:r>
    </w:p>
    <w:p w:rsidRPr="00741A1E" w:rsidR="00741A1E" w:rsidP="00741A1E" w:rsidRDefault="00741A1E" w14:paraId="117F54CA" w14:textId="77777777">
      <w:pPr>
        <w:numPr>
          <w:ilvl w:val="0"/>
          <w:numId w:val="5"/>
        </w:numPr>
      </w:pPr>
      <w:r w:rsidRPr="00741A1E">
        <w:t>Award progress vs procurement plan</w:t>
      </w:r>
    </w:p>
    <w:p w:rsidRPr="00741A1E" w:rsidR="00741A1E" w:rsidP="00741A1E" w:rsidRDefault="00741A1E" w14:paraId="5CE49596" w14:textId="77777777">
      <w:pPr>
        <w:numPr>
          <w:ilvl w:val="0"/>
          <w:numId w:val="5"/>
        </w:numPr>
      </w:pPr>
      <w:r w:rsidRPr="00741A1E">
        <w:t>Long</w:t>
      </w:r>
      <w:r w:rsidRPr="00741A1E">
        <w:noBreakHyphen/>
        <w:t>lead items (cost + delivery)</w:t>
      </w:r>
    </w:p>
    <w:p w:rsidRPr="00741A1E" w:rsidR="00741A1E" w:rsidP="00741A1E" w:rsidRDefault="00741A1E" w14:paraId="484B766B" w14:textId="77777777">
      <w:pPr>
        <w:numPr>
          <w:ilvl w:val="0"/>
          <w:numId w:val="5"/>
        </w:numPr>
      </w:pPr>
      <w:r w:rsidRPr="00741A1E">
        <w:t>Variation orders (VORs)</w:t>
      </w:r>
    </w:p>
    <w:p w:rsidRPr="00741A1E" w:rsidR="00741A1E" w:rsidP="00741A1E" w:rsidRDefault="00741A1E" w14:paraId="120ABDA4" w14:textId="77777777">
      <w:pPr>
        <w:numPr>
          <w:ilvl w:val="0"/>
          <w:numId w:val="5"/>
        </w:numPr>
      </w:pPr>
      <w:r w:rsidRPr="00741A1E">
        <w:t>Claims and disputes</w:t>
      </w:r>
    </w:p>
    <w:p w:rsidRPr="00741A1E" w:rsidR="00741A1E" w:rsidP="00741A1E" w:rsidRDefault="00741A1E" w14:paraId="4119FD17" w14:textId="77777777">
      <w:pPr>
        <w:rPr>
          <w:b/>
          <w:bCs/>
        </w:rPr>
      </w:pPr>
      <w:r w:rsidRPr="00741A1E">
        <w:rPr>
          <w:b/>
          <w:bCs/>
        </w:rPr>
        <w:t>5. Monthly Operations Budget Report (post opening)</w:t>
      </w:r>
    </w:p>
    <w:p w:rsidRPr="00741A1E" w:rsidR="00741A1E" w:rsidP="00741A1E" w:rsidRDefault="00741A1E" w14:paraId="1D0F4442" w14:textId="77777777">
      <w:pPr>
        <w:numPr>
          <w:ilvl w:val="0"/>
          <w:numId w:val="6"/>
        </w:numPr>
      </w:pPr>
      <w:r w:rsidRPr="00741A1E">
        <w:t>OPEX vs budget</w:t>
      </w:r>
    </w:p>
    <w:p w:rsidRPr="00741A1E" w:rsidR="00741A1E" w:rsidP="00741A1E" w:rsidRDefault="00741A1E" w14:paraId="6DBA56D7" w14:textId="77777777">
      <w:pPr>
        <w:numPr>
          <w:ilvl w:val="0"/>
          <w:numId w:val="6"/>
        </w:numPr>
      </w:pPr>
      <w:r w:rsidRPr="00741A1E">
        <w:t>Utilities cost trends</w:t>
      </w:r>
    </w:p>
    <w:p w:rsidRPr="00741A1E" w:rsidR="00741A1E" w:rsidP="00741A1E" w:rsidRDefault="00741A1E" w14:paraId="20A25F28" w14:textId="77777777">
      <w:pPr>
        <w:numPr>
          <w:ilvl w:val="0"/>
          <w:numId w:val="6"/>
        </w:numPr>
      </w:pPr>
      <w:r w:rsidRPr="00741A1E">
        <w:t>Rent collection status &amp; recovery rates</w:t>
      </w:r>
    </w:p>
    <w:p w:rsidRPr="00741A1E" w:rsidR="00741A1E" w:rsidP="00741A1E" w:rsidRDefault="00741A1E" w14:paraId="10294E7C" w14:textId="77777777">
      <w:pPr>
        <w:numPr>
          <w:ilvl w:val="0"/>
          <w:numId w:val="6"/>
        </w:numPr>
      </w:pPr>
      <w:r w:rsidRPr="00741A1E">
        <w:t>Tenant fit</w:t>
      </w:r>
      <w:r w:rsidRPr="00741A1E">
        <w:noBreakHyphen/>
        <w:t>out Capex tracker</w:t>
      </w:r>
    </w:p>
    <w:p w:rsidRPr="00741A1E" w:rsidR="00741A1E" w:rsidP="00741A1E" w:rsidRDefault="00741A1E" w14:paraId="1BB4B36E" w14:textId="77777777">
      <w:pPr>
        <w:numPr>
          <w:ilvl w:val="0"/>
          <w:numId w:val="6"/>
        </w:numPr>
      </w:pPr>
      <w:r w:rsidRPr="00741A1E">
        <w:t>Major replacement reserve (lifecycle CAPEX)</w:t>
      </w:r>
    </w:p>
    <w:p w:rsidRPr="00741A1E" w:rsidR="00741A1E" w:rsidP="00741A1E" w:rsidRDefault="00741A1E" w14:paraId="7E544844" w14:textId="77777777">
      <w:r w:rsidRPr="00741A1E">
        <w:pict w14:anchorId="2ACFB4DC">
          <v:rect id="_x0000_i1178" style="width:0;height:1.5pt" o:hr="t" o:hrstd="t" o:hralign="center" fillcolor="#a0a0a0" stroked="f"/>
        </w:pict>
      </w:r>
    </w:p>
    <w:p w:rsidRPr="00741A1E" w:rsidR="00741A1E" w:rsidP="00741A1E" w:rsidRDefault="00741A1E" w14:paraId="02655995" w14:textId="77777777">
      <w:pPr>
        <w:rPr>
          <w:b/>
          <w:bCs/>
        </w:rPr>
      </w:pPr>
      <w:r w:rsidRPr="00741A1E">
        <w:rPr>
          <w:b/>
          <w:bCs/>
        </w:rPr>
        <w:t>C) Quarterly Reports (Strategic Level)</w:t>
      </w:r>
    </w:p>
    <w:p w:rsidRPr="00741A1E" w:rsidR="00741A1E" w:rsidP="00741A1E" w:rsidRDefault="00741A1E" w14:paraId="052A6CCB" w14:textId="77777777">
      <w:r w:rsidRPr="00741A1E">
        <w:rPr>
          <w:b/>
          <w:bCs/>
        </w:rPr>
        <w:t>Purpose:</w:t>
      </w:r>
      <w:r w:rsidRPr="00741A1E">
        <w:t xml:space="preserve"> Portfolio/investor review and risk recalibration.</w:t>
      </w:r>
    </w:p>
    <w:p w:rsidRPr="00741A1E" w:rsidR="00741A1E" w:rsidP="00741A1E" w:rsidRDefault="00741A1E" w14:paraId="479C5C0C" w14:textId="77777777">
      <w:pPr>
        <w:rPr>
          <w:b/>
          <w:bCs/>
        </w:rPr>
      </w:pPr>
      <w:r w:rsidRPr="00741A1E">
        <w:rPr>
          <w:b/>
          <w:bCs/>
        </w:rPr>
        <w:lastRenderedPageBreak/>
        <w:t>1. Quarterly Financial Review</w:t>
      </w:r>
    </w:p>
    <w:p w:rsidRPr="00741A1E" w:rsidR="00741A1E" w:rsidP="00741A1E" w:rsidRDefault="00741A1E" w14:paraId="548420F3" w14:textId="77777777">
      <w:pPr>
        <w:numPr>
          <w:ilvl w:val="0"/>
          <w:numId w:val="7"/>
        </w:numPr>
      </w:pPr>
      <w:r w:rsidRPr="00741A1E">
        <w:t>Portfolio-level cost performance</w:t>
      </w:r>
    </w:p>
    <w:p w:rsidRPr="00741A1E" w:rsidR="00741A1E" w:rsidP="00741A1E" w:rsidRDefault="00741A1E" w14:paraId="6BF0EAB5" w14:textId="77777777">
      <w:pPr>
        <w:numPr>
          <w:ilvl w:val="0"/>
          <w:numId w:val="7"/>
        </w:numPr>
      </w:pPr>
      <w:r w:rsidRPr="00741A1E">
        <w:t>Updated CAPEX forecasts</w:t>
      </w:r>
    </w:p>
    <w:p w:rsidRPr="00741A1E" w:rsidR="00741A1E" w:rsidP="00741A1E" w:rsidRDefault="00741A1E" w14:paraId="14691931" w14:textId="77777777">
      <w:pPr>
        <w:numPr>
          <w:ilvl w:val="0"/>
          <w:numId w:val="7"/>
        </w:numPr>
      </w:pPr>
      <w:r w:rsidRPr="00741A1E">
        <w:t>Risk-adjusted EAC (P50/P80)</w:t>
      </w:r>
    </w:p>
    <w:p w:rsidRPr="00741A1E" w:rsidR="00741A1E" w:rsidP="00741A1E" w:rsidRDefault="00741A1E" w14:paraId="1EF834F6" w14:textId="77777777">
      <w:pPr>
        <w:numPr>
          <w:ilvl w:val="0"/>
          <w:numId w:val="7"/>
        </w:numPr>
      </w:pPr>
      <w:r w:rsidRPr="00741A1E">
        <w:t>Financing status, loan covenants, interest impacts</w:t>
      </w:r>
    </w:p>
    <w:p w:rsidRPr="00741A1E" w:rsidR="00741A1E" w:rsidP="00741A1E" w:rsidRDefault="00741A1E" w14:paraId="331471C6" w14:textId="77777777">
      <w:pPr>
        <w:numPr>
          <w:ilvl w:val="0"/>
          <w:numId w:val="7"/>
        </w:numPr>
      </w:pPr>
      <w:r w:rsidRPr="00741A1E">
        <w:t>ROI impact from major variances</w:t>
      </w:r>
    </w:p>
    <w:p w:rsidRPr="00741A1E" w:rsidR="00741A1E" w:rsidP="00741A1E" w:rsidRDefault="00741A1E" w14:paraId="325D7972" w14:textId="77777777">
      <w:pPr>
        <w:rPr>
          <w:b/>
          <w:bCs/>
        </w:rPr>
      </w:pPr>
      <w:r w:rsidRPr="00741A1E">
        <w:rPr>
          <w:b/>
          <w:bCs/>
        </w:rPr>
        <w:t>2. Portfolio-Level Cash Flow Review</w:t>
      </w:r>
    </w:p>
    <w:p w:rsidRPr="00741A1E" w:rsidR="00741A1E" w:rsidP="00741A1E" w:rsidRDefault="00741A1E" w14:paraId="4708CCF3" w14:textId="77777777">
      <w:pPr>
        <w:numPr>
          <w:ilvl w:val="0"/>
          <w:numId w:val="8"/>
        </w:numPr>
      </w:pPr>
      <w:r w:rsidRPr="00741A1E">
        <w:t>Forecast cash burn</w:t>
      </w:r>
    </w:p>
    <w:p w:rsidRPr="00741A1E" w:rsidR="00741A1E" w:rsidP="00741A1E" w:rsidRDefault="00741A1E" w14:paraId="37AB6B82" w14:textId="77777777">
      <w:pPr>
        <w:numPr>
          <w:ilvl w:val="0"/>
          <w:numId w:val="8"/>
        </w:numPr>
      </w:pPr>
      <w:r w:rsidRPr="00741A1E">
        <w:t>Debt drawdown requirements</w:t>
      </w:r>
    </w:p>
    <w:p w:rsidRPr="00741A1E" w:rsidR="00741A1E" w:rsidP="00741A1E" w:rsidRDefault="00741A1E" w14:paraId="46481CEA" w14:textId="77777777">
      <w:pPr>
        <w:numPr>
          <w:ilvl w:val="0"/>
          <w:numId w:val="8"/>
        </w:numPr>
      </w:pPr>
      <w:r w:rsidRPr="00741A1E">
        <w:t>Tenant leasing incentives &amp; capital allowances</w:t>
      </w:r>
    </w:p>
    <w:p w:rsidRPr="00741A1E" w:rsidR="00741A1E" w:rsidP="00741A1E" w:rsidRDefault="00741A1E" w14:paraId="578A09CF" w14:textId="77777777">
      <w:r w:rsidRPr="00741A1E">
        <w:rPr>
          <w:b/>
          <w:bCs/>
        </w:rPr>
        <w:t>Audience:</w:t>
      </w:r>
      <w:r w:rsidRPr="00741A1E">
        <w:t xml:space="preserve"> Board, CFO, Lenders, Investors.</w:t>
      </w:r>
    </w:p>
    <w:p w:rsidRPr="00741A1E" w:rsidR="00741A1E" w:rsidP="00741A1E" w:rsidRDefault="00741A1E" w14:paraId="65A72B01" w14:textId="77777777">
      <w:r w:rsidRPr="00741A1E">
        <w:pict w14:anchorId="7D5A23A0">
          <v:rect id="_x0000_i1179" style="width:0;height:1.5pt" o:hr="t" o:hrstd="t" o:hralign="center" fillcolor="#a0a0a0" stroked="f"/>
        </w:pict>
      </w:r>
    </w:p>
    <w:p w:rsidRPr="00741A1E" w:rsidR="00741A1E" w:rsidP="00741A1E" w:rsidRDefault="00741A1E" w14:paraId="5929B947" w14:textId="77777777">
      <w:pPr>
        <w:rPr>
          <w:b/>
          <w:bCs/>
        </w:rPr>
      </w:pPr>
      <w:r w:rsidRPr="00741A1E">
        <w:rPr>
          <w:rFonts w:ascii="Segoe UI Emoji" w:hAnsi="Segoe UI Emoji" w:cs="Segoe UI Emoji"/>
          <w:b/>
          <w:bCs/>
        </w:rPr>
        <w:t>📊</w:t>
      </w:r>
      <w:r w:rsidRPr="00741A1E">
        <w:rPr>
          <w:b/>
          <w:bCs/>
        </w:rPr>
        <w:t xml:space="preserve"> 2. Key Financial KPIs</w:t>
      </w:r>
    </w:p>
    <w:p w:rsidRPr="00741A1E" w:rsidR="00741A1E" w:rsidP="00741A1E" w:rsidRDefault="00741A1E" w14:paraId="30B5B28F" w14:textId="77777777">
      <w:r w:rsidRPr="00741A1E">
        <w:t>KPIs ensure consistent, objective measurement of project financial health.</w:t>
      </w:r>
    </w:p>
    <w:p w:rsidRPr="00741A1E" w:rsidR="00741A1E" w:rsidP="00741A1E" w:rsidRDefault="00741A1E" w14:paraId="458FE2A7" w14:textId="77777777">
      <w:r w:rsidRPr="00741A1E">
        <w:pict w14:anchorId="0615AAD0">
          <v:rect id="_x0000_i1180" style="width:0;height:1.5pt" o:hr="t" o:hrstd="t" o:hralign="center" fillcolor="#a0a0a0" stroked="f"/>
        </w:pict>
      </w:r>
    </w:p>
    <w:p w:rsidRPr="00741A1E" w:rsidR="00741A1E" w:rsidP="00741A1E" w:rsidRDefault="00741A1E" w14:paraId="3BF6FE2E" w14:textId="77777777">
      <w:pPr>
        <w:rPr>
          <w:b/>
          <w:bCs/>
        </w:rPr>
      </w:pPr>
      <w:r w:rsidRPr="00741A1E">
        <w:rPr>
          <w:b/>
          <w:bCs/>
        </w:rPr>
        <w:t>A) Cost Performance KPIs</w:t>
      </w:r>
    </w:p>
    <w:p w:rsidRPr="00741A1E" w:rsidR="00741A1E" w:rsidP="00741A1E" w:rsidRDefault="00741A1E" w14:paraId="0D81F891" w14:textId="77777777">
      <w:pPr>
        <w:numPr>
          <w:ilvl w:val="0"/>
          <w:numId w:val="9"/>
        </w:numPr>
      </w:pPr>
      <w:r w:rsidRPr="00741A1E">
        <w:rPr>
          <w:b/>
          <w:bCs/>
        </w:rPr>
        <w:t>CPI = EV / AC</w:t>
      </w:r>
    </w:p>
    <w:p w:rsidRPr="00741A1E" w:rsidR="00741A1E" w:rsidP="00741A1E" w:rsidRDefault="00741A1E" w14:paraId="4E297B96" w14:textId="77777777">
      <w:pPr>
        <w:numPr>
          <w:ilvl w:val="0"/>
          <w:numId w:val="9"/>
        </w:numPr>
      </w:pPr>
      <w:r w:rsidRPr="00741A1E">
        <w:rPr>
          <w:b/>
          <w:bCs/>
        </w:rPr>
        <w:t>Cost Variance (CV) = EV – AC</w:t>
      </w:r>
    </w:p>
    <w:p w:rsidRPr="00741A1E" w:rsidR="00741A1E" w:rsidP="00741A1E" w:rsidRDefault="00741A1E" w14:paraId="28770A14" w14:textId="77777777">
      <w:pPr>
        <w:numPr>
          <w:ilvl w:val="0"/>
          <w:numId w:val="9"/>
        </w:numPr>
      </w:pPr>
      <w:r w:rsidRPr="00741A1E">
        <w:rPr>
          <w:b/>
          <w:bCs/>
        </w:rPr>
        <w:t>Cost Predictability Index</w:t>
      </w:r>
      <w:r w:rsidRPr="00741A1E">
        <w:t xml:space="preserve"> (variance vs last forecast)</w:t>
      </w:r>
    </w:p>
    <w:p w:rsidRPr="00741A1E" w:rsidR="00741A1E" w:rsidP="00741A1E" w:rsidRDefault="00741A1E" w14:paraId="79CA59E9" w14:textId="77777777">
      <w:pPr>
        <w:numPr>
          <w:ilvl w:val="0"/>
          <w:numId w:val="9"/>
        </w:numPr>
      </w:pPr>
      <w:r w:rsidRPr="00741A1E">
        <w:rPr>
          <w:b/>
          <w:bCs/>
        </w:rPr>
        <w:t>EAC vs BAC</w:t>
      </w:r>
      <w:r w:rsidRPr="00741A1E">
        <w:t xml:space="preserve"> (forecast overrun/underrun)</w:t>
      </w:r>
    </w:p>
    <w:p w:rsidRPr="00741A1E" w:rsidR="00741A1E" w:rsidP="00741A1E" w:rsidRDefault="00741A1E" w14:paraId="62E825C5" w14:textId="77777777">
      <w:pPr>
        <w:numPr>
          <w:ilvl w:val="0"/>
          <w:numId w:val="9"/>
        </w:numPr>
      </w:pPr>
      <w:r w:rsidRPr="00741A1E">
        <w:rPr>
          <w:b/>
          <w:bCs/>
        </w:rPr>
        <w:t>Contingency Burn Rate</w:t>
      </w:r>
      <w:r w:rsidRPr="00741A1E">
        <w:t xml:space="preserve"> (monthly/period-to-period)</w:t>
      </w:r>
    </w:p>
    <w:p w:rsidRPr="00741A1E" w:rsidR="00741A1E" w:rsidP="00741A1E" w:rsidRDefault="00741A1E" w14:paraId="7EFDE695" w14:textId="77777777">
      <w:pPr>
        <w:numPr>
          <w:ilvl w:val="0"/>
          <w:numId w:val="9"/>
        </w:numPr>
      </w:pPr>
      <w:r w:rsidRPr="00741A1E">
        <w:rPr>
          <w:b/>
          <w:bCs/>
        </w:rPr>
        <w:t>Committed Cost Ratio = Commitments / Budget</w:t>
      </w:r>
    </w:p>
    <w:p w:rsidRPr="00741A1E" w:rsidR="00741A1E" w:rsidP="00741A1E" w:rsidRDefault="00741A1E" w14:paraId="6D83D12C" w14:textId="77777777">
      <w:pPr>
        <w:numPr>
          <w:ilvl w:val="0"/>
          <w:numId w:val="9"/>
        </w:numPr>
      </w:pPr>
      <w:r w:rsidRPr="00741A1E">
        <w:rPr>
          <w:b/>
          <w:bCs/>
        </w:rPr>
        <w:t>Cost of Rework</w:t>
      </w:r>
      <w:r w:rsidRPr="00741A1E">
        <w:t xml:space="preserve"> (as % of total cost)</w:t>
      </w:r>
    </w:p>
    <w:p w:rsidRPr="00741A1E" w:rsidR="00741A1E" w:rsidP="00741A1E" w:rsidRDefault="00741A1E" w14:paraId="74FC6650" w14:textId="77777777">
      <w:r w:rsidRPr="00741A1E">
        <w:pict w14:anchorId="0846A071">
          <v:rect id="_x0000_i1181" style="width:0;height:1.5pt" o:hr="t" o:hrstd="t" o:hralign="center" fillcolor="#a0a0a0" stroked="f"/>
        </w:pict>
      </w:r>
    </w:p>
    <w:p w:rsidRPr="00741A1E" w:rsidR="00741A1E" w:rsidP="00741A1E" w:rsidRDefault="00741A1E" w14:paraId="11EE0978" w14:textId="77777777">
      <w:pPr>
        <w:rPr>
          <w:b/>
          <w:bCs/>
        </w:rPr>
      </w:pPr>
      <w:r w:rsidRPr="00741A1E">
        <w:rPr>
          <w:b/>
          <w:bCs/>
        </w:rPr>
        <w:t>B) Schedule &amp; Productivity KPIs</w:t>
      </w:r>
    </w:p>
    <w:p w:rsidRPr="00741A1E" w:rsidR="00741A1E" w:rsidP="00741A1E" w:rsidRDefault="00741A1E" w14:paraId="73EE048D" w14:textId="77777777">
      <w:pPr>
        <w:numPr>
          <w:ilvl w:val="0"/>
          <w:numId w:val="10"/>
        </w:numPr>
      </w:pPr>
      <w:r w:rsidRPr="00741A1E">
        <w:rPr>
          <w:b/>
          <w:bCs/>
        </w:rPr>
        <w:t>SPI = EV / PV</w:t>
      </w:r>
    </w:p>
    <w:p w:rsidRPr="00741A1E" w:rsidR="00741A1E" w:rsidP="00741A1E" w:rsidRDefault="00741A1E" w14:paraId="0D318BC3" w14:textId="77777777">
      <w:pPr>
        <w:numPr>
          <w:ilvl w:val="0"/>
          <w:numId w:val="10"/>
        </w:numPr>
      </w:pPr>
      <w:r w:rsidRPr="00741A1E">
        <w:rPr>
          <w:b/>
          <w:bCs/>
        </w:rPr>
        <w:t>Schedule Variance (SV)</w:t>
      </w:r>
    </w:p>
    <w:p w:rsidRPr="00741A1E" w:rsidR="00741A1E" w:rsidP="00741A1E" w:rsidRDefault="00741A1E" w14:paraId="40CB791A" w14:textId="77777777">
      <w:pPr>
        <w:numPr>
          <w:ilvl w:val="0"/>
          <w:numId w:val="10"/>
        </w:numPr>
      </w:pPr>
      <w:r w:rsidRPr="00741A1E">
        <w:rPr>
          <w:b/>
          <w:bCs/>
        </w:rPr>
        <w:t>Planned vs Actual Productivity</w:t>
      </w:r>
      <w:r w:rsidRPr="00741A1E">
        <w:t xml:space="preserve"> (e.g., m² installed/day)</w:t>
      </w:r>
    </w:p>
    <w:p w:rsidRPr="00741A1E" w:rsidR="00741A1E" w:rsidP="00741A1E" w:rsidRDefault="00741A1E" w14:paraId="58F1BC4D" w14:textId="77777777">
      <w:pPr>
        <w:numPr>
          <w:ilvl w:val="0"/>
          <w:numId w:val="10"/>
        </w:numPr>
      </w:pPr>
      <w:r w:rsidRPr="00741A1E">
        <w:rPr>
          <w:b/>
          <w:bCs/>
        </w:rPr>
        <w:lastRenderedPageBreak/>
        <w:t>Percentage Plan Complete (PPC)</w:t>
      </w:r>
      <w:r w:rsidRPr="00741A1E">
        <w:t>—Last Planner System metric</w:t>
      </w:r>
    </w:p>
    <w:p w:rsidRPr="00741A1E" w:rsidR="00741A1E" w:rsidP="00741A1E" w:rsidRDefault="00741A1E" w14:paraId="4CD1B85A" w14:textId="77777777">
      <w:r w:rsidRPr="00741A1E">
        <w:pict w14:anchorId="1885CF58">
          <v:rect id="_x0000_i1182" style="width:0;height:1.5pt" o:hr="t" o:hrstd="t" o:hralign="center" fillcolor="#a0a0a0" stroked="f"/>
        </w:pict>
      </w:r>
    </w:p>
    <w:p w:rsidRPr="00741A1E" w:rsidR="00741A1E" w:rsidP="00741A1E" w:rsidRDefault="00741A1E" w14:paraId="249A417E" w14:textId="77777777">
      <w:pPr>
        <w:rPr>
          <w:b/>
          <w:bCs/>
        </w:rPr>
      </w:pPr>
      <w:r w:rsidRPr="00741A1E">
        <w:rPr>
          <w:b/>
          <w:bCs/>
        </w:rPr>
        <w:t>C) Cash Flow &amp; Liquidity KPIs</w:t>
      </w:r>
    </w:p>
    <w:p w:rsidRPr="00741A1E" w:rsidR="00741A1E" w:rsidP="00741A1E" w:rsidRDefault="00741A1E" w14:paraId="4CCF4EB9" w14:textId="77777777">
      <w:pPr>
        <w:numPr>
          <w:ilvl w:val="0"/>
          <w:numId w:val="11"/>
        </w:numPr>
      </w:pPr>
      <w:r w:rsidRPr="00741A1E">
        <w:rPr>
          <w:b/>
          <w:bCs/>
        </w:rPr>
        <w:t>Monthly Cash Burn Rate</w:t>
      </w:r>
    </w:p>
    <w:p w:rsidRPr="00741A1E" w:rsidR="00741A1E" w:rsidP="00741A1E" w:rsidRDefault="00741A1E" w14:paraId="480BE1C7" w14:textId="77777777">
      <w:pPr>
        <w:numPr>
          <w:ilvl w:val="0"/>
          <w:numId w:val="11"/>
        </w:numPr>
      </w:pPr>
      <w:r w:rsidRPr="00741A1E">
        <w:rPr>
          <w:b/>
          <w:bCs/>
        </w:rPr>
        <w:t>Cash-on-Hand vs 3</w:t>
      </w:r>
      <w:r w:rsidRPr="00741A1E">
        <w:rPr>
          <w:b/>
          <w:bCs/>
        </w:rPr>
        <w:noBreakHyphen/>
        <w:t>Month Forecast</w:t>
      </w:r>
    </w:p>
    <w:p w:rsidRPr="00741A1E" w:rsidR="00741A1E" w:rsidP="00741A1E" w:rsidRDefault="00741A1E" w14:paraId="0AE16F94" w14:textId="77777777">
      <w:pPr>
        <w:numPr>
          <w:ilvl w:val="0"/>
          <w:numId w:val="11"/>
        </w:numPr>
      </w:pPr>
      <w:r w:rsidRPr="00741A1E">
        <w:rPr>
          <w:b/>
          <w:bCs/>
        </w:rPr>
        <w:t>Debt Drawdown Utilization</w:t>
      </w:r>
    </w:p>
    <w:p w:rsidRPr="00741A1E" w:rsidR="00741A1E" w:rsidP="00741A1E" w:rsidRDefault="00741A1E" w14:paraId="058243E8" w14:textId="77777777">
      <w:pPr>
        <w:numPr>
          <w:ilvl w:val="0"/>
          <w:numId w:val="11"/>
        </w:numPr>
      </w:pPr>
      <w:r w:rsidRPr="00741A1E">
        <w:rPr>
          <w:b/>
          <w:bCs/>
        </w:rPr>
        <w:t>Payment Cycle Time</w:t>
      </w:r>
      <w:r w:rsidRPr="00741A1E">
        <w:t xml:space="preserve"> (subcontractors, suppliers)</w:t>
      </w:r>
    </w:p>
    <w:p w:rsidRPr="00741A1E" w:rsidR="00741A1E" w:rsidP="00741A1E" w:rsidRDefault="00741A1E" w14:paraId="7173C52A" w14:textId="77777777">
      <w:r w:rsidRPr="00741A1E">
        <w:pict w14:anchorId="60701099">
          <v:rect id="_x0000_i1183" style="width:0;height:1.5pt" o:hr="t" o:hrstd="t" o:hralign="center" fillcolor="#a0a0a0" stroked="f"/>
        </w:pict>
      </w:r>
    </w:p>
    <w:p w:rsidRPr="00741A1E" w:rsidR="00741A1E" w:rsidP="00741A1E" w:rsidRDefault="00741A1E" w14:paraId="015FCAB5" w14:textId="77777777">
      <w:pPr>
        <w:rPr>
          <w:b/>
          <w:bCs/>
        </w:rPr>
      </w:pPr>
      <w:r w:rsidRPr="00741A1E">
        <w:rPr>
          <w:b/>
          <w:bCs/>
        </w:rPr>
        <w:t>D) Risk &amp; Change Control KPIs</w:t>
      </w:r>
    </w:p>
    <w:p w:rsidRPr="00741A1E" w:rsidR="00741A1E" w:rsidP="00741A1E" w:rsidRDefault="00741A1E" w14:paraId="52F02B57" w14:textId="77777777">
      <w:pPr>
        <w:numPr>
          <w:ilvl w:val="0"/>
          <w:numId w:val="12"/>
        </w:numPr>
      </w:pPr>
      <w:r w:rsidRPr="00741A1E">
        <w:rPr>
          <w:b/>
          <w:bCs/>
        </w:rPr>
        <w:t>Approved Variations as % of BAC</w:t>
      </w:r>
    </w:p>
    <w:p w:rsidRPr="00741A1E" w:rsidR="00741A1E" w:rsidP="00741A1E" w:rsidRDefault="00741A1E" w14:paraId="62BB7B2D" w14:textId="77777777">
      <w:pPr>
        <w:numPr>
          <w:ilvl w:val="0"/>
          <w:numId w:val="12"/>
        </w:numPr>
      </w:pPr>
      <w:r w:rsidRPr="00741A1E">
        <w:rPr>
          <w:b/>
          <w:bCs/>
        </w:rPr>
        <w:t>Pending Variations &gt; 30 days</w:t>
      </w:r>
    </w:p>
    <w:p w:rsidRPr="00741A1E" w:rsidR="00741A1E" w:rsidP="00741A1E" w:rsidRDefault="00741A1E" w14:paraId="4D715918" w14:textId="77777777">
      <w:pPr>
        <w:numPr>
          <w:ilvl w:val="0"/>
          <w:numId w:val="12"/>
        </w:numPr>
      </w:pPr>
      <w:r w:rsidRPr="00741A1E">
        <w:rPr>
          <w:b/>
          <w:bCs/>
        </w:rPr>
        <w:t>Risk Exposure vs Contingency</w:t>
      </w:r>
    </w:p>
    <w:p w:rsidRPr="00741A1E" w:rsidR="00741A1E" w:rsidP="00741A1E" w:rsidRDefault="00741A1E" w14:paraId="1073CF34" w14:textId="77777777">
      <w:pPr>
        <w:numPr>
          <w:ilvl w:val="0"/>
          <w:numId w:val="12"/>
        </w:numPr>
      </w:pPr>
      <w:r w:rsidRPr="00741A1E">
        <w:rPr>
          <w:b/>
          <w:bCs/>
        </w:rPr>
        <w:t>Claims Volume &amp; Value</w:t>
      </w:r>
    </w:p>
    <w:p w:rsidRPr="00741A1E" w:rsidR="00741A1E" w:rsidP="00741A1E" w:rsidRDefault="00741A1E" w14:paraId="45E0BD6E" w14:textId="77777777">
      <w:r w:rsidRPr="00741A1E">
        <w:pict w14:anchorId="4639AF2C">
          <v:rect id="_x0000_i1184" style="width:0;height:1.5pt" o:hr="t" o:hrstd="t" o:hralign="center" fillcolor="#a0a0a0" stroked="f"/>
        </w:pict>
      </w:r>
    </w:p>
    <w:p w:rsidRPr="00741A1E" w:rsidR="00741A1E" w:rsidP="00741A1E" w:rsidRDefault="00741A1E" w14:paraId="59CFFFFF" w14:textId="77777777">
      <w:pPr>
        <w:rPr>
          <w:b/>
          <w:bCs/>
        </w:rPr>
      </w:pPr>
      <w:r w:rsidRPr="00741A1E">
        <w:rPr>
          <w:b/>
          <w:bCs/>
        </w:rPr>
        <w:t>E) Operations KPIs (Post-opening)</w:t>
      </w:r>
    </w:p>
    <w:p w:rsidRPr="00741A1E" w:rsidR="00741A1E" w:rsidP="00741A1E" w:rsidRDefault="00741A1E" w14:paraId="1B9CCE14" w14:textId="77777777">
      <w:pPr>
        <w:numPr>
          <w:ilvl w:val="0"/>
          <w:numId w:val="13"/>
        </w:numPr>
      </w:pPr>
      <w:r w:rsidRPr="00741A1E">
        <w:rPr>
          <w:b/>
          <w:bCs/>
        </w:rPr>
        <w:t>OPEX per m²</w:t>
      </w:r>
    </w:p>
    <w:p w:rsidRPr="00741A1E" w:rsidR="00741A1E" w:rsidP="00741A1E" w:rsidRDefault="00741A1E" w14:paraId="699A9314" w14:textId="77777777">
      <w:pPr>
        <w:numPr>
          <w:ilvl w:val="0"/>
          <w:numId w:val="13"/>
        </w:numPr>
      </w:pPr>
      <w:r w:rsidRPr="00741A1E">
        <w:rPr>
          <w:b/>
          <w:bCs/>
        </w:rPr>
        <w:t>Energy Intensity (kWh/m²)</w:t>
      </w:r>
    </w:p>
    <w:p w:rsidRPr="00741A1E" w:rsidR="00741A1E" w:rsidP="00741A1E" w:rsidRDefault="00741A1E" w14:paraId="6A0960D9" w14:textId="77777777">
      <w:pPr>
        <w:numPr>
          <w:ilvl w:val="0"/>
          <w:numId w:val="13"/>
        </w:numPr>
      </w:pPr>
      <w:r w:rsidRPr="00741A1E">
        <w:rPr>
          <w:b/>
          <w:bCs/>
        </w:rPr>
        <w:t>Maintenance cost per asset class</w:t>
      </w:r>
    </w:p>
    <w:p w:rsidRPr="00741A1E" w:rsidR="00741A1E" w:rsidP="00741A1E" w:rsidRDefault="00741A1E" w14:paraId="04D544F8" w14:textId="77777777">
      <w:pPr>
        <w:numPr>
          <w:ilvl w:val="0"/>
          <w:numId w:val="13"/>
        </w:numPr>
      </w:pPr>
      <w:r w:rsidRPr="00741A1E">
        <w:rPr>
          <w:b/>
          <w:bCs/>
        </w:rPr>
        <w:t>Vacancy rate &amp; tenant turnover</w:t>
      </w:r>
    </w:p>
    <w:p w:rsidRPr="00741A1E" w:rsidR="00741A1E" w:rsidP="00741A1E" w:rsidRDefault="00741A1E" w14:paraId="04C3934C" w14:textId="77777777">
      <w:pPr>
        <w:numPr>
          <w:ilvl w:val="0"/>
          <w:numId w:val="13"/>
        </w:numPr>
      </w:pPr>
      <w:r w:rsidRPr="00741A1E">
        <w:rPr>
          <w:b/>
          <w:bCs/>
        </w:rPr>
        <w:t>Revenue per occupied m²</w:t>
      </w:r>
    </w:p>
    <w:p w:rsidRPr="00741A1E" w:rsidR="00741A1E" w:rsidP="00741A1E" w:rsidRDefault="00741A1E" w14:paraId="5DF67CBC" w14:textId="77777777">
      <w:r w:rsidRPr="00741A1E">
        <w:pict w14:anchorId="2E0212E9">
          <v:rect id="_x0000_i1185" style="width:0;height:1.5pt" o:hr="t" o:hrstd="t" o:hralign="center" fillcolor="#a0a0a0" stroked="f"/>
        </w:pict>
      </w:r>
    </w:p>
    <w:p w:rsidRPr="00741A1E" w:rsidR="00741A1E" w:rsidP="00741A1E" w:rsidRDefault="00741A1E" w14:paraId="541C25FE" w14:textId="77777777">
      <w:pPr>
        <w:rPr>
          <w:b/>
          <w:bCs/>
        </w:rPr>
      </w:pPr>
      <w:r w:rsidRPr="00741A1E">
        <w:rPr>
          <w:rFonts w:ascii="Segoe UI Emoji" w:hAnsi="Segoe UI Emoji" w:cs="Segoe UI Emoji"/>
          <w:b/>
          <w:bCs/>
        </w:rPr>
        <w:t>🏛️</w:t>
      </w:r>
      <w:r w:rsidRPr="00741A1E">
        <w:rPr>
          <w:b/>
          <w:bCs/>
        </w:rPr>
        <w:t xml:space="preserve"> 3. Governance Structure: Who Receives What &amp; Why</w:t>
      </w:r>
    </w:p>
    <w:p w:rsidRPr="00741A1E" w:rsidR="00741A1E" w:rsidP="00741A1E" w:rsidRDefault="00741A1E" w14:paraId="56EA581D" w14:textId="77777777">
      <w:r w:rsidRPr="00741A1E">
        <w:t>Proper governance ensures accountability and avoids information overload.</w:t>
      </w:r>
    </w:p>
    <w:p w:rsidRPr="00741A1E" w:rsidR="00741A1E" w:rsidP="00741A1E" w:rsidRDefault="00741A1E" w14:paraId="77433E61" w14:textId="77777777">
      <w:r w:rsidRPr="00741A1E">
        <w:pict w14:anchorId="209C4C03">
          <v:rect id="_x0000_i1186" style="width:0;height:1.5pt" o:hr="t" o:hrstd="t" o:hralign="center" fillcolor="#a0a0a0" stroked="f"/>
        </w:pict>
      </w:r>
    </w:p>
    <w:p w:rsidRPr="00741A1E" w:rsidR="00741A1E" w:rsidP="00741A1E" w:rsidRDefault="00741A1E" w14:paraId="69BCF404" w14:textId="77777777">
      <w:pPr>
        <w:rPr>
          <w:b/>
          <w:bCs/>
        </w:rPr>
      </w:pPr>
      <w:r w:rsidRPr="00741A1E">
        <w:rPr>
          <w:b/>
          <w:bCs/>
        </w:rPr>
        <w:t>A) Project Delivery Team</w:t>
      </w:r>
    </w:p>
    <w:p w:rsidRPr="00741A1E" w:rsidR="00741A1E" w:rsidP="00741A1E" w:rsidRDefault="00741A1E" w14:paraId="10EA2322" w14:textId="77777777">
      <w:r w:rsidRPr="00741A1E">
        <w:rPr>
          <w:b/>
          <w:bCs/>
        </w:rPr>
        <w:t>Recipients:</w:t>
      </w:r>
      <w:r w:rsidRPr="00741A1E">
        <w:t xml:space="preserve"> Weekly snapshots, monthly cost &amp; EVM reports</w:t>
      </w:r>
      <w:r w:rsidRPr="00741A1E">
        <w:br/>
      </w:r>
      <w:r w:rsidRPr="00741A1E">
        <w:rPr>
          <w:b/>
          <w:bCs/>
        </w:rPr>
        <w:t>Purpose:</w:t>
      </w:r>
      <w:r w:rsidRPr="00741A1E">
        <w:t xml:space="preserve"> Tactical planning, productivity improvement, immediate corrective action.</w:t>
      </w:r>
    </w:p>
    <w:p w:rsidRPr="00741A1E" w:rsidR="00741A1E" w:rsidP="00741A1E" w:rsidRDefault="00741A1E" w14:paraId="0152957D" w14:textId="77777777">
      <w:r w:rsidRPr="00741A1E">
        <w:pict w14:anchorId="271CE0FD">
          <v:rect id="_x0000_i1187" style="width:0;height:1.5pt" o:hr="t" o:hrstd="t" o:hralign="center" fillcolor="#a0a0a0" stroked="f"/>
        </w:pict>
      </w:r>
    </w:p>
    <w:p w:rsidRPr="00741A1E" w:rsidR="00741A1E" w:rsidP="00741A1E" w:rsidRDefault="00741A1E" w14:paraId="583D907C" w14:textId="77777777">
      <w:pPr>
        <w:rPr>
          <w:b/>
          <w:bCs/>
        </w:rPr>
      </w:pPr>
      <w:r w:rsidRPr="00741A1E">
        <w:rPr>
          <w:b/>
          <w:bCs/>
        </w:rPr>
        <w:lastRenderedPageBreak/>
        <w:t>B) Project Director / Development Lead</w:t>
      </w:r>
    </w:p>
    <w:p w:rsidRPr="00741A1E" w:rsidR="00741A1E" w:rsidP="00741A1E" w:rsidRDefault="00741A1E" w14:paraId="4CDCC81A" w14:textId="77777777">
      <w:r w:rsidRPr="00741A1E">
        <w:rPr>
          <w:b/>
          <w:bCs/>
        </w:rPr>
        <w:t>Recipients:</w:t>
      </w:r>
      <w:r w:rsidRPr="00741A1E">
        <w:t xml:space="preserve"> Monthly cost report, CAPEX dashboard, procurement report</w:t>
      </w:r>
      <w:r w:rsidRPr="00741A1E">
        <w:br/>
      </w:r>
      <w:r w:rsidRPr="00741A1E">
        <w:rPr>
          <w:b/>
          <w:bCs/>
        </w:rPr>
        <w:t>Purpose:</w:t>
      </w:r>
      <w:r w:rsidRPr="00741A1E">
        <w:t xml:space="preserve"> Decision-making on risk, variations, commercial strategy.</w:t>
      </w:r>
    </w:p>
    <w:p w:rsidRPr="00741A1E" w:rsidR="00741A1E" w:rsidP="00741A1E" w:rsidRDefault="00741A1E" w14:paraId="4CF577B1" w14:textId="77777777">
      <w:r w:rsidRPr="00741A1E">
        <w:pict w14:anchorId="19F011D8">
          <v:rect id="_x0000_i1188" style="width:0;height:1.5pt" o:hr="t" o:hrstd="t" o:hralign="center" fillcolor="#a0a0a0" stroked="f"/>
        </w:pict>
      </w:r>
    </w:p>
    <w:p w:rsidRPr="00741A1E" w:rsidR="00741A1E" w:rsidP="00741A1E" w:rsidRDefault="00741A1E" w14:paraId="7FFDB0DE" w14:textId="77777777">
      <w:pPr>
        <w:rPr>
          <w:b/>
          <w:bCs/>
        </w:rPr>
      </w:pPr>
      <w:r w:rsidRPr="00741A1E">
        <w:rPr>
          <w:b/>
          <w:bCs/>
        </w:rPr>
        <w:t>C) CFO / Finance Team</w:t>
      </w:r>
    </w:p>
    <w:p w:rsidRPr="00741A1E" w:rsidR="00741A1E" w:rsidP="00741A1E" w:rsidRDefault="00741A1E" w14:paraId="4277203F" w14:textId="77777777">
      <w:r w:rsidRPr="00741A1E">
        <w:rPr>
          <w:b/>
          <w:bCs/>
        </w:rPr>
        <w:t>Recipients:</w:t>
      </w:r>
      <w:r w:rsidRPr="00741A1E">
        <w:t xml:space="preserve"> Monthly financials, quarterly summaries, cash-flow forecasts</w:t>
      </w:r>
      <w:r w:rsidRPr="00741A1E">
        <w:br/>
      </w:r>
      <w:r w:rsidRPr="00741A1E">
        <w:rPr>
          <w:b/>
          <w:bCs/>
        </w:rPr>
        <w:t>Purpose:</w:t>
      </w:r>
      <w:r w:rsidRPr="00741A1E">
        <w:t xml:space="preserve"> Cash management, financing strategy, lender communications.</w:t>
      </w:r>
    </w:p>
    <w:p w:rsidRPr="00741A1E" w:rsidR="00741A1E" w:rsidP="00741A1E" w:rsidRDefault="00741A1E" w14:paraId="6F1CE46E" w14:textId="77777777">
      <w:r w:rsidRPr="00741A1E">
        <w:pict w14:anchorId="29E94D55">
          <v:rect id="_x0000_i1189" style="width:0;height:1.5pt" o:hr="t" o:hrstd="t" o:hralign="center" fillcolor="#a0a0a0" stroked="f"/>
        </w:pict>
      </w:r>
    </w:p>
    <w:p w:rsidRPr="00741A1E" w:rsidR="00741A1E" w:rsidP="00741A1E" w:rsidRDefault="00741A1E" w14:paraId="42743E1B" w14:textId="77777777">
      <w:pPr>
        <w:rPr>
          <w:b/>
          <w:bCs/>
        </w:rPr>
      </w:pPr>
      <w:r w:rsidRPr="00741A1E">
        <w:rPr>
          <w:b/>
          <w:bCs/>
        </w:rPr>
        <w:t>D) Executive Board / Investors</w:t>
      </w:r>
    </w:p>
    <w:p w:rsidRPr="00741A1E" w:rsidR="00741A1E" w:rsidP="00741A1E" w:rsidRDefault="00741A1E" w14:paraId="007F6C40" w14:textId="77777777">
      <w:r w:rsidRPr="00741A1E">
        <w:rPr>
          <w:b/>
          <w:bCs/>
        </w:rPr>
        <w:t>Recipients:</w:t>
      </w:r>
      <w:r w:rsidRPr="00741A1E">
        <w:t xml:space="preserve"> Quarterly risk-based EAC, portfolio cash flow, governance reports</w:t>
      </w:r>
      <w:r w:rsidRPr="00741A1E">
        <w:br/>
      </w:r>
      <w:r w:rsidRPr="00741A1E">
        <w:rPr>
          <w:b/>
          <w:bCs/>
        </w:rPr>
        <w:t>Purpose:</w:t>
      </w:r>
      <w:r w:rsidRPr="00741A1E">
        <w:t xml:space="preserve"> Oversight, strategic decisions, performance monitoring.</w:t>
      </w:r>
    </w:p>
    <w:p w:rsidRPr="00741A1E" w:rsidR="00741A1E" w:rsidP="00741A1E" w:rsidRDefault="00741A1E" w14:paraId="33688FF1" w14:textId="77777777">
      <w:r w:rsidRPr="00741A1E">
        <w:pict w14:anchorId="764882C1">
          <v:rect id="_x0000_i1190" style="width:0;height:1.5pt" o:hr="t" o:hrstd="t" o:hralign="center" fillcolor="#a0a0a0" stroked="f"/>
        </w:pict>
      </w:r>
    </w:p>
    <w:p w:rsidRPr="00741A1E" w:rsidR="00741A1E" w:rsidP="00741A1E" w:rsidRDefault="00741A1E" w14:paraId="4D66EF56" w14:textId="77777777">
      <w:pPr>
        <w:rPr>
          <w:b/>
          <w:bCs/>
        </w:rPr>
      </w:pPr>
      <w:r w:rsidRPr="00741A1E">
        <w:rPr>
          <w:b/>
          <w:bCs/>
        </w:rPr>
        <w:t>E) Lenders / External Partners</w:t>
      </w:r>
    </w:p>
    <w:p w:rsidRPr="00741A1E" w:rsidR="00741A1E" w:rsidP="00741A1E" w:rsidRDefault="00741A1E" w14:paraId="00F892F8" w14:textId="77777777">
      <w:r w:rsidRPr="00741A1E">
        <w:rPr>
          <w:b/>
          <w:bCs/>
        </w:rPr>
        <w:t>Recipients:</w:t>
      </w:r>
      <w:r w:rsidRPr="00741A1E">
        <w:t xml:space="preserve"> Quarterly financing compliance pack</w:t>
      </w:r>
      <w:r w:rsidRPr="00741A1E">
        <w:br/>
      </w:r>
      <w:r w:rsidRPr="00741A1E">
        <w:rPr>
          <w:b/>
          <w:bCs/>
        </w:rPr>
        <w:t>Purpose:</w:t>
      </w:r>
      <w:r w:rsidRPr="00741A1E">
        <w:t xml:space="preserve"> Monitor loan covenants, interest coverage, cost-to-complete assurance.</w:t>
      </w:r>
    </w:p>
    <w:p w:rsidRPr="00741A1E" w:rsidR="00741A1E" w:rsidP="00741A1E" w:rsidRDefault="00741A1E" w14:paraId="5B2AF248" w14:textId="77777777">
      <w:r w:rsidRPr="00741A1E">
        <w:pict w14:anchorId="56CD0DE3">
          <v:rect id="_x0000_i1191" style="width:0;height:1.5pt" o:hr="t" o:hrstd="t" o:hralign="center" fillcolor="#a0a0a0" stroked="f"/>
        </w:pict>
      </w:r>
    </w:p>
    <w:p w:rsidRPr="00741A1E" w:rsidR="00741A1E" w:rsidP="00741A1E" w:rsidRDefault="00741A1E" w14:paraId="199DAB39" w14:textId="77777777">
      <w:pPr>
        <w:rPr>
          <w:b/>
          <w:bCs/>
        </w:rPr>
      </w:pPr>
      <w:r w:rsidRPr="00741A1E">
        <w:rPr>
          <w:rFonts w:ascii="Segoe UI Emoji" w:hAnsi="Segoe UI Emoji" w:cs="Segoe UI Emoji"/>
          <w:b/>
          <w:bCs/>
        </w:rPr>
        <w:t>🖥️</w:t>
      </w:r>
      <w:r w:rsidRPr="00741A1E">
        <w:rPr>
          <w:b/>
          <w:bCs/>
        </w:rPr>
        <w:t xml:space="preserve"> 4. Financial Software Tools</w:t>
      </w:r>
    </w:p>
    <w:p w:rsidRPr="00741A1E" w:rsidR="00741A1E" w:rsidP="00741A1E" w:rsidRDefault="00741A1E" w14:paraId="50BE5A56" w14:textId="77777777">
      <w:r w:rsidRPr="00741A1E">
        <w:t>The reporting framework should be supported by integrated digital systems.</w:t>
      </w:r>
    </w:p>
    <w:p w:rsidRPr="00741A1E" w:rsidR="00741A1E" w:rsidP="00741A1E" w:rsidRDefault="00741A1E" w14:paraId="319C6AA9" w14:textId="77777777">
      <w:r w:rsidRPr="00741A1E">
        <w:pict w14:anchorId="139AAD56">
          <v:rect id="_x0000_i1192" style="width:0;height:1.5pt" o:hr="t" o:hrstd="t" o:hralign="center" fillcolor="#a0a0a0" stroked="f"/>
        </w:pict>
      </w:r>
    </w:p>
    <w:p w:rsidRPr="00741A1E" w:rsidR="00741A1E" w:rsidP="00741A1E" w:rsidRDefault="00741A1E" w14:paraId="58B4B1EE" w14:textId="77777777">
      <w:pPr>
        <w:rPr>
          <w:b/>
          <w:bCs/>
        </w:rPr>
      </w:pPr>
      <w:r w:rsidRPr="00741A1E">
        <w:rPr>
          <w:b/>
          <w:bCs/>
        </w:rPr>
        <w:t>A) ERP and Project Accounting Systems</w:t>
      </w:r>
    </w:p>
    <w:p w:rsidRPr="00741A1E" w:rsidR="00741A1E" w:rsidP="00741A1E" w:rsidRDefault="00741A1E" w14:paraId="271ADDD1" w14:textId="77777777">
      <w:r w:rsidRPr="00741A1E">
        <w:t>Examples:</w:t>
      </w:r>
    </w:p>
    <w:p w:rsidRPr="00741A1E" w:rsidR="00741A1E" w:rsidP="00741A1E" w:rsidRDefault="00741A1E" w14:paraId="4CBC530C" w14:textId="77777777">
      <w:pPr>
        <w:numPr>
          <w:ilvl w:val="0"/>
          <w:numId w:val="14"/>
        </w:numPr>
      </w:pPr>
      <w:r w:rsidRPr="00741A1E">
        <w:rPr>
          <w:b/>
          <w:bCs/>
        </w:rPr>
        <w:t>SAP ERP / SAP S/4HANA</w:t>
      </w:r>
    </w:p>
    <w:p w:rsidRPr="00741A1E" w:rsidR="00741A1E" w:rsidP="00741A1E" w:rsidRDefault="00741A1E" w14:paraId="6FCACF12" w14:textId="77777777">
      <w:pPr>
        <w:numPr>
          <w:ilvl w:val="0"/>
          <w:numId w:val="14"/>
        </w:numPr>
      </w:pPr>
      <w:r w:rsidRPr="00741A1E">
        <w:rPr>
          <w:b/>
          <w:bCs/>
        </w:rPr>
        <w:t>Oracle Primavera Unifier</w:t>
      </w:r>
    </w:p>
    <w:p w:rsidRPr="00741A1E" w:rsidR="00741A1E" w:rsidP="00741A1E" w:rsidRDefault="00741A1E" w14:paraId="5276CBF7" w14:textId="77777777">
      <w:pPr>
        <w:numPr>
          <w:ilvl w:val="0"/>
          <w:numId w:val="14"/>
        </w:numPr>
      </w:pPr>
      <w:r w:rsidRPr="00741A1E">
        <w:rPr>
          <w:b/>
          <w:bCs/>
        </w:rPr>
        <w:t>Microsoft Dynamics 365</w:t>
      </w:r>
    </w:p>
    <w:p w:rsidRPr="00741A1E" w:rsidR="00741A1E" w:rsidP="00741A1E" w:rsidRDefault="00741A1E" w14:paraId="327BA842" w14:textId="77777777">
      <w:r w:rsidRPr="00741A1E">
        <w:rPr>
          <w:b/>
          <w:bCs/>
        </w:rPr>
        <w:t>Used for:</w:t>
      </w:r>
    </w:p>
    <w:p w:rsidRPr="00741A1E" w:rsidR="00741A1E" w:rsidP="00741A1E" w:rsidRDefault="00741A1E" w14:paraId="4CF2CA89" w14:textId="77777777">
      <w:pPr>
        <w:numPr>
          <w:ilvl w:val="0"/>
          <w:numId w:val="15"/>
        </w:numPr>
      </w:pPr>
      <w:r w:rsidRPr="00741A1E">
        <w:t>Budgeting &amp; forecasting</w:t>
      </w:r>
    </w:p>
    <w:p w:rsidRPr="00741A1E" w:rsidR="00741A1E" w:rsidP="00741A1E" w:rsidRDefault="00741A1E" w14:paraId="1950CC74" w14:textId="77777777">
      <w:pPr>
        <w:numPr>
          <w:ilvl w:val="0"/>
          <w:numId w:val="15"/>
        </w:numPr>
      </w:pPr>
      <w:r w:rsidRPr="00741A1E">
        <w:t>Cost capture &amp; commitments</w:t>
      </w:r>
    </w:p>
    <w:p w:rsidRPr="00741A1E" w:rsidR="00741A1E" w:rsidP="00741A1E" w:rsidRDefault="00741A1E" w14:paraId="4BC03A15" w14:textId="77777777">
      <w:pPr>
        <w:numPr>
          <w:ilvl w:val="0"/>
          <w:numId w:val="15"/>
        </w:numPr>
      </w:pPr>
      <w:r w:rsidRPr="00741A1E">
        <w:t>Contract management</w:t>
      </w:r>
    </w:p>
    <w:p w:rsidRPr="00741A1E" w:rsidR="00741A1E" w:rsidP="00741A1E" w:rsidRDefault="00741A1E" w14:paraId="28811D75" w14:textId="77777777">
      <w:pPr>
        <w:numPr>
          <w:ilvl w:val="0"/>
          <w:numId w:val="15"/>
        </w:numPr>
      </w:pPr>
      <w:r w:rsidRPr="00741A1E">
        <w:t>Vendor invoices</w:t>
      </w:r>
    </w:p>
    <w:p w:rsidRPr="00741A1E" w:rsidR="00741A1E" w:rsidP="00741A1E" w:rsidRDefault="00741A1E" w14:paraId="7C53E592" w14:textId="77777777">
      <w:r w:rsidRPr="00741A1E">
        <w:lastRenderedPageBreak/>
        <w:pict w14:anchorId="2FF876FD">
          <v:rect id="_x0000_i1193" style="width:0;height:1.5pt" o:hr="t" o:hrstd="t" o:hralign="center" fillcolor="#a0a0a0" stroked="f"/>
        </w:pict>
      </w:r>
    </w:p>
    <w:p w:rsidRPr="00741A1E" w:rsidR="00741A1E" w:rsidP="00741A1E" w:rsidRDefault="00741A1E" w14:paraId="399B0A99" w14:textId="77777777">
      <w:pPr>
        <w:rPr>
          <w:b/>
          <w:bCs/>
        </w:rPr>
      </w:pPr>
      <w:r w:rsidRPr="00741A1E">
        <w:rPr>
          <w:b/>
          <w:bCs/>
        </w:rPr>
        <w:t>B) Project Controls Tools</w:t>
      </w:r>
    </w:p>
    <w:p w:rsidRPr="00741A1E" w:rsidR="00741A1E" w:rsidP="00741A1E" w:rsidRDefault="00741A1E" w14:paraId="0BF27377" w14:textId="77777777">
      <w:r w:rsidRPr="00741A1E">
        <w:t>Examples:</w:t>
      </w:r>
    </w:p>
    <w:p w:rsidRPr="00741A1E" w:rsidR="00741A1E" w:rsidP="00741A1E" w:rsidRDefault="00741A1E" w14:paraId="6F445493" w14:textId="77777777">
      <w:pPr>
        <w:numPr>
          <w:ilvl w:val="0"/>
          <w:numId w:val="16"/>
        </w:numPr>
      </w:pPr>
      <w:r w:rsidRPr="00741A1E">
        <w:rPr>
          <w:b/>
          <w:bCs/>
        </w:rPr>
        <w:t>Primavera P6</w:t>
      </w:r>
      <w:r w:rsidRPr="00741A1E">
        <w:t xml:space="preserve"> (schedule + EV baseline)</w:t>
      </w:r>
    </w:p>
    <w:p w:rsidRPr="00741A1E" w:rsidR="00741A1E" w:rsidP="00741A1E" w:rsidRDefault="00741A1E" w14:paraId="2B6D7C05" w14:textId="77777777">
      <w:pPr>
        <w:numPr>
          <w:ilvl w:val="0"/>
          <w:numId w:val="16"/>
        </w:numPr>
      </w:pPr>
      <w:r w:rsidRPr="00741A1E">
        <w:rPr>
          <w:b/>
          <w:bCs/>
        </w:rPr>
        <w:t>Ares Prism / Cleopatra</w:t>
      </w:r>
      <w:r w:rsidRPr="00741A1E">
        <w:t xml:space="preserve"> (cost management)</w:t>
      </w:r>
    </w:p>
    <w:p w:rsidRPr="00741A1E" w:rsidR="00741A1E" w:rsidP="00741A1E" w:rsidRDefault="00741A1E" w14:paraId="223BA5F5" w14:textId="77777777">
      <w:pPr>
        <w:numPr>
          <w:ilvl w:val="0"/>
          <w:numId w:val="16"/>
        </w:numPr>
      </w:pPr>
      <w:r w:rsidRPr="00741A1E">
        <w:rPr>
          <w:b/>
          <w:bCs/>
        </w:rPr>
        <w:t>Procore</w:t>
      </w:r>
      <w:r w:rsidRPr="00741A1E">
        <w:t xml:space="preserve"> (field data, progress, variations)</w:t>
      </w:r>
    </w:p>
    <w:p w:rsidRPr="00741A1E" w:rsidR="00741A1E" w:rsidP="00741A1E" w:rsidRDefault="00741A1E" w14:paraId="655A6F2F" w14:textId="77777777">
      <w:r w:rsidRPr="00741A1E">
        <w:rPr>
          <w:b/>
          <w:bCs/>
        </w:rPr>
        <w:t>Used for:</w:t>
      </w:r>
    </w:p>
    <w:p w:rsidRPr="00741A1E" w:rsidR="00741A1E" w:rsidP="00741A1E" w:rsidRDefault="00741A1E" w14:paraId="59684D57" w14:textId="77777777">
      <w:pPr>
        <w:numPr>
          <w:ilvl w:val="0"/>
          <w:numId w:val="17"/>
        </w:numPr>
      </w:pPr>
      <w:r w:rsidRPr="00741A1E">
        <w:t>Progress measurement</w:t>
      </w:r>
    </w:p>
    <w:p w:rsidRPr="00741A1E" w:rsidR="00741A1E" w:rsidP="00741A1E" w:rsidRDefault="00741A1E" w14:paraId="116BF8B2" w14:textId="77777777">
      <w:pPr>
        <w:numPr>
          <w:ilvl w:val="0"/>
          <w:numId w:val="17"/>
        </w:numPr>
      </w:pPr>
      <w:r w:rsidRPr="00741A1E">
        <w:t>Earned Value Management</w:t>
      </w:r>
    </w:p>
    <w:p w:rsidRPr="00741A1E" w:rsidR="00741A1E" w:rsidP="00741A1E" w:rsidRDefault="00741A1E" w14:paraId="76308254" w14:textId="77777777">
      <w:pPr>
        <w:numPr>
          <w:ilvl w:val="0"/>
          <w:numId w:val="17"/>
        </w:numPr>
      </w:pPr>
      <w:r w:rsidRPr="00741A1E">
        <w:t>Change control</w:t>
      </w:r>
    </w:p>
    <w:p w:rsidRPr="00741A1E" w:rsidR="00741A1E" w:rsidP="00741A1E" w:rsidRDefault="00741A1E" w14:paraId="3E04BD29" w14:textId="77777777">
      <w:pPr>
        <w:numPr>
          <w:ilvl w:val="0"/>
          <w:numId w:val="17"/>
        </w:numPr>
      </w:pPr>
      <w:r w:rsidRPr="00741A1E">
        <w:t>Forecasting &amp; risk tracking</w:t>
      </w:r>
    </w:p>
    <w:p w:rsidRPr="00741A1E" w:rsidR="00741A1E" w:rsidP="00741A1E" w:rsidRDefault="00741A1E" w14:paraId="56D9B66B" w14:textId="77777777">
      <w:r w:rsidRPr="00741A1E">
        <w:pict w14:anchorId="69F98AF8">
          <v:rect id="_x0000_i1194" style="width:0;height:1.5pt" o:hr="t" o:hrstd="t" o:hralign="center" fillcolor="#a0a0a0" stroked="f"/>
        </w:pict>
      </w:r>
    </w:p>
    <w:p w:rsidRPr="00741A1E" w:rsidR="00741A1E" w:rsidP="00741A1E" w:rsidRDefault="00741A1E" w14:paraId="79380F9E" w14:textId="77777777">
      <w:pPr>
        <w:rPr>
          <w:b/>
          <w:bCs/>
        </w:rPr>
      </w:pPr>
      <w:r w:rsidRPr="00741A1E">
        <w:rPr>
          <w:b/>
          <w:bCs/>
        </w:rPr>
        <w:t>C) BI and Reporting Tools</w:t>
      </w:r>
    </w:p>
    <w:p w:rsidRPr="00741A1E" w:rsidR="00741A1E" w:rsidP="00741A1E" w:rsidRDefault="00741A1E" w14:paraId="76BC1E0D" w14:textId="77777777">
      <w:r w:rsidRPr="00741A1E">
        <w:t>Examples:</w:t>
      </w:r>
    </w:p>
    <w:p w:rsidRPr="00741A1E" w:rsidR="00741A1E" w:rsidP="00741A1E" w:rsidRDefault="00741A1E" w14:paraId="29D9CA17" w14:textId="77777777">
      <w:pPr>
        <w:numPr>
          <w:ilvl w:val="0"/>
          <w:numId w:val="18"/>
        </w:numPr>
      </w:pPr>
      <w:r w:rsidRPr="00741A1E">
        <w:rPr>
          <w:b/>
          <w:bCs/>
        </w:rPr>
        <w:t>Power BI</w:t>
      </w:r>
      <w:r w:rsidRPr="00741A1E">
        <w:t xml:space="preserve">, </w:t>
      </w:r>
      <w:r w:rsidRPr="00741A1E">
        <w:rPr>
          <w:b/>
          <w:bCs/>
        </w:rPr>
        <w:t>Tableau</w:t>
      </w:r>
      <w:r w:rsidRPr="00741A1E">
        <w:t xml:space="preserve">, </w:t>
      </w:r>
      <w:r w:rsidRPr="00741A1E">
        <w:rPr>
          <w:b/>
          <w:bCs/>
        </w:rPr>
        <w:t>Qlik</w:t>
      </w:r>
    </w:p>
    <w:p w:rsidRPr="00741A1E" w:rsidR="00741A1E" w:rsidP="00741A1E" w:rsidRDefault="00741A1E" w14:paraId="232AA774" w14:textId="77777777">
      <w:r w:rsidRPr="00741A1E">
        <w:rPr>
          <w:b/>
          <w:bCs/>
        </w:rPr>
        <w:t>Used for:</w:t>
      </w:r>
    </w:p>
    <w:p w:rsidRPr="00741A1E" w:rsidR="00741A1E" w:rsidP="00741A1E" w:rsidRDefault="00741A1E" w14:paraId="3666D17A" w14:textId="77777777">
      <w:pPr>
        <w:numPr>
          <w:ilvl w:val="0"/>
          <w:numId w:val="19"/>
        </w:numPr>
      </w:pPr>
      <w:r w:rsidRPr="00741A1E">
        <w:t>CAPEX dashboards</w:t>
      </w:r>
    </w:p>
    <w:p w:rsidRPr="00741A1E" w:rsidR="00741A1E" w:rsidP="00741A1E" w:rsidRDefault="00741A1E" w14:paraId="217F01F9" w14:textId="77777777">
      <w:pPr>
        <w:numPr>
          <w:ilvl w:val="0"/>
          <w:numId w:val="19"/>
        </w:numPr>
      </w:pPr>
      <w:r w:rsidRPr="00741A1E">
        <w:t>Cash-flow visualisation</w:t>
      </w:r>
    </w:p>
    <w:p w:rsidRPr="00741A1E" w:rsidR="00741A1E" w:rsidP="00741A1E" w:rsidRDefault="00741A1E" w14:paraId="207B8054" w14:textId="77777777">
      <w:pPr>
        <w:numPr>
          <w:ilvl w:val="0"/>
          <w:numId w:val="19"/>
        </w:numPr>
      </w:pPr>
      <w:r w:rsidRPr="00741A1E">
        <w:t>Trend analysis</w:t>
      </w:r>
    </w:p>
    <w:p w:rsidRPr="00741A1E" w:rsidR="00741A1E" w:rsidP="00741A1E" w:rsidRDefault="00741A1E" w14:paraId="3CF6EC4F" w14:textId="77777777">
      <w:r w:rsidRPr="00741A1E">
        <w:pict w14:anchorId="25553BBD">
          <v:rect id="_x0000_i1195" style="width:0;height:1.5pt" o:hr="t" o:hrstd="t" o:hralign="center" fillcolor="#a0a0a0" stroked="f"/>
        </w:pict>
      </w:r>
    </w:p>
    <w:p w:rsidRPr="00741A1E" w:rsidR="00741A1E" w:rsidP="00741A1E" w:rsidRDefault="00741A1E" w14:paraId="67D46BB6" w14:textId="77777777">
      <w:pPr>
        <w:rPr>
          <w:b/>
          <w:bCs/>
        </w:rPr>
      </w:pPr>
      <w:r w:rsidRPr="00741A1E">
        <w:rPr>
          <w:rFonts w:ascii="Segoe UI Emoji" w:hAnsi="Segoe UI Emoji" w:cs="Segoe UI Emoji"/>
          <w:b/>
          <w:bCs/>
        </w:rPr>
        <w:t>🎯</w:t>
      </w:r>
      <w:r w:rsidRPr="00741A1E">
        <w:rPr>
          <w:b/>
          <w:bCs/>
        </w:rPr>
        <w:t xml:space="preserve"> 5. How Reporting Supports Decision-Making, Transparency &amp; Accountability</w:t>
      </w:r>
    </w:p>
    <w:p w:rsidRPr="00741A1E" w:rsidR="00741A1E" w:rsidP="00741A1E" w:rsidRDefault="00741A1E" w14:paraId="5B351D3A" w14:textId="77777777">
      <w:r w:rsidRPr="00741A1E">
        <w:pict w14:anchorId="51E18DDD">
          <v:rect id="_x0000_i1196" style="width:0;height:1.5pt" o:hr="t" o:hrstd="t" o:hralign="center" fillcolor="#a0a0a0" stroked="f"/>
        </w:pict>
      </w:r>
    </w:p>
    <w:p w:rsidRPr="00741A1E" w:rsidR="00741A1E" w:rsidP="00741A1E" w:rsidRDefault="00741A1E" w14:paraId="1FAF1A6E" w14:textId="77777777">
      <w:pPr>
        <w:rPr>
          <w:b/>
          <w:bCs/>
        </w:rPr>
      </w:pPr>
      <w:r w:rsidRPr="00741A1E">
        <w:rPr>
          <w:b/>
          <w:bCs/>
        </w:rPr>
        <w:t>A) Decision-Making</w:t>
      </w:r>
    </w:p>
    <w:p w:rsidRPr="00741A1E" w:rsidR="00741A1E" w:rsidP="00741A1E" w:rsidRDefault="00741A1E" w14:paraId="1B95B811" w14:textId="77777777">
      <w:pPr>
        <w:numPr>
          <w:ilvl w:val="0"/>
          <w:numId w:val="20"/>
        </w:numPr>
      </w:pPr>
      <w:r w:rsidRPr="00741A1E">
        <w:t>Accurate financial KPIs signal early warnings (e.g., CPI &lt; 0.95).</w:t>
      </w:r>
    </w:p>
    <w:p w:rsidRPr="00741A1E" w:rsidR="00741A1E" w:rsidP="00741A1E" w:rsidRDefault="00741A1E" w14:paraId="59C3304D" w14:textId="77777777">
      <w:pPr>
        <w:numPr>
          <w:ilvl w:val="0"/>
          <w:numId w:val="20"/>
        </w:numPr>
      </w:pPr>
      <w:r w:rsidRPr="00741A1E">
        <w:t>Forecasts (EAC, cash flow) allow proactive corrective actions.</w:t>
      </w:r>
    </w:p>
    <w:p w:rsidRPr="00741A1E" w:rsidR="00741A1E" w:rsidP="00741A1E" w:rsidRDefault="00741A1E" w14:paraId="3020E8CB" w14:textId="77777777">
      <w:pPr>
        <w:numPr>
          <w:ilvl w:val="0"/>
          <w:numId w:val="20"/>
        </w:numPr>
      </w:pPr>
      <w:r w:rsidRPr="00741A1E">
        <w:t>Change logs enable prioritisation of scope adjustments.</w:t>
      </w:r>
    </w:p>
    <w:p w:rsidRPr="00741A1E" w:rsidR="00741A1E" w:rsidP="00741A1E" w:rsidRDefault="00741A1E" w14:paraId="798F8005" w14:textId="77777777">
      <w:r w:rsidRPr="00741A1E">
        <w:pict w14:anchorId="550C26B5">
          <v:rect id="_x0000_i1197" style="width:0;height:1.5pt" o:hr="t" o:hrstd="t" o:hralign="center" fillcolor="#a0a0a0" stroked="f"/>
        </w:pict>
      </w:r>
    </w:p>
    <w:p w:rsidRPr="00741A1E" w:rsidR="00741A1E" w:rsidP="00741A1E" w:rsidRDefault="00741A1E" w14:paraId="112F3C93" w14:textId="77777777">
      <w:pPr>
        <w:rPr>
          <w:b/>
          <w:bCs/>
        </w:rPr>
      </w:pPr>
      <w:r w:rsidRPr="00741A1E">
        <w:rPr>
          <w:b/>
          <w:bCs/>
        </w:rPr>
        <w:t>B) Transparency</w:t>
      </w:r>
    </w:p>
    <w:p w:rsidRPr="00741A1E" w:rsidR="00741A1E" w:rsidP="00741A1E" w:rsidRDefault="00741A1E" w14:paraId="5C339783" w14:textId="77777777">
      <w:pPr>
        <w:numPr>
          <w:ilvl w:val="0"/>
          <w:numId w:val="21"/>
        </w:numPr>
      </w:pPr>
      <w:r w:rsidRPr="00741A1E">
        <w:lastRenderedPageBreak/>
        <w:t>Stakeholders see the same baselines, metrics, and dashboards.</w:t>
      </w:r>
    </w:p>
    <w:p w:rsidRPr="00741A1E" w:rsidR="00741A1E" w:rsidP="00741A1E" w:rsidRDefault="00741A1E" w14:paraId="42485AB3" w14:textId="77777777">
      <w:pPr>
        <w:numPr>
          <w:ilvl w:val="0"/>
          <w:numId w:val="21"/>
        </w:numPr>
      </w:pPr>
      <w:r w:rsidRPr="00741A1E">
        <w:t>Clear traceability from budget → commitments → actuals → forecasts.</w:t>
      </w:r>
    </w:p>
    <w:p w:rsidRPr="00741A1E" w:rsidR="00741A1E" w:rsidP="00741A1E" w:rsidRDefault="00741A1E" w14:paraId="6CCC6442" w14:textId="77777777">
      <w:pPr>
        <w:numPr>
          <w:ilvl w:val="0"/>
          <w:numId w:val="21"/>
        </w:numPr>
      </w:pPr>
      <w:r w:rsidRPr="00741A1E">
        <w:t>Audit-ready documentation improves credibility with lenders/investors.</w:t>
      </w:r>
    </w:p>
    <w:p w:rsidRPr="00741A1E" w:rsidR="00741A1E" w:rsidP="00741A1E" w:rsidRDefault="00741A1E" w14:paraId="782F3301" w14:textId="77777777">
      <w:r w:rsidRPr="00741A1E">
        <w:pict w14:anchorId="4E35DC46">
          <v:rect id="_x0000_i1198" style="width:0;height:1.5pt" o:hr="t" o:hrstd="t" o:hralign="center" fillcolor="#a0a0a0" stroked="f"/>
        </w:pict>
      </w:r>
    </w:p>
    <w:p w:rsidRPr="00741A1E" w:rsidR="00741A1E" w:rsidP="00741A1E" w:rsidRDefault="00741A1E" w14:paraId="45C4B775" w14:textId="77777777">
      <w:pPr>
        <w:rPr>
          <w:b/>
          <w:bCs/>
        </w:rPr>
      </w:pPr>
      <w:r w:rsidRPr="00741A1E">
        <w:rPr>
          <w:b/>
          <w:bCs/>
        </w:rPr>
        <w:t>C) Accountability</w:t>
      </w:r>
    </w:p>
    <w:p w:rsidRPr="00741A1E" w:rsidR="00741A1E" w:rsidP="00741A1E" w:rsidRDefault="00741A1E" w14:paraId="26BED45A" w14:textId="77777777">
      <w:pPr>
        <w:numPr>
          <w:ilvl w:val="0"/>
          <w:numId w:val="22"/>
        </w:numPr>
      </w:pPr>
      <w:r w:rsidRPr="00741A1E">
        <w:t>Package owners are assigned KPI thresholds and reporting obligations.</w:t>
      </w:r>
    </w:p>
    <w:p w:rsidRPr="00741A1E" w:rsidR="00741A1E" w:rsidP="00741A1E" w:rsidRDefault="00741A1E" w14:paraId="01E55A2A" w14:textId="77777777">
      <w:pPr>
        <w:numPr>
          <w:ilvl w:val="0"/>
          <w:numId w:val="22"/>
        </w:numPr>
      </w:pPr>
      <w:r w:rsidRPr="00741A1E">
        <w:t>Performance tracking highlights underperforming contractors or teams.</w:t>
      </w:r>
    </w:p>
    <w:p w:rsidRPr="00741A1E" w:rsidR="00741A1E" w:rsidP="00741A1E" w:rsidRDefault="00741A1E" w14:paraId="56C0AC16" w14:textId="77777777">
      <w:pPr>
        <w:numPr>
          <w:ilvl w:val="0"/>
          <w:numId w:val="22"/>
        </w:numPr>
      </w:pPr>
      <w:r w:rsidRPr="00741A1E">
        <w:t>Governance structure ensures escalations follow defined approval routes.</w:t>
      </w:r>
    </w:p>
    <w:p w:rsidRPr="00741A1E" w:rsidR="00741A1E" w:rsidP="00741A1E" w:rsidRDefault="00741A1E" w14:paraId="3896B5FD" w14:textId="77777777">
      <w:r w:rsidRPr="00741A1E">
        <w:pict w14:anchorId="03504033">
          <v:rect id="_x0000_i1199" style="width:0;height:1.5pt" o:hr="t" o:hrstd="t" o:hralign="center" fillcolor="#a0a0a0" stroked="f"/>
        </w:pict>
      </w:r>
    </w:p>
    <w:p w:rsidRPr="00741A1E" w:rsidR="00741A1E" w:rsidP="00741A1E" w:rsidRDefault="00741A1E" w14:paraId="08D08E45" w14:textId="77777777">
      <w:pPr>
        <w:rPr>
          <w:b/>
          <w:bCs/>
        </w:rPr>
      </w:pPr>
      <w:r w:rsidRPr="00741A1E">
        <w:rPr>
          <w:rFonts w:ascii="Segoe UI Emoji" w:hAnsi="Segoe UI Emoji" w:cs="Segoe UI Emoji"/>
          <w:b/>
          <w:bCs/>
        </w:rPr>
        <w:t>📘</w:t>
      </w:r>
      <w:r w:rsidRPr="00741A1E">
        <w:rPr>
          <w:b/>
          <w:bCs/>
        </w:rPr>
        <w:t xml:space="preserve"> Final Deliverable: Financial Reporting Framework Overview</w:t>
      </w:r>
    </w:p>
    <w:p w:rsidRPr="00741A1E" w:rsidR="00741A1E" w:rsidP="00741A1E" w:rsidRDefault="00741A1E" w14:paraId="43EE9AFF" w14:textId="77777777">
      <w:r w:rsidRPr="00741A1E">
        <w:rPr>
          <w:b/>
          <w:bCs/>
        </w:rPr>
        <w:t>Weekly:</w:t>
      </w:r>
      <w:r w:rsidRPr="00741A1E">
        <w:t xml:space="preserve"> Tactical progress &amp; cost snapshot</w:t>
      </w:r>
      <w:r w:rsidRPr="00741A1E">
        <w:br/>
      </w:r>
      <w:r w:rsidRPr="00741A1E">
        <w:rPr>
          <w:b/>
          <w:bCs/>
        </w:rPr>
        <w:t>Monthly:</w:t>
      </w:r>
      <w:r w:rsidRPr="00741A1E">
        <w:t xml:space="preserve"> Core cost &amp; EVM reports, CAPEX dashboards</w:t>
      </w:r>
      <w:r w:rsidRPr="00741A1E">
        <w:br/>
      </w:r>
      <w:r w:rsidRPr="00741A1E">
        <w:rPr>
          <w:b/>
          <w:bCs/>
        </w:rPr>
        <w:t>Quarterly:</w:t>
      </w:r>
      <w:r w:rsidRPr="00741A1E">
        <w:t xml:space="preserve"> Strategic investor/lender financial updates</w:t>
      </w:r>
      <w:r w:rsidRPr="00741A1E">
        <w:br/>
      </w:r>
      <w:r w:rsidRPr="00741A1E">
        <w:rPr>
          <w:b/>
          <w:bCs/>
        </w:rPr>
        <w:t>KPIs:</w:t>
      </w:r>
      <w:r w:rsidRPr="00741A1E">
        <w:t xml:space="preserve"> CPI, SPI, CV, SV, cash burn, contingency, forecast metrics</w:t>
      </w:r>
      <w:r w:rsidRPr="00741A1E">
        <w:br/>
      </w:r>
      <w:r w:rsidRPr="00741A1E">
        <w:rPr>
          <w:b/>
          <w:bCs/>
        </w:rPr>
        <w:t>Governance:</w:t>
      </w:r>
      <w:r w:rsidRPr="00741A1E">
        <w:t xml:space="preserve"> Clear audience layers: team → director → CFO → board → lenders</w:t>
      </w:r>
      <w:r w:rsidRPr="00741A1E">
        <w:br/>
      </w:r>
      <w:r w:rsidRPr="00741A1E">
        <w:rPr>
          <w:b/>
          <w:bCs/>
        </w:rPr>
        <w:t>Software:</w:t>
      </w:r>
      <w:r w:rsidRPr="00741A1E">
        <w:t xml:space="preserve"> ERP + project controls + BI analytics</w:t>
      </w:r>
      <w:r w:rsidRPr="00741A1E">
        <w:br/>
      </w:r>
      <w:r w:rsidRPr="00741A1E">
        <w:rPr>
          <w:b/>
          <w:bCs/>
        </w:rPr>
        <w:t>Outcome:</w:t>
      </w:r>
      <w:r w:rsidRPr="00741A1E">
        <w:t xml:space="preserve"> Better decisions, stronger transparency, and full financial accountability across the entire project lifecycle.</w:t>
      </w:r>
    </w:p>
    <w:p w:rsidR="00741A1E" w:rsidRDefault="00741A1E" w14:paraId="55B07A8E" w14:textId="77777777"/>
    <w:sectPr w:rsidR="00741A1E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31">
    <w:nsid w:val="31615d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230e12d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9">
    <w:nsid w:val="26eaec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5bbacc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7b0768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e62ad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1a1c6a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727711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166efb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1ff022a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06A76CA2"/>
    <w:multiLevelType w:val="multilevel"/>
    <w:tmpl w:val="93CEBA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0EB313E1"/>
    <w:multiLevelType w:val="multilevel"/>
    <w:tmpl w:val="853A89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10A11482"/>
    <w:multiLevelType w:val="multilevel"/>
    <w:tmpl w:val="C59222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11E94C4A"/>
    <w:multiLevelType w:val="multilevel"/>
    <w:tmpl w:val="EB8AA1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1726501D"/>
    <w:multiLevelType w:val="multilevel"/>
    <w:tmpl w:val="81E6FD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1BA3656B"/>
    <w:multiLevelType w:val="multilevel"/>
    <w:tmpl w:val="076E74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" w15:restartNumberingAfterBreak="0">
    <w:nsid w:val="1E0C5BF8"/>
    <w:multiLevelType w:val="multilevel"/>
    <w:tmpl w:val="1506F7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7" w15:restartNumberingAfterBreak="0">
    <w:nsid w:val="22DE4509"/>
    <w:multiLevelType w:val="multilevel"/>
    <w:tmpl w:val="49CC68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8" w15:restartNumberingAfterBreak="0">
    <w:nsid w:val="271E71D7"/>
    <w:multiLevelType w:val="multilevel"/>
    <w:tmpl w:val="508432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9" w15:restartNumberingAfterBreak="0">
    <w:nsid w:val="2928107C"/>
    <w:multiLevelType w:val="multilevel"/>
    <w:tmpl w:val="16621D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0" w15:restartNumberingAfterBreak="0">
    <w:nsid w:val="29D87D1A"/>
    <w:multiLevelType w:val="multilevel"/>
    <w:tmpl w:val="2BD637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1" w15:restartNumberingAfterBreak="0">
    <w:nsid w:val="3F461FC1"/>
    <w:multiLevelType w:val="multilevel"/>
    <w:tmpl w:val="CF6617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2" w15:restartNumberingAfterBreak="0">
    <w:nsid w:val="42E764DD"/>
    <w:multiLevelType w:val="multilevel"/>
    <w:tmpl w:val="680ABF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3" w15:restartNumberingAfterBreak="0">
    <w:nsid w:val="48510407"/>
    <w:multiLevelType w:val="multilevel"/>
    <w:tmpl w:val="7AC0BC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4" w15:restartNumberingAfterBreak="0">
    <w:nsid w:val="4EFC584E"/>
    <w:multiLevelType w:val="multilevel"/>
    <w:tmpl w:val="E87ED0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5" w15:restartNumberingAfterBreak="0">
    <w:nsid w:val="52705C60"/>
    <w:multiLevelType w:val="multilevel"/>
    <w:tmpl w:val="379A85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6" w15:restartNumberingAfterBreak="0">
    <w:nsid w:val="61CD53BD"/>
    <w:multiLevelType w:val="multilevel"/>
    <w:tmpl w:val="83CA7C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7" w15:restartNumberingAfterBreak="0">
    <w:nsid w:val="67740848"/>
    <w:multiLevelType w:val="multilevel"/>
    <w:tmpl w:val="C4BCD8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8" w15:restartNumberingAfterBreak="0">
    <w:nsid w:val="7259028C"/>
    <w:multiLevelType w:val="multilevel"/>
    <w:tmpl w:val="EAD46D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9" w15:restartNumberingAfterBreak="0">
    <w:nsid w:val="745C4384"/>
    <w:multiLevelType w:val="multilevel"/>
    <w:tmpl w:val="9DD807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0" w15:restartNumberingAfterBreak="0">
    <w:nsid w:val="75A16A0D"/>
    <w:multiLevelType w:val="multilevel"/>
    <w:tmpl w:val="812E5F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1" w15:restartNumberingAfterBreak="0">
    <w:nsid w:val="77EA237E"/>
    <w:multiLevelType w:val="multilevel"/>
    <w:tmpl w:val="9DA434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32">
    <w:abstractNumId w:val="31"/>
  </w:num>
  <w:num w:numId="31">
    <w:abstractNumId w:val="30"/>
  </w:num>
  <w:num w:numId="30">
    <w:abstractNumId w:val="29"/>
  </w:num>
  <w:num w:numId="29">
    <w:abstractNumId w:val="28"/>
  </w:num>
  <w:num w:numId="28">
    <w:abstractNumId w:val="27"/>
  </w:num>
  <w:num w:numId="27">
    <w:abstractNumId w:val="26"/>
  </w:num>
  <w:num w:numId="26">
    <w:abstractNumId w:val="25"/>
  </w:num>
  <w:num w:numId="25">
    <w:abstractNumId w:val="24"/>
  </w:num>
  <w:num w:numId="24">
    <w:abstractNumId w:val="23"/>
  </w:num>
  <w:num w:numId="23">
    <w:abstractNumId w:val="22"/>
  </w:num>
  <w:num w:numId="1" w16cid:durableId="1102065370">
    <w:abstractNumId w:val="11"/>
  </w:num>
  <w:num w:numId="2" w16cid:durableId="1026102977">
    <w:abstractNumId w:val="9"/>
  </w:num>
  <w:num w:numId="3" w16cid:durableId="1522089797">
    <w:abstractNumId w:val="3"/>
  </w:num>
  <w:num w:numId="4" w16cid:durableId="558202651">
    <w:abstractNumId w:val="18"/>
  </w:num>
  <w:num w:numId="5" w16cid:durableId="489179968">
    <w:abstractNumId w:val="0"/>
  </w:num>
  <w:num w:numId="6" w16cid:durableId="824932495">
    <w:abstractNumId w:val="7"/>
  </w:num>
  <w:num w:numId="7" w16cid:durableId="1353993858">
    <w:abstractNumId w:val="16"/>
  </w:num>
  <w:num w:numId="8" w16cid:durableId="644893183">
    <w:abstractNumId w:val="2"/>
  </w:num>
  <w:num w:numId="9" w16cid:durableId="1959331598">
    <w:abstractNumId w:val="1"/>
  </w:num>
  <w:num w:numId="10" w16cid:durableId="1564439467">
    <w:abstractNumId w:val="12"/>
  </w:num>
  <w:num w:numId="11" w16cid:durableId="884486103">
    <w:abstractNumId w:val="8"/>
  </w:num>
  <w:num w:numId="12" w16cid:durableId="1675645332">
    <w:abstractNumId w:val="20"/>
  </w:num>
  <w:num w:numId="13" w16cid:durableId="5250575">
    <w:abstractNumId w:val="19"/>
  </w:num>
  <w:num w:numId="14" w16cid:durableId="204220603">
    <w:abstractNumId w:val="15"/>
  </w:num>
  <w:num w:numId="15" w16cid:durableId="236092987">
    <w:abstractNumId w:val="14"/>
  </w:num>
  <w:num w:numId="16" w16cid:durableId="117527248">
    <w:abstractNumId w:val="17"/>
  </w:num>
  <w:num w:numId="17" w16cid:durableId="825827901">
    <w:abstractNumId w:val="10"/>
  </w:num>
  <w:num w:numId="18" w16cid:durableId="548029885">
    <w:abstractNumId w:val="13"/>
  </w:num>
  <w:num w:numId="19" w16cid:durableId="934635352">
    <w:abstractNumId w:val="4"/>
  </w:num>
  <w:num w:numId="20" w16cid:durableId="164172287">
    <w:abstractNumId w:val="21"/>
  </w:num>
  <w:num w:numId="21" w16cid:durableId="963921648">
    <w:abstractNumId w:val="6"/>
  </w:num>
  <w:num w:numId="22" w16cid:durableId="33996472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1A1E"/>
    <w:rsid w:val="0053771D"/>
    <w:rsid w:val="006C3C4C"/>
    <w:rsid w:val="00741A1E"/>
    <w:rsid w:val="008734E6"/>
    <w:rsid w:val="009E2F8C"/>
    <w:rsid w:val="188060B3"/>
    <w:rsid w:val="504DFF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72465D"/>
  <w15:chartTrackingRefBased/>
  <w15:docId w15:val="{E4221D24-709D-4136-A70F-997D99BC4F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1A1E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41A1E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41A1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41A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1A1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1A1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1A1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1A1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1A1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741A1E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741A1E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741A1E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741A1E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741A1E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741A1E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741A1E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741A1E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741A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41A1E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741A1E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1A1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741A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41A1E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741A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41A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41A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1A1E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741A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41A1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Moutushi Tanha</dc:creator>
  <keywords/>
  <dc:description/>
  <lastModifiedBy>Moutushi Tanha</lastModifiedBy>
  <revision>2</revision>
  <dcterms:created xsi:type="dcterms:W3CDTF">2026-02-28T10:22:00.0000000Z</dcterms:created>
  <dcterms:modified xsi:type="dcterms:W3CDTF">2026-03-05T22:16:55.0485389Z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632d2c94-0e15-437e-82ba-755e1aa5d2c9</vt:lpwstr>
  </property>
</Properties>
</file>