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059661" w14:textId="77777777" w:rsidR="008B60A0" w:rsidRDefault="008B60A0" w:rsidP="009E5C08">
      <w:pPr>
        <w:spacing w:line="360" w:lineRule="auto"/>
        <w:rPr>
          <w:rFonts w:ascii="Times New Roman" w:hAnsi="Times New Roman" w:cs="Times New Roman"/>
          <w:b/>
          <w:bCs/>
          <w:color w:val="0070C0"/>
          <w:sz w:val="32"/>
          <w:szCs w:val="32"/>
        </w:rPr>
      </w:pPr>
    </w:p>
    <w:p w14:paraId="0C8193E6" w14:textId="0EC7600F" w:rsidR="177A46B3" w:rsidRPr="009E5C08" w:rsidRDefault="5ED88DA1" w:rsidP="009E5C08">
      <w:pPr>
        <w:spacing w:line="360" w:lineRule="auto"/>
        <w:rPr>
          <w:rFonts w:ascii="Times New Roman" w:hAnsi="Times New Roman" w:cs="Times New Roman"/>
          <w:b/>
          <w:bCs/>
          <w:color w:val="0070C0"/>
          <w:sz w:val="32"/>
          <w:szCs w:val="32"/>
        </w:rPr>
      </w:pPr>
      <w:r w:rsidRPr="009E5C08">
        <w:rPr>
          <w:rFonts w:ascii="Times New Roman" w:hAnsi="Times New Roman" w:cs="Times New Roman"/>
          <w:b/>
          <w:bCs/>
          <w:color w:val="0070C0"/>
          <w:sz w:val="32"/>
          <w:szCs w:val="32"/>
        </w:rPr>
        <w:t>The first 1000 days- 3000 words, digital scrapbook</w:t>
      </w:r>
    </w:p>
    <w:p w14:paraId="11D8E796" w14:textId="2D9CE9C9"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Introduction</w:t>
      </w:r>
    </w:p>
    <w:p w14:paraId="69FA424F" w14:textId="7CE8C0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is the first 1000 days</w:t>
      </w:r>
    </w:p>
    <w:p w14:paraId="0F48C383" w14:textId="12B37BEF" w:rsidR="008914DB" w:rsidRDefault="008914D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The first 1000 days refer to the period between conception of a child and the time they reach 2 years or 24 months.</w:t>
      </w:r>
      <w:r w:rsidR="00CA300E" w:rsidRPr="009E5C08">
        <w:rPr>
          <w:rFonts w:ascii="Times New Roman" w:eastAsia="Calibri" w:hAnsi="Times New Roman" w:cs="Times New Roman"/>
          <w:sz w:val="24"/>
          <w:szCs w:val="24"/>
        </w:rPr>
        <w:t xml:space="preserve"> In other words, it is the </w:t>
      </w:r>
      <w:r w:rsidR="003159FB" w:rsidRPr="009E5C08">
        <w:rPr>
          <w:rFonts w:ascii="Times New Roman" w:eastAsia="Calibri" w:hAnsi="Times New Roman" w:cs="Times New Roman"/>
          <w:sz w:val="24"/>
          <w:szCs w:val="24"/>
        </w:rPr>
        <w:t>period</w:t>
      </w:r>
      <w:r w:rsidR="00CA300E" w:rsidRPr="009E5C08">
        <w:rPr>
          <w:rFonts w:ascii="Times New Roman" w:eastAsia="Calibri" w:hAnsi="Times New Roman" w:cs="Times New Roman"/>
          <w:sz w:val="24"/>
          <w:szCs w:val="24"/>
        </w:rPr>
        <w:t xml:space="preserve"> between conception and the child’s second birthday. </w:t>
      </w:r>
      <w:r w:rsidR="00DB5A8F" w:rsidRPr="009E5C08">
        <w:rPr>
          <w:rFonts w:ascii="Times New Roman" w:eastAsia="Calibri" w:hAnsi="Times New Roman" w:cs="Times New Roman"/>
          <w:sz w:val="24"/>
          <w:szCs w:val="24"/>
        </w:rPr>
        <w:t>It can be divided into the pre</w:t>
      </w:r>
      <w:r w:rsidR="003159FB" w:rsidRPr="009E5C08">
        <w:rPr>
          <w:rFonts w:ascii="Times New Roman" w:eastAsia="Calibri" w:hAnsi="Times New Roman" w:cs="Times New Roman"/>
          <w:sz w:val="24"/>
          <w:szCs w:val="24"/>
        </w:rPr>
        <w:t>-</w:t>
      </w:r>
      <w:r w:rsidR="00DB5A8F" w:rsidRPr="009E5C08">
        <w:rPr>
          <w:rFonts w:ascii="Times New Roman" w:eastAsia="Calibri" w:hAnsi="Times New Roman" w:cs="Times New Roman"/>
          <w:sz w:val="24"/>
          <w:szCs w:val="24"/>
        </w:rPr>
        <w:t xml:space="preserve"> and </w:t>
      </w:r>
      <w:r w:rsidR="0030173F" w:rsidRPr="009E5C08">
        <w:rPr>
          <w:rFonts w:ascii="Times New Roman" w:eastAsia="Calibri" w:hAnsi="Times New Roman" w:cs="Times New Roman"/>
          <w:sz w:val="24"/>
          <w:szCs w:val="24"/>
        </w:rPr>
        <w:t>conceptual</w:t>
      </w:r>
      <w:r w:rsidR="00DB5A8F" w:rsidRPr="009E5C08">
        <w:rPr>
          <w:rFonts w:ascii="Times New Roman" w:eastAsia="Calibri" w:hAnsi="Times New Roman" w:cs="Times New Roman"/>
          <w:sz w:val="24"/>
          <w:szCs w:val="24"/>
        </w:rPr>
        <w:t xml:space="preserve"> period, the first trimester of pregnancy, the second and third trimesters, the labor and delivery period, the neonatal period, the first</w:t>
      </w:r>
      <w:r w:rsidR="003159FB" w:rsidRPr="009E5C08">
        <w:rPr>
          <w:rFonts w:ascii="Times New Roman" w:eastAsia="Calibri" w:hAnsi="Times New Roman" w:cs="Times New Roman"/>
          <w:sz w:val="24"/>
          <w:szCs w:val="24"/>
        </w:rPr>
        <w:t xml:space="preserve"> </w:t>
      </w:r>
      <w:r w:rsidR="00DB5A8F" w:rsidRPr="009E5C08">
        <w:rPr>
          <w:rFonts w:ascii="Times New Roman" w:eastAsia="Calibri" w:hAnsi="Times New Roman" w:cs="Times New Roman"/>
          <w:sz w:val="24"/>
          <w:szCs w:val="24"/>
        </w:rPr>
        <w:t>and the second</w:t>
      </w:r>
      <w:r w:rsidR="003159FB" w:rsidRPr="009E5C08">
        <w:rPr>
          <w:rFonts w:ascii="Times New Roman" w:eastAsia="Calibri" w:hAnsi="Times New Roman" w:cs="Times New Roman"/>
          <w:sz w:val="24"/>
          <w:szCs w:val="24"/>
        </w:rPr>
        <w:t xml:space="preserve"> year of life. </w:t>
      </w:r>
      <w:r w:rsidR="00ED37AE" w:rsidRPr="009E5C08">
        <w:rPr>
          <w:rFonts w:ascii="Times New Roman" w:eastAsia="Calibri" w:hAnsi="Times New Roman" w:cs="Times New Roman"/>
          <w:sz w:val="24"/>
          <w:szCs w:val="24"/>
        </w:rPr>
        <w:t xml:space="preserve">During the first few weeks of pregnancy, there is </w:t>
      </w:r>
      <w:r w:rsidR="00BF2274" w:rsidRPr="009E5C08">
        <w:rPr>
          <w:rFonts w:ascii="Times New Roman" w:eastAsia="Calibri" w:hAnsi="Times New Roman" w:cs="Times New Roman"/>
          <w:sz w:val="24"/>
          <w:szCs w:val="24"/>
        </w:rPr>
        <w:t xml:space="preserve">rapid </w:t>
      </w:r>
      <w:r w:rsidR="00ED37AE" w:rsidRPr="009E5C08">
        <w:rPr>
          <w:rFonts w:ascii="Times New Roman" w:eastAsia="Calibri" w:hAnsi="Times New Roman" w:cs="Times New Roman"/>
          <w:sz w:val="24"/>
          <w:szCs w:val="24"/>
        </w:rPr>
        <w:t xml:space="preserve">organogenesis. </w:t>
      </w:r>
      <w:r w:rsidR="00BF2274" w:rsidRPr="009E5C08">
        <w:rPr>
          <w:rFonts w:ascii="Times New Roman" w:eastAsia="Calibri" w:hAnsi="Times New Roman" w:cs="Times New Roman"/>
          <w:sz w:val="24"/>
          <w:szCs w:val="24"/>
        </w:rPr>
        <w:t>The first trimester</w:t>
      </w:r>
      <w:r w:rsidR="003505D1" w:rsidRPr="009E5C08">
        <w:rPr>
          <w:rFonts w:ascii="Times New Roman" w:eastAsia="Calibri" w:hAnsi="Times New Roman" w:cs="Times New Roman"/>
          <w:sz w:val="24"/>
          <w:szCs w:val="24"/>
        </w:rPr>
        <w:t xml:space="preserve"> is the period starting from conception until 13 weeks and 6 days of pregnancy</w:t>
      </w:r>
      <w:r w:rsidR="003A65D6" w:rsidRPr="009E5C08">
        <w:rPr>
          <w:rFonts w:ascii="Times New Roman" w:eastAsia="Calibri" w:hAnsi="Times New Roman" w:cs="Times New Roman"/>
          <w:sz w:val="24"/>
          <w:szCs w:val="24"/>
        </w:rPr>
        <w:t xml:space="preserve"> (Indrio et al., 2023)</w:t>
      </w:r>
      <w:r w:rsidR="003505D1" w:rsidRPr="009E5C08">
        <w:rPr>
          <w:rFonts w:ascii="Times New Roman" w:eastAsia="Calibri" w:hAnsi="Times New Roman" w:cs="Times New Roman"/>
          <w:sz w:val="24"/>
          <w:szCs w:val="24"/>
        </w:rPr>
        <w:t xml:space="preserve">. During the second and third trimesters of pregnancy, fetal development is completed. </w:t>
      </w:r>
      <w:r w:rsidR="00ED7BE3" w:rsidRPr="009E5C08">
        <w:rPr>
          <w:rFonts w:ascii="Times New Roman" w:eastAsia="Calibri" w:hAnsi="Times New Roman" w:cs="Times New Roman"/>
          <w:sz w:val="24"/>
          <w:szCs w:val="24"/>
        </w:rPr>
        <w:t>During the period from conception until labor and deliver, maternal nutrition is critical for effective fetal growth and development as well as the mothers health and wellbeing</w:t>
      </w:r>
      <w:r w:rsidR="003A65D6" w:rsidRPr="009E5C08">
        <w:rPr>
          <w:rFonts w:ascii="Times New Roman" w:eastAsia="Calibri" w:hAnsi="Times New Roman" w:cs="Times New Roman"/>
          <w:sz w:val="24"/>
          <w:szCs w:val="24"/>
        </w:rPr>
        <w:t xml:space="preserve"> (Indrio et al., 2023</w:t>
      </w:r>
      <w:r w:rsidR="00ED7BE3" w:rsidRPr="009E5C08">
        <w:rPr>
          <w:rFonts w:ascii="Times New Roman" w:eastAsia="Calibri" w:hAnsi="Times New Roman" w:cs="Times New Roman"/>
          <w:sz w:val="24"/>
          <w:szCs w:val="24"/>
        </w:rPr>
        <w:t>.</w:t>
      </w:r>
      <w:r w:rsidR="00CD2A40" w:rsidRPr="009E5C08">
        <w:rPr>
          <w:rFonts w:ascii="Times New Roman" w:eastAsia="Calibri" w:hAnsi="Times New Roman" w:cs="Times New Roman"/>
          <w:sz w:val="24"/>
          <w:szCs w:val="24"/>
        </w:rPr>
        <w:t xml:space="preserve"> During infancy and the first year, there is need for optimal infant and child feeding. This includes ensuring immediate initiation of breastfeeding following birth as well as promoting exclusive breastfeeding for the first six months where possible</w:t>
      </w:r>
      <w:r w:rsidR="003A65D6" w:rsidRPr="009E5C08">
        <w:rPr>
          <w:rFonts w:ascii="Times New Roman" w:eastAsia="Calibri" w:hAnsi="Times New Roman" w:cs="Times New Roman"/>
          <w:sz w:val="24"/>
          <w:szCs w:val="24"/>
        </w:rPr>
        <w:t xml:space="preserve"> (Badham, 2012)</w:t>
      </w:r>
      <w:r w:rsidR="00CD2A40" w:rsidRPr="009E5C08">
        <w:rPr>
          <w:rFonts w:ascii="Times New Roman" w:eastAsia="Calibri" w:hAnsi="Times New Roman" w:cs="Times New Roman"/>
          <w:sz w:val="24"/>
          <w:szCs w:val="24"/>
        </w:rPr>
        <w:t>. Subsequently, complementary feeds may be introduced. The first 1000 days represent a period of rapid physical and cognitive development requiring the institution of practices that enhance child growt</w:t>
      </w:r>
      <w:r w:rsidR="00986062" w:rsidRPr="009E5C08">
        <w:rPr>
          <w:rFonts w:ascii="Times New Roman" w:eastAsia="Calibri" w:hAnsi="Times New Roman" w:cs="Times New Roman"/>
          <w:sz w:val="24"/>
          <w:szCs w:val="24"/>
        </w:rPr>
        <w:t>h (Likhar &amp; Patil, 2022).</w:t>
      </w:r>
    </w:p>
    <w:p w14:paraId="0AA641B1" w14:textId="2732C9D1" w:rsidR="00CB35A0" w:rsidRDefault="00CB35A0" w:rsidP="009E5C08">
      <w:pPr>
        <w:pStyle w:val="ListParagraph"/>
        <w:spacing w:after="0" w:line="360" w:lineRule="auto"/>
        <w:ind w:left="0"/>
        <w:rPr>
          <w:rFonts w:ascii="Times New Roman" w:eastAsia="Calibri" w:hAnsi="Times New Roman" w:cs="Times New Roman"/>
          <w:sz w:val="24"/>
          <w:szCs w:val="24"/>
        </w:rPr>
      </w:pPr>
    </w:p>
    <w:p w14:paraId="62751856" w14:textId="41338B09" w:rsidR="00CB35A0" w:rsidRDefault="00CB35A0" w:rsidP="009E5C08">
      <w:pPr>
        <w:pStyle w:val="ListParagraph"/>
        <w:spacing w:after="0" w:line="360" w:lineRule="auto"/>
        <w:ind w:left="0"/>
        <w:rPr>
          <w:rFonts w:ascii="Times New Roman" w:eastAsia="Calibri" w:hAnsi="Times New Roman" w:cs="Times New Roman"/>
          <w:sz w:val="24"/>
          <w:szCs w:val="24"/>
        </w:rPr>
      </w:pPr>
    </w:p>
    <w:p w14:paraId="7169B268" w14:textId="7EEE2D53" w:rsidR="00CB35A0" w:rsidRDefault="00CB35A0" w:rsidP="009E5C08">
      <w:pPr>
        <w:pStyle w:val="ListParagraph"/>
        <w:spacing w:after="0" w:line="360" w:lineRule="auto"/>
        <w:ind w:left="0"/>
        <w:rPr>
          <w:rFonts w:ascii="Times New Roman" w:eastAsia="Calibri" w:hAnsi="Times New Roman" w:cs="Times New Roman"/>
          <w:sz w:val="24"/>
          <w:szCs w:val="24"/>
        </w:rPr>
      </w:pPr>
    </w:p>
    <w:p w14:paraId="124DB893" w14:textId="38D97416" w:rsidR="00CB35A0" w:rsidRDefault="00585586" w:rsidP="009E5C08">
      <w:pPr>
        <w:pStyle w:val="ListParagraph"/>
        <w:spacing w:after="0" w:line="360" w:lineRule="auto"/>
        <w:ind w:left="0"/>
        <w:rPr>
          <w:rFonts w:ascii="Times New Roman" w:eastAsia="Calibri" w:hAnsi="Times New Roman" w:cs="Times New Roman"/>
          <w:sz w:val="24"/>
          <w:szCs w:val="24"/>
        </w:rPr>
      </w:pPr>
      <w:r>
        <w:rPr>
          <w:rFonts w:ascii="Times New Roman" w:eastAsia="Calibri" w:hAnsi="Times New Roman" w:cs="Times New Roman"/>
          <w:sz w:val="24"/>
          <w:szCs w:val="24"/>
        </w:rPr>
        <w:t>For more information go to this  link.</w:t>
      </w:r>
    </w:p>
    <w:p w14:paraId="26DB0CB0" w14:textId="4D471574" w:rsidR="00CB35A0" w:rsidRDefault="00585586" w:rsidP="009E5C08">
      <w:pPr>
        <w:pStyle w:val="ListParagraph"/>
        <w:spacing w:after="0" w:line="360" w:lineRule="auto"/>
        <w:ind w:left="0"/>
        <w:rPr>
          <w:rFonts w:ascii="Times New Roman" w:eastAsia="Calibri" w:hAnsi="Times New Roman" w:cs="Times New Roman"/>
          <w:sz w:val="24"/>
          <w:szCs w:val="24"/>
        </w:rPr>
      </w:pPr>
      <w:r w:rsidRPr="00585586">
        <w:rPr>
          <w:rFonts w:ascii="Times New Roman" w:eastAsia="Calibri" w:hAnsi="Times New Roman" w:cs="Times New Roman"/>
          <w:sz w:val="24"/>
          <w:szCs w:val="24"/>
        </w:rPr>
        <w:t>https://www.youtube.c</w:t>
      </w:r>
      <w:bookmarkStart w:id="0" w:name="_GoBack"/>
      <w:bookmarkEnd w:id="0"/>
      <w:r w:rsidRPr="00585586">
        <w:rPr>
          <w:rFonts w:ascii="Times New Roman" w:eastAsia="Calibri" w:hAnsi="Times New Roman" w:cs="Times New Roman"/>
          <w:sz w:val="24"/>
          <w:szCs w:val="24"/>
        </w:rPr>
        <w:t>om/watch?v=KR8qjfscA1E</w:t>
      </w:r>
    </w:p>
    <w:p w14:paraId="75492C89" w14:textId="4B339054" w:rsidR="00CB35A0" w:rsidRDefault="00CB35A0" w:rsidP="009E5C08">
      <w:pPr>
        <w:pStyle w:val="ListParagraph"/>
        <w:spacing w:after="0" w:line="360" w:lineRule="auto"/>
        <w:ind w:left="0"/>
        <w:rPr>
          <w:rFonts w:ascii="Times New Roman" w:eastAsia="Calibri" w:hAnsi="Times New Roman" w:cs="Times New Roman"/>
          <w:sz w:val="24"/>
          <w:szCs w:val="24"/>
        </w:rPr>
      </w:pPr>
    </w:p>
    <w:p w14:paraId="5F8AC283" w14:textId="6DD36CE8" w:rsidR="00CB35A0" w:rsidRDefault="00CB35A0" w:rsidP="009E5C08">
      <w:pPr>
        <w:pStyle w:val="ListParagraph"/>
        <w:spacing w:after="0" w:line="360" w:lineRule="auto"/>
        <w:ind w:left="0"/>
        <w:rPr>
          <w:rFonts w:ascii="Times New Roman" w:eastAsia="Calibri" w:hAnsi="Times New Roman" w:cs="Times New Roman"/>
          <w:sz w:val="24"/>
          <w:szCs w:val="24"/>
        </w:rPr>
      </w:pPr>
    </w:p>
    <w:p w14:paraId="1F403CA9" w14:textId="083F5599" w:rsidR="003D09BD" w:rsidRPr="009E5C08" w:rsidRDefault="003D09BD" w:rsidP="009E5C08">
      <w:pPr>
        <w:pStyle w:val="ListParagraph"/>
        <w:spacing w:after="0" w:line="360" w:lineRule="auto"/>
        <w:ind w:left="0"/>
        <w:rPr>
          <w:rFonts w:ascii="Times New Roman" w:eastAsia="Calibri" w:hAnsi="Times New Roman" w:cs="Times New Roman"/>
          <w:sz w:val="24"/>
          <w:szCs w:val="24"/>
        </w:rPr>
      </w:pPr>
      <w:r>
        <w:rPr>
          <w:noProof/>
          <w:lang w:val="en-GB" w:eastAsia="en-GB"/>
        </w:rPr>
        <w:lastRenderedPageBreak/>
        <w:drawing>
          <wp:inline distT="0" distB="0" distL="0" distR="0" wp14:anchorId="2D32526C" wp14:editId="4B0CC594">
            <wp:extent cx="5943600" cy="4879340"/>
            <wp:effectExtent l="0" t="0" r="0" b="0"/>
            <wp:docPr id="682520530" name="Picture 1" descr="Make the First 1 000 Days 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e the First 1 000 Days Cou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879340"/>
                    </a:xfrm>
                    <a:prstGeom prst="rect">
                      <a:avLst/>
                    </a:prstGeom>
                    <a:noFill/>
                    <a:ln>
                      <a:noFill/>
                    </a:ln>
                  </pic:spPr>
                </pic:pic>
              </a:graphicData>
            </a:graphic>
          </wp:inline>
        </w:drawing>
      </w:r>
    </w:p>
    <w:p w14:paraId="058C6261" w14:textId="5C11182A" w:rsidR="009E5C08" w:rsidRPr="003D09BD" w:rsidRDefault="003D09BD">
      <w:pPr>
        <w:rPr>
          <w:rFonts w:ascii="Times New Roman" w:eastAsia="Calibri" w:hAnsi="Times New Roman" w:cs="Times New Roman"/>
          <w:sz w:val="24"/>
          <w:szCs w:val="24"/>
        </w:rPr>
      </w:pPr>
      <w:r w:rsidRPr="003D09BD">
        <w:rPr>
          <w:rFonts w:ascii="Times New Roman" w:eastAsia="Calibri" w:hAnsi="Times New Roman" w:cs="Times New Roman"/>
          <w:sz w:val="24"/>
          <w:szCs w:val="24"/>
        </w:rPr>
        <w:t xml:space="preserve">Major steps in the first 1000 days. </w:t>
      </w:r>
      <w:hyperlink r:id="rId11" w:history="1">
        <w:r w:rsidRPr="003D09BD">
          <w:rPr>
            <w:rStyle w:val="Hyperlink"/>
            <w:rFonts w:ascii="Times New Roman" w:eastAsia="Calibri" w:hAnsi="Times New Roman" w:cs="Times New Roman"/>
            <w:color w:val="auto"/>
            <w:sz w:val="24"/>
            <w:szCs w:val="24"/>
          </w:rPr>
          <w:t>https://www.ufs.ac.za/giving/donate-here-to-ufs/ia-projects/make-the-1-1000-days-count</w:t>
        </w:r>
      </w:hyperlink>
      <w:r w:rsidRPr="003D09BD">
        <w:rPr>
          <w:rFonts w:ascii="Times New Roman" w:eastAsia="Calibri" w:hAnsi="Times New Roman" w:cs="Times New Roman"/>
          <w:sz w:val="24"/>
          <w:szCs w:val="24"/>
        </w:rPr>
        <w:t xml:space="preserve"> </w:t>
      </w:r>
    </w:p>
    <w:p w14:paraId="2343C033" w14:textId="77777777" w:rsidR="003D09BD" w:rsidRDefault="003D09BD">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5C45878A" w14:textId="6252F3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Why is it importa</w:t>
      </w:r>
      <w:r w:rsidR="00DF7CF7" w:rsidRPr="009E5C08">
        <w:rPr>
          <w:rFonts w:ascii="Times New Roman" w:eastAsia="Calibri" w:hAnsi="Times New Roman" w:cs="Times New Roman"/>
          <w:color w:val="0070C0"/>
          <w:sz w:val="24"/>
          <w:szCs w:val="24"/>
        </w:rPr>
        <w:t>nt</w:t>
      </w:r>
    </w:p>
    <w:p w14:paraId="773065A1" w14:textId="014D030A" w:rsidR="177A46B3" w:rsidRPr="009E5C08" w:rsidRDefault="00DB5A8F"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The first 1000 days are important because they represent a unique opportunity for optimizing the child’s health and development</w:t>
      </w:r>
      <w:r w:rsidR="00986062" w:rsidRPr="009E5C08">
        <w:rPr>
          <w:rFonts w:ascii="Times New Roman" w:eastAsia="Calibri" w:hAnsi="Times New Roman" w:cs="Times New Roman"/>
          <w:sz w:val="24"/>
          <w:szCs w:val="24"/>
        </w:rPr>
        <w:t xml:space="preserve"> (Likhar &amp; Patil, 2022).</w:t>
      </w:r>
      <w:r w:rsidR="00CD2A40" w:rsidRPr="009E5C08">
        <w:rPr>
          <w:rFonts w:ascii="Times New Roman" w:eastAsia="Calibri" w:hAnsi="Times New Roman" w:cs="Times New Roman"/>
          <w:sz w:val="24"/>
          <w:szCs w:val="24"/>
        </w:rPr>
        <w:t xml:space="preserve"> Appropriate maternal care is essential both during the preconception and conceptional period. There is need for mothers to adopt healthy lifestyles during this period by taking balanced diet and engaging in regular physical activity. </w:t>
      </w:r>
      <w:r w:rsidRPr="009E5C08">
        <w:rPr>
          <w:rFonts w:ascii="Times New Roman" w:eastAsia="Calibri" w:hAnsi="Times New Roman" w:cs="Times New Roman"/>
          <w:sz w:val="24"/>
          <w:szCs w:val="24"/>
        </w:rPr>
        <w:t xml:space="preserve"> </w:t>
      </w:r>
      <w:r w:rsidR="00CD2A40" w:rsidRPr="009E5C08">
        <w:rPr>
          <w:rFonts w:ascii="Times New Roman" w:eastAsia="Calibri" w:hAnsi="Times New Roman" w:cs="Times New Roman"/>
          <w:sz w:val="24"/>
          <w:szCs w:val="24"/>
        </w:rPr>
        <w:t>Mothers should also receive nutritional supplements including folic acid which helps to prevent neurodevelopmental abnormalities</w:t>
      </w:r>
      <w:r w:rsidR="00986062" w:rsidRPr="009E5C08">
        <w:rPr>
          <w:rFonts w:ascii="Times New Roman" w:eastAsia="Calibri" w:hAnsi="Times New Roman" w:cs="Times New Roman"/>
          <w:sz w:val="24"/>
          <w:szCs w:val="24"/>
        </w:rPr>
        <w:t xml:space="preserve"> (Indrio et al., 2023)</w:t>
      </w:r>
      <w:r w:rsidR="00CD2A40" w:rsidRPr="009E5C08">
        <w:rPr>
          <w:rFonts w:ascii="Times New Roman" w:eastAsia="Calibri" w:hAnsi="Times New Roman" w:cs="Times New Roman"/>
          <w:sz w:val="24"/>
          <w:szCs w:val="24"/>
        </w:rPr>
        <w:t xml:space="preserve">. Sufficient intake of proteins, vitamins and trace elements is essential for both the mother’s and the future baby’s health. </w:t>
      </w:r>
      <w:r w:rsidR="00BA5DB0" w:rsidRPr="009E5C08">
        <w:rPr>
          <w:rFonts w:ascii="Times New Roman" w:eastAsia="Calibri" w:hAnsi="Times New Roman" w:cs="Times New Roman"/>
          <w:sz w:val="24"/>
          <w:szCs w:val="24"/>
        </w:rPr>
        <w:t xml:space="preserve">During the first trimester of pregnancy when there is rapid organogenesis, mothers should be evaluated and pregnancy care plans formulated with the healthcare provider. Moderate physical activity, taking a balanced and varied diet, and avoiding exposure to toxic substances and </w:t>
      </w:r>
      <w:r w:rsidR="00F22E67" w:rsidRPr="009E5C08">
        <w:rPr>
          <w:rFonts w:ascii="Times New Roman" w:eastAsia="Calibri" w:hAnsi="Times New Roman" w:cs="Times New Roman"/>
          <w:sz w:val="24"/>
          <w:szCs w:val="24"/>
        </w:rPr>
        <w:t>are all essential for a healthy fetus</w:t>
      </w:r>
      <w:r w:rsidR="00986062" w:rsidRPr="009E5C08">
        <w:rPr>
          <w:rFonts w:ascii="Times New Roman" w:eastAsia="Calibri" w:hAnsi="Times New Roman" w:cs="Times New Roman"/>
          <w:sz w:val="24"/>
          <w:szCs w:val="24"/>
        </w:rPr>
        <w:t xml:space="preserve"> (Indrio et al., 2023).</w:t>
      </w:r>
      <w:r w:rsidR="00F22E67" w:rsidRPr="009E5C08">
        <w:rPr>
          <w:rFonts w:ascii="Times New Roman" w:eastAsia="Calibri" w:hAnsi="Times New Roman" w:cs="Times New Roman"/>
          <w:sz w:val="24"/>
          <w:szCs w:val="24"/>
        </w:rPr>
        <w:t xml:space="preserve"> </w:t>
      </w:r>
      <w:r w:rsidR="00CC17B2" w:rsidRPr="009E5C08">
        <w:rPr>
          <w:rFonts w:ascii="Times New Roman" w:eastAsia="Calibri" w:hAnsi="Times New Roman" w:cs="Times New Roman"/>
          <w:sz w:val="24"/>
          <w:szCs w:val="24"/>
        </w:rPr>
        <w:t xml:space="preserve">In the second and third trimesters, optimal fetal growth requires </w:t>
      </w:r>
      <w:r w:rsidR="00397E23" w:rsidRPr="009E5C08">
        <w:rPr>
          <w:rFonts w:ascii="Times New Roman" w:eastAsia="Calibri" w:hAnsi="Times New Roman" w:cs="Times New Roman"/>
          <w:sz w:val="24"/>
          <w:szCs w:val="24"/>
        </w:rPr>
        <w:t>adequate maternal</w:t>
      </w:r>
      <w:r w:rsidR="00CC17B2" w:rsidRPr="009E5C08">
        <w:rPr>
          <w:rFonts w:ascii="Times New Roman" w:eastAsia="Calibri" w:hAnsi="Times New Roman" w:cs="Times New Roman"/>
          <w:sz w:val="24"/>
          <w:szCs w:val="24"/>
        </w:rPr>
        <w:t xml:space="preserve"> intake of macro and micronutrients. </w:t>
      </w:r>
      <w:r w:rsidR="008C1C37" w:rsidRPr="009E5C08">
        <w:rPr>
          <w:rFonts w:ascii="Times New Roman" w:eastAsia="Calibri" w:hAnsi="Times New Roman" w:cs="Times New Roman"/>
          <w:sz w:val="24"/>
          <w:szCs w:val="24"/>
        </w:rPr>
        <w:t xml:space="preserve">This period also requires careful </w:t>
      </w:r>
      <w:r w:rsidR="00397E23" w:rsidRPr="009E5C08">
        <w:rPr>
          <w:rFonts w:ascii="Times New Roman" w:eastAsia="Calibri" w:hAnsi="Times New Roman" w:cs="Times New Roman"/>
          <w:sz w:val="24"/>
          <w:szCs w:val="24"/>
        </w:rPr>
        <w:t>prenatal</w:t>
      </w:r>
      <w:r w:rsidR="008C1C37" w:rsidRPr="009E5C08">
        <w:rPr>
          <w:rFonts w:ascii="Times New Roman" w:eastAsia="Calibri" w:hAnsi="Times New Roman" w:cs="Times New Roman"/>
          <w:sz w:val="24"/>
          <w:szCs w:val="24"/>
        </w:rPr>
        <w:t xml:space="preserve"> assessment and screening and may allow for detection and management of certain morphological and genetic diagnoses. </w:t>
      </w:r>
      <w:r w:rsidR="00CE18C5" w:rsidRPr="009E5C08">
        <w:rPr>
          <w:rFonts w:ascii="Times New Roman" w:eastAsia="Calibri" w:hAnsi="Times New Roman" w:cs="Times New Roman"/>
          <w:sz w:val="24"/>
          <w:szCs w:val="24"/>
        </w:rPr>
        <w:t>During labour and birth, appropriate obstetric and neonatal care ensures delivery of a healthy neonate and reduces risk of complication</w:t>
      </w:r>
      <w:r w:rsidR="00986062" w:rsidRPr="009E5C08">
        <w:rPr>
          <w:rFonts w:ascii="Times New Roman" w:eastAsia="Calibri" w:hAnsi="Times New Roman" w:cs="Times New Roman"/>
          <w:sz w:val="24"/>
          <w:szCs w:val="24"/>
        </w:rPr>
        <w:t>s (Indrio et al., 2023)</w:t>
      </w:r>
      <w:r w:rsidR="00CE18C5" w:rsidRPr="009E5C08">
        <w:rPr>
          <w:rFonts w:ascii="Times New Roman" w:eastAsia="Calibri" w:hAnsi="Times New Roman" w:cs="Times New Roman"/>
          <w:sz w:val="24"/>
          <w:szCs w:val="24"/>
        </w:rPr>
        <w:t xml:space="preserve">. Subsequently, practices such as skin-to-skin nursing of the neonate and early initiation of breastfeeding not only enhance child growth and development. </w:t>
      </w:r>
      <w:r w:rsidR="00436937" w:rsidRPr="009E5C08">
        <w:rPr>
          <w:rFonts w:ascii="Times New Roman" w:eastAsia="Calibri" w:hAnsi="Times New Roman" w:cs="Times New Roman"/>
          <w:sz w:val="24"/>
          <w:szCs w:val="24"/>
        </w:rPr>
        <w:t xml:space="preserve">Neonatal screening allows for detection of </w:t>
      </w:r>
      <w:r w:rsidR="009A6750" w:rsidRPr="009E5C08">
        <w:rPr>
          <w:rFonts w:ascii="Times New Roman" w:eastAsia="Calibri" w:hAnsi="Times New Roman" w:cs="Times New Roman"/>
          <w:sz w:val="24"/>
          <w:szCs w:val="24"/>
        </w:rPr>
        <w:t>diseases including serious diseases early in life and institution of appropriate management</w:t>
      </w:r>
      <w:r w:rsidR="00986062" w:rsidRPr="009E5C08">
        <w:rPr>
          <w:rFonts w:ascii="Times New Roman" w:eastAsia="Calibri" w:hAnsi="Times New Roman" w:cs="Times New Roman"/>
          <w:sz w:val="24"/>
          <w:szCs w:val="24"/>
        </w:rPr>
        <w:t xml:space="preserve"> (Indrio et al., 2023)</w:t>
      </w:r>
      <w:r w:rsidR="009A6750" w:rsidRPr="009E5C08">
        <w:rPr>
          <w:rFonts w:ascii="Times New Roman" w:eastAsia="Calibri" w:hAnsi="Times New Roman" w:cs="Times New Roman"/>
          <w:sz w:val="24"/>
          <w:szCs w:val="24"/>
        </w:rPr>
        <w:t xml:space="preserve">. </w:t>
      </w:r>
      <w:r w:rsidR="005026E6" w:rsidRPr="009E5C08">
        <w:rPr>
          <w:rFonts w:ascii="Times New Roman" w:eastAsia="Calibri" w:hAnsi="Times New Roman" w:cs="Times New Roman"/>
          <w:sz w:val="24"/>
          <w:szCs w:val="24"/>
        </w:rPr>
        <w:t xml:space="preserve">The neonatal period is essential for physical and cognitive development during which the child’s immunity is developing but also a period when the child is considerably vulnerable to physical stressors and illnesses. They must be followed up appropriately and promptly as warranted. </w:t>
      </w:r>
      <w:r w:rsidR="00DF7CF7" w:rsidRPr="009E5C08">
        <w:rPr>
          <w:rFonts w:ascii="Times New Roman" w:eastAsia="Calibri" w:hAnsi="Times New Roman" w:cs="Times New Roman"/>
          <w:sz w:val="24"/>
          <w:szCs w:val="24"/>
        </w:rPr>
        <w:t>In the first and second years, the child achieves key developmental milestones including important motor, speech and cognitive skills requiring a nurturing environment</w:t>
      </w:r>
      <w:r w:rsidR="009A65ED" w:rsidRPr="009E5C08">
        <w:rPr>
          <w:rFonts w:ascii="Times New Roman" w:eastAsia="Calibri" w:hAnsi="Times New Roman" w:cs="Times New Roman"/>
          <w:sz w:val="24"/>
          <w:szCs w:val="24"/>
        </w:rPr>
        <w:t>. Adverse events and significant disruptions during this period may delay achievement of selected milestones and even cause regression</w:t>
      </w:r>
      <w:r w:rsidR="00135979" w:rsidRPr="009E5C08">
        <w:rPr>
          <w:rFonts w:ascii="Times New Roman" w:eastAsia="Calibri" w:hAnsi="Times New Roman" w:cs="Times New Roman"/>
          <w:sz w:val="24"/>
          <w:szCs w:val="24"/>
        </w:rPr>
        <w:t xml:space="preserve"> in some cases. </w:t>
      </w:r>
    </w:p>
    <w:p w14:paraId="1F53BBF4"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694C293C" w14:textId="179B56A1"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 xml:space="preserve">Caregiving </w:t>
      </w:r>
    </w:p>
    <w:p w14:paraId="0B22367D" w14:textId="299BCF3D"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is exceptional care?</w:t>
      </w:r>
    </w:p>
    <w:p w14:paraId="4876D17D" w14:textId="39856F4C" w:rsidR="00135979" w:rsidRPr="009E5C08" w:rsidRDefault="00135979"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Exceptional care may be defined as care that is safe, effective, efficient</w:t>
      </w:r>
      <w:r w:rsidR="00726A4D" w:rsidRPr="009E5C08">
        <w:rPr>
          <w:rFonts w:ascii="Times New Roman" w:eastAsia="Calibri" w:hAnsi="Times New Roman" w:cs="Times New Roman"/>
          <w:sz w:val="24"/>
          <w:szCs w:val="24"/>
        </w:rPr>
        <w:t>,</w:t>
      </w:r>
      <w:r w:rsidRPr="009E5C08">
        <w:rPr>
          <w:rFonts w:ascii="Times New Roman" w:eastAsia="Calibri" w:hAnsi="Times New Roman" w:cs="Times New Roman"/>
          <w:sz w:val="24"/>
          <w:szCs w:val="24"/>
        </w:rPr>
        <w:t xml:space="preserve"> and client-focused. It is timely and equitable. This type of care prioritizes the needs and preferences of the client. The providers and the system </w:t>
      </w:r>
      <w:r w:rsidR="00726A4D" w:rsidRPr="009E5C08">
        <w:rPr>
          <w:rFonts w:ascii="Times New Roman" w:eastAsia="Calibri" w:hAnsi="Times New Roman" w:cs="Times New Roman"/>
          <w:sz w:val="24"/>
          <w:szCs w:val="24"/>
        </w:rPr>
        <w:t>are</w:t>
      </w:r>
      <w:r w:rsidRPr="009E5C08">
        <w:rPr>
          <w:rFonts w:ascii="Times New Roman" w:eastAsia="Calibri" w:hAnsi="Times New Roman" w:cs="Times New Roman"/>
          <w:sz w:val="24"/>
          <w:szCs w:val="24"/>
        </w:rPr>
        <w:t xml:space="preserve"> set up such </w:t>
      </w:r>
      <w:r w:rsidR="00726A4D" w:rsidRPr="009E5C08">
        <w:rPr>
          <w:rFonts w:ascii="Times New Roman" w:eastAsia="Calibri" w:hAnsi="Times New Roman" w:cs="Times New Roman"/>
          <w:sz w:val="24"/>
          <w:szCs w:val="24"/>
        </w:rPr>
        <w:t>that</w:t>
      </w:r>
      <w:r w:rsidRPr="009E5C08">
        <w:rPr>
          <w:rFonts w:ascii="Times New Roman" w:eastAsia="Calibri" w:hAnsi="Times New Roman" w:cs="Times New Roman"/>
          <w:sz w:val="24"/>
          <w:szCs w:val="24"/>
        </w:rPr>
        <w:t xml:space="preserve"> it is responsive to the specific and unique beliefs, preferences</w:t>
      </w:r>
      <w:r w:rsidR="00726A4D" w:rsidRPr="009E5C08">
        <w:rPr>
          <w:rFonts w:ascii="Times New Roman" w:eastAsia="Calibri" w:hAnsi="Times New Roman" w:cs="Times New Roman"/>
          <w:sz w:val="24"/>
          <w:szCs w:val="24"/>
        </w:rPr>
        <w:t>,</w:t>
      </w:r>
      <w:r w:rsidRPr="009E5C08">
        <w:rPr>
          <w:rFonts w:ascii="Times New Roman" w:eastAsia="Calibri" w:hAnsi="Times New Roman" w:cs="Times New Roman"/>
          <w:sz w:val="24"/>
          <w:szCs w:val="24"/>
        </w:rPr>
        <w:t xml:space="preserve"> and values of the service user. Exceptional care is</w:t>
      </w:r>
      <w:r w:rsidR="00951255" w:rsidRPr="009E5C08">
        <w:rPr>
          <w:rFonts w:ascii="Times New Roman" w:eastAsia="Calibri" w:hAnsi="Times New Roman" w:cs="Times New Roman"/>
          <w:sz w:val="24"/>
          <w:szCs w:val="24"/>
        </w:rPr>
        <w:t xml:space="preserve"> built on </w:t>
      </w:r>
      <w:r w:rsidR="00726A4D" w:rsidRPr="009E5C08">
        <w:rPr>
          <w:rFonts w:ascii="Times New Roman" w:eastAsia="Calibri" w:hAnsi="Times New Roman" w:cs="Times New Roman"/>
          <w:sz w:val="24"/>
          <w:szCs w:val="24"/>
        </w:rPr>
        <w:t xml:space="preserve">the </w:t>
      </w:r>
      <w:r w:rsidR="00951255" w:rsidRPr="009E5C08">
        <w:rPr>
          <w:rFonts w:ascii="Times New Roman" w:eastAsia="Calibri" w:hAnsi="Times New Roman" w:cs="Times New Roman"/>
          <w:sz w:val="24"/>
          <w:szCs w:val="24"/>
        </w:rPr>
        <w:t xml:space="preserve">creation of trust between service providers and clients. This requires </w:t>
      </w:r>
      <w:r w:rsidR="00D01040" w:rsidRPr="009E5C08">
        <w:rPr>
          <w:rFonts w:ascii="Times New Roman" w:eastAsia="Calibri" w:hAnsi="Times New Roman" w:cs="Times New Roman"/>
          <w:sz w:val="24"/>
          <w:szCs w:val="24"/>
        </w:rPr>
        <w:t xml:space="preserve">prioritizing clear, consistent and ongoing communication between </w:t>
      </w:r>
      <w:r w:rsidR="00AB455D" w:rsidRPr="009E5C08">
        <w:rPr>
          <w:rFonts w:ascii="Times New Roman" w:eastAsia="Calibri" w:hAnsi="Times New Roman" w:cs="Times New Roman"/>
          <w:sz w:val="24"/>
          <w:szCs w:val="24"/>
        </w:rPr>
        <w:t>the</w:t>
      </w:r>
      <w:r w:rsidR="00D01040" w:rsidRPr="009E5C08">
        <w:rPr>
          <w:rFonts w:ascii="Times New Roman" w:eastAsia="Calibri" w:hAnsi="Times New Roman" w:cs="Times New Roman"/>
          <w:sz w:val="24"/>
          <w:szCs w:val="24"/>
        </w:rPr>
        <w:t xml:space="preserve"> professional and the client</w:t>
      </w:r>
      <w:r w:rsidR="00707BA5" w:rsidRPr="009E5C08">
        <w:rPr>
          <w:rFonts w:ascii="Times New Roman" w:eastAsia="Calibri" w:hAnsi="Times New Roman" w:cs="Times New Roman"/>
          <w:sz w:val="24"/>
          <w:szCs w:val="24"/>
        </w:rPr>
        <w:t xml:space="preserve"> (</w:t>
      </w:r>
      <w:r w:rsidR="00707BA5" w:rsidRPr="009E5C08">
        <w:rPr>
          <w:rFonts w:ascii="Times New Roman" w:eastAsia="Calibri" w:hAnsi="Times New Roman" w:cs="Times New Roman"/>
          <w:i/>
          <w:iCs/>
          <w:sz w:val="24"/>
          <w:szCs w:val="24"/>
        </w:rPr>
        <w:t>Neocare Health</w:t>
      </w:r>
      <w:r w:rsidR="00707BA5" w:rsidRPr="009E5C08">
        <w:rPr>
          <w:rFonts w:ascii="Times New Roman" w:eastAsia="Calibri" w:hAnsi="Times New Roman" w:cs="Times New Roman"/>
          <w:sz w:val="24"/>
          <w:szCs w:val="24"/>
        </w:rPr>
        <w:t>, 2024)</w:t>
      </w:r>
      <w:r w:rsidR="00D01040" w:rsidRPr="009E5C08">
        <w:rPr>
          <w:rFonts w:ascii="Times New Roman" w:eastAsia="Calibri" w:hAnsi="Times New Roman" w:cs="Times New Roman"/>
          <w:sz w:val="24"/>
          <w:szCs w:val="24"/>
        </w:rPr>
        <w:t xml:space="preserve">. </w:t>
      </w:r>
      <w:r w:rsidR="009D1560" w:rsidRPr="009E5C08">
        <w:rPr>
          <w:rFonts w:ascii="Times New Roman" w:eastAsia="Calibri" w:hAnsi="Times New Roman" w:cs="Times New Roman"/>
          <w:sz w:val="24"/>
          <w:szCs w:val="24"/>
        </w:rPr>
        <w:t xml:space="preserve">The communication must be empathic and interactions between clients and providers should be meaningful and ensure that clients feel heard and valued. </w:t>
      </w:r>
      <w:r w:rsidR="0013119E" w:rsidRPr="009E5C08">
        <w:rPr>
          <w:rFonts w:ascii="Times New Roman" w:eastAsia="Calibri" w:hAnsi="Times New Roman" w:cs="Times New Roman"/>
          <w:sz w:val="24"/>
          <w:szCs w:val="24"/>
        </w:rPr>
        <w:t>This type of care empowers individuals and families and helps to embed the lived experiences of clients into care provision</w:t>
      </w:r>
      <w:r w:rsidR="00707BA5" w:rsidRPr="009E5C08">
        <w:rPr>
          <w:rFonts w:ascii="Times New Roman" w:eastAsia="Calibri" w:hAnsi="Times New Roman" w:cs="Times New Roman"/>
          <w:sz w:val="24"/>
          <w:szCs w:val="24"/>
        </w:rPr>
        <w:t xml:space="preserve"> (</w:t>
      </w:r>
      <w:r w:rsidR="00707BA5" w:rsidRPr="009E5C08">
        <w:rPr>
          <w:rFonts w:ascii="Times New Roman" w:eastAsia="Calibri" w:hAnsi="Times New Roman" w:cs="Times New Roman"/>
          <w:i/>
          <w:iCs/>
          <w:sz w:val="24"/>
          <w:szCs w:val="24"/>
        </w:rPr>
        <w:t>Neocare Health</w:t>
      </w:r>
      <w:r w:rsidR="00707BA5" w:rsidRPr="009E5C08">
        <w:rPr>
          <w:rFonts w:ascii="Times New Roman" w:eastAsia="Calibri" w:hAnsi="Times New Roman" w:cs="Times New Roman"/>
          <w:sz w:val="24"/>
          <w:szCs w:val="24"/>
        </w:rPr>
        <w:t>, 2024)</w:t>
      </w:r>
      <w:r w:rsidR="0013119E" w:rsidRPr="009E5C08">
        <w:rPr>
          <w:rFonts w:ascii="Times New Roman" w:eastAsia="Calibri" w:hAnsi="Times New Roman" w:cs="Times New Roman"/>
          <w:sz w:val="24"/>
          <w:szCs w:val="24"/>
        </w:rPr>
        <w:t xml:space="preserve">. </w:t>
      </w:r>
      <w:r w:rsidR="009F2E51" w:rsidRPr="009E5C08">
        <w:rPr>
          <w:rFonts w:ascii="Times New Roman" w:eastAsia="Calibri" w:hAnsi="Times New Roman" w:cs="Times New Roman"/>
          <w:sz w:val="24"/>
          <w:szCs w:val="24"/>
        </w:rPr>
        <w:t>To</w:t>
      </w:r>
      <w:r w:rsidR="00620299" w:rsidRPr="009E5C08">
        <w:rPr>
          <w:rFonts w:ascii="Times New Roman" w:eastAsia="Calibri" w:hAnsi="Times New Roman" w:cs="Times New Roman"/>
          <w:sz w:val="24"/>
          <w:szCs w:val="24"/>
        </w:rPr>
        <w:t xml:space="preserve"> build trust with clients, providers</w:t>
      </w:r>
      <w:r w:rsidR="0013119E" w:rsidRPr="009E5C08">
        <w:rPr>
          <w:rFonts w:ascii="Times New Roman" w:eastAsia="Calibri" w:hAnsi="Times New Roman" w:cs="Times New Roman"/>
          <w:sz w:val="24"/>
          <w:szCs w:val="24"/>
        </w:rPr>
        <w:t>,</w:t>
      </w:r>
      <w:r w:rsidR="00620299" w:rsidRPr="009E5C08">
        <w:rPr>
          <w:rFonts w:ascii="Times New Roman" w:eastAsia="Calibri" w:hAnsi="Times New Roman" w:cs="Times New Roman"/>
          <w:sz w:val="24"/>
          <w:szCs w:val="24"/>
        </w:rPr>
        <w:t xml:space="preserve"> and professionals must protect the privacy and confidentiality of the service user.  </w:t>
      </w:r>
    </w:p>
    <w:p w14:paraId="39B41979" w14:textId="2ABB0FF9" w:rsidR="009A32BB" w:rsidRPr="009E5C08" w:rsidRDefault="009A32B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When applied to the Pikler Theory, exceptional care requires caregivers and professionals to work to build trust and work on their relationship with the child during learning and caring activities. </w:t>
      </w:r>
      <w:r w:rsidR="00020C68" w:rsidRPr="009E5C08">
        <w:rPr>
          <w:rFonts w:ascii="Times New Roman" w:eastAsia="Calibri" w:hAnsi="Times New Roman" w:cs="Times New Roman"/>
          <w:sz w:val="24"/>
          <w:szCs w:val="24"/>
        </w:rPr>
        <w:t>Professionals and learners must slow down and take time when participating in caring and learning activities</w:t>
      </w:r>
      <w:r w:rsidR="009F2E51" w:rsidRPr="009E5C08">
        <w:rPr>
          <w:rFonts w:ascii="Times New Roman" w:eastAsia="Calibri" w:hAnsi="Times New Roman" w:cs="Times New Roman"/>
          <w:sz w:val="24"/>
          <w:szCs w:val="24"/>
        </w:rPr>
        <w:t>, both providing</w:t>
      </w:r>
      <w:r w:rsidR="00020C68" w:rsidRPr="009E5C08">
        <w:rPr>
          <w:rFonts w:ascii="Times New Roman" w:eastAsia="Calibri" w:hAnsi="Times New Roman" w:cs="Times New Roman"/>
          <w:sz w:val="24"/>
          <w:szCs w:val="24"/>
        </w:rPr>
        <w:t xml:space="preserve"> opportunities for boding. This also allows children to become active partners in caregiving and lear</w:t>
      </w:r>
      <w:r w:rsidR="00E8522F" w:rsidRPr="009E5C08">
        <w:rPr>
          <w:rFonts w:ascii="Times New Roman" w:eastAsia="Calibri" w:hAnsi="Times New Roman" w:cs="Times New Roman"/>
          <w:sz w:val="24"/>
          <w:szCs w:val="24"/>
        </w:rPr>
        <w:t>n</w:t>
      </w:r>
      <w:r w:rsidR="00020C68" w:rsidRPr="009E5C08">
        <w:rPr>
          <w:rFonts w:ascii="Times New Roman" w:eastAsia="Calibri" w:hAnsi="Times New Roman" w:cs="Times New Roman"/>
          <w:sz w:val="24"/>
          <w:szCs w:val="24"/>
        </w:rPr>
        <w:t xml:space="preserve">ing activities. </w:t>
      </w:r>
      <w:r w:rsidR="00E835FF" w:rsidRPr="009E5C08">
        <w:rPr>
          <w:rFonts w:ascii="Times New Roman" w:eastAsia="Calibri" w:hAnsi="Times New Roman" w:cs="Times New Roman"/>
          <w:sz w:val="24"/>
          <w:szCs w:val="24"/>
        </w:rPr>
        <w:t xml:space="preserve">Caregivers and professionals must not view children as just passive care recipients but must take a more cooperative approach to </w:t>
      </w:r>
      <w:r w:rsidR="00AB455D" w:rsidRPr="009E5C08">
        <w:rPr>
          <w:rFonts w:ascii="Times New Roman" w:eastAsia="Calibri" w:hAnsi="Times New Roman" w:cs="Times New Roman"/>
          <w:sz w:val="24"/>
          <w:szCs w:val="24"/>
        </w:rPr>
        <w:t xml:space="preserve">service provision. It is similarly essential for caregivers and professionals to tune-in in a manner that is respectful to the physical and verbal cues of the child. </w:t>
      </w:r>
      <w:r w:rsidR="009F2E51" w:rsidRPr="009E5C08">
        <w:rPr>
          <w:rFonts w:ascii="Times New Roman" w:eastAsia="Calibri" w:hAnsi="Times New Roman" w:cs="Times New Roman"/>
          <w:sz w:val="24"/>
          <w:szCs w:val="24"/>
        </w:rPr>
        <w:t>Finally, it is critical to involve parents and other appropriate caregivers in child’s learning and care.</w:t>
      </w:r>
    </w:p>
    <w:p w14:paraId="5033A415"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0123D7AA" w14:textId="3D5710FE"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Why is this important?</w:t>
      </w:r>
    </w:p>
    <w:p w14:paraId="69D85BF5" w14:textId="77777777" w:rsidR="009F2E51" w:rsidRPr="009E5C08" w:rsidRDefault="00A54F97"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Exceptional care helps to foster trust and effective communication between the professional or caregiver and the client. </w:t>
      </w:r>
      <w:r w:rsidR="00484AE1" w:rsidRPr="009E5C08">
        <w:rPr>
          <w:rFonts w:ascii="Times New Roman" w:eastAsia="Calibri" w:hAnsi="Times New Roman" w:cs="Times New Roman"/>
          <w:sz w:val="24"/>
          <w:szCs w:val="24"/>
        </w:rPr>
        <w:t>Trust is essential if the child is to feel sufficiently secure. Such children may be better able to explore their environments and express their needs. In the context of early year practice, children who have trust in their providers may be better able to explore their world. This can result in enhanced learning, higher self-confidence and higher chances of later success.</w:t>
      </w:r>
      <w:r w:rsidR="006B4EF1" w:rsidRPr="009E5C08">
        <w:rPr>
          <w:rFonts w:ascii="Times New Roman" w:eastAsia="Calibri" w:hAnsi="Times New Roman" w:cs="Times New Roman"/>
          <w:sz w:val="24"/>
          <w:szCs w:val="24"/>
        </w:rPr>
        <w:t xml:space="preserve"> By being responsive to the preferences and the values of the child, the provider signals to the child that their opinions and values are valuable and that they are welcome, active participants in their own care. </w:t>
      </w:r>
      <w:r w:rsidR="002C613D" w:rsidRPr="009E5C08">
        <w:rPr>
          <w:rFonts w:ascii="Times New Roman" w:eastAsia="Calibri" w:hAnsi="Times New Roman" w:cs="Times New Roman"/>
          <w:sz w:val="24"/>
          <w:szCs w:val="24"/>
        </w:rPr>
        <w:t xml:space="preserve">This process is essential for the development of long-term relationship with the child. Such relationships are characterized by trust, mutual understanding and respect. </w:t>
      </w:r>
      <w:r w:rsidR="00171142" w:rsidRPr="009E5C08">
        <w:rPr>
          <w:rFonts w:ascii="Times New Roman" w:eastAsia="Calibri" w:hAnsi="Times New Roman" w:cs="Times New Roman"/>
          <w:sz w:val="24"/>
          <w:szCs w:val="24"/>
        </w:rPr>
        <w:t>Additionally, exceptional care</w:t>
      </w:r>
      <w:r w:rsidR="00B210C1" w:rsidRPr="009E5C08">
        <w:rPr>
          <w:rFonts w:ascii="Times New Roman" w:eastAsia="Calibri" w:hAnsi="Times New Roman" w:cs="Times New Roman"/>
          <w:sz w:val="24"/>
          <w:szCs w:val="24"/>
        </w:rPr>
        <w:t xml:space="preserve"> is a means for empowering clients, increasing satisfaction with care and learning and helping clients to take more active role in </w:t>
      </w:r>
      <w:r w:rsidR="009F2E51" w:rsidRPr="009E5C08">
        <w:rPr>
          <w:rFonts w:ascii="Times New Roman" w:eastAsia="Calibri" w:hAnsi="Times New Roman" w:cs="Times New Roman"/>
          <w:sz w:val="24"/>
          <w:szCs w:val="24"/>
        </w:rPr>
        <w:t>learning</w:t>
      </w:r>
      <w:r w:rsidR="00B210C1" w:rsidRPr="009E5C08">
        <w:rPr>
          <w:rFonts w:ascii="Times New Roman" w:eastAsia="Calibri" w:hAnsi="Times New Roman" w:cs="Times New Roman"/>
          <w:sz w:val="24"/>
          <w:szCs w:val="24"/>
        </w:rPr>
        <w:t>.</w:t>
      </w:r>
    </w:p>
    <w:p w14:paraId="39BDE2F6" w14:textId="66CB2B6B" w:rsidR="177A46B3" w:rsidRPr="009E5C08" w:rsidRDefault="009F2E51"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For professionals, exceptional care requires</w:t>
      </w:r>
      <w:r w:rsidR="00B210C1" w:rsidRPr="009E5C08">
        <w:rPr>
          <w:rFonts w:ascii="Times New Roman" w:eastAsia="Calibri" w:hAnsi="Times New Roman" w:cs="Times New Roman"/>
          <w:sz w:val="24"/>
          <w:szCs w:val="24"/>
        </w:rPr>
        <w:t xml:space="preserve"> </w:t>
      </w:r>
      <w:r w:rsidRPr="009E5C08">
        <w:rPr>
          <w:rFonts w:ascii="Times New Roman" w:eastAsia="Calibri" w:hAnsi="Times New Roman" w:cs="Times New Roman"/>
          <w:sz w:val="24"/>
          <w:szCs w:val="24"/>
        </w:rPr>
        <w:t>involvement of families in child care and learning. By involving patents and caregivers in learning</w:t>
      </w:r>
      <w:r w:rsidR="007B2B75" w:rsidRPr="009E5C08">
        <w:rPr>
          <w:rFonts w:ascii="Times New Roman" w:eastAsia="Calibri" w:hAnsi="Times New Roman" w:cs="Times New Roman"/>
          <w:sz w:val="24"/>
          <w:szCs w:val="24"/>
        </w:rPr>
        <w:t xml:space="preserve">, children may enjoy parental support that may, in turn, boost their confidence. This can similarly improve the child’s attitude towards </w:t>
      </w:r>
      <w:r w:rsidR="00BE011A" w:rsidRPr="009E5C08">
        <w:rPr>
          <w:rFonts w:ascii="Times New Roman" w:eastAsia="Calibri" w:hAnsi="Times New Roman" w:cs="Times New Roman"/>
          <w:sz w:val="24"/>
          <w:szCs w:val="24"/>
        </w:rPr>
        <w:t>learning</w:t>
      </w:r>
      <w:r w:rsidR="007B2B75" w:rsidRPr="009E5C08">
        <w:rPr>
          <w:rFonts w:ascii="Times New Roman" w:eastAsia="Calibri" w:hAnsi="Times New Roman" w:cs="Times New Roman"/>
          <w:sz w:val="24"/>
          <w:szCs w:val="24"/>
        </w:rPr>
        <w:t xml:space="preserve"> and is essential for developing healthier relationships with parents.</w:t>
      </w:r>
      <w:r w:rsidR="00C821E6" w:rsidRPr="009E5C08">
        <w:rPr>
          <w:rFonts w:ascii="Times New Roman" w:eastAsia="Calibri" w:hAnsi="Times New Roman" w:cs="Times New Roman"/>
          <w:sz w:val="24"/>
          <w:szCs w:val="24"/>
        </w:rPr>
        <w:t xml:space="preserve"> Additionally, the process can help to improve achievements in the classroom. </w:t>
      </w:r>
    </w:p>
    <w:p w14:paraId="469E7ACA"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2AAF6551" w14:textId="682AA23A"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Professional partnerships</w:t>
      </w:r>
    </w:p>
    <w:p w14:paraId="63CC21BD" w14:textId="7AA7654C" w:rsidR="177A46B3" w:rsidRPr="009E5C08" w:rsidRDefault="00FB6390"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T</w:t>
      </w:r>
      <w:r w:rsidR="5ED88DA1" w:rsidRPr="009E5C08">
        <w:rPr>
          <w:rFonts w:ascii="Times New Roman" w:eastAsia="Calibri" w:hAnsi="Times New Roman" w:cs="Times New Roman"/>
          <w:color w:val="0070C0"/>
          <w:sz w:val="24"/>
          <w:szCs w:val="24"/>
        </w:rPr>
        <w:t>he</w:t>
      </w:r>
      <w:r w:rsidR="5ED88DA1" w:rsidRPr="009E5C08">
        <w:rPr>
          <w:rFonts w:ascii="Times New Roman" w:eastAsia="Calibri" w:hAnsi="Times New Roman" w:cs="Times New Roman"/>
          <w:b/>
          <w:bCs/>
          <w:color w:val="0070C0"/>
          <w:sz w:val="24"/>
          <w:szCs w:val="24"/>
        </w:rPr>
        <w:t xml:space="preserve"> </w:t>
      </w:r>
      <w:r w:rsidR="5ED88DA1" w:rsidRPr="009E5C08">
        <w:rPr>
          <w:rFonts w:ascii="Times New Roman" w:eastAsia="Calibri" w:hAnsi="Times New Roman" w:cs="Times New Roman"/>
          <w:color w:val="0070C0"/>
          <w:sz w:val="24"/>
          <w:szCs w:val="24"/>
        </w:rPr>
        <w:t>role of an early years practitioner in supporting children and families in the first 1000 days?</w:t>
      </w:r>
    </w:p>
    <w:p w14:paraId="5068B355" w14:textId="18052B76" w:rsidR="00EF6BF8" w:rsidRPr="009E5C08" w:rsidRDefault="004E3A1D"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specific roles of early years practitioners in the first 1000 days may vary. In general, however, </w:t>
      </w:r>
      <w:r w:rsidR="00B06D0C" w:rsidRPr="009E5C08">
        <w:rPr>
          <w:rFonts w:ascii="Times New Roman" w:eastAsia="Calibri" w:hAnsi="Times New Roman" w:cs="Times New Roman"/>
          <w:sz w:val="24"/>
          <w:szCs w:val="24"/>
        </w:rPr>
        <w:t>in general, most early practitioners will usually need to support children and families through a range of transitions that include moving into school</w:t>
      </w:r>
      <w:r w:rsidR="00CB1E6B" w:rsidRPr="009E5C08">
        <w:rPr>
          <w:rFonts w:ascii="Times New Roman" w:eastAsia="Calibri" w:hAnsi="Times New Roman" w:cs="Times New Roman"/>
          <w:sz w:val="24"/>
          <w:szCs w:val="24"/>
        </w:rPr>
        <w:t xml:space="preserve"> (Institute for Apprenticeships &amp; Technical Education, 2024)</w:t>
      </w:r>
      <w:r w:rsidR="00B06D0C" w:rsidRPr="009E5C08">
        <w:rPr>
          <w:rFonts w:ascii="Times New Roman" w:eastAsia="Calibri" w:hAnsi="Times New Roman" w:cs="Times New Roman"/>
          <w:sz w:val="24"/>
          <w:szCs w:val="24"/>
        </w:rPr>
        <w:t xml:space="preserve">. Practitioners are trained to recognize when children are in danger or are at risk of harm or abuse and to take appropriate measures to characterize and have such issues addressed. </w:t>
      </w:r>
      <w:r w:rsidR="002F0CD5" w:rsidRPr="009E5C08">
        <w:rPr>
          <w:rFonts w:ascii="Times New Roman" w:eastAsia="Calibri" w:hAnsi="Times New Roman" w:cs="Times New Roman"/>
          <w:sz w:val="24"/>
          <w:szCs w:val="24"/>
        </w:rPr>
        <w:t>They work with parents, carers and other colleagues to meet individual needs of the child</w:t>
      </w:r>
      <w:r w:rsidR="003902F6" w:rsidRPr="009E5C08">
        <w:rPr>
          <w:rFonts w:ascii="Times New Roman" w:eastAsia="Calibri" w:hAnsi="Times New Roman" w:cs="Times New Roman"/>
          <w:sz w:val="24"/>
          <w:szCs w:val="24"/>
        </w:rPr>
        <w:t xml:space="preserve"> they are responsible for.  Practitioners work to promote health and wellbeing in different settings encouraging children and babies to consume varied and balanced meals that are otherwise appropriate for their ages. They also work with children to encourage physical activity. </w:t>
      </w:r>
      <w:r w:rsidR="00925522" w:rsidRPr="009E5C08">
        <w:rPr>
          <w:rFonts w:ascii="Times New Roman" w:eastAsia="Calibri" w:hAnsi="Times New Roman" w:cs="Times New Roman"/>
          <w:sz w:val="24"/>
          <w:szCs w:val="24"/>
        </w:rPr>
        <w:t>Practitioners carry out or support care routines such as feeding, nappy changing procedures, skin and teeth care, rest and sleep provision as well as potty training</w:t>
      </w:r>
      <w:r w:rsidR="00CB1E6B" w:rsidRPr="009E5C08">
        <w:rPr>
          <w:rFonts w:ascii="Times New Roman" w:eastAsia="Calibri" w:hAnsi="Times New Roman" w:cs="Times New Roman"/>
          <w:sz w:val="24"/>
          <w:szCs w:val="24"/>
        </w:rPr>
        <w:t xml:space="preserve"> (Institute for Apprenticeships &amp; Technical Education, 2024)</w:t>
      </w:r>
      <w:r w:rsidR="00925522" w:rsidRPr="009E5C08">
        <w:rPr>
          <w:rFonts w:ascii="Times New Roman" w:eastAsia="Calibri" w:hAnsi="Times New Roman" w:cs="Times New Roman"/>
          <w:sz w:val="24"/>
          <w:szCs w:val="24"/>
        </w:rPr>
        <w:t xml:space="preserve">. </w:t>
      </w:r>
      <w:r w:rsidR="00FE79A0" w:rsidRPr="009E5C08">
        <w:rPr>
          <w:rFonts w:ascii="Times New Roman" w:eastAsia="Calibri" w:hAnsi="Times New Roman" w:cs="Times New Roman"/>
          <w:sz w:val="24"/>
          <w:szCs w:val="24"/>
        </w:rPr>
        <w:t>Practitioners communicate both verbally and non-verbally with children in ways which care appropriate for age and which can easily understand</w:t>
      </w:r>
      <w:r w:rsidR="000115D3" w:rsidRPr="009E5C08">
        <w:rPr>
          <w:rFonts w:ascii="Times New Roman" w:eastAsia="Calibri" w:hAnsi="Times New Roman" w:cs="Times New Roman"/>
          <w:sz w:val="24"/>
          <w:szCs w:val="24"/>
        </w:rPr>
        <w:t xml:space="preserve"> by the child.</w:t>
      </w:r>
      <w:r w:rsidR="00C134D1" w:rsidRPr="009E5C08">
        <w:rPr>
          <w:rFonts w:ascii="Times New Roman" w:eastAsia="Calibri" w:hAnsi="Times New Roman" w:cs="Times New Roman"/>
          <w:sz w:val="24"/>
          <w:szCs w:val="24"/>
        </w:rPr>
        <w:t xml:space="preserve"> They encourage children to express themselves using a variety of both verbal and non-verbal means. </w:t>
      </w:r>
      <w:r w:rsidR="0064139F" w:rsidRPr="009E5C08">
        <w:rPr>
          <w:rFonts w:ascii="Times New Roman" w:eastAsia="Calibri" w:hAnsi="Times New Roman" w:cs="Times New Roman"/>
          <w:sz w:val="24"/>
          <w:szCs w:val="24"/>
        </w:rPr>
        <w:t>For the early year practitioner, care necessarily includes working with others to identify as well as plan activities, play opportunities and educations programs which help to support the child’s holistic development</w:t>
      </w:r>
      <w:r w:rsidR="00CB1E6B" w:rsidRPr="009E5C08">
        <w:rPr>
          <w:rFonts w:ascii="Times New Roman" w:eastAsia="Calibri" w:hAnsi="Times New Roman" w:cs="Times New Roman"/>
          <w:sz w:val="24"/>
          <w:szCs w:val="24"/>
        </w:rPr>
        <w:t xml:space="preserve"> (Institute for Apprenticeships &amp; Technical Education, 2024).</w:t>
      </w:r>
      <w:r w:rsidR="0064139F" w:rsidRPr="009E5C08">
        <w:rPr>
          <w:rFonts w:ascii="Times New Roman" w:eastAsia="Calibri" w:hAnsi="Times New Roman" w:cs="Times New Roman"/>
          <w:sz w:val="24"/>
          <w:szCs w:val="24"/>
        </w:rPr>
        <w:t xml:space="preserve"> </w:t>
      </w:r>
      <w:r w:rsidR="002F3ED7" w:rsidRPr="009E5C08">
        <w:rPr>
          <w:rFonts w:ascii="Times New Roman" w:eastAsia="Calibri" w:hAnsi="Times New Roman" w:cs="Times New Roman"/>
          <w:sz w:val="24"/>
          <w:szCs w:val="24"/>
        </w:rPr>
        <w:t xml:space="preserve">The practitioner review such activities to assess the extent to which they support play, creativity, learning and aspects of development. </w:t>
      </w:r>
      <w:r w:rsidR="00716AC1" w:rsidRPr="009E5C08">
        <w:rPr>
          <w:rFonts w:ascii="Times New Roman" w:eastAsia="Calibri" w:hAnsi="Times New Roman" w:cs="Times New Roman"/>
          <w:sz w:val="24"/>
          <w:szCs w:val="24"/>
        </w:rPr>
        <w:t xml:space="preserve">The practitioner observes the child, assesses, plans and, in some cases, records outcomes of indoor and outdoor learning activities. These may be shared confidently with parents and carers. Similarly, the practitioner supports the child’s interests and uses feedback and mentoring to support areas for development. </w:t>
      </w:r>
    </w:p>
    <w:p w14:paraId="57D994E3"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5FFE5183" w14:textId="48D96A8E"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The importance of effective partnership working</w:t>
      </w:r>
      <w:r w:rsidR="003902F6" w:rsidRPr="009E5C08">
        <w:rPr>
          <w:rFonts w:ascii="Times New Roman" w:eastAsia="Calibri" w:hAnsi="Times New Roman" w:cs="Times New Roman"/>
          <w:color w:val="0070C0"/>
          <w:sz w:val="24"/>
          <w:szCs w:val="24"/>
        </w:rPr>
        <w:t xml:space="preserve"> </w:t>
      </w:r>
    </w:p>
    <w:p w14:paraId="00BD8396" w14:textId="0F012E05" w:rsidR="008816EC" w:rsidRPr="009E5C08" w:rsidRDefault="008816EC"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Effective services in early years practice requires close collaboration among practitioners and between practitioners and families. </w:t>
      </w:r>
      <w:r w:rsidR="005435CA" w:rsidRPr="009E5C08">
        <w:rPr>
          <w:rFonts w:ascii="Times New Roman" w:eastAsia="Calibri" w:hAnsi="Times New Roman" w:cs="Times New Roman"/>
          <w:sz w:val="24"/>
          <w:szCs w:val="24"/>
        </w:rPr>
        <w:t>Th</w:t>
      </w:r>
      <w:r w:rsidR="009E5C08">
        <w:rPr>
          <w:rFonts w:ascii="Times New Roman" w:eastAsia="Calibri" w:hAnsi="Times New Roman" w:cs="Times New Roman"/>
          <w:sz w:val="24"/>
          <w:szCs w:val="24"/>
        </w:rPr>
        <w:t>ese</w:t>
      </w:r>
      <w:r w:rsidR="005435CA" w:rsidRPr="009E5C08">
        <w:rPr>
          <w:rFonts w:ascii="Times New Roman" w:eastAsia="Calibri" w:hAnsi="Times New Roman" w:cs="Times New Roman"/>
          <w:sz w:val="24"/>
          <w:szCs w:val="24"/>
        </w:rPr>
        <w:t xml:space="preserve"> partnerships is best guided by, among other principles, mutuality, reciprocity, collaboration, shared-decision making, and trust (Griggs &amp; Rollo, 2023). </w:t>
      </w:r>
      <w:r w:rsidR="009F5E52" w:rsidRPr="009E5C08">
        <w:rPr>
          <w:rFonts w:ascii="Times New Roman" w:eastAsia="Calibri" w:hAnsi="Times New Roman" w:cs="Times New Roman"/>
          <w:sz w:val="24"/>
          <w:szCs w:val="24"/>
        </w:rPr>
        <w:t>Extensive and effective partnerships in early years practice can positively impact the child’s education and care. Such partnerships allow families to feel valued, supported and recognized in their child’s learning. Practitioners are encouraged to view families as experts on the care of their child or children. By taking into consideration input from parents or other carers, the practitioner may be able to provide to provide more person-centered, culturally appropriate care</w:t>
      </w:r>
      <w:r w:rsidR="001D0FED" w:rsidRPr="009E5C08">
        <w:rPr>
          <w:rFonts w:ascii="Times New Roman" w:eastAsia="Calibri" w:hAnsi="Times New Roman" w:cs="Times New Roman"/>
          <w:sz w:val="24"/>
          <w:szCs w:val="24"/>
        </w:rPr>
        <w:t xml:space="preserve"> (Nebraska Extension, 2021)</w:t>
      </w:r>
      <w:r w:rsidR="009F5E52" w:rsidRPr="009E5C08">
        <w:rPr>
          <w:rFonts w:ascii="Times New Roman" w:eastAsia="Calibri" w:hAnsi="Times New Roman" w:cs="Times New Roman"/>
          <w:sz w:val="24"/>
          <w:szCs w:val="24"/>
        </w:rPr>
        <w:t>. Learning from families allows providers to have more in</w:t>
      </w:r>
      <w:r w:rsidR="00414CC9" w:rsidRPr="009E5C08">
        <w:rPr>
          <w:rFonts w:ascii="Times New Roman" w:eastAsia="Calibri" w:hAnsi="Times New Roman" w:cs="Times New Roman"/>
          <w:sz w:val="24"/>
          <w:szCs w:val="24"/>
        </w:rPr>
        <w:t>-</w:t>
      </w:r>
      <w:r w:rsidR="009F5E52" w:rsidRPr="009E5C08">
        <w:rPr>
          <w:rFonts w:ascii="Times New Roman" w:eastAsia="Calibri" w:hAnsi="Times New Roman" w:cs="Times New Roman"/>
          <w:sz w:val="24"/>
          <w:szCs w:val="24"/>
        </w:rPr>
        <w:t xml:space="preserve">depth knowledge of the preferences, strengths and interests of the child. This allows the practitioner to create activities that promote optimal learning for the child. Since carers can similarly have better understanding of the strengths and weaknesses of the child, they may be better able to set up home activities which ensure continuity of learning outside formal settings. </w:t>
      </w:r>
      <w:r w:rsidR="000226FA" w:rsidRPr="009E5C08">
        <w:rPr>
          <w:rFonts w:ascii="Times New Roman" w:eastAsia="Calibri" w:hAnsi="Times New Roman" w:cs="Times New Roman"/>
          <w:sz w:val="24"/>
          <w:szCs w:val="24"/>
        </w:rPr>
        <w:t xml:space="preserve">In turn, this may enhance self-efficacy for families which may be better able to contribute to the child’s learning and development. </w:t>
      </w:r>
      <w:r w:rsidR="003E52A4" w:rsidRPr="009E5C08">
        <w:rPr>
          <w:rFonts w:ascii="Times New Roman" w:eastAsia="Calibri" w:hAnsi="Times New Roman" w:cs="Times New Roman"/>
          <w:sz w:val="24"/>
          <w:szCs w:val="24"/>
        </w:rPr>
        <w:t xml:space="preserve">Parents who are sufficiently informed and empowered are able to </w:t>
      </w:r>
      <w:r w:rsidR="009D31FF" w:rsidRPr="009E5C08">
        <w:rPr>
          <w:rFonts w:ascii="Times New Roman" w:eastAsia="Calibri" w:hAnsi="Times New Roman" w:cs="Times New Roman"/>
          <w:sz w:val="24"/>
          <w:szCs w:val="24"/>
        </w:rPr>
        <w:t xml:space="preserve">engage the child in learning at home. </w:t>
      </w:r>
      <w:r w:rsidR="003E52A4" w:rsidRPr="009E5C08">
        <w:rPr>
          <w:rFonts w:ascii="Times New Roman" w:eastAsia="Calibri" w:hAnsi="Times New Roman" w:cs="Times New Roman"/>
          <w:sz w:val="24"/>
          <w:szCs w:val="24"/>
        </w:rPr>
        <w:t>Learning is enhanced when the child can connect home and school experience</w:t>
      </w:r>
      <w:r w:rsidR="001D0FED" w:rsidRPr="009E5C08">
        <w:rPr>
          <w:rFonts w:ascii="Times New Roman" w:eastAsia="Calibri" w:hAnsi="Times New Roman" w:cs="Times New Roman"/>
          <w:sz w:val="24"/>
          <w:szCs w:val="24"/>
        </w:rPr>
        <w:t xml:space="preserve"> (Nebraska Extension, 2021)</w:t>
      </w:r>
      <w:r w:rsidR="003B335D" w:rsidRPr="009E5C08">
        <w:rPr>
          <w:rFonts w:ascii="Times New Roman" w:eastAsia="Calibri" w:hAnsi="Times New Roman" w:cs="Times New Roman"/>
          <w:sz w:val="24"/>
          <w:szCs w:val="24"/>
        </w:rPr>
        <w:t xml:space="preserve">. </w:t>
      </w:r>
      <w:r w:rsidR="003E52A4" w:rsidRPr="009E5C08">
        <w:rPr>
          <w:rFonts w:ascii="Times New Roman" w:eastAsia="Calibri" w:hAnsi="Times New Roman" w:cs="Times New Roman"/>
          <w:sz w:val="24"/>
          <w:szCs w:val="24"/>
        </w:rPr>
        <w:t xml:space="preserve">This can positively affect performance and achievement. </w:t>
      </w:r>
      <w:r w:rsidR="000226FA" w:rsidRPr="009E5C08">
        <w:rPr>
          <w:rFonts w:ascii="Times New Roman" w:eastAsia="Calibri" w:hAnsi="Times New Roman" w:cs="Times New Roman"/>
          <w:sz w:val="24"/>
          <w:szCs w:val="24"/>
        </w:rPr>
        <w:t xml:space="preserve">Effective partnerships can enhance the consistency and sensitivity of care. </w:t>
      </w:r>
      <w:r w:rsidR="00414CC9" w:rsidRPr="009E5C08">
        <w:rPr>
          <w:rFonts w:ascii="Times New Roman" w:eastAsia="Calibri" w:hAnsi="Times New Roman" w:cs="Times New Roman"/>
          <w:sz w:val="24"/>
          <w:szCs w:val="24"/>
        </w:rPr>
        <w:t xml:space="preserve">Providers must also partner with one another. Such partnerships can have synergistic impacts on learning when various practitioners share insights regarding the child. </w:t>
      </w:r>
    </w:p>
    <w:p w14:paraId="7B5417AA"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6FD05C39" w14:textId="5131B75C" w:rsidR="184BB0D5" w:rsidRPr="009E5C08" w:rsidRDefault="184BB0D5"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 xml:space="preserve">Consider maternal </w:t>
      </w:r>
      <w:r w:rsidR="28C775A1" w:rsidRPr="009E5C08">
        <w:rPr>
          <w:rFonts w:ascii="Times New Roman" w:eastAsia="Calibri" w:hAnsi="Times New Roman" w:cs="Times New Roman"/>
          <w:color w:val="0070C0"/>
          <w:sz w:val="24"/>
          <w:szCs w:val="24"/>
        </w:rPr>
        <w:t>factors</w:t>
      </w:r>
      <w:r w:rsidRPr="009E5C08">
        <w:rPr>
          <w:rFonts w:ascii="Times New Roman" w:eastAsia="Calibri" w:hAnsi="Times New Roman" w:cs="Times New Roman"/>
          <w:color w:val="0070C0"/>
          <w:sz w:val="24"/>
          <w:szCs w:val="24"/>
        </w:rPr>
        <w:t xml:space="preserve"> that could impact development and what support</w:t>
      </w:r>
      <w:r w:rsidR="2B5F962F" w:rsidRPr="009E5C08">
        <w:rPr>
          <w:rFonts w:ascii="Times New Roman" w:eastAsia="Calibri" w:hAnsi="Times New Roman" w:cs="Times New Roman"/>
          <w:color w:val="0070C0"/>
          <w:sz w:val="24"/>
          <w:szCs w:val="24"/>
        </w:rPr>
        <w:t xml:space="preserve"> could be offered</w:t>
      </w:r>
    </w:p>
    <w:p w14:paraId="0E13EFC5" w14:textId="25968712" w:rsidR="177A46B3" w:rsidRDefault="00414CC9"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first factor that could affect development is maternal age. Children who are born to underage mothers are at higher risk of prematurity and low birth weight which may, in turn, adversely impact physical and even cognitive development. These mothers are also at risk of being less able to handle the physical and psychological strains that come with pregnancy and child care which may cause child neglect further negatively affecting child development. For these mothers, </w:t>
      </w:r>
      <w:r w:rsidR="00E54A6C" w:rsidRPr="009E5C08">
        <w:rPr>
          <w:rFonts w:ascii="Times New Roman" w:eastAsia="Calibri" w:hAnsi="Times New Roman" w:cs="Times New Roman"/>
          <w:sz w:val="24"/>
          <w:szCs w:val="24"/>
        </w:rPr>
        <w:t xml:space="preserve">additional support such as medical psychosocial support is essential to support both mother and child. </w:t>
      </w:r>
    </w:p>
    <w:p w14:paraId="37DC62CC" w14:textId="23AFCAD1" w:rsidR="00C712BB" w:rsidRPr="009E5C08" w:rsidRDefault="00C712BB" w:rsidP="009E5C08">
      <w:pPr>
        <w:spacing w:after="0"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lang w:val="en-GB" w:eastAsia="en-GB"/>
        </w:rPr>
        <w:drawing>
          <wp:inline distT="0" distB="0" distL="0" distR="0" wp14:anchorId="6377A14C" wp14:editId="731D0236">
            <wp:extent cx="5334162" cy="3000466"/>
            <wp:effectExtent l="0" t="0" r="0" b="9525"/>
            <wp:docPr id="1411973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8236" cy="3014008"/>
                    </a:xfrm>
                    <a:prstGeom prst="rect">
                      <a:avLst/>
                    </a:prstGeom>
                    <a:noFill/>
                  </pic:spPr>
                </pic:pic>
              </a:graphicData>
            </a:graphic>
          </wp:inline>
        </w:drawing>
      </w:r>
    </w:p>
    <w:p w14:paraId="7070E30F" w14:textId="6DEAB29D" w:rsidR="00A52BFF" w:rsidRDefault="00A52BFF" w:rsidP="009E5C08">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Maternal factors in child/fetal development: </w:t>
      </w:r>
      <w:hyperlink r:id="rId13" w:history="1">
        <w:r w:rsidRPr="004926D4">
          <w:rPr>
            <w:rStyle w:val="Hyperlink"/>
            <w:rFonts w:ascii="Times New Roman" w:eastAsia="Calibri" w:hAnsi="Times New Roman" w:cs="Times New Roman"/>
            <w:sz w:val="24"/>
            <w:szCs w:val="24"/>
          </w:rPr>
          <w:t>https://fastercapital.com/topics/the-impact-of-maternal-health-on-fetal-development.html</w:t>
        </w:r>
      </w:hyperlink>
      <w:r>
        <w:rPr>
          <w:rFonts w:ascii="Times New Roman" w:eastAsia="Calibri" w:hAnsi="Times New Roman" w:cs="Times New Roman"/>
          <w:sz w:val="24"/>
          <w:szCs w:val="24"/>
        </w:rPr>
        <w:t xml:space="preserve"> </w:t>
      </w:r>
    </w:p>
    <w:p w14:paraId="115BCBA3" w14:textId="18899048" w:rsidR="003B4F33" w:rsidRPr="009E5C08" w:rsidRDefault="003B4F33"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In addition to age, maternal illnesses such as hypertension and diabetes may adversely affect child development</w:t>
      </w:r>
      <w:r w:rsidR="0011074B" w:rsidRPr="009E5C08">
        <w:rPr>
          <w:rFonts w:ascii="Times New Roman" w:eastAsia="Calibri" w:hAnsi="Times New Roman" w:cs="Times New Roman"/>
          <w:sz w:val="24"/>
          <w:szCs w:val="24"/>
        </w:rPr>
        <w:t xml:space="preserve"> (Scime et al., 2021).</w:t>
      </w:r>
      <w:r w:rsidRPr="009E5C08">
        <w:rPr>
          <w:rFonts w:ascii="Times New Roman" w:eastAsia="Calibri" w:hAnsi="Times New Roman" w:cs="Times New Roman"/>
          <w:sz w:val="24"/>
          <w:szCs w:val="24"/>
        </w:rPr>
        <w:t xml:space="preserve"> For mothers who are diabetic, there is increased risk of premature and stillbirth. The child may develop jaundice which can adversely affect the developing brain. The child may be born overweight requiring surgical operation. For these mothers, effective, comprehensive antenatal care is critical for optimal outcomes. Similar to diabetes, hypertension during pregnancy increases risk of premature birth and low birth weight which both adversely affect pregnancy outcome and child development. </w:t>
      </w:r>
      <w:r w:rsidR="003D204C" w:rsidRPr="009E5C08">
        <w:rPr>
          <w:rFonts w:ascii="Times New Roman" w:eastAsia="Calibri" w:hAnsi="Times New Roman" w:cs="Times New Roman"/>
          <w:sz w:val="24"/>
          <w:szCs w:val="24"/>
        </w:rPr>
        <w:t xml:space="preserve">Effective control of blood pressure during pregnancy is key to optimal pregnancy outcomes and child development. </w:t>
      </w:r>
    </w:p>
    <w:p w14:paraId="63D98BBB" w14:textId="5262274E" w:rsidR="009A3BFD" w:rsidRPr="009E5C08" w:rsidRDefault="009A3BFD"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In addition to the foregoing, mother’s alcohol use and smoking similarly adversely affect growth and development. Smoking is linked to low birth weight and prematurity</w:t>
      </w:r>
      <w:r w:rsidR="008B3657" w:rsidRPr="009E5C08">
        <w:rPr>
          <w:rFonts w:ascii="Times New Roman" w:eastAsia="Calibri" w:hAnsi="Times New Roman" w:cs="Times New Roman"/>
          <w:sz w:val="24"/>
          <w:szCs w:val="24"/>
        </w:rPr>
        <w:t xml:space="preserve"> (Muglia et al., 2022)</w:t>
      </w:r>
      <w:r w:rsidRPr="009E5C08">
        <w:rPr>
          <w:rFonts w:ascii="Times New Roman" w:eastAsia="Calibri" w:hAnsi="Times New Roman" w:cs="Times New Roman"/>
          <w:sz w:val="24"/>
          <w:szCs w:val="24"/>
        </w:rPr>
        <w:t xml:space="preserve">. Alcohol is associated with several developmental problems. Preventing such problems requires effective and ongoing maternal education and cessation. </w:t>
      </w:r>
      <w:r w:rsidR="003E18C6" w:rsidRPr="009E5C08">
        <w:rPr>
          <w:rFonts w:ascii="Times New Roman" w:eastAsia="Calibri" w:hAnsi="Times New Roman" w:cs="Times New Roman"/>
          <w:sz w:val="24"/>
          <w:szCs w:val="24"/>
        </w:rPr>
        <w:t xml:space="preserve"> Finally, socioeconomic factors such as maternal income may affect child development such as when disadvantaged parents are unable to afford healthy and well-balanced diets for their children. </w:t>
      </w:r>
    </w:p>
    <w:p w14:paraId="40006040"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34BCC0F4" w14:textId="641CCD64"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Challenges</w:t>
      </w:r>
    </w:p>
    <w:p w14:paraId="67A28F1A" w14:textId="10B63C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are the challenges in providing high quality care?</w:t>
      </w:r>
    </w:p>
    <w:p w14:paraId="052A6E26" w14:textId="318AEA48" w:rsidR="177A46B3" w:rsidRPr="009E5C08" w:rsidRDefault="00257467"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first challenge in providing high quality care is </w:t>
      </w:r>
      <w:r w:rsidR="00FC1C53" w:rsidRPr="009E5C08">
        <w:rPr>
          <w:rFonts w:ascii="Times New Roman" w:eastAsia="Calibri" w:hAnsi="Times New Roman" w:cs="Times New Roman"/>
          <w:sz w:val="24"/>
          <w:szCs w:val="24"/>
        </w:rPr>
        <w:t>the cost of such care. For many families in the UK, for instance, the cost of high-quality childcare and education is especially prohibitive. Many families may have to allocate up to 50% of the woman’s annual earnings towards child care</w:t>
      </w:r>
      <w:r w:rsidR="00722F56" w:rsidRPr="009E5C08">
        <w:rPr>
          <w:rFonts w:ascii="Times New Roman" w:eastAsia="Calibri" w:hAnsi="Times New Roman" w:cs="Times New Roman"/>
          <w:sz w:val="24"/>
          <w:szCs w:val="24"/>
        </w:rPr>
        <w:t xml:space="preserve"> (Women’s Budget Group [WBG], 2023).</w:t>
      </w:r>
      <w:r w:rsidR="00FC1C53" w:rsidRPr="009E5C08">
        <w:rPr>
          <w:rFonts w:ascii="Times New Roman" w:eastAsia="Calibri" w:hAnsi="Times New Roman" w:cs="Times New Roman"/>
          <w:sz w:val="24"/>
          <w:szCs w:val="24"/>
        </w:rPr>
        <w:t xml:space="preserve"> For many single parents earning the average wage, the cost of childcare for two young children will generally exceed 15% of the wage. </w:t>
      </w:r>
      <w:r w:rsidR="00CB5C0E" w:rsidRPr="009E5C08">
        <w:rPr>
          <w:rFonts w:ascii="Times New Roman" w:eastAsia="Calibri" w:hAnsi="Times New Roman" w:cs="Times New Roman"/>
          <w:sz w:val="24"/>
          <w:szCs w:val="24"/>
        </w:rPr>
        <w:t>In effect, many may miss out on high-quality childcare</w:t>
      </w:r>
      <w:r w:rsidR="00722F56" w:rsidRPr="009E5C08">
        <w:rPr>
          <w:rFonts w:ascii="Times New Roman" w:eastAsia="Calibri" w:hAnsi="Times New Roman" w:cs="Times New Roman"/>
          <w:sz w:val="24"/>
          <w:szCs w:val="24"/>
        </w:rPr>
        <w:t xml:space="preserve"> (WBG, 2023).</w:t>
      </w:r>
    </w:p>
    <w:p w14:paraId="6C00F5D4" w14:textId="19E0DC04" w:rsidR="00091A8A" w:rsidRPr="009E5C08" w:rsidRDefault="00091A8A"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second challenge to the provision of high-quality care is </w:t>
      </w:r>
      <w:r w:rsidR="00CF2AF6" w:rsidRPr="009E5C08">
        <w:rPr>
          <w:rFonts w:ascii="Times New Roman" w:eastAsia="Calibri" w:hAnsi="Times New Roman" w:cs="Times New Roman"/>
          <w:sz w:val="24"/>
          <w:szCs w:val="24"/>
        </w:rPr>
        <w:t xml:space="preserve">unavailability. </w:t>
      </w:r>
      <w:r w:rsidR="0055522F" w:rsidRPr="009E5C08">
        <w:rPr>
          <w:rFonts w:ascii="Times New Roman" w:eastAsia="Calibri" w:hAnsi="Times New Roman" w:cs="Times New Roman"/>
          <w:sz w:val="24"/>
          <w:szCs w:val="24"/>
        </w:rPr>
        <w:t>In England, for instance, only about half of location authorities report having enough childcare services. For parents with atypical jobs, only about 15% of local author</w:t>
      </w:r>
      <w:r w:rsidR="00B904B9" w:rsidRPr="009E5C08">
        <w:rPr>
          <w:rFonts w:ascii="Times New Roman" w:eastAsia="Calibri" w:hAnsi="Times New Roman" w:cs="Times New Roman"/>
          <w:sz w:val="24"/>
          <w:szCs w:val="24"/>
        </w:rPr>
        <w:t>it</w:t>
      </w:r>
      <w:r w:rsidR="0055522F" w:rsidRPr="009E5C08">
        <w:rPr>
          <w:rFonts w:ascii="Times New Roman" w:eastAsia="Calibri" w:hAnsi="Times New Roman" w:cs="Times New Roman"/>
          <w:sz w:val="24"/>
          <w:szCs w:val="24"/>
        </w:rPr>
        <w:t xml:space="preserve">ies report having sufficient </w:t>
      </w:r>
      <w:r w:rsidR="00B904B9" w:rsidRPr="009E5C08">
        <w:rPr>
          <w:rFonts w:ascii="Times New Roman" w:eastAsia="Calibri" w:hAnsi="Times New Roman" w:cs="Times New Roman"/>
          <w:sz w:val="24"/>
          <w:szCs w:val="24"/>
        </w:rPr>
        <w:t xml:space="preserve">early years </w:t>
      </w:r>
      <w:r w:rsidR="0055522F" w:rsidRPr="009E5C08">
        <w:rPr>
          <w:rFonts w:ascii="Times New Roman" w:eastAsia="Calibri" w:hAnsi="Times New Roman" w:cs="Times New Roman"/>
          <w:sz w:val="24"/>
          <w:szCs w:val="24"/>
        </w:rPr>
        <w:t>services</w:t>
      </w:r>
      <w:r w:rsidR="00722F56" w:rsidRPr="009E5C08">
        <w:rPr>
          <w:rFonts w:ascii="Times New Roman" w:eastAsia="Calibri" w:hAnsi="Times New Roman" w:cs="Times New Roman"/>
          <w:sz w:val="24"/>
          <w:szCs w:val="24"/>
        </w:rPr>
        <w:t xml:space="preserve"> (WBG, 2023)</w:t>
      </w:r>
      <w:r w:rsidR="0055522F" w:rsidRPr="009E5C08">
        <w:rPr>
          <w:rFonts w:ascii="Times New Roman" w:eastAsia="Calibri" w:hAnsi="Times New Roman" w:cs="Times New Roman"/>
          <w:sz w:val="24"/>
          <w:szCs w:val="24"/>
        </w:rPr>
        <w:t>. For children with special needs, the percentage of local author</w:t>
      </w:r>
      <w:r w:rsidR="00B904B9" w:rsidRPr="009E5C08">
        <w:rPr>
          <w:rFonts w:ascii="Times New Roman" w:eastAsia="Calibri" w:hAnsi="Times New Roman" w:cs="Times New Roman"/>
          <w:sz w:val="24"/>
          <w:szCs w:val="24"/>
        </w:rPr>
        <w:t>it</w:t>
      </w:r>
      <w:r w:rsidR="0055522F" w:rsidRPr="009E5C08">
        <w:rPr>
          <w:rFonts w:ascii="Times New Roman" w:eastAsia="Calibri" w:hAnsi="Times New Roman" w:cs="Times New Roman"/>
          <w:sz w:val="24"/>
          <w:szCs w:val="24"/>
        </w:rPr>
        <w:t>i</w:t>
      </w:r>
      <w:r w:rsidR="00B904B9" w:rsidRPr="009E5C08">
        <w:rPr>
          <w:rFonts w:ascii="Times New Roman" w:eastAsia="Calibri" w:hAnsi="Times New Roman" w:cs="Times New Roman"/>
          <w:sz w:val="24"/>
          <w:szCs w:val="24"/>
        </w:rPr>
        <w:t>e</w:t>
      </w:r>
      <w:r w:rsidR="0055522F" w:rsidRPr="009E5C08">
        <w:rPr>
          <w:rFonts w:ascii="Times New Roman" w:eastAsia="Calibri" w:hAnsi="Times New Roman" w:cs="Times New Roman"/>
          <w:sz w:val="24"/>
          <w:szCs w:val="24"/>
        </w:rPr>
        <w:t>s that have childcare available in all areas is estimated at 18%</w:t>
      </w:r>
      <w:r w:rsidR="00722F56" w:rsidRPr="009E5C08">
        <w:rPr>
          <w:rFonts w:ascii="Times New Roman" w:eastAsia="Calibri" w:hAnsi="Times New Roman" w:cs="Times New Roman"/>
          <w:sz w:val="24"/>
          <w:szCs w:val="24"/>
        </w:rPr>
        <w:t xml:space="preserve"> (WBG, 2023)</w:t>
      </w:r>
      <w:r w:rsidR="0055522F" w:rsidRPr="009E5C08">
        <w:rPr>
          <w:rFonts w:ascii="Times New Roman" w:eastAsia="Calibri" w:hAnsi="Times New Roman" w:cs="Times New Roman"/>
          <w:sz w:val="24"/>
          <w:szCs w:val="24"/>
        </w:rPr>
        <w:t xml:space="preserve">. </w:t>
      </w:r>
      <w:r w:rsidR="00364F18" w:rsidRPr="009E5C08">
        <w:rPr>
          <w:rFonts w:ascii="Times New Roman" w:eastAsia="Calibri" w:hAnsi="Times New Roman" w:cs="Times New Roman"/>
          <w:sz w:val="24"/>
          <w:szCs w:val="24"/>
        </w:rPr>
        <w:t>In Wales, up to 92% of parents and carers feel that the cost of childcare including learning services are too high compared to their income level</w:t>
      </w:r>
      <w:r w:rsidR="005A0003" w:rsidRPr="009E5C08">
        <w:rPr>
          <w:rFonts w:ascii="Times New Roman" w:eastAsia="Calibri" w:hAnsi="Times New Roman" w:cs="Times New Roman"/>
          <w:sz w:val="24"/>
          <w:szCs w:val="24"/>
        </w:rPr>
        <w:t xml:space="preserve"> (Turkmen, 2023)</w:t>
      </w:r>
      <w:r w:rsidR="00364F18" w:rsidRPr="009E5C08">
        <w:rPr>
          <w:rFonts w:ascii="Times New Roman" w:eastAsia="Calibri" w:hAnsi="Times New Roman" w:cs="Times New Roman"/>
          <w:sz w:val="24"/>
          <w:szCs w:val="24"/>
        </w:rPr>
        <w:t xml:space="preserve">. </w:t>
      </w:r>
      <w:r w:rsidR="009F3BDD" w:rsidRPr="009E5C08">
        <w:rPr>
          <w:rFonts w:ascii="Times New Roman" w:eastAsia="Calibri" w:hAnsi="Times New Roman" w:cs="Times New Roman"/>
          <w:sz w:val="24"/>
          <w:szCs w:val="24"/>
        </w:rPr>
        <w:t>About 47% of parents and guardians report that they bear the weight of monthly cost of care which ranges between 500 and 1099 euros per month</w:t>
      </w:r>
      <w:r w:rsidR="005A0003" w:rsidRPr="009E5C08">
        <w:rPr>
          <w:rFonts w:ascii="Times New Roman" w:eastAsia="Calibri" w:hAnsi="Times New Roman" w:cs="Times New Roman"/>
          <w:sz w:val="24"/>
          <w:szCs w:val="24"/>
        </w:rPr>
        <w:t xml:space="preserve"> (Turkmen, 2023)</w:t>
      </w:r>
      <w:r w:rsidR="009F3BDD" w:rsidRPr="009E5C08">
        <w:rPr>
          <w:rFonts w:ascii="Times New Roman" w:eastAsia="Calibri" w:hAnsi="Times New Roman" w:cs="Times New Roman"/>
          <w:sz w:val="24"/>
          <w:szCs w:val="24"/>
        </w:rPr>
        <w:t>. A considerable majority of parents report having no surplus income or saving after having paid for childcare</w:t>
      </w:r>
      <w:r w:rsidR="005A0003" w:rsidRPr="009E5C08">
        <w:rPr>
          <w:rFonts w:ascii="Times New Roman" w:eastAsia="Calibri" w:hAnsi="Times New Roman" w:cs="Times New Roman"/>
          <w:sz w:val="24"/>
          <w:szCs w:val="24"/>
        </w:rPr>
        <w:t xml:space="preserve"> (Turkmen, 2023)</w:t>
      </w:r>
      <w:r w:rsidR="009F3BDD" w:rsidRPr="009E5C08">
        <w:rPr>
          <w:rFonts w:ascii="Times New Roman" w:eastAsia="Calibri" w:hAnsi="Times New Roman" w:cs="Times New Roman"/>
          <w:sz w:val="24"/>
          <w:szCs w:val="24"/>
        </w:rPr>
        <w:t xml:space="preserve">. </w:t>
      </w:r>
      <w:r w:rsidR="00834D94" w:rsidRPr="009E5C08">
        <w:rPr>
          <w:rFonts w:ascii="Times New Roman" w:eastAsia="Calibri" w:hAnsi="Times New Roman" w:cs="Times New Roman"/>
          <w:sz w:val="24"/>
          <w:szCs w:val="24"/>
        </w:rPr>
        <w:t>Another 43% of guardians and parents report being unable to cover other critical expenses after paying for childcare</w:t>
      </w:r>
      <w:r w:rsidR="005A0003" w:rsidRPr="009E5C08">
        <w:rPr>
          <w:rFonts w:ascii="Times New Roman" w:eastAsia="Calibri" w:hAnsi="Times New Roman" w:cs="Times New Roman"/>
          <w:sz w:val="24"/>
          <w:szCs w:val="24"/>
        </w:rPr>
        <w:t xml:space="preserve"> (Turkmen, 2023).</w:t>
      </w:r>
    </w:p>
    <w:p w14:paraId="317F177D" w14:textId="6D37A29C" w:rsidR="00D75852" w:rsidRPr="009E5C08" w:rsidRDefault="00D75852"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Another major problem is underfunding of this sector. </w:t>
      </w:r>
      <w:r w:rsidR="004B2AB8" w:rsidRPr="009E5C08">
        <w:rPr>
          <w:rFonts w:ascii="Times New Roman" w:eastAsia="Calibri" w:hAnsi="Times New Roman" w:cs="Times New Roman"/>
          <w:sz w:val="24"/>
          <w:szCs w:val="24"/>
        </w:rPr>
        <w:t>Although the average cost of care is typically about 7.50 Euros an hour, most local authorities will only pay an average of 4.89 euros an hour resulting in considerable deficit</w:t>
      </w:r>
      <w:r w:rsidR="00722F56" w:rsidRPr="009E5C08">
        <w:rPr>
          <w:rFonts w:ascii="Times New Roman" w:eastAsia="Calibri" w:hAnsi="Times New Roman" w:cs="Times New Roman"/>
          <w:sz w:val="24"/>
          <w:szCs w:val="24"/>
        </w:rPr>
        <w:t xml:space="preserve"> (WBG, 2023).</w:t>
      </w:r>
      <w:r w:rsidR="004B2AB8" w:rsidRPr="009E5C08">
        <w:rPr>
          <w:rFonts w:ascii="Times New Roman" w:eastAsia="Calibri" w:hAnsi="Times New Roman" w:cs="Times New Roman"/>
          <w:sz w:val="24"/>
          <w:szCs w:val="24"/>
        </w:rPr>
        <w:t xml:space="preserve"> Underfunding translates to low salaries for many early year practitioners. In the UK, most early year practitioners earn minimum wages </w:t>
      </w:r>
      <w:r w:rsidR="00722F56" w:rsidRPr="009E5C08">
        <w:rPr>
          <w:rFonts w:ascii="Times New Roman" w:eastAsia="Calibri" w:hAnsi="Times New Roman" w:cs="Times New Roman"/>
          <w:sz w:val="24"/>
          <w:szCs w:val="24"/>
        </w:rPr>
        <w:t>resulting</w:t>
      </w:r>
      <w:r w:rsidR="004B2AB8" w:rsidRPr="009E5C08">
        <w:rPr>
          <w:rFonts w:ascii="Times New Roman" w:eastAsia="Calibri" w:hAnsi="Times New Roman" w:cs="Times New Roman"/>
          <w:sz w:val="24"/>
          <w:szCs w:val="24"/>
        </w:rPr>
        <w:t xml:space="preserve"> in high turnover rates and, ultimately, understaffing</w:t>
      </w:r>
      <w:r w:rsidR="00722F56" w:rsidRPr="009E5C08">
        <w:rPr>
          <w:rFonts w:ascii="Times New Roman" w:eastAsia="Calibri" w:hAnsi="Times New Roman" w:cs="Times New Roman"/>
          <w:sz w:val="24"/>
          <w:szCs w:val="24"/>
        </w:rPr>
        <w:t xml:space="preserve"> (WBG, 2023).</w:t>
      </w:r>
      <w:r w:rsidR="004B2AB8" w:rsidRPr="009E5C08">
        <w:rPr>
          <w:rFonts w:ascii="Times New Roman" w:eastAsia="Calibri" w:hAnsi="Times New Roman" w:cs="Times New Roman"/>
          <w:sz w:val="24"/>
          <w:szCs w:val="24"/>
        </w:rPr>
        <w:t xml:space="preserve"> </w:t>
      </w:r>
      <w:r w:rsidR="00434537" w:rsidRPr="009E5C08">
        <w:rPr>
          <w:rFonts w:ascii="Times New Roman" w:eastAsia="Calibri" w:hAnsi="Times New Roman" w:cs="Times New Roman"/>
          <w:sz w:val="24"/>
          <w:szCs w:val="24"/>
        </w:rPr>
        <w:t>In England in 2022, for instance, the mean turnover rates for all school-based and all group-based early year practitioners were 9% and 18% respectively</w:t>
      </w:r>
      <w:r w:rsidR="00722F56" w:rsidRPr="009E5C08">
        <w:rPr>
          <w:rFonts w:ascii="Times New Roman" w:eastAsia="Calibri" w:hAnsi="Times New Roman" w:cs="Times New Roman"/>
          <w:sz w:val="24"/>
          <w:szCs w:val="24"/>
        </w:rPr>
        <w:t xml:space="preserve"> (WBG, 2023).</w:t>
      </w:r>
      <w:r w:rsidR="002C6FB4" w:rsidRPr="009E5C08">
        <w:rPr>
          <w:rFonts w:ascii="Times New Roman" w:eastAsia="Calibri" w:hAnsi="Times New Roman" w:cs="Times New Roman"/>
          <w:sz w:val="24"/>
          <w:szCs w:val="24"/>
        </w:rPr>
        <w:t xml:space="preserve"> </w:t>
      </w:r>
      <w:r w:rsidR="00F82079" w:rsidRPr="009E5C08">
        <w:rPr>
          <w:rFonts w:ascii="Times New Roman" w:eastAsia="Calibri" w:hAnsi="Times New Roman" w:cs="Times New Roman"/>
          <w:sz w:val="24"/>
          <w:szCs w:val="24"/>
        </w:rPr>
        <w:t xml:space="preserve">Low wages also make it difficult for institutions to recruit qualified and competent professionals who may provide high-quality child care services. </w:t>
      </w:r>
      <w:r w:rsidR="002C6FB4" w:rsidRPr="009E5C08">
        <w:rPr>
          <w:rFonts w:ascii="Times New Roman" w:eastAsia="Calibri" w:hAnsi="Times New Roman" w:cs="Times New Roman"/>
          <w:sz w:val="24"/>
          <w:szCs w:val="24"/>
        </w:rPr>
        <w:t xml:space="preserve">High turnover rates and understaffing results in more children per practitioners which reduces the amount of attention and care that may be provided per child. </w:t>
      </w:r>
    </w:p>
    <w:p w14:paraId="6F50C3B4" w14:textId="7D838CE5" w:rsidR="009E5C08" w:rsidRDefault="00B97E7E" w:rsidP="00D77803">
      <w:pPr>
        <w:spacing w:after="0" w:line="360" w:lineRule="auto"/>
        <w:rPr>
          <w:rFonts w:ascii="Times New Roman" w:eastAsia="Calibri" w:hAnsi="Times New Roman" w:cs="Times New Roman"/>
          <w:b/>
          <w:bCs/>
          <w:i/>
          <w:iCs/>
          <w:color w:val="0070C0"/>
          <w:sz w:val="24"/>
          <w:szCs w:val="24"/>
          <w:u w:val="single"/>
        </w:rPr>
      </w:pPr>
      <w:r w:rsidRPr="009E5C08">
        <w:rPr>
          <w:rFonts w:ascii="Times New Roman" w:eastAsia="Calibri" w:hAnsi="Times New Roman" w:cs="Times New Roman"/>
          <w:sz w:val="24"/>
          <w:szCs w:val="24"/>
        </w:rPr>
        <w:t xml:space="preserve">In addition to the foregoing, some institutions may be unable to provide comprehensive and inclusive care for some children. This is especially true for children born to immigrants who may have not grown in households where English or other official languages are spoken. For these children, communication breakdown may persist for sometime until such time as provider and child are otherwise able to communicate in English. Many facilities may not have translation services for these young children. Finally, there exist challenges with infrastructure and technology in some places. Some institutions may be unable to integrate </w:t>
      </w:r>
      <w:r w:rsidR="0066381A" w:rsidRPr="009E5C08">
        <w:rPr>
          <w:rFonts w:ascii="Times New Roman" w:eastAsia="Calibri" w:hAnsi="Times New Roman" w:cs="Times New Roman"/>
          <w:sz w:val="24"/>
          <w:szCs w:val="24"/>
        </w:rPr>
        <w:t xml:space="preserve">certain technologies into their operations. Finally, some parents may not be able or may be otherwise unwilling to actively participate in childcare outside the home detrimentally affecting child achievement. </w:t>
      </w:r>
      <w:r w:rsidR="00D77803" w:rsidRPr="00D77803">
        <w:rPr>
          <w:rFonts w:ascii="Times New Roman" w:eastAsia="Calibri" w:hAnsi="Times New Roman" w:cs="Times New Roman"/>
          <w:b/>
          <w:bCs/>
          <w:i/>
          <w:iCs/>
          <w:noProof/>
          <w:color w:val="0070C0"/>
          <w:sz w:val="24"/>
          <w:szCs w:val="24"/>
          <w:u w:val="single"/>
          <w:lang w:val="en-GB" w:eastAsia="en-GB"/>
        </w:rPr>
        <w:drawing>
          <wp:inline distT="0" distB="0" distL="0" distR="0" wp14:anchorId="5196E73E" wp14:editId="0A030352">
            <wp:extent cx="5943600" cy="2785110"/>
            <wp:effectExtent l="0" t="0" r="0" b="0"/>
            <wp:docPr id="39671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16700" name=""/>
                    <pic:cNvPicPr/>
                  </pic:nvPicPr>
                  <pic:blipFill>
                    <a:blip r:embed="rId14"/>
                    <a:stretch>
                      <a:fillRect/>
                    </a:stretch>
                  </pic:blipFill>
                  <pic:spPr>
                    <a:xfrm>
                      <a:off x="0" y="0"/>
                      <a:ext cx="5943600" cy="2785110"/>
                    </a:xfrm>
                    <a:prstGeom prst="rect">
                      <a:avLst/>
                    </a:prstGeom>
                  </pic:spPr>
                </pic:pic>
              </a:graphicData>
            </a:graphic>
          </wp:inline>
        </w:drawing>
      </w:r>
    </w:p>
    <w:p w14:paraId="1EF77907" w14:textId="79F8D4B3" w:rsidR="00D77803" w:rsidRPr="00D77803" w:rsidRDefault="00D77803" w:rsidP="00D77803">
      <w:pPr>
        <w:spacing w:after="0" w:line="360" w:lineRule="auto"/>
        <w:jc w:val="center"/>
        <w:rPr>
          <w:rFonts w:ascii="Times New Roman" w:eastAsia="Calibri" w:hAnsi="Times New Roman" w:cs="Times New Roman"/>
          <w:sz w:val="24"/>
          <w:szCs w:val="24"/>
        </w:rPr>
      </w:pPr>
      <w:r w:rsidRPr="00D77803">
        <w:rPr>
          <w:rFonts w:ascii="Times New Roman" w:eastAsia="Calibri" w:hAnsi="Times New Roman" w:cs="Times New Roman"/>
          <w:sz w:val="24"/>
          <w:szCs w:val="24"/>
        </w:rPr>
        <w:t xml:space="preserve">Examples of challenges to provision of high-quality care. </w:t>
      </w:r>
      <w:hyperlink r:id="rId15" w:history="1">
        <w:r w:rsidRPr="00D77803">
          <w:rPr>
            <w:rStyle w:val="Hyperlink"/>
            <w:rFonts w:ascii="Times New Roman" w:eastAsia="Calibri" w:hAnsi="Times New Roman" w:cs="Times New Roman"/>
            <w:color w:val="auto"/>
            <w:sz w:val="24"/>
            <w:szCs w:val="24"/>
            <w:u w:val="none"/>
          </w:rPr>
          <w:t>https://fastercapital.com/content/Child-care-quality--The-Role-of-Licensing-and-Accreditation-in-Ensuring-Child-Care-Quality.html</w:t>
        </w:r>
      </w:hyperlink>
      <w:r>
        <w:rPr>
          <w:rFonts w:ascii="Times New Roman" w:eastAsia="Calibri" w:hAnsi="Times New Roman" w:cs="Times New Roman"/>
          <w:sz w:val="24"/>
          <w:szCs w:val="24"/>
        </w:rPr>
        <w:t xml:space="preserve"> </w:t>
      </w:r>
    </w:p>
    <w:p w14:paraId="2342308F" w14:textId="3AC126BA"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Activities</w:t>
      </w:r>
    </w:p>
    <w:p w14:paraId="5E418B9E" w14:textId="58A386E2"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lang w:val="it-IT"/>
        </w:rPr>
      </w:pPr>
      <w:r w:rsidRPr="009E5C08">
        <w:rPr>
          <w:rFonts w:ascii="Times New Roman" w:eastAsia="Calibri" w:hAnsi="Times New Roman" w:cs="Times New Roman"/>
          <w:color w:val="0070C0"/>
          <w:sz w:val="24"/>
          <w:szCs w:val="24"/>
          <w:lang w:val="it-IT"/>
        </w:rPr>
        <w:t>-E.g. Loose parts</w:t>
      </w:r>
    </w:p>
    <w:p w14:paraId="1B9AF4C9" w14:textId="0862786A" w:rsidR="007A387C" w:rsidRDefault="00F57204" w:rsidP="009E5C08">
      <w:pPr>
        <w:pStyle w:val="ListParagraph"/>
        <w:spacing w:after="0" w:line="360" w:lineRule="auto"/>
        <w:ind w:left="0"/>
        <w:rPr>
          <w:rFonts w:ascii="Times New Roman" w:eastAsia="Calibri" w:hAnsi="Times New Roman" w:cs="Times New Roman"/>
          <w:sz w:val="24"/>
          <w:szCs w:val="24"/>
          <w:lang w:val="it-IT"/>
        </w:rPr>
      </w:pPr>
      <w:r w:rsidRPr="009E5C08">
        <w:rPr>
          <w:rFonts w:ascii="Times New Roman" w:eastAsia="Calibri" w:hAnsi="Times New Roman" w:cs="Times New Roman"/>
          <w:sz w:val="24"/>
          <w:szCs w:val="24"/>
          <w:lang w:val="it-IT"/>
        </w:rPr>
        <w:t xml:space="preserve">Loose parts </w:t>
      </w:r>
      <w:r w:rsidR="003B1CAC" w:rsidRPr="009E5C08">
        <w:rPr>
          <w:rFonts w:ascii="Times New Roman" w:eastAsia="Calibri" w:hAnsi="Times New Roman" w:cs="Times New Roman"/>
          <w:sz w:val="24"/>
          <w:szCs w:val="24"/>
          <w:lang w:val="it-IT"/>
        </w:rPr>
        <w:t xml:space="preserve">play </w:t>
      </w:r>
      <w:r w:rsidRPr="009E5C08">
        <w:rPr>
          <w:rFonts w:ascii="Times New Roman" w:eastAsia="Calibri" w:hAnsi="Times New Roman" w:cs="Times New Roman"/>
          <w:sz w:val="24"/>
          <w:szCs w:val="24"/>
          <w:lang w:val="it-IT"/>
        </w:rPr>
        <w:t xml:space="preserve">refer to a group of </w:t>
      </w:r>
      <w:r w:rsidR="003B1CAC" w:rsidRPr="009E5C08">
        <w:rPr>
          <w:rFonts w:ascii="Times New Roman" w:eastAsia="Calibri" w:hAnsi="Times New Roman" w:cs="Times New Roman"/>
          <w:sz w:val="24"/>
          <w:szCs w:val="24"/>
          <w:lang w:val="it-IT"/>
        </w:rPr>
        <w:t xml:space="preserve">play and learning activities that make use of synthetic or natural materials which may be moved, redesigned, combined or used alone or in multiple ways. These objects may be manupulated or otherwise moved by children in any manner of their liking providing opportunities for endless explorationa nd creativit during playtime. </w:t>
      </w:r>
      <w:r w:rsidR="007A384C" w:rsidRPr="009E5C08">
        <w:rPr>
          <w:rFonts w:ascii="Times New Roman" w:eastAsia="Calibri" w:hAnsi="Times New Roman" w:cs="Times New Roman"/>
          <w:sz w:val="24"/>
          <w:szCs w:val="24"/>
          <w:lang w:val="it-IT"/>
        </w:rPr>
        <w:t>This approach to play was described by Simon Nicholson who emphasized the idea that children will naturally seek to manipulate loose or open-ended materials during play. This type of play activity is investigative in nature</w:t>
      </w:r>
      <w:r w:rsidR="00B94949" w:rsidRPr="009E5C08">
        <w:rPr>
          <w:rFonts w:ascii="Times New Roman" w:eastAsia="Calibri" w:hAnsi="Times New Roman" w:cs="Times New Roman"/>
          <w:sz w:val="24"/>
          <w:szCs w:val="24"/>
          <w:lang w:val="it-IT"/>
        </w:rPr>
        <w:t xml:space="preserve"> allowing children to develop problem-solving and critical thinking skills. Some of the most commonly available</w:t>
      </w:r>
      <w:r w:rsidR="00983C63" w:rsidRPr="009E5C08">
        <w:rPr>
          <w:rFonts w:ascii="Times New Roman" w:eastAsia="Calibri" w:hAnsi="Times New Roman" w:cs="Times New Roman"/>
          <w:sz w:val="24"/>
          <w:szCs w:val="24"/>
          <w:lang w:val="it-IT"/>
        </w:rPr>
        <w:t xml:space="preserve"> small</w:t>
      </w:r>
      <w:r w:rsidR="00B94949" w:rsidRPr="009E5C08">
        <w:rPr>
          <w:rFonts w:ascii="Times New Roman" w:eastAsia="Calibri" w:hAnsi="Times New Roman" w:cs="Times New Roman"/>
          <w:sz w:val="24"/>
          <w:szCs w:val="24"/>
          <w:lang w:val="it-IT"/>
        </w:rPr>
        <w:t xml:space="preserve"> loose parts include buttons and beads, straws, bottle caps, marbles and corks. Other including clothespins, leaves, flowers, sticks, dice, shels and feathers. </w:t>
      </w:r>
      <w:r w:rsidR="00983C63" w:rsidRPr="009E5C08">
        <w:rPr>
          <w:rFonts w:ascii="Times New Roman" w:eastAsia="Calibri" w:hAnsi="Times New Roman" w:cs="Times New Roman"/>
          <w:sz w:val="24"/>
          <w:szCs w:val="24"/>
          <w:lang w:val="it-IT"/>
        </w:rPr>
        <w:t>There are also large loose parts. Among others, buckets, baskets, wooden blocks, balls, plastic bottles, branches, tin cans, cups</w:t>
      </w:r>
      <w:r w:rsidR="00D77803">
        <w:rPr>
          <w:rFonts w:ascii="Times New Roman" w:eastAsia="Calibri" w:hAnsi="Times New Roman" w:cs="Times New Roman"/>
          <w:sz w:val="24"/>
          <w:szCs w:val="24"/>
          <w:lang w:val="it-IT"/>
        </w:rPr>
        <w:t>,</w:t>
      </w:r>
      <w:r w:rsidR="00983C63" w:rsidRPr="009E5C08">
        <w:rPr>
          <w:rFonts w:ascii="Times New Roman" w:eastAsia="Calibri" w:hAnsi="Times New Roman" w:cs="Times New Roman"/>
          <w:sz w:val="24"/>
          <w:szCs w:val="24"/>
          <w:lang w:val="it-IT"/>
        </w:rPr>
        <w:t xml:space="preserve"> and jars are commonly available. </w:t>
      </w:r>
      <w:r w:rsidR="00F16ED3" w:rsidRPr="009E5C08">
        <w:rPr>
          <w:rFonts w:ascii="Times New Roman" w:eastAsia="Calibri" w:hAnsi="Times New Roman" w:cs="Times New Roman"/>
          <w:sz w:val="24"/>
          <w:szCs w:val="24"/>
          <w:lang w:val="it-IT"/>
        </w:rPr>
        <w:t xml:space="preserve">Recycled materials such as plastic bottles and cardboard boxes may be used to build towers. </w:t>
      </w:r>
      <w:r w:rsidR="00CA1DEB" w:rsidRPr="009E5C08">
        <w:rPr>
          <w:rFonts w:ascii="Times New Roman" w:eastAsia="Calibri" w:hAnsi="Times New Roman" w:cs="Times New Roman"/>
          <w:sz w:val="24"/>
          <w:szCs w:val="24"/>
          <w:lang w:val="it-IT"/>
        </w:rPr>
        <w:t>C</w:t>
      </w:r>
      <w:r w:rsidR="00D77803">
        <w:rPr>
          <w:rFonts w:ascii="Times New Roman" w:eastAsia="Calibri" w:hAnsi="Times New Roman" w:cs="Times New Roman"/>
          <w:sz w:val="24"/>
          <w:szCs w:val="24"/>
          <w:lang w:val="it-IT"/>
        </w:rPr>
        <w:t>h</w:t>
      </w:r>
      <w:r w:rsidR="00CA1DEB" w:rsidRPr="009E5C08">
        <w:rPr>
          <w:rFonts w:ascii="Times New Roman" w:eastAsia="Calibri" w:hAnsi="Times New Roman" w:cs="Times New Roman"/>
          <w:sz w:val="24"/>
          <w:szCs w:val="24"/>
          <w:lang w:val="it-IT"/>
        </w:rPr>
        <w:t xml:space="preserve">ildren may gather different leaves that may be used to create paintings with different colors and shapes. </w:t>
      </w:r>
      <w:r w:rsidR="003C13A2" w:rsidRPr="009E5C08">
        <w:rPr>
          <w:rFonts w:ascii="Times New Roman" w:eastAsia="Calibri" w:hAnsi="Times New Roman" w:cs="Times New Roman"/>
          <w:sz w:val="24"/>
          <w:szCs w:val="24"/>
          <w:lang w:val="it-IT"/>
        </w:rPr>
        <w:t>Children may deep leaves in different shapes into paint and then press those le</w:t>
      </w:r>
      <w:r w:rsidR="00D77803">
        <w:rPr>
          <w:rFonts w:ascii="Times New Roman" w:eastAsia="Calibri" w:hAnsi="Times New Roman" w:cs="Times New Roman"/>
          <w:sz w:val="24"/>
          <w:szCs w:val="24"/>
          <w:lang w:val="it-IT"/>
        </w:rPr>
        <w:t>ave</w:t>
      </w:r>
      <w:r w:rsidR="003C13A2" w:rsidRPr="009E5C08">
        <w:rPr>
          <w:rFonts w:ascii="Times New Roman" w:eastAsia="Calibri" w:hAnsi="Times New Roman" w:cs="Times New Roman"/>
          <w:sz w:val="24"/>
          <w:szCs w:val="24"/>
          <w:lang w:val="it-IT"/>
        </w:rPr>
        <w:t xml:space="preserve">s onto white paper. Sorting objects into sizes allows children to develop not just fine motor skills but also cognitive abilities. </w:t>
      </w:r>
      <w:r w:rsidR="00D16411" w:rsidRPr="009E5C08">
        <w:rPr>
          <w:rFonts w:ascii="Times New Roman" w:eastAsia="Calibri" w:hAnsi="Times New Roman" w:cs="Times New Roman"/>
          <w:sz w:val="24"/>
          <w:szCs w:val="24"/>
          <w:lang w:val="it-IT"/>
        </w:rPr>
        <w:t xml:space="preserve">Children may be asked to group objects based on their shapes. This allows children to </w:t>
      </w:r>
      <w:r w:rsidR="00566432" w:rsidRPr="009E5C08">
        <w:rPr>
          <w:rFonts w:ascii="Times New Roman" w:eastAsia="Calibri" w:hAnsi="Times New Roman" w:cs="Times New Roman"/>
          <w:sz w:val="24"/>
          <w:szCs w:val="24"/>
          <w:lang w:val="it-IT"/>
        </w:rPr>
        <w:t>explore different 3D shapes</w:t>
      </w:r>
      <w:r w:rsidR="00D77803">
        <w:rPr>
          <w:rFonts w:ascii="Times New Roman" w:eastAsia="Calibri" w:hAnsi="Times New Roman" w:cs="Times New Roman"/>
          <w:sz w:val="24"/>
          <w:szCs w:val="24"/>
          <w:lang w:val="it-IT"/>
        </w:rPr>
        <w:t xml:space="preserve"> </w:t>
      </w:r>
      <w:r w:rsidR="00566432" w:rsidRPr="009E5C08">
        <w:rPr>
          <w:rFonts w:ascii="Times New Roman" w:eastAsia="Calibri" w:hAnsi="Times New Roman" w:cs="Times New Roman"/>
          <w:sz w:val="24"/>
          <w:szCs w:val="24"/>
          <w:lang w:val="it-IT"/>
        </w:rPr>
        <w:t xml:space="preserve">and develop spatial skills. </w:t>
      </w:r>
    </w:p>
    <w:p w14:paraId="6D193D06" w14:textId="6C81DF72" w:rsidR="003D09BD" w:rsidRDefault="003D09BD" w:rsidP="009E5C08">
      <w:pPr>
        <w:pStyle w:val="ListParagraph"/>
        <w:spacing w:after="0" w:line="360" w:lineRule="auto"/>
        <w:ind w:left="0"/>
        <w:rPr>
          <w:rFonts w:ascii="Times New Roman" w:eastAsia="Calibri" w:hAnsi="Times New Roman" w:cs="Times New Roman"/>
          <w:sz w:val="24"/>
          <w:szCs w:val="24"/>
          <w:lang w:val="it-IT"/>
        </w:rPr>
      </w:pPr>
      <w:r>
        <w:rPr>
          <w:noProof/>
          <w:lang w:val="en-GB" w:eastAsia="en-GB"/>
        </w:rPr>
        <w:drawing>
          <wp:inline distT="0" distB="0" distL="0" distR="0" wp14:anchorId="68E3BF08" wp14:editId="59F62A7E">
            <wp:extent cx="5943600" cy="6241415"/>
            <wp:effectExtent l="0" t="0" r="0" b="6985"/>
            <wp:docPr id="1564503843" name="Picture 2" descr="Loose Parts Play — My Teaching Cup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ose Parts Play — My Teaching Cupboar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241415"/>
                    </a:xfrm>
                    <a:prstGeom prst="rect">
                      <a:avLst/>
                    </a:prstGeom>
                    <a:noFill/>
                    <a:ln>
                      <a:noFill/>
                    </a:ln>
                  </pic:spPr>
                </pic:pic>
              </a:graphicData>
            </a:graphic>
          </wp:inline>
        </w:drawing>
      </w:r>
    </w:p>
    <w:p w14:paraId="62FDDE74" w14:textId="30A42066" w:rsidR="003D09BD" w:rsidRPr="009E5C08" w:rsidRDefault="003D09BD" w:rsidP="003D09BD">
      <w:pPr>
        <w:pStyle w:val="ListParagraph"/>
        <w:spacing w:after="0" w:line="360" w:lineRule="auto"/>
        <w:ind w:left="0"/>
        <w:jc w:val="center"/>
        <w:rPr>
          <w:rFonts w:ascii="Times New Roman" w:eastAsia="Calibri" w:hAnsi="Times New Roman" w:cs="Times New Roman"/>
          <w:sz w:val="24"/>
          <w:szCs w:val="24"/>
          <w:lang w:val="it-IT"/>
        </w:rPr>
      </w:pPr>
      <w:r>
        <w:rPr>
          <w:rFonts w:ascii="Times New Roman" w:eastAsia="Calibri" w:hAnsi="Times New Roman" w:cs="Times New Roman"/>
          <w:sz w:val="24"/>
          <w:szCs w:val="24"/>
          <w:lang w:val="it-IT"/>
        </w:rPr>
        <w:t xml:space="preserve">Examples of items that may be used for loose parts play. </w:t>
      </w:r>
      <w:hyperlink r:id="rId17" w:history="1">
        <w:r w:rsidRPr="004926D4">
          <w:rPr>
            <w:rStyle w:val="Hyperlink"/>
            <w:rFonts w:ascii="Times New Roman" w:eastAsia="Calibri" w:hAnsi="Times New Roman" w:cs="Times New Roman"/>
            <w:sz w:val="24"/>
            <w:szCs w:val="24"/>
            <w:lang w:val="it-IT"/>
          </w:rPr>
          <w:t>https://www.myteachingcupboard.com/blog/loose-parts-play</w:t>
        </w:r>
      </w:hyperlink>
    </w:p>
    <w:p w14:paraId="6A8F0DEF"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4D65675D" w14:textId="0870CDAD"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are the benefits; Does the activity provide ‘Meaningful learning’</w:t>
      </w:r>
    </w:p>
    <w:p w14:paraId="37E3AD3A" w14:textId="35232D65" w:rsidR="00D341F1" w:rsidRPr="009E5C08" w:rsidRDefault="00D341F1"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Loose parts play provides meaningful learning in several ways. </w:t>
      </w:r>
      <w:r w:rsidR="00AA3727" w:rsidRPr="009E5C08">
        <w:rPr>
          <w:rFonts w:ascii="Times New Roman" w:eastAsia="Calibri" w:hAnsi="Times New Roman" w:cs="Times New Roman"/>
          <w:sz w:val="24"/>
          <w:szCs w:val="24"/>
        </w:rPr>
        <w:t xml:space="preserve">This type of play allows children to reuse, assign different meanings and purposes for play items, rethink and redesign play items (Neill, 2018). Loose parts play offers the child endless opportunities for learning by moving, subtracting and reusing </w:t>
      </w:r>
      <w:r w:rsidR="000F7CEF" w:rsidRPr="009E5C08">
        <w:rPr>
          <w:rFonts w:ascii="Times New Roman" w:eastAsia="Calibri" w:hAnsi="Times New Roman" w:cs="Times New Roman"/>
          <w:sz w:val="24"/>
          <w:szCs w:val="24"/>
        </w:rPr>
        <w:t xml:space="preserve">items. </w:t>
      </w:r>
      <w:r w:rsidR="00576709" w:rsidRPr="009E5C08">
        <w:rPr>
          <w:rFonts w:ascii="Times New Roman" w:eastAsia="Calibri" w:hAnsi="Times New Roman" w:cs="Times New Roman"/>
          <w:sz w:val="24"/>
          <w:szCs w:val="24"/>
        </w:rPr>
        <w:t xml:space="preserve">This type of play has been cited to enhance divergent and creative thinking (Smith-Gilman, 2018). </w:t>
      </w:r>
      <w:r w:rsidR="00296507" w:rsidRPr="009E5C08">
        <w:rPr>
          <w:rFonts w:ascii="Times New Roman" w:eastAsia="Calibri" w:hAnsi="Times New Roman" w:cs="Times New Roman"/>
          <w:sz w:val="24"/>
          <w:szCs w:val="24"/>
        </w:rPr>
        <w:t>The play is open-ended helping the child to develop advanced critical and problem-solving skills</w:t>
      </w:r>
      <w:r w:rsidR="0050388D" w:rsidRPr="009E5C08">
        <w:rPr>
          <w:rFonts w:ascii="Times New Roman" w:eastAsia="Calibri" w:hAnsi="Times New Roman" w:cs="Times New Roman"/>
          <w:sz w:val="24"/>
          <w:szCs w:val="24"/>
        </w:rPr>
        <w:t xml:space="preserve"> by allowing children to manipulate and experiment with different objects, shapes and sizes. </w:t>
      </w:r>
      <w:r w:rsidR="003B7162" w:rsidRPr="009E5C08">
        <w:rPr>
          <w:rFonts w:ascii="Times New Roman" w:eastAsia="Calibri" w:hAnsi="Times New Roman" w:cs="Times New Roman"/>
          <w:sz w:val="24"/>
          <w:szCs w:val="24"/>
        </w:rPr>
        <w:t xml:space="preserve">These activities allow children to learn more about how the world works. The child is able to explore different possible solutions to a problem. </w:t>
      </w:r>
      <w:r w:rsidR="00AB7406" w:rsidRPr="009E5C08">
        <w:rPr>
          <w:rFonts w:ascii="Times New Roman" w:eastAsia="Calibri" w:hAnsi="Times New Roman" w:cs="Times New Roman"/>
          <w:sz w:val="24"/>
          <w:szCs w:val="24"/>
        </w:rPr>
        <w:t xml:space="preserve">This way, the child is able to learn more about how their world works. By manipulating objects, children are able to develop their motor skills as well as strengthen coordination skills. </w:t>
      </w:r>
    </w:p>
    <w:p w14:paraId="149CE0E3" w14:textId="530FED67" w:rsidR="00805F25" w:rsidRPr="009E5C08" w:rsidRDefault="00805F25"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In addition to supporting motor and cognitive skills, loose part play also encourages independence and creativity. </w:t>
      </w:r>
      <w:r w:rsidR="00B768F8" w:rsidRPr="009E5C08">
        <w:rPr>
          <w:rFonts w:ascii="Times New Roman" w:eastAsia="Calibri" w:hAnsi="Times New Roman" w:cs="Times New Roman"/>
          <w:sz w:val="24"/>
          <w:szCs w:val="24"/>
        </w:rPr>
        <w:t xml:space="preserve">The child is presented with various materials and objects which they may use howsoever they decide. This provides the child a chance to apply their imagination to different tasks and, therefore, to be creative. </w:t>
      </w:r>
      <w:r w:rsidR="00E935D3" w:rsidRPr="009E5C08">
        <w:rPr>
          <w:rFonts w:ascii="Times New Roman" w:eastAsia="Calibri" w:hAnsi="Times New Roman" w:cs="Times New Roman"/>
          <w:sz w:val="24"/>
          <w:szCs w:val="24"/>
        </w:rPr>
        <w:t xml:space="preserve">This type of play provides children a chance to express their own ideas, set their own rules, create and find solutions to problems. </w:t>
      </w:r>
      <w:r w:rsidR="007565AC" w:rsidRPr="009E5C08">
        <w:rPr>
          <w:rFonts w:ascii="Times New Roman" w:eastAsia="Calibri" w:hAnsi="Times New Roman" w:cs="Times New Roman"/>
          <w:sz w:val="24"/>
          <w:szCs w:val="24"/>
        </w:rPr>
        <w:t>Children are also able to gain a sense of self-control and independence which may improve self-efficacy and esteem.</w:t>
      </w:r>
      <w:r w:rsidR="00FE35B2" w:rsidRPr="009E5C08">
        <w:rPr>
          <w:rFonts w:ascii="Times New Roman" w:eastAsia="Calibri" w:hAnsi="Times New Roman" w:cs="Times New Roman"/>
          <w:sz w:val="24"/>
          <w:szCs w:val="24"/>
        </w:rPr>
        <w:t xml:space="preserve"> Since it broadly incorporates elements from nature and environment, loose parts play can deepen connection with nature. </w:t>
      </w:r>
    </w:p>
    <w:p w14:paraId="2FFFD6AA" w14:textId="77777777" w:rsidR="009E5C08" w:rsidRDefault="009E5C08">
      <w:pPr>
        <w:rPr>
          <w:rFonts w:ascii="Times New Roman" w:eastAsia="Calibri" w:hAnsi="Times New Roman" w:cs="Times New Roman"/>
          <w:b/>
          <w:bCs/>
          <w:color w:val="0070C0"/>
          <w:sz w:val="24"/>
          <w:szCs w:val="24"/>
        </w:rPr>
      </w:pPr>
      <w:r>
        <w:rPr>
          <w:rFonts w:ascii="Times New Roman" w:eastAsia="Calibri" w:hAnsi="Times New Roman" w:cs="Times New Roman"/>
          <w:b/>
          <w:bCs/>
          <w:color w:val="0070C0"/>
          <w:sz w:val="24"/>
          <w:szCs w:val="24"/>
        </w:rPr>
        <w:br w:type="page"/>
      </w:r>
    </w:p>
    <w:p w14:paraId="7BAF7222" w14:textId="0D166A7C"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color w:val="0070C0"/>
          <w:sz w:val="24"/>
          <w:szCs w:val="24"/>
        </w:rPr>
        <w:t>International approa</w:t>
      </w:r>
      <w:r w:rsidR="00AF6A8D" w:rsidRPr="009E5C08">
        <w:rPr>
          <w:rFonts w:ascii="Times New Roman" w:eastAsia="Calibri" w:hAnsi="Times New Roman" w:cs="Times New Roman"/>
          <w:b/>
          <w:bCs/>
          <w:color w:val="0070C0"/>
          <w:sz w:val="24"/>
          <w:szCs w:val="24"/>
        </w:rPr>
        <w:t>ches</w:t>
      </w:r>
    </w:p>
    <w:p w14:paraId="0FDA11EB" w14:textId="051F4F51" w:rsidR="0025338B" w:rsidRDefault="0025338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Regarding their approaches to activities including loose part play, Forest School and Reggio Emilio share several similarities. </w:t>
      </w:r>
      <w:r w:rsidR="00CF132D" w:rsidRPr="009E5C08">
        <w:rPr>
          <w:rFonts w:ascii="Times New Roman" w:eastAsia="Calibri" w:hAnsi="Times New Roman" w:cs="Times New Roman"/>
          <w:sz w:val="24"/>
          <w:szCs w:val="24"/>
        </w:rPr>
        <w:t>Both schools incorporate loose part play into their curricula in an attempt to encourage creativity and exploration among their learners.</w:t>
      </w:r>
      <w:r w:rsidR="00003A48" w:rsidRPr="009E5C08">
        <w:rPr>
          <w:rFonts w:ascii="Times New Roman" w:eastAsia="Calibri" w:hAnsi="Times New Roman" w:cs="Times New Roman"/>
          <w:sz w:val="24"/>
          <w:szCs w:val="24"/>
        </w:rPr>
        <w:t xml:space="preserve"> However, these schools differ in their philosophies and principles. First and perhaps most importantly, Forest school believes in learning which takes place in </w:t>
      </w:r>
      <w:r w:rsidR="00F74A9D" w:rsidRPr="009E5C08">
        <w:rPr>
          <w:rFonts w:ascii="Times New Roman" w:eastAsia="Calibri" w:hAnsi="Times New Roman" w:cs="Times New Roman"/>
          <w:sz w:val="24"/>
          <w:szCs w:val="24"/>
        </w:rPr>
        <w:t>woodland or other natural environments. This process is extended, regular and not one-off</w:t>
      </w:r>
      <w:r w:rsidR="007F447E" w:rsidRPr="009E5C08">
        <w:rPr>
          <w:rFonts w:ascii="Times New Roman" w:eastAsia="Calibri" w:hAnsi="Times New Roman" w:cs="Times New Roman"/>
          <w:sz w:val="24"/>
          <w:szCs w:val="24"/>
        </w:rPr>
        <w:t xml:space="preserve"> (Muir, 2024)</w:t>
      </w:r>
      <w:r w:rsidR="00F74A9D" w:rsidRPr="009E5C08">
        <w:rPr>
          <w:rFonts w:ascii="Times New Roman" w:eastAsia="Calibri" w:hAnsi="Times New Roman" w:cs="Times New Roman"/>
          <w:sz w:val="24"/>
          <w:szCs w:val="24"/>
        </w:rPr>
        <w:t xml:space="preserve">. </w:t>
      </w:r>
      <w:r w:rsidR="00500DA6" w:rsidRPr="009E5C08">
        <w:rPr>
          <w:rFonts w:ascii="Times New Roman" w:eastAsia="Calibri" w:hAnsi="Times New Roman" w:cs="Times New Roman"/>
          <w:sz w:val="24"/>
          <w:szCs w:val="24"/>
        </w:rPr>
        <w:t>This is based on the idea that learning within more natural environments</w:t>
      </w:r>
      <w:r w:rsidR="00D6628C" w:rsidRPr="009E5C08">
        <w:rPr>
          <w:rFonts w:ascii="Times New Roman" w:eastAsia="Calibri" w:hAnsi="Times New Roman" w:cs="Times New Roman"/>
          <w:sz w:val="24"/>
          <w:szCs w:val="24"/>
        </w:rPr>
        <w:t xml:space="preserve"> allows children to develop a relationship with the natural world. </w:t>
      </w:r>
      <w:r w:rsidR="009E6F59" w:rsidRPr="009E5C08">
        <w:rPr>
          <w:rFonts w:ascii="Times New Roman" w:eastAsia="Calibri" w:hAnsi="Times New Roman" w:cs="Times New Roman"/>
          <w:sz w:val="24"/>
          <w:szCs w:val="24"/>
        </w:rPr>
        <w:t xml:space="preserve">In this setting, children </w:t>
      </w:r>
      <w:r w:rsidR="00752709" w:rsidRPr="009E5C08">
        <w:rPr>
          <w:rFonts w:ascii="Times New Roman" w:eastAsia="Calibri" w:hAnsi="Times New Roman" w:cs="Times New Roman"/>
          <w:sz w:val="24"/>
          <w:szCs w:val="24"/>
        </w:rPr>
        <w:t>may take risks</w:t>
      </w:r>
      <w:r w:rsidR="0093490F" w:rsidRPr="009E5C08">
        <w:rPr>
          <w:rFonts w:ascii="Times New Roman" w:eastAsia="Calibri" w:hAnsi="Times New Roman" w:cs="Times New Roman"/>
          <w:sz w:val="24"/>
          <w:szCs w:val="24"/>
        </w:rPr>
        <w:t xml:space="preserve"> that are otherwise appropriate to the environment. </w:t>
      </w:r>
      <w:r w:rsidR="00610117" w:rsidRPr="009E5C08">
        <w:rPr>
          <w:rFonts w:ascii="Times New Roman" w:eastAsia="Calibri" w:hAnsi="Times New Roman" w:cs="Times New Roman"/>
          <w:sz w:val="24"/>
          <w:szCs w:val="24"/>
        </w:rPr>
        <w:t xml:space="preserve">Forest school does not require formal curricula and considers learning as a </w:t>
      </w:r>
      <w:r w:rsidR="002B37AA" w:rsidRPr="009E5C08">
        <w:rPr>
          <w:rFonts w:ascii="Times New Roman" w:eastAsia="Calibri" w:hAnsi="Times New Roman" w:cs="Times New Roman"/>
          <w:sz w:val="24"/>
          <w:szCs w:val="24"/>
        </w:rPr>
        <w:t>cooperative</w:t>
      </w:r>
      <w:r w:rsidR="00610117" w:rsidRPr="009E5C08">
        <w:rPr>
          <w:rFonts w:ascii="Times New Roman" w:eastAsia="Calibri" w:hAnsi="Times New Roman" w:cs="Times New Roman"/>
          <w:sz w:val="24"/>
          <w:szCs w:val="24"/>
        </w:rPr>
        <w:t xml:space="preserve"> process between learner and practitioner</w:t>
      </w:r>
      <w:r w:rsidR="007F447E" w:rsidRPr="009E5C08">
        <w:rPr>
          <w:rFonts w:ascii="Times New Roman" w:eastAsia="Calibri" w:hAnsi="Times New Roman" w:cs="Times New Roman"/>
          <w:sz w:val="24"/>
          <w:szCs w:val="24"/>
        </w:rPr>
        <w:t xml:space="preserve"> (Muir, 2024)</w:t>
      </w:r>
      <w:r w:rsidR="00610117" w:rsidRPr="009E5C08">
        <w:rPr>
          <w:rFonts w:ascii="Times New Roman" w:eastAsia="Calibri" w:hAnsi="Times New Roman" w:cs="Times New Roman"/>
          <w:sz w:val="24"/>
          <w:szCs w:val="24"/>
        </w:rPr>
        <w:t xml:space="preserve">. </w:t>
      </w:r>
      <w:r w:rsidR="0073756B" w:rsidRPr="009E5C08">
        <w:rPr>
          <w:rFonts w:ascii="Times New Roman" w:eastAsia="Calibri" w:hAnsi="Times New Roman" w:cs="Times New Roman"/>
          <w:sz w:val="24"/>
          <w:szCs w:val="24"/>
        </w:rPr>
        <w:t>In this manner, children are encouraged to learn more freely without specific predetermined outcomes</w:t>
      </w:r>
      <w:r w:rsidR="007F447E" w:rsidRPr="009E5C08">
        <w:rPr>
          <w:rFonts w:ascii="Times New Roman" w:eastAsia="Calibri" w:hAnsi="Times New Roman" w:cs="Times New Roman"/>
          <w:sz w:val="24"/>
          <w:szCs w:val="24"/>
        </w:rPr>
        <w:t xml:space="preserve"> (Muir, 2024).</w:t>
      </w:r>
      <w:r w:rsidR="0073756B" w:rsidRPr="009E5C08">
        <w:rPr>
          <w:rFonts w:ascii="Times New Roman" w:eastAsia="Calibri" w:hAnsi="Times New Roman" w:cs="Times New Roman"/>
          <w:sz w:val="24"/>
          <w:szCs w:val="24"/>
        </w:rPr>
        <w:t xml:space="preserve"> </w:t>
      </w:r>
      <w:r w:rsidR="0024700E" w:rsidRPr="009E5C08">
        <w:rPr>
          <w:rFonts w:ascii="Times New Roman" w:eastAsia="Calibri" w:hAnsi="Times New Roman" w:cs="Times New Roman"/>
          <w:sz w:val="24"/>
          <w:szCs w:val="24"/>
        </w:rPr>
        <w:t xml:space="preserve">On the other hand, for learners in Regio Emilia schools, loose part and other forms of learning will generally take place indoors. Children play and learn </w:t>
      </w:r>
      <w:r w:rsidR="00CB37AA" w:rsidRPr="009E5C08">
        <w:rPr>
          <w:rFonts w:ascii="Times New Roman" w:eastAsia="Calibri" w:hAnsi="Times New Roman" w:cs="Times New Roman"/>
          <w:sz w:val="24"/>
          <w:szCs w:val="24"/>
        </w:rPr>
        <w:t xml:space="preserve">in art studios and similar indoor environments rather than outdoors. </w:t>
      </w:r>
      <w:r w:rsidR="00C85C38" w:rsidRPr="009E5C08">
        <w:rPr>
          <w:rFonts w:ascii="Times New Roman" w:eastAsia="Calibri" w:hAnsi="Times New Roman" w:cs="Times New Roman"/>
          <w:sz w:val="24"/>
          <w:szCs w:val="24"/>
        </w:rPr>
        <w:t xml:space="preserve">Regio Emilia makes use of spaces and open-ended materials in order to encourage collaboration and creativity. </w:t>
      </w:r>
      <w:r w:rsidR="008D661D" w:rsidRPr="009E5C08">
        <w:rPr>
          <w:rFonts w:ascii="Times New Roman" w:eastAsia="Calibri" w:hAnsi="Times New Roman" w:cs="Times New Roman"/>
          <w:sz w:val="24"/>
          <w:szCs w:val="24"/>
        </w:rPr>
        <w:t xml:space="preserve">Between these two schools, Regio Emilia tends to focus more on community involvement and artistic expression whereas Forest schools encourage </w:t>
      </w:r>
      <w:r w:rsidR="00FD6AC8" w:rsidRPr="009E5C08">
        <w:rPr>
          <w:rFonts w:ascii="Times New Roman" w:eastAsia="Calibri" w:hAnsi="Times New Roman" w:cs="Times New Roman"/>
          <w:sz w:val="24"/>
          <w:szCs w:val="24"/>
        </w:rPr>
        <w:t xml:space="preserve">learning through problem-solving and learner risk-management. </w:t>
      </w:r>
      <w:r w:rsidR="00497FBB" w:rsidRPr="009E5C08">
        <w:rPr>
          <w:rFonts w:ascii="Times New Roman" w:eastAsia="Calibri" w:hAnsi="Times New Roman" w:cs="Times New Roman"/>
          <w:sz w:val="24"/>
          <w:szCs w:val="24"/>
        </w:rPr>
        <w:t xml:space="preserve">For the latter, there are formal curricula with specific predetermined goals that children and practitioners work to attain. </w:t>
      </w:r>
    </w:p>
    <w:p w14:paraId="5D7F6A5E" w14:textId="7C5B31EB" w:rsidR="00C712BB" w:rsidRDefault="00C712BB" w:rsidP="009E5C08">
      <w:pPr>
        <w:pStyle w:val="ListParagraph"/>
        <w:spacing w:after="0" w:line="360" w:lineRule="auto"/>
        <w:ind w:left="0"/>
        <w:rPr>
          <w:rFonts w:ascii="Times New Roman" w:eastAsia="Calibri" w:hAnsi="Times New Roman" w:cs="Times New Roman"/>
          <w:sz w:val="24"/>
          <w:szCs w:val="24"/>
        </w:rPr>
      </w:pPr>
      <w:r>
        <w:rPr>
          <w:noProof/>
          <w:lang w:val="en-GB" w:eastAsia="en-GB"/>
        </w:rPr>
        <w:drawing>
          <wp:inline distT="0" distB="0" distL="0" distR="0" wp14:anchorId="144A096B" wp14:editId="3AEABAE4">
            <wp:extent cx="5943600" cy="3963670"/>
            <wp:effectExtent l="0" t="0" r="0" b="0"/>
            <wp:docPr id="435698891" name="Picture 7" descr="Our Approach - Little Forest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r Approach - Little Forest School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963670"/>
                    </a:xfrm>
                    <a:prstGeom prst="rect">
                      <a:avLst/>
                    </a:prstGeom>
                    <a:noFill/>
                    <a:ln>
                      <a:noFill/>
                    </a:ln>
                  </pic:spPr>
                </pic:pic>
              </a:graphicData>
            </a:graphic>
          </wp:inline>
        </w:drawing>
      </w:r>
    </w:p>
    <w:p w14:paraId="156C766C" w14:textId="4A1DF06D" w:rsidR="00C712BB" w:rsidRPr="009E5C08" w:rsidRDefault="00C712BB" w:rsidP="009E5C08">
      <w:pPr>
        <w:pStyle w:val="ListParagraph"/>
        <w:spacing w:after="0" w:line="360" w:lineRule="auto"/>
        <w:ind w:left="0"/>
        <w:rPr>
          <w:rFonts w:ascii="Times New Roman" w:eastAsia="Calibri" w:hAnsi="Times New Roman" w:cs="Times New Roman"/>
          <w:sz w:val="24"/>
          <w:szCs w:val="24"/>
        </w:rPr>
      </w:pPr>
      <w:r>
        <w:rPr>
          <w:rFonts w:ascii="Times New Roman" w:eastAsia="Calibri" w:hAnsi="Times New Roman" w:cs="Times New Roman"/>
          <w:sz w:val="24"/>
          <w:szCs w:val="24"/>
        </w:rPr>
        <w:t xml:space="preserve">Forest School; Children learning in nature. </w:t>
      </w:r>
      <w:hyperlink r:id="rId19" w:history="1">
        <w:r w:rsidRPr="004926D4">
          <w:rPr>
            <w:rStyle w:val="Hyperlink"/>
            <w:rFonts w:ascii="Times New Roman" w:eastAsia="Calibri" w:hAnsi="Times New Roman" w:cs="Times New Roman"/>
            <w:sz w:val="24"/>
            <w:szCs w:val="24"/>
          </w:rPr>
          <w:t>https://littleforestschools.com/our-approach/</w:t>
        </w:r>
      </w:hyperlink>
      <w:r>
        <w:rPr>
          <w:rFonts w:ascii="Times New Roman" w:eastAsia="Calibri" w:hAnsi="Times New Roman" w:cs="Times New Roman"/>
          <w:sz w:val="24"/>
          <w:szCs w:val="24"/>
        </w:rPr>
        <w:t xml:space="preserve"> </w:t>
      </w:r>
    </w:p>
    <w:p w14:paraId="230716EA" w14:textId="4C8498D9" w:rsidR="177A46B3" w:rsidRPr="009E5C08" w:rsidRDefault="177A46B3" w:rsidP="009E5C08">
      <w:pPr>
        <w:spacing w:after="0" w:line="360" w:lineRule="auto"/>
        <w:rPr>
          <w:rFonts w:ascii="Times New Roman" w:eastAsia="Calibri" w:hAnsi="Times New Roman" w:cs="Times New Roman"/>
          <w:color w:val="000000" w:themeColor="text1"/>
          <w:sz w:val="24"/>
          <w:szCs w:val="24"/>
        </w:rPr>
      </w:pPr>
    </w:p>
    <w:p w14:paraId="76FD695F" w14:textId="77777777" w:rsidR="00930BEB" w:rsidRPr="009E5C08" w:rsidRDefault="00930BEB" w:rsidP="009E5C08">
      <w:pPr>
        <w:spacing w:line="360" w:lineRule="auto"/>
        <w:rPr>
          <w:rFonts w:ascii="Times New Roman" w:hAnsi="Times New Roman" w:cs="Times New Roman"/>
          <w:sz w:val="24"/>
          <w:szCs w:val="24"/>
        </w:rPr>
      </w:pPr>
    </w:p>
    <w:p w14:paraId="49739AAA" w14:textId="77777777" w:rsidR="007071E3" w:rsidRPr="009E5C08" w:rsidRDefault="007071E3" w:rsidP="009E5C08">
      <w:pPr>
        <w:spacing w:line="360" w:lineRule="auto"/>
        <w:rPr>
          <w:rFonts w:ascii="Times New Roman" w:hAnsi="Times New Roman" w:cs="Times New Roman"/>
        </w:rPr>
      </w:pPr>
    </w:p>
    <w:p w14:paraId="5EB8805F" w14:textId="77777777" w:rsidR="009E5C08" w:rsidRDefault="009E5C08">
      <w:pPr>
        <w:rPr>
          <w:rFonts w:ascii="Times New Roman" w:hAnsi="Times New Roman" w:cs="Times New Roman"/>
          <w:b/>
          <w:bCs/>
        </w:rPr>
      </w:pPr>
      <w:r>
        <w:rPr>
          <w:rFonts w:ascii="Times New Roman" w:hAnsi="Times New Roman" w:cs="Times New Roman"/>
          <w:b/>
          <w:bCs/>
        </w:rPr>
        <w:br w:type="page"/>
      </w:r>
    </w:p>
    <w:p w14:paraId="1DA06262" w14:textId="04DAF368" w:rsidR="00930BEB" w:rsidRPr="009E5C08" w:rsidRDefault="005A0003" w:rsidP="009E5C08">
      <w:pPr>
        <w:spacing w:line="360" w:lineRule="auto"/>
        <w:rPr>
          <w:rFonts w:ascii="Times New Roman" w:hAnsi="Times New Roman" w:cs="Times New Roman"/>
          <w:b/>
          <w:bCs/>
        </w:rPr>
      </w:pPr>
      <w:r w:rsidRPr="009E5C08">
        <w:rPr>
          <w:rFonts w:ascii="Times New Roman" w:hAnsi="Times New Roman" w:cs="Times New Roman"/>
          <w:b/>
          <w:bCs/>
        </w:rPr>
        <w:t>References</w:t>
      </w:r>
    </w:p>
    <w:p w14:paraId="3469BA40" w14:textId="77777777" w:rsidR="009E5C08" w:rsidRPr="009E5C08" w:rsidRDefault="009E5C08" w:rsidP="009E5C08">
      <w:pPr>
        <w:spacing w:line="360" w:lineRule="auto"/>
        <w:ind w:left="720" w:hanging="72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Nebraska Extension. (2021). </w:t>
      </w:r>
      <w:r w:rsidRPr="009E5C08">
        <w:rPr>
          <w:rFonts w:ascii="Times New Roman" w:eastAsia="Calibri" w:hAnsi="Times New Roman" w:cs="Times New Roman"/>
          <w:i/>
          <w:iCs/>
          <w:sz w:val="24"/>
          <w:szCs w:val="24"/>
        </w:rPr>
        <w:t>Family-Childcare Partnerships in Early Childhood.</w:t>
      </w:r>
      <w:r w:rsidRPr="009E5C08">
        <w:rPr>
          <w:rFonts w:ascii="Times New Roman" w:eastAsia="Calibri" w:hAnsi="Times New Roman" w:cs="Times New Roman"/>
          <w:sz w:val="24"/>
          <w:szCs w:val="24"/>
        </w:rPr>
        <w:t xml:space="preserve">  </w:t>
      </w:r>
      <w:hyperlink r:id="rId20" w:history="1">
        <w:r w:rsidRPr="009E5C08">
          <w:rPr>
            <w:rStyle w:val="Hyperlink"/>
            <w:rFonts w:ascii="Times New Roman" w:eastAsia="Calibri" w:hAnsi="Times New Roman" w:cs="Times New Roman"/>
            <w:sz w:val="24"/>
            <w:szCs w:val="24"/>
          </w:rPr>
          <w:t>https://extensionpubs.unl.edu/publication/g2334/2021/pdf/view/g2334-2021.pdf</w:t>
        </w:r>
      </w:hyperlink>
      <w:r w:rsidRPr="009E5C08">
        <w:rPr>
          <w:rFonts w:ascii="Times New Roman" w:eastAsia="Calibri" w:hAnsi="Times New Roman" w:cs="Times New Roman"/>
          <w:sz w:val="24"/>
          <w:szCs w:val="24"/>
        </w:rPr>
        <w:t xml:space="preserve"> </w:t>
      </w:r>
    </w:p>
    <w:p w14:paraId="571AF680" w14:textId="77777777" w:rsidR="009E5C08" w:rsidRPr="009E5C08" w:rsidRDefault="009E5C08" w:rsidP="009E5C08">
      <w:pPr>
        <w:spacing w:line="360" w:lineRule="auto"/>
        <w:ind w:left="720" w:hanging="72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Institute for Apprenticeships &amp; Technical Education. (2024). Early year practitioner. </w:t>
      </w:r>
      <w:hyperlink r:id="rId21" w:history="1">
        <w:r w:rsidRPr="009E5C08">
          <w:rPr>
            <w:rStyle w:val="Hyperlink"/>
            <w:rFonts w:ascii="Times New Roman" w:eastAsia="Calibri" w:hAnsi="Times New Roman" w:cs="Times New Roman"/>
            <w:sz w:val="24"/>
            <w:szCs w:val="24"/>
          </w:rPr>
          <w:t>https://www.eyalliance.org.uk/sites/default/files/early_years_practitioner_institute_for_apprenticeships_and_technical_education.pdf</w:t>
        </w:r>
      </w:hyperlink>
      <w:r w:rsidRPr="009E5C08">
        <w:rPr>
          <w:rFonts w:ascii="Times New Roman" w:eastAsia="Calibri" w:hAnsi="Times New Roman" w:cs="Times New Roman"/>
          <w:sz w:val="24"/>
          <w:szCs w:val="24"/>
        </w:rPr>
        <w:t xml:space="preserve"> </w:t>
      </w:r>
    </w:p>
    <w:p w14:paraId="406F70C1" w14:textId="77777777" w:rsidR="009E5C08" w:rsidRPr="007A387C"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WBG (2023). E</w:t>
      </w:r>
      <w:r w:rsidRPr="009E5C08">
        <w:rPr>
          <w:rFonts w:ascii="Times New Roman" w:hAnsi="Times New Roman" w:cs="Times New Roman"/>
          <w:i/>
          <w:iCs/>
        </w:rPr>
        <w:t xml:space="preserve">arly education and childcare in the UK and beyond | 1 briefing key challenges for early education and childcare in the </w:t>
      </w:r>
      <w:r w:rsidRPr="007A387C">
        <w:rPr>
          <w:rFonts w:ascii="Times New Roman" w:hAnsi="Times New Roman" w:cs="Times New Roman"/>
          <w:i/>
          <w:iCs/>
        </w:rPr>
        <w:t>UK</w:t>
      </w:r>
      <w:r w:rsidRPr="007A387C">
        <w:rPr>
          <w:rFonts w:ascii="Times New Roman" w:hAnsi="Times New Roman" w:cs="Times New Roman"/>
        </w:rPr>
        <w:t xml:space="preserve">. </w:t>
      </w:r>
      <w:hyperlink r:id="rId22" w:history="1">
        <w:r w:rsidRPr="007A387C">
          <w:rPr>
            <w:rStyle w:val="Hyperlink"/>
            <w:rFonts w:ascii="Times New Roman" w:hAnsi="Times New Roman" w:cs="Times New Roman"/>
          </w:rPr>
          <w:t>https://wbg.org.uk/wp-content/uploads/2023/09/FINAL-Key-UK-challenges-EEC-3-updated.pdf</w:t>
        </w:r>
      </w:hyperlink>
      <w:r w:rsidRPr="009E5C08">
        <w:rPr>
          <w:rFonts w:ascii="Times New Roman" w:hAnsi="Times New Roman" w:cs="Times New Roman"/>
        </w:rPr>
        <w:t xml:space="preserve"> </w:t>
      </w:r>
    </w:p>
    <w:p w14:paraId="0E45774E"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Turkmen, H. (2023). Little Steps, Big Struggles: Childcare in Wales, Cardiff: Oxfam Cymru/Make Care Fair Coalition.  </w:t>
      </w:r>
      <w:hyperlink r:id="rId23" w:history="1">
        <w:r w:rsidRPr="009E5C08">
          <w:rPr>
            <w:rStyle w:val="Hyperlink"/>
            <w:rFonts w:ascii="Times New Roman" w:hAnsi="Times New Roman" w:cs="Times New Roman"/>
          </w:rPr>
          <w:t>https://oxfamapps.org/cymru/wp-content/uploads/2023/11/Litle-Steps-Big-Struggles.pdf</w:t>
        </w:r>
      </w:hyperlink>
      <w:r w:rsidRPr="009E5C08">
        <w:rPr>
          <w:rFonts w:ascii="Times New Roman" w:hAnsi="Times New Roman" w:cs="Times New Roman"/>
        </w:rPr>
        <w:t xml:space="preserve"> </w:t>
      </w:r>
    </w:p>
    <w:p w14:paraId="19FEA0FD"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Griggs, S., &amp; Rollo, G. (2023). </w:t>
      </w:r>
      <w:r w:rsidRPr="00FE5C99">
        <w:rPr>
          <w:rFonts w:ascii="Times New Roman" w:hAnsi="Times New Roman" w:cs="Times New Roman"/>
        </w:rPr>
        <w:t xml:space="preserve">Partnerships in Early Childhood Education: Engaging Families in Professional Conversations. </w:t>
      </w:r>
      <w:hyperlink r:id="rId24" w:history="1">
        <w:r w:rsidRPr="00FE5C99">
          <w:rPr>
            <w:rStyle w:val="Hyperlink"/>
            <w:rFonts w:ascii="Times New Roman" w:hAnsi="Times New Roman" w:cs="Times New Roman"/>
          </w:rPr>
          <w:t>https://doi.org/10.37517/978-1-74286-715-1-12</w:t>
        </w:r>
      </w:hyperlink>
      <w:r w:rsidRPr="009E5C08">
        <w:rPr>
          <w:rFonts w:ascii="Times New Roman" w:hAnsi="Times New Roman" w:cs="Times New Roman"/>
        </w:rPr>
        <w:t xml:space="preserve"> </w:t>
      </w:r>
    </w:p>
    <w:p w14:paraId="5872BF7C"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Badham J. (2013). Ensuring optimal breastfeeding and improvements in complementary feeding to improve infant and young child nutrition in developing countries. </w:t>
      </w:r>
      <w:r w:rsidRPr="009E5C08">
        <w:rPr>
          <w:rFonts w:ascii="Times New Roman" w:hAnsi="Times New Roman" w:cs="Times New Roman"/>
          <w:i/>
          <w:iCs/>
        </w:rPr>
        <w:t>Maternal &amp; child nutrition</w:t>
      </w:r>
      <w:r w:rsidRPr="009E5C08">
        <w:rPr>
          <w:rFonts w:ascii="Times New Roman" w:hAnsi="Times New Roman" w:cs="Times New Roman"/>
        </w:rPr>
        <w:t>, </w:t>
      </w:r>
      <w:r w:rsidRPr="009E5C08">
        <w:rPr>
          <w:rFonts w:ascii="Times New Roman" w:hAnsi="Times New Roman" w:cs="Times New Roman"/>
          <w:i/>
          <w:iCs/>
        </w:rPr>
        <w:t>9 Suppl 1</w:t>
      </w:r>
      <w:r w:rsidRPr="009E5C08">
        <w:rPr>
          <w:rFonts w:ascii="Times New Roman" w:hAnsi="Times New Roman" w:cs="Times New Roman"/>
        </w:rPr>
        <w:t xml:space="preserve">(Suppl 1), 1–5. </w:t>
      </w:r>
      <w:hyperlink r:id="rId25" w:history="1">
        <w:r w:rsidRPr="009E5C08">
          <w:rPr>
            <w:rStyle w:val="Hyperlink"/>
            <w:rFonts w:ascii="Times New Roman" w:hAnsi="Times New Roman" w:cs="Times New Roman"/>
          </w:rPr>
          <w:t>https://doi.org/10.1111/mcn.12003</w:t>
        </w:r>
      </w:hyperlink>
      <w:r w:rsidRPr="009E5C08">
        <w:rPr>
          <w:rFonts w:ascii="Times New Roman" w:hAnsi="Times New Roman" w:cs="Times New Roman"/>
        </w:rPr>
        <w:t xml:space="preserve"> </w:t>
      </w:r>
    </w:p>
    <w:p w14:paraId="4528CD04" w14:textId="77777777" w:rsidR="009E5C08" w:rsidRPr="009E5C08" w:rsidRDefault="009E5C08" w:rsidP="009E5C08">
      <w:pPr>
        <w:spacing w:line="360" w:lineRule="auto"/>
        <w:ind w:left="720" w:hanging="720"/>
        <w:rPr>
          <w:rFonts w:ascii="Times New Roman" w:hAnsi="Times New Roman" w:cs="Times New Roman"/>
        </w:rPr>
      </w:pPr>
      <w:r w:rsidRPr="00836320">
        <w:rPr>
          <w:rFonts w:ascii="Times New Roman" w:hAnsi="Times New Roman" w:cs="Times New Roman"/>
        </w:rPr>
        <w:t>Indrio, F., Pietrobelli, A., Dargenio, V. N., Marchese, F., Grillo, A., Vural, M., Giardino, I., &amp; Pettoello-Mantovani, M. (2023). The key 1000 life-changing days. </w:t>
      </w:r>
      <w:r w:rsidRPr="00836320">
        <w:rPr>
          <w:rFonts w:ascii="Times New Roman" w:hAnsi="Times New Roman" w:cs="Times New Roman"/>
          <w:i/>
          <w:iCs/>
        </w:rPr>
        <w:t>Global Pediatrics</w:t>
      </w:r>
      <w:r w:rsidRPr="00836320">
        <w:rPr>
          <w:rFonts w:ascii="Times New Roman" w:hAnsi="Times New Roman" w:cs="Times New Roman"/>
        </w:rPr>
        <w:t>, </w:t>
      </w:r>
      <w:r w:rsidRPr="00836320">
        <w:rPr>
          <w:rFonts w:ascii="Times New Roman" w:hAnsi="Times New Roman" w:cs="Times New Roman"/>
          <w:i/>
          <w:iCs/>
        </w:rPr>
        <w:t>4</w:t>
      </w:r>
      <w:r w:rsidRPr="00836320">
        <w:rPr>
          <w:rFonts w:ascii="Times New Roman" w:hAnsi="Times New Roman" w:cs="Times New Roman"/>
        </w:rPr>
        <w:t xml:space="preserve">, 100049. </w:t>
      </w:r>
      <w:hyperlink r:id="rId26" w:history="1">
        <w:r w:rsidRPr="00836320">
          <w:rPr>
            <w:rStyle w:val="Hyperlink"/>
            <w:rFonts w:ascii="Times New Roman" w:hAnsi="Times New Roman" w:cs="Times New Roman"/>
          </w:rPr>
          <w:t>https://doi.org/10.1016/j.gpeds.2023.100049</w:t>
        </w:r>
      </w:hyperlink>
      <w:r w:rsidRPr="009E5C08">
        <w:rPr>
          <w:rFonts w:ascii="Times New Roman" w:hAnsi="Times New Roman" w:cs="Times New Roman"/>
        </w:rPr>
        <w:t xml:space="preserve"> </w:t>
      </w:r>
    </w:p>
    <w:p w14:paraId="494DEB8B"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Likhar, A., &amp; Patil, M. S. (2022). Importance of Maternal Nutrition in the First 1,000 Days of Life and Its Effects on Child Development: A Narrative Review. </w:t>
      </w:r>
      <w:r w:rsidRPr="009E5C08">
        <w:rPr>
          <w:rFonts w:ascii="Times New Roman" w:hAnsi="Times New Roman" w:cs="Times New Roman"/>
          <w:i/>
          <w:iCs/>
        </w:rPr>
        <w:t>Cureus</w:t>
      </w:r>
      <w:r w:rsidRPr="009E5C08">
        <w:rPr>
          <w:rFonts w:ascii="Times New Roman" w:hAnsi="Times New Roman" w:cs="Times New Roman"/>
        </w:rPr>
        <w:t>, </w:t>
      </w:r>
      <w:r w:rsidRPr="009E5C08">
        <w:rPr>
          <w:rFonts w:ascii="Times New Roman" w:hAnsi="Times New Roman" w:cs="Times New Roman"/>
          <w:i/>
          <w:iCs/>
        </w:rPr>
        <w:t>14</w:t>
      </w:r>
      <w:r w:rsidRPr="009E5C08">
        <w:rPr>
          <w:rFonts w:ascii="Times New Roman" w:hAnsi="Times New Roman" w:cs="Times New Roman"/>
        </w:rPr>
        <w:t xml:space="preserve">(10), e30083. </w:t>
      </w:r>
      <w:hyperlink r:id="rId27" w:history="1">
        <w:r w:rsidRPr="009E5C08">
          <w:rPr>
            <w:rStyle w:val="Hyperlink"/>
            <w:rFonts w:ascii="Times New Roman" w:hAnsi="Times New Roman" w:cs="Times New Roman"/>
          </w:rPr>
          <w:t>https://doi.org/10.7759/cureus.30083</w:t>
        </w:r>
      </w:hyperlink>
      <w:r w:rsidRPr="009E5C08">
        <w:rPr>
          <w:rFonts w:ascii="Times New Roman" w:hAnsi="Times New Roman" w:cs="Times New Roman"/>
        </w:rPr>
        <w:t xml:space="preserve"> </w:t>
      </w:r>
    </w:p>
    <w:p w14:paraId="4D520C36" w14:textId="77777777" w:rsidR="009E5C08" w:rsidRPr="009E5C08" w:rsidRDefault="009E5C08" w:rsidP="009E5C08">
      <w:pPr>
        <w:spacing w:line="360" w:lineRule="auto"/>
        <w:ind w:left="720" w:hanging="720"/>
        <w:rPr>
          <w:rFonts w:ascii="Times New Roman" w:hAnsi="Times New Roman" w:cs="Times New Roman"/>
        </w:rPr>
      </w:pPr>
      <w:r w:rsidRPr="00707BA5">
        <w:rPr>
          <w:rFonts w:ascii="Times New Roman" w:hAnsi="Times New Roman" w:cs="Times New Roman"/>
          <w:i/>
          <w:iCs/>
        </w:rPr>
        <w:t>Neocare Health</w:t>
      </w:r>
      <w:r w:rsidRPr="00707BA5">
        <w:rPr>
          <w:rFonts w:ascii="Times New Roman" w:hAnsi="Times New Roman" w:cs="Times New Roman"/>
        </w:rPr>
        <w:t xml:space="preserve">. (2024). Neocarehealth.com.au. </w:t>
      </w:r>
      <w:hyperlink r:id="rId28" w:history="1">
        <w:r w:rsidRPr="00707BA5">
          <w:rPr>
            <w:rStyle w:val="Hyperlink"/>
            <w:rFonts w:ascii="Times New Roman" w:hAnsi="Times New Roman" w:cs="Times New Roman"/>
          </w:rPr>
          <w:t>https://www.neocarehealth.com.au</w:t>
        </w:r>
      </w:hyperlink>
      <w:r w:rsidRPr="009E5C08">
        <w:rPr>
          <w:rFonts w:ascii="Times New Roman" w:hAnsi="Times New Roman" w:cs="Times New Roman"/>
        </w:rPr>
        <w:t xml:space="preserve"> </w:t>
      </w:r>
    </w:p>
    <w:p w14:paraId="5FAB4FDA"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Muglia, L. J., Benhalima, K., Tong, S., &amp; Ozanne, S. (2022). Maternal factors during pregnancy influencing maternal, fetal, and childhood outcomes. </w:t>
      </w:r>
      <w:r w:rsidRPr="009E5C08">
        <w:rPr>
          <w:rFonts w:ascii="Times New Roman" w:hAnsi="Times New Roman" w:cs="Times New Roman"/>
          <w:i/>
          <w:iCs/>
        </w:rPr>
        <w:t>BMC medicine</w:t>
      </w:r>
      <w:r w:rsidRPr="009E5C08">
        <w:rPr>
          <w:rFonts w:ascii="Times New Roman" w:hAnsi="Times New Roman" w:cs="Times New Roman"/>
        </w:rPr>
        <w:t>, </w:t>
      </w:r>
      <w:r w:rsidRPr="009E5C08">
        <w:rPr>
          <w:rFonts w:ascii="Times New Roman" w:hAnsi="Times New Roman" w:cs="Times New Roman"/>
          <w:i/>
          <w:iCs/>
        </w:rPr>
        <w:t>20</w:t>
      </w:r>
      <w:r w:rsidRPr="009E5C08">
        <w:rPr>
          <w:rFonts w:ascii="Times New Roman" w:hAnsi="Times New Roman" w:cs="Times New Roman"/>
        </w:rPr>
        <w:t xml:space="preserve">(1), 418. </w:t>
      </w:r>
      <w:hyperlink r:id="rId29" w:history="1">
        <w:r w:rsidRPr="009E5C08">
          <w:rPr>
            <w:rStyle w:val="Hyperlink"/>
            <w:rFonts w:ascii="Times New Roman" w:hAnsi="Times New Roman" w:cs="Times New Roman"/>
          </w:rPr>
          <w:t>https://doi.org/10.1186/s12916-022-02632-6</w:t>
        </w:r>
      </w:hyperlink>
      <w:r w:rsidRPr="009E5C08">
        <w:rPr>
          <w:rFonts w:ascii="Times New Roman" w:hAnsi="Times New Roman" w:cs="Times New Roman"/>
        </w:rPr>
        <w:t xml:space="preserve"> </w:t>
      </w:r>
    </w:p>
    <w:p w14:paraId="4A234F09"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Scime, N. V., Hetherington, E., Tomfohr-Madsen, L., Nettel-Aguirre, A., Chaput, K. H., &amp; Tough, S. C. (2021). Hypertensive disorders in pregnancy and child development at 36 months in the All Our Families prospective cohort study. </w:t>
      </w:r>
      <w:r w:rsidRPr="009E5C08">
        <w:rPr>
          <w:rFonts w:ascii="Times New Roman" w:hAnsi="Times New Roman" w:cs="Times New Roman"/>
          <w:i/>
          <w:iCs/>
        </w:rPr>
        <w:t>PloS One</w:t>
      </w:r>
      <w:r w:rsidRPr="009E5C08">
        <w:rPr>
          <w:rFonts w:ascii="Times New Roman" w:hAnsi="Times New Roman" w:cs="Times New Roman"/>
        </w:rPr>
        <w:t>, </w:t>
      </w:r>
      <w:r w:rsidRPr="009E5C08">
        <w:rPr>
          <w:rFonts w:ascii="Times New Roman" w:hAnsi="Times New Roman" w:cs="Times New Roman"/>
          <w:i/>
          <w:iCs/>
        </w:rPr>
        <w:t>16</w:t>
      </w:r>
      <w:r w:rsidRPr="009E5C08">
        <w:rPr>
          <w:rFonts w:ascii="Times New Roman" w:hAnsi="Times New Roman" w:cs="Times New Roman"/>
        </w:rPr>
        <w:t xml:space="preserve">(12), e0260590. </w:t>
      </w:r>
      <w:hyperlink r:id="rId30" w:history="1">
        <w:r w:rsidRPr="009E5C08">
          <w:rPr>
            <w:rStyle w:val="Hyperlink"/>
            <w:rFonts w:ascii="Times New Roman" w:hAnsi="Times New Roman" w:cs="Times New Roman"/>
          </w:rPr>
          <w:t>https://doi.org/10.1371/journal.pone.0260590</w:t>
        </w:r>
      </w:hyperlink>
      <w:r w:rsidRPr="009E5C08">
        <w:rPr>
          <w:rFonts w:ascii="Times New Roman" w:hAnsi="Times New Roman" w:cs="Times New Roman"/>
        </w:rPr>
        <w:t xml:space="preserve"> </w:t>
      </w:r>
    </w:p>
    <w:p w14:paraId="479BFB3D"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Neill, J. (2018). </w:t>
      </w:r>
      <w:r w:rsidRPr="009E5C08">
        <w:rPr>
          <w:rFonts w:ascii="Times New Roman" w:hAnsi="Times New Roman" w:cs="Times New Roman"/>
          <w:i/>
          <w:iCs/>
        </w:rPr>
        <w:t>Loose parts play creating opportunities for outdoor education and sustainability in early childhood</w:t>
      </w:r>
      <w:r w:rsidRPr="009E5C08">
        <w:rPr>
          <w:rFonts w:ascii="Times New Roman" w:hAnsi="Times New Roman" w:cs="Times New Roman"/>
        </w:rPr>
        <w:t xml:space="preserve">. Palgrave Macmillan. </w:t>
      </w:r>
    </w:p>
    <w:p w14:paraId="46022D60"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Smith-Gilman, S. (2018). The arts, loose parts and conversations. </w:t>
      </w:r>
      <w:r w:rsidRPr="009E5C08">
        <w:rPr>
          <w:rFonts w:ascii="Times New Roman" w:hAnsi="Times New Roman" w:cs="Times New Roman"/>
          <w:i/>
          <w:iCs/>
        </w:rPr>
        <w:t>Journal of the Canadian Association for Curriculum Studies,</w:t>
      </w:r>
      <w:r w:rsidRPr="009E5C08">
        <w:rPr>
          <w:rFonts w:ascii="Times New Roman" w:hAnsi="Times New Roman" w:cs="Times New Roman"/>
        </w:rPr>
        <w:t xml:space="preserve"> 16(1), 90-103</w:t>
      </w:r>
    </w:p>
    <w:p w14:paraId="5C938A06" w14:textId="77777777" w:rsidR="009E5C08" w:rsidRPr="005E7056" w:rsidRDefault="009E5C08" w:rsidP="009E5C08">
      <w:pPr>
        <w:spacing w:line="360" w:lineRule="auto"/>
        <w:ind w:left="720" w:hanging="720"/>
        <w:rPr>
          <w:rFonts w:ascii="Times New Roman" w:eastAsia="Calibri" w:hAnsi="Times New Roman" w:cs="Times New Roman"/>
          <w:sz w:val="24"/>
          <w:szCs w:val="24"/>
        </w:rPr>
      </w:pPr>
      <w:r w:rsidRPr="005E7056">
        <w:rPr>
          <w:rFonts w:ascii="Times New Roman" w:eastAsia="Calibri" w:hAnsi="Times New Roman" w:cs="Times New Roman"/>
          <w:sz w:val="24"/>
          <w:szCs w:val="24"/>
        </w:rPr>
        <w:t>Muir, R. (2024, December 9). </w:t>
      </w:r>
      <w:r w:rsidRPr="005E7056">
        <w:rPr>
          <w:rFonts w:ascii="Times New Roman" w:eastAsia="Calibri" w:hAnsi="Times New Roman" w:cs="Times New Roman"/>
          <w:i/>
          <w:iCs/>
          <w:sz w:val="24"/>
          <w:szCs w:val="24"/>
        </w:rPr>
        <w:t>The Vital Role of Loose Parts Play in Forest Schools - Embers Outdoor Learning</w:t>
      </w:r>
      <w:r w:rsidRPr="005E7056">
        <w:rPr>
          <w:rFonts w:ascii="Times New Roman" w:eastAsia="Calibri" w:hAnsi="Times New Roman" w:cs="Times New Roman"/>
          <w:sz w:val="24"/>
          <w:szCs w:val="24"/>
        </w:rPr>
        <w:t xml:space="preserve">. Embers Outdoor Learning. </w:t>
      </w:r>
      <w:hyperlink r:id="rId31" w:history="1">
        <w:r w:rsidRPr="005E7056">
          <w:rPr>
            <w:rStyle w:val="Hyperlink"/>
            <w:rFonts w:ascii="Times New Roman" w:eastAsia="Calibri" w:hAnsi="Times New Roman" w:cs="Times New Roman"/>
            <w:sz w:val="24"/>
            <w:szCs w:val="24"/>
          </w:rPr>
          <w:t>https://embersoutdoorlearning.co.uk/the-vital-role-of-loose-parts-play-in-forest-schools/</w:t>
        </w:r>
      </w:hyperlink>
      <w:r w:rsidRPr="009E5C08">
        <w:rPr>
          <w:rFonts w:ascii="Times New Roman" w:eastAsia="Calibri" w:hAnsi="Times New Roman" w:cs="Times New Roman"/>
          <w:sz w:val="24"/>
          <w:szCs w:val="24"/>
        </w:rPr>
        <w:t xml:space="preserve"> </w:t>
      </w:r>
    </w:p>
    <w:sectPr w:rsidR="009E5C08" w:rsidRPr="005E70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C63E32" w14:textId="77777777" w:rsidR="00024F88" w:rsidRDefault="00024F88" w:rsidP="009C5ADF">
      <w:pPr>
        <w:spacing w:after="0" w:line="240" w:lineRule="auto"/>
      </w:pPr>
      <w:r>
        <w:separator/>
      </w:r>
    </w:p>
  </w:endnote>
  <w:endnote w:type="continuationSeparator" w:id="0">
    <w:p w14:paraId="15882904" w14:textId="77777777" w:rsidR="00024F88" w:rsidRDefault="00024F88" w:rsidP="009C5ADF">
      <w:pPr>
        <w:spacing w:after="0" w:line="240" w:lineRule="auto"/>
      </w:pPr>
      <w:r>
        <w:continuationSeparator/>
      </w:r>
    </w:p>
  </w:endnote>
  <w:endnote w:type="continuationNotice" w:id="1">
    <w:p w14:paraId="6D29CCC0" w14:textId="77777777" w:rsidR="00024F88" w:rsidRDefault="00024F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E7D97" w14:textId="77777777" w:rsidR="00024F88" w:rsidRDefault="00024F88" w:rsidP="009C5ADF">
      <w:pPr>
        <w:spacing w:after="0" w:line="240" w:lineRule="auto"/>
      </w:pPr>
      <w:r>
        <w:separator/>
      </w:r>
    </w:p>
  </w:footnote>
  <w:footnote w:type="continuationSeparator" w:id="0">
    <w:p w14:paraId="07C0612A" w14:textId="77777777" w:rsidR="00024F88" w:rsidRDefault="00024F88" w:rsidP="009C5ADF">
      <w:pPr>
        <w:spacing w:after="0" w:line="240" w:lineRule="auto"/>
      </w:pPr>
      <w:r>
        <w:continuationSeparator/>
      </w:r>
    </w:p>
  </w:footnote>
  <w:footnote w:type="continuationNotice" w:id="1">
    <w:p w14:paraId="40BF9DB5" w14:textId="77777777" w:rsidR="00024F88" w:rsidRDefault="00024F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A345ED"/>
    <w:multiLevelType w:val="hybridMultilevel"/>
    <w:tmpl w:val="458C70A6"/>
    <w:lvl w:ilvl="0" w:tplc="1C462CE0">
      <w:start w:val="1"/>
      <w:numFmt w:val="bullet"/>
      <w:lvlText w:val=""/>
      <w:lvlJc w:val="left"/>
      <w:pPr>
        <w:ind w:left="360" w:hanging="360"/>
      </w:pPr>
      <w:rPr>
        <w:rFonts w:ascii="Symbol" w:hAnsi="Symbol" w:hint="default"/>
      </w:rPr>
    </w:lvl>
    <w:lvl w:ilvl="1" w:tplc="E6A4AB8A">
      <w:start w:val="1"/>
      <w:numFmt w:val="bullet"/>
      <w:lvlText w:val="o"/>
      <w:lvlJc w:val="left"/>
      <w:pPr>
        <w:ind w:left="1080" w:hanging="360"/>
      </w:pPr>
      <w:rPr>
        <w:rFonts w:ascii="Courier New" w:hAnsi="Courier New" w:hint="default"/>
      </w:rPr>
    </w:lvl>
    <w:lvl w:ilvl="2" w:tplc="3E6ADDBA">
      <w:start w:val="1"/>
      <w:numFmt w:val="bullet"/>
      <w:lvlText w:val=""/>
      <w:lvlJc w:val="left"/>
      <w:pPr>
        <w:ind w:left="1800" w:hanging="360"/>
      </w:pPr>
      <w:rPr>
        <w:rFonts w:ascii="Wingdings" w:hAnsi="Wingdings" w:hint="default"/>
      </w:rPr>
    </w:lvl>
    <w:lvl w:ilvl="3" w:tplc="C0BECC5E">
      <w:start w:val="1"/>
      <w:numFmt w:val="bullet"/>
      <w:lvlText w:val=""/>
      <w:lvlJc w:val="left"/>
      <w:pPr>
        <w:ind w:left="2520" w:hanging="360"/>
      </w:pPr>
      <w:rPr>
        <w:rFonts w:ascii="Symbol" w:hAnsi="Symbol" w:hint="default"/>
      </w:rPr>
    </w:lvl>
    <w:lvl w:ilvl="4" w:tplc="CF882D1C">
      <w:start w:val="1"/>
      <w:numFmt w:val="bullet"/>
      <w:lvlText w:val="o"/>
      <w:lvlJc w:val="left"/>
      <w:pPr>
        <w:ind w:left="3240" w:hanging="360"/>
      </w:pPr>
      <w:rPr>
        <w:rFonts w:ascii="Courier New" w:hAnsi="Courier New" w:hint="default"/>
      </w:rPr>
    </w:lvl>
    <w:lvl w:ilvl="5" w:tplc="168E9AF2">
      <w:start w:val="1"/>
      <w:numFmt w:val="bullet"/>
      <w:lvlText w:val=""/>
      <w:lvlJc w:val="left"/>
      <w:pPr>
        <w:ind w:left="3960" w:hanging="360"/>
      </w:pPr>
      <w:rPr>
        <w:rFonts w:ascii="Wingdings" w:hAnsi="Wingdings" w:hint="default"/>
      </w:rPr>
    </w:lvl>
    <w:lvl w:ilvl="6" w:tplc="BE149FD2">
      <w:start w:val="1"/>
      <w:numFmt w:val="bullet"/>
      <w:lvlText w:val=""/>
      <w:lvlJc w:val="left"/>
      <w:pPr>
        <w:ind w:left="4680" w:hanging="360"/>
      </w:pPr>
      <w:rPr>
        <w:rFonts w:ascii="Symbol" w:hAnsi="Symbol" w:hint="default"/>
      </w:rPr>
    </w:lvl>
    <w:lvl w:ilvl="7" w:tplc="DABCFF6E">
      <w:start w:val="1"/>
      <w:numFmt w:val="bullet"/>
      <w:lvlText w:val="o"/>
      <w:lvlJc w:val="left"/>
      <w:pPr>
        <w:ind w:left="5400" w:hanging="360"/>
      </w:pPr>
      <w:rPr>
        <w:rFonts w:ascii="Courier New" w:hAnsi="Courier New" w:hint="default"/>
      </w:rPr>
    </w:lvl>
    <w:lvl w:ilvl="8" w:tplc="C8D66C58">
      <w:start w:val="1"/>
      <w:numFmt w:val="bullet"/>
      <w:lvlText w:val=""/>
      <w:lvlJc w:val="left"/>
      <w:pPr>
        <w:ind w:left="6120" w:hanging="360"/>
      </w:pPr>
      <w:rPr>
        <w:rFonts w:ascii="Wingdings" w:hAnsi="Wingdings" w:hint="default"/>
      </w:rPr>
    </w:lvl>
  </w:abstractNum>
  <w:abstractNum w:abstractNumId="1" w15:restartNumberingAfterBreak="0">
    <w:nsid w:val="716BAC92"/>
    <w:multiLevelType w:val="hybridMultilevel"/>
    <w:tmpl w:val="FFFFFFFF"/>
    <w:lvl w:ilvl="0" w:tplc="B3E83AE8">
      <w:start w:val="1"/>
      <w:numFmt w:val="bullet"/>
      <w:lvlText w:val=""/>
      <w:lvlJc w:val="left"/>
      <w:pPr>
        <w:ind w:left="720" w:hanging="360"/>
      </w:pPr>
      <w:rPr>
        <w:rFonts w:ascii="Symbol" w:hAnsi="Symbol" w:hint="default"/>
      </w:rPr>
    </w:lvl>
    <w:lvl w:ilvl="1" w:tplc="5BE24F00">
      <w:start w:val="1"/>
      <w:numFmt w:val="bullet"/>
      <w:lvlText w:val="o"/>
      <w:lvlJc w:val="left"/>
      <w:pPr>
        <w:ind w:left="1440" w:hanging="360"/>
      </w:pPr>
      <w:rPr>
        <w:rFonts w:ascii="Courier New" w:hAnsi="Courier New" w:hint="default"/>
      </w:rPr>
    </w:lvl>
    <w:lvl w:ilvl="2" w:tplc="24809336">
      <w:start w:val="1"/>
      <w:numFmt w:val="bullet"/>
      <w:lvlText w:val=""/>
      <w:lvlJc w:val="left"/>
      <w:pPr>
        <w:ind w:left="2160" w:hanging="360"/>
      </w:pPr>
      <w:rPr>
        <w:rFonts w:ascii="Wingdings" w:hAnsi="Wingdings" w:hint="default"/>
      </w:rPr>
    </w:lvl>
    <w:lvl w:ilvl="3" w:tplc="F984C588">
      <w:start w:val="1"/>
      <w:numFmt w:val="bullet"/>
      <w:lvlText w:val=""/>
      <w:lvlJc w:val="left"/>
      <w:pPr>
        <w:ind w:left="2880" w:hanging="360"/>
      </w:pPr>
      <w:rPr>
        <w:rFonts w:ascii="Symbol" w:hAnsi="Symbol" w:hint="default"/>
      </w:rPr>
    </w:lvl>
    <w:lvl w:ilvl="4" w:tplc="76949072">
      <w:start w:val="1"/>
      <w:numFmt w:val="bullet"/>
      <w:lvlText w:val="o"/>
      <w:lvlJc w:val="left"/>
      <w:pPr>
        <w:ind w:left="3600" w:hanging="360"/>
      </w:pPr>
      <w:rPr>
        <w:rFonts w:ascii="Courier New" w:hAnsi="Courier New" w:hint="default"/>
      </w:rPr>
    </w:lvl>
    <w:lvl w:ilvl="5" w:tplc="E63AE7F4">
      <w:start w:val="1"/>
      <w:numFmt w:val="bullet"/>
      <w:lvlText w:val=""/>
      <w:lvlJc w:val="left"/>
      <w:pPr>
        <w:ind w:left="4320" w:hanging="360"/>
      </w:pPr>
      <w:rPr>
        <w:rFonts w:ascii="Wingdings" w:hAnsi="Wingdings" w:hint="default"/>
      </w:rPr>
    </w:lvl>
    <w:lvl w:ilvl="6" w:tplc="052CDB84">
      <w:start w:val="1"/>
      <w:numFmt w:val="bullet"/>
      <w:lvlText w:val=""/>
      <w:lvlJc w:val="left"/>
      <w:pPr>
        <w:ind w:left="5040" w:hanging="360"/>
      </w:pPr>
      <w:rPr>
        <w:rFonts w:ascii="Symbol" w:hAnsi="Symbol" w:hint="default"/>
      </w:rPr>
    </w:lvl>
    <w:lvl w:ilvl="7" w:tplc="1AF479B8">
      <w:start w:val="1"/>
      <w:numFmt w:val="bullet"/>
      <w:lvlText w:val="o"/>
      <w:lvlJc w:val="left"/>
      <w:pPr>
        <w:ind w:left="5760" w:hanging="360"/>
      </w:pPr>
      <w:rPr>
        <w:rFonts w:ascii="Courier New" w:hAnsi="Courier New" w:hint="default"/>
      </w:rPr>
    </w:lvl>
    <w:lvl w:ilvl="8" w:tplc="ECF4CBC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DDB8C8"/>
    <w:rsid w:val="00003A48"/>
    <w:rsid w:val="000069F8"/>
    <w:rsid w:val="000115D3"/>
    <w:rsid w:val="00020C68"/>
    <w:rsid w:val="000226FA"/>
    <w:rsid w:val="00024F88"/>
    <w:rsid w:val="00045428"/>
    <w:rsid w:val="000610B5"/>
    <w:rsid w:val="00091A8A"/>
    <w:rsid w:val="000F7CEF"/>
    <w:rsid w:val="0010604A"/>
    <w:rsid w:val="0011074B"/>
    <w:rsid w:val="0013119E"/>
    <w:rsid w:val="00135979"/>
    <w:rsid w:val="00171142"/>
    <w:rsid w:val="001D0FED"/>
    <w:rsid w:val="001F694A"/>
    <w:rsid w:val="00200D6E"/>
    <w:rsid w:val="00242A08"/>
    <w:rsid w:val="0024700E"/>
    <w:rsid w:val="00250B0D"/>
    <w:rsid w:val="0025338B"/>
    <w:rsid w:val="00257467"/>
    <w:rsid w:val="00266A55"/>
    <w:rsid w:val="00296507"/>
    <w:rsid w:val="002B37AA"/>
    <w:rsid w:val="002C093C"/>
    <w:rsid w:val="002C613D"/>
    <w:rsid w:val="002C6FB4"/>
    <w:rsid w:val="002D7366"/>
    <w:rsid w:val="002F0CD5"/>
    <w:rsid w:val="002F3ED7"/>
    <w:rsid w:val="0030173F"/>
    <w:rsid w:val="003159FB"/>
    <w:rsid w:val="0032449F"/>
    <w:rsid w:val="0033777B"/>
    <w:rsid w:val="003505D1"/>
    <w:rsid w:val="00364F18"/>
    <w:rsid w:val="003902F6"/>
    <w:rsid w:val="003971C5"/>
    <w:rsid w:val="00397E23"/>
    <w:rsid w:val="003A29E9"/>
    <w:rsid w:val="003A65D6"/>
    <w:rsid w:val="003B1CAC"/>
    <w:rsid w:val="003B335D"/>
    <w:rsid w:val="003B4F33"/>
    <w:rsid w:val="003B7162"/>
    <w:rsid w:val="003C13A2"/>
    <w:rsid w:val="003D09BD"/>
    <w:rsid w:val="003D204C"/>
    <w:rsid w:val="003E18C6"/>
    <w:rsid w:val="003E52A4"/>
    <w:rsid w:val="00414CC9"/>
    <w:rsid w:val="0043127B"/>
    <w:rsid w:val="00434537"/>
    <w:rsid w:val="00436937"/>
    <w:rsid w:val="00484AE1"/>
    <w:rsid w:val="00491DAC"/>
    <w:rsid w:val="00497FBB"/>
    <w:rsid w:val="004B2AB8"/>
    <w:rsid w:val="004E3A1D"/>
    <w:rsid w:val="004F4037"/>
    <w:rsid w:val="00500DA6"/>
    <w:rsid w:val="005026E6"/>
    <w:rsid w:val="0050388D"/>
    <w:rsid w:val="005435CA"/>
    <w:rsid w:val="0055522F"/>
    <w:rsid w:val="005662C9"/>
    <w:rsid w:val="00566432"/>
    <w:rsid w:val="00576709"/>
    <w:rsid w:val="00585586"/>
    <w:rsid w:val="00591ED7"/>
    <w:rsid w:val="005A0003"/>
    <w:rsid w:val="005C2D6B"/>
    <w:rsid w:val="005E6ADD"/>
    <w:rsid w:val="005E7056"/>
    <w:rsid w:val="00610117"/>
    <w:rsid w:val="00620299"/>
    <w:rsid w:val="00634F03"/>
    <w:rsid w:val="0064139F"/>
    <w:rsid w:val="006420F7"/>
    <w:rsid w:val="00660B2D"/>
    <w:rsid w:val="0066381A"/>
    <w:rsid w:val="00691878"/>
    <w:rsid w:val="006B496A"/>
    <w:rsid w:val="006B4EF1"/>
    <w:rsid w:val="006D013D"/>
    <w:rsid w:val="006D3647"/>
    <w:rsid w:val="00703A0B"/>
    <w:rsid w:val="007071E3"/>
    <w:rsid w:val="00707BA5"/>
    <w:rsid w:val="00716AC1"/>
    <w:rsid w:val="00722F56"/>
    <w:rsid w:val="00726A4D"/>
    <w:rsid w:val="0073756B"/>
    <w:rsid w:val="0074482E"/>
    <w:rsid w:val="00752709"/>
    <w:rsid w:val="007565AC"/>
    <w:rsid w:val="00782A08"/>
    <w:rsid w:val="007A384C"/>
    <w:rsid w:val="007A387C"/>
    <w:rsid w:val="007B2B75"/>
    <w:rsid w:val="007F197F"/>
    <w:rsid w:val="007F3BE2"/>
    <w:rsid w:val="007F447E"/>
    <w:rsid w:val="00805F25"/>
    <w:rsid w:val="00812514"/>
    <w:rsid w:val="00834D94"/>
    <w:rsid w:val="00836320"/>
    <w:rsid w:val="00874522"/>
    <w:rsid w:val="008816EC"/>
    <w:rsid w:val="008914DB"/>
    <w:rsid w:val="008B2498"/>
    <w:rsid w:val="008B3657"/>
    <w:rsid w:val="008B60A0"/>
    <w:rsid w:val="008B740A"/>
    <w:rsid w:val="008C1C37"/>
    <w:rsid w:val="008D661D"/>
    <w:rsid w:val="008E7996"/>
    <w:rsid w:val="00904E79"/>
    <w:rsid w:val="00925522"/>
    <w:rsid w:val="00930BEB"/>
    <w:rsid w:val="0093490F"/>
    <w:rsid w:val="00940419"/>
    <w:rsid w:val="00951255"/>
    <w:rsid w:val="00983C63"/>
    <w:rsid w:val="00986062"/>
    <w:rsid w:val="00992FA5"/>
    <w:rsid w:val="009A32BB"/>
    <w:rsid w:val="009A3BFD"/>
    <w:rsid w:val="009A65ED"/>
    <w:rsid w:val="009A6750"/>
    <w:rsid w:val="009A6A5A"/>
    <w:rsid w:val="009C1A96"/>
    <w:rsid w:val="009C5ADF"/>
    <w:rsid w:val="009D1560"/>
    <w:rsid w:val="009D31FF"/>
    <w:rsid w:val="009E5C08"/>
    <w:rsid w:val="009E6F59"/>
    <w:rsid w:val="009F2E51"/>
    <w:rsid w:val="009F3BDD"/>
    <w:rsid w:val="009F5E52"/>
    <w:rsid w:val="00A23581"/>
    <w:rsid w:val="00A33D7A"/>
    <w:rsid w:val="00A52BFF"/>
    <w:rsid w:val="00A54F97"/>
    <w:rsid w:val="00A679B5"/>
    <w:rsid w:val="00AA3727"/>
    <w:rsid w:val="00AB455D"/>
    <w:rsid w:val="00AB7406"/>
    <w:rsid w:val="00AD0652"/>
    <w:rsid w:val="00AF6A8D"/>
    <w:rsid w:val="00B01E26"/>
    <w:rsid w:val="00B06D0C"/>
    <w:rsid w:val="00B210C1"/>
    <w:rsid w:val="00B57F14"/>
    <w:rsid w:val="00B768F8"/>
    <w:rsid w:val="00B904B9"/>
    <w:rsid w:val="00B92318"/>
    <w:rsid w:val="00B94949"/>
    <w:rsid w:val="00B97E7E"/>
    <w:rsid w:val="00BA5DB0"/>
    <w:rsid w:val="00BE011A"/>
    <w:rsid w:val="00BF2274"/>
    <w:rsid w:val="00C134D1"/>
    <w:rsid w:val="00C23807"/>
    <w:rsid w:val="00C27045"/>
    <w:rsid w:val="00C712BB"/>
    <w:rsid w:val="00C821E6"/>
    <w:rsid w:val="00C85C38"/>
    <w:rsid w:val="00CA1DEB"/>
    <w:rsid w:val="00CA300E"/>
    <w:rsid w:val="00CB1E6B"/>
    <w:rsid w:val="00CB35A0"/>
    <w:rsid w:val="00CB37AA"/>
    <w:rsid w:val="00CB5C0E"/>
    <w:rsid w:val="00CC17B2"/>
    <w:rsid w:val="00CD2A40"/>
    <w:rsid w:val="00CD5EFA"/>
    <w:rsid w:val="00CE18C5"/>
    <w:rsid w:val="00CF132D"/>
    <w:rsid w:val="00CF2AF6"/>
    <w:rsid w:val="00D01040"/>
    <w:rsid w:val="00D01CD0"/>
    <w:rsid w:val="00D12FE2"/>
    <w:rsid w:val="00D16411"/>
    <w:rsid w:val="00D341F1"/>
    <w:rsid w:val="00D6628C"/>
    <w:rsid w:val="00D75852"/>
    <w:rsid w:val="00D77803"/>
    <w:rsid w:val="00DB07A2"/>
    <w:rsid w:val="00DB5A8F"/>
    <w:rsid w:val="00DF7CF7"/>
    <w:rsid w:val="00E3483B"/>
    <w:rsid w:val="00E54A6C"/>
    <w:rsid w:val="00E57DC7"/>
    <w:rsid w:val="00E62938"/>
    <w:rsid w:val="00E835FF"/>
    <w:rsid w:val="00E8522F"/>
    <w:rsid w:val="00E935D3"/>
    <w:rsid w:val="00ED37AE"/>
    <w:rsid w:val="00ED7BE3"/>
    <w:rsid w:val="00EE3C39"/>
    <w:rsid w:val="00EE63F6"/>
    <w:rsid w:val="00EF6BF8"/>
    <w:rsid w:val="00F045A7"/>
    <w:rsid w:val="00F05D62"/>
    <w:rsid w:val="00F16ED3"/>
    <w:rsid w:val="00F22E67"/>
    <w:rsid w:val="00F4139A"/>
    <w:rsid w:val="00F57204"/>
    <w:rsid w:val="00F74A9D"/>
    <w:rsid w:val="00F82079"/>
    <w:rsid w:val="00FA34C5"/>
    <w:rsid w:val="00FB1FCE"/>
    <w:rsid w:val="00FB6390"/>
    <w:rsid w:val="00FC1C53"/>
    <w:rsid w:val="00FD6AC8"/>
    <w:rsid w:val="00FE028B"/>
    <w:rsid w:val="00FE35B2"/>
    <w:rsid w:val="00FE5C99"/>
    <w:rsid w:val="00FE79A0"/>
    <w:rsid w:val="017E956E"/>
    <w:rsid w:val="022F0482"/>
    <w:rsid w:val="023D7AF2"/>
    <w:rsid w:val="02D1F43B"/>
    <w:rsid w:val="031A65CF"/>
    <w:rsid w:val="037AAB9B"/>
    <w:rsid w:val="08458F86"/>
    <w:rsid w:val="09663541"/>
    <w:rsid w:val="09E9ED1F"/>
    <w:rsid w:val="0B7D3048"/>
    <w:rsid w:val="0EB4D10A"/>
    <w:rsid w:val="109B6932"/>
    <w:rsid w:val="13A10B8A"/>
    <w:rsid w:val="146514BC"/>
    <w:rsid w:val="15F354FC"/>
    <w:rsid w:val="177A46B3"/>
    <w:rsid w:val="183C0247"/>
    <w:rsid w:val="184BB0D5"/>
    <w:rsid w:val="19564713"/>
    <w:rsid w:val="1B2D483B"/>
    <w:rsid w:val="1DB20675"/>
    <w:rsid w:val="20ED99D1"/>
    <w:rsid w:val="234D22C4"/>
    <w:rsid w:val="24686568"/>
    <w:rsid w:val="256F4021"/>
    <w:rsid w:val="260435C9"/>
    <w:rsid w:val="267A2144"/>
    <w:rsid w:val="2822558F"/>
    <w:rsid w:val="2894B8B2"/>
    <w:rsid w:val="28C775A1"/>
    <w:rsid w:val="28C9A77D"/>
    <w:rsid w:val="2905A05D"/>
    <w:rsid w:val="2B5F962F"/>
    <w:rsid w:val="2D5878F7"/>
    <w:rsid w:val="327170E4"/>
    <w:rsid w:val="32A77B82"/>
    <w:rsid w:val="32ADF3C7"/>
    <w:rsid w:val="362AF4B8"/>
    <w:rsid w:val="3998B1DE"/>
    <w:rsid w:val="3A1A6C56"/>
    <w:rsid w:val="3A92DD08"/>
    <w:rsid w:val="3B1CF7A3"/>
    <w:rsid w:val="3C3D0853"/>
    <w:rsid w:val="3FA1142A"/>
    <w:rsid w:val="3FFF4842"/>
    <w:rsid w:val="4052AAEE"/>
    <w:rsid w:val="40A02A18"/>
    <w:rsid w:val="420352B5"/>
    <w:rsid w:val="426FAEF2"/>
    <w:rsid w:val="42F83CE9"/>
    <w:rsid w:val="434C9760"/>
    <w:rsid w:val="45E2FA31"/>
    <w:rsid w:val="469EC844"/>
    <w:rsid w:val="473022A3"/>
    <w:rsid w:val="477ECA92"/>
    <w:rsid w:val="482176A3"/>
    <w:rsid w:val="4A077B66"/>
    <w:rsid w:val="4A3DE202"/>
    <w:rsid w:val="4B572BE9"/>
    <w:rsid w:val="4BB2319E"/>
    <w:rsid w:val="4C413A2C"/>
    <w:rsid w:val="4CA264C2"/>
    <w:rsid w:val="4D268A2A"/>
    <w:rsid w:val="4E3AEF90"/>
    <w:rsid w:val="4EC97F56"/>
    <w:rsid w:val="4F3B988E"/>
    <w:rsid w:val="50129532"/>
    <w:rsid w:val="50D768EF"/>
    <w:rsid w:val="51D2B274"/>
    <w:rsid w:val="57292943"/>
    <w:rsid w:val="57E1D1D6"/>
    <w:rsid w:val="58C4F9A4"/>
    <w:rsid w:val="58DDB8C8"/>
    <w:rsid w:val="5B00A0F7"/>
    <w:rsid w:val="5D6D4DDA"/>
    <w:rsid w:val="5D8C2C59"/>
    <w:rsid w:val="5E4B3D72"/>
    <w:rsid w:val="5ED88DA1"/>
    <w:rsid w:val="5F2BADF0"/>
    <w:rsid w:val="62634EB2"/>
    <w:rsid w:val="62730FC9"/>
    <w:rsid w:val="6430E151"/>
    <w:rsid w:val="659AEF74"/>
    <w:rsid w:val="669B9872"/>
    <w:rsid w:val="66E303E2"/>
    <w:rsid w:val="673A0568"/>
    <w:rsid w:val="677DECE1"/>
    <w:rsid w:val="68D29036"/>
    <w:rsid w:val="6A6E6097"/>
    <w:rsid w:val="6B28C45B"/>
    <w:rsid w:val="6C02071E"/>
    <w:rsid w:val="6C0A30F8"/>
    <w:rsid w:val="6C1F0489"/>
    <w:rsid w:val="6C5FBF05"/>
    <w:rsid w:val="6DA60159"/>
    <w:rsid w:val="7160841D"/>
    <w:rsid w:val="735C9A4A"/>
    <w:rsid w:val="7511686A"/>
    <w:rsid w:val="75832884"/>
    <w:rsid w:val="75B5E7F7"/>
    <w:rsid w:val="761E9B8A"/>
    <w:rsid w:val="78F0A186"/>
    <w:rsid w:val="7944859F"/>
    <w:rsid w:val="79BC38BC"/>
    <w:rsid w:val="7B656A38"/>
    <w:rsid w:val="7BAEEE9F"/>
    <w:rsid w:val="7E39B9C0"/>
    <w:rsid w:val="7EA42D73"/>
    <w:rsid w:val="7EA73A77"/>
    <w:rsid w:val="7F36BC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DDB8C8"/>
  <w15:chartTrackingRefBased/>
  <w15:docId w15:val="{254C8AB1-6F58-4CA4-9CE2-CF5ACDD9E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9C5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ADF"/>
  </w:style>
  <w:style w:type="paragraph" w:styleId="Footer">
    <w:name w:val="footer"/>
    <w:basedOn w:val="Normal"/>
    <w:link w:val="FooterChar"/>
    <w:uiPriority w:val="99"/>
    <w:unhideWhenUsed/>
    <w:rsid w:val="009C5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ADF"/>
  </w:style>
  <w:style w:type="character" w:styleId="Hyperlink">
    <w:name w:val="Hyperlink"/>
    <w:basedOn w:val="DefaultParagraphFont"/>
    <w:uiPriority w:val="99"/>
    <w:unhideWhenUsed/>
    <w:rsid w:val="005A0003"/>
    <w:rPr>
      <w:color w:val="0563C1" w:themeColor="hyperlink"/>
      <w:u w:val="single"/>
    </w:rPr>
  </w:style>
  <w:style w:type="character" w:customStyle="1" w:styleId="UnresolvedMention">
    <w:name w:val="Unresolved Mention"/>
    <w:basedOn w:val="DefaultParagraphFont"/>
    <w:uiPriority w:val="99"/>
    <w:semiHidden/>
    <w:unhideWhenUsed/>
    <w:rsid w:val="005A0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39272">
      <w:bodyDiv w:val="1"/>
      <w:marLeft w:val="0"/>
      <w:marRight w:val="0"/>
      <w:marTop w:val="0"/>
      <w:marBottom w:val="0"/>
      <w:divBdr>
        <w:top w:val="none" w:sz="0" w:space="0" w:color="auto"/>
        <w:left w:val="none" w:sz="0" w:space="0" w:color="auto"/>
        <w:bottom w:val="none" w:sz="0" w:space="0" w:color="auto"/>
        <w:right w:val="none" w:sz="0" w:space="0" w:color="auto"/>
      </w:divBdr>
    </w:div>
    <w:div w:id="169026505">
      <w:bodyDiv w:val="1"/>
      <w:marLeft w:val="0"/>
      <w:marRight w:val="0"/>
      <w:marTop w:val="0"/>
      <w:marBottom w:val="0"/>
      <w:divBdr>
        <w:top w:val="none" w:sz="0" w:space="0" w:color="auto"/>
        <w:left w:val="none" w:sz="0" w:space="0" w:color="auto"/>
        <w:bottom w:val="none" w:sz="0" w:space="0" w:color="auto"/>
        <w:right w:val="none" w:sz="0" w:space="0" w:color="auto"/>
      </w:divBdr>
    </w:div>
    <w:div w:id="454180986">
      <w:bodyDiv w:val="1"/>
      <w:marLeft w:val="0"/>
      <w:marRight w:val="0"/>
      <w:marTop w:val="0"/>
      <w:marBottom w:val="0"/>
      <w:divBdr>
        <w:top w:val="none" w:sz="0" w:space="0" w:color="auto"/>
        <w:left w:val="none" w:sz="0" w:space="0" w:color="auto"/>
        <w:bottom w:val="none" w:sz="0" w:space="0" w:color="auto"/>
        <w:right w:val="none" w:sz="0" w:space="0" w:color="auto"/>
      </w:divBdr>
    </w:div>
    <w:div w:id="563374197">
      <w:bodyDiv w:val="1"/>
      <w:marLeft w:val="0"/>
      <w:marRight w:val="0"/>
      <w:marTop w:val="0"/>
      <w:marBottom w:val="0"/>
      <w:divBdr>
        <w:top w:val="none" w:sz="0" w:space="0" w:color="auto"/>
        <w:left w:val="none" w:sz="0" w:space="0" w:color="auto"/>
        <w:bottom w:val="none" w:sz="0" w:space="0" w:color="auto"/>
        <w:right w:val="none" w:sz="0" w:space="0" w:color="auto"/>
      </w:divBdr>
    </w:div>
    <w:div w:id="1137915539">
      <w:bodyDiv w:val="1"/>
      <w:marLeft w:val="0"/>
      <w:marRight w:val="0"/>
      <w:marTop w:val="0"/>
      <w:marBottom w:val="0"/>
      <w:divBdr>
        <w:top w:val="none" w:sz="0" w:space="0" w:color="auto"/>
        <w:left w:val="none" w:sz="0" w:space="0" w:color="auto"/>
        <w:bottom w:val="none" w:sz="0" w:space="0" w:color="auto"/>
        <w:right w:val="none" w:sz="0" w:space="0" w:color="auto"/>
      </w:divBdr>
    </w:div>
    <w:div w:id="1606187479">
      <w:bodyDiv w:val="1"/>
      <w:marLeft w:val="0"/>
      <w:marRight w:val="0"/>
      <w:marTop w:val="0"/>
      <w:marBottom w:val="0"/>
      <w:divBdr>
        <w:top w:val="none" w:sz="0" w:space="0" w:color="auto"/>
        <w:left w:val="none" w:sz="0" w:space="0" w:color="auto"/>
        <w:bottom w:val="none" w:sz="0" w:space="0" w:color="auto"/>
        <w:right w:val="none" w:sz="0" w:space="0" w:color="auto"/>
      </w:divBdr>
    </w:div>
    <w:div w:id="1627077260">
      <w:bodyDiv w:val="1"/>
      <w:marLeft w:val="0"/>
      <w:marRight w:val="0"/>
      <w:marTop w:val="0"/>
      <w:marBottom w:val="0"/>
      <w:divBdr>
        <w:top w:val="none" w:sz="0" w:space="0" w:color="auto"/>
        <w:left w:val="none" w:sz="0" w:space="0" w:color="auto"/>
        <w:bottom w:val="none" w:sz="0" w:space="0" w:color="auto"/>
        <w:right w:val="none" w:sz="0" w:space="0" w:color="auto"/>
      </w:divBdr>
    </w:div>
    <w:div w:id="1897886330">
      <w:bodyDiv w:val="1"/>
      <w:marLeft w:val="0"/>
      <w:marRight w:val="0"/>
      <w:marTop w:val="0"/>
      <w:marBottom w:val="0"/>
      <w:divBdr>
        <w:top w:val="none" w:sz="0" w:space="0" w:color="auto"/>
        <w:left w:val="none" w:sz="0" w:space="0" w:color="auto"/>
        <w:bottom w:val="none" w:sz="0" w:space="0" w:color="auto"/>
        <w:right w:val="none" w:sz="0" w:space="0" w:color="auto"/>
      </w:divBdr>
    </w:div>
    <w:div w:id="1952469279">
      <w:bodyDiv w:val="1"/>
      <w:marLeft w:val="0"/>
      <w:marRight w:val="0"/>
      <w:marTop w:val="0"/>
      <w:marBottom w:val="0"/>
      <w:divBdr>
        <w:top w:val="none" w:sz="0" w:space="0" w:color="auto"/>
        <w:left w:val="none" w:sz="0" w:space="0" w:color="auto"/>
        <w:bottom w:val="none" w:sz="0" w:space="0" w:color="auto"/>
        <w:right w:val="none" w:sz="0" w:space="0" w:color="auto"/>
      </w:divBdr>
    </w:div>
    <w:div w:id="199394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fastercapital.com/topics/the-impact-of-maternal-health-on-fetal-development.html" TargetMode="External"/><Relationship Id="rId18" Type="http://schemas.openxmlformats.org/officeDocument/2006/relationships/image" Target="media/image5.jpeg"/><Relationship Id="rId26" Type="http://schemas.openxmlformats.org/officeDocument/2006/relationships/hyperlink" Target="https://doi.org/10.1016/j.gpeds.2023.100049" TargetMode="External"/><Relationship Id="rId3" Type="http://schemas.openxmlformats.org/officeDocument/2006/relationships/customXml" Target="../customXml/item3.xml"/><Relationship Id="rId21" Type="http://schemas.openxmlformats.org/officeDocument/2006/relationships/hyperlink" Target="https://www.eyalliance.org.uk/sites/default/files/early_years_practitioner_institute_for_apprenticeships_and_technical_education.pdf"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myteachingcupboard.com/blog/loose-parts-play" TargetMode="External"/><Relationship Id="rId25" Type="http://schemas.openxmlformats.org/officeDocument/2006/relationships/hyperlink" Target="https://doi.org/10.1111/mcn.1200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extensionpubs.unl.edu/publication/g2334/2021/pdf/view/g2334-2021.pdf" TargetMode="External"/><Relationship Id="rId29" Type="http://schemas.openxmlformats.org/officeDocument/2006/relationships/hyperlink" Target="https://doi.org/10.1186/s12916-022-02632-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fs.ac.za/giving/donate-here-to-ufs/ia-projects/make-the-1-1000-days-count" TargetMode="External"/><Relationship Id="rId24" Type="http://schemas.openxmlformats.org/officeDocument/2006/relationships/hyperlink" Target="https://doi.org/10.37517/978-1-74286-715-1-12"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astercapital.com/content/Child-care-quality--The-Role-of-Licensing-and-Accreditation-in-Ensuring-Child-Care-Quality.html" TargetMode="External"/><Relationship Id="rId23" Type="http://schemas.openxmlformats.org/officeDocument/2006/relationships/hyperlink" Target="https://oxfamapps.org/cymru/wp-content/uploads/2023/11/Litle-Steps-Big-Struggles.pdf" TargetMode="External"/><Relationship Id="rId28" Type="http://schemas.openxmlformats.org/officeDocument/2006/relationships/hyperlink" Target="https://www.neocarehealth.com.au" TargetMode="External"/><Relationship Id="rId10" Type="http://schemas.openxmlformats.org/officeDocument/2006/relationships/image" Target="media/image1.jpeg"/><Relationship Id="rId19" Type="http://schemas.openxmlformats.org/officeDocument/2006/relationships/hyperlink" Target="https://littleforestschools.com/our-approach/" TargetMode="External"/><Relationship Id="rId31" Type="http://schemas.openxmlformats.org/officeDocument/2006/relationships/hyperlink" Target="https://embersoutdoorlearning.co.uk/the-vital-role-of-loose-parts-play-in-forest-schoo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bg.org.uk/wp-content/uploads/2023/09/FINAL-Key-UK-challenges-EEC-3-updated.pdf" TargetMode="External"/><Relationship Id="rId27" Type="http://schemas.openxmlformats.org/officeDocument/2006/relationships/hyperlink" Target="https://doi.org/10.7759/cureus.30083" TargetMode="External"/><Relationship Id="rId30" Type="http://schemas.openxmlformats.org/officeDocument/2006/relationships/hyperlink" Target="https://doi.org/10.1371/journal.pone.0260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2FC80E-4E8F-4D22-93E7-70360CF08169}">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9551050F-3620-4A81-8748-47C98B7E9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C293C7-87C4-40D5-B93B-B2EC94880A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3990</Words>
  <Characters>22746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JAM19851372 (Sharmin Amin Jamil)</cp:lastModifiedBy>
  <cp:revision>2</cp:revision>
  <cp:lastPrinted>2024-01-15T14:25:00Z</cp:lastPrinted>
  <dcterms:created xsi:type="dcterms:W3CDTF">2025-01-08T19:12:00Z</dcterms:created>
  <dcterms:modified xsi:type="dcterms:W3CDTF">2025-01-08T19:12:00Z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y fmtid="{D5CDD505-2E9C-101B-9397-08002B2CF9AE}" pid="4" name="GrammarlyDocumentId">
    <vt:lpwstr>8bff484e25c9275390ee0b71b814f35966044f494eede7e20b545940b6143d14</vt:lpwstr>
  </property>
</Properties>
</file>