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7D4" w:rsidRPr="003F3B24" w:rsidRDefault="00E727D4" w:rsidP="007955CE">
      <w:pPr>
        <w:spacing w:line="480" w:lineRule="auto"/>
        <w:rPr>
          <w:rFonts w:ascii="Times New Roman" w:hAnsi="Times New Roman" w:cs="Times New Roman"/>
          <w:sz w:val="24"/>
        </w:rPr>
      </w:pPr>
      <w:r w:rsidRPr="003F3B24">
        <w:rPr>
          <w:rFonts w:ascii="Times New Roman" w:hAnsi="Times New Roman" w:cs="Times New Roman"/>
          <w:sz w:val="24"/>
        </w:rPr>
        <w:t>The poem is focused on two letters to two different people</w:t>
      </w:r>
      <w:r w:rsidR="007B0CE1">
        <w:rPr>
          <w:rFonts w:ascii="Times New Roman" w:hAnsi="Times New Roman" w:cs="Times New Roman"/>
          <w:sz w:val="24"/>
        </w:rPr>
        <w:t>,</w:t>
      </w:r>
      <w:r w:rsidRPr="003F3B24">
        <w:rPr>
          <w:rFonts w:ascii="Times New Roman" w:hAnsi="Times New Roman" w:cs="Times New Roman"/>
          <w:sz w:val="24"/>
        </w:rPr>
        <w:t xml:space="preserve"> the first being Manlius on </w:t>
      </w:r>
      <w:r w:rsidR="007B0CE1">
        <w:rPr>
          <w:rFonts w:ascii="Times New Roman" w:hAnsi="Times New Roman" w:cs="Times New Roman"/>
          <w:sz w:val="24"/>
        </w:rPr>
        <w:t xml:space="preserve">the </w:t>
      </w:r>
      <w:r w:rsidRPr="003F3B24">
        <w:rPr>
          <w:rFonts w:ascii="Times New Roman" w:hAnsi="Times New Roman" w:cs="Times New Roman"/>
          <w:sz w:val="24"/>
        </w:rPr>
        <w:t>death of his own brother</w:t>
      </w:r>
      <w:r w:rsidR="007B0CE1">
        <w:rPr>
          <w:rFonts w:ascii="Times New Roman" w:hAnsi="Times New Roman" w:cs="Times New Roman"/>
          <w:sz w:val="24"/>
        </w:rPr>
        <w:t>,</w:t>
      </w:r>
      <w:r w:rsidRPr="003F3B24">
        <w:rPr>
          <w:rFonts w:ascii="Times New Roman" w:hAnsi="Times New Roman" w:cs="Times New Roman"/>
          <w:sz w:val="24"/>
        </w:rPr>
        <w:t xml:space="preserve"> and the second is to A</w:t>
      </w:r>
      <w:r w:rsidR="001714CD" w:rsidRPr="003F3B24">
        <w:rPr>
          <w:rFonts w:ascii="Times New Roman" w:hAnsi="Times New Roman" w:cs="Times New Roman"/>
          <w:sz w:val="24"/>
        </w:rPr>
        <w:t>l</w:t>
      </w:r>
      <w:r w:rsidRPr="003F3B24">
        <w:rPr>
          <w:rFonts w:ascii="Times New Roman" w:hAnsi="Times New Roman" w:cs="Times New Roman"/>
          <w:sz w:val="24"/>
        </w:rPr>
        <w:t xml:space="preserve">lius, writing in thanks for the house he provided Catullus, the poet, to </w:t>
      </w:r>
      <w:r w:rsidR="007B0CE1">
        <w:rPr>
          <w:rFonts w:ascii="Times New Roman" w:hAnsi="Times New Roman" w:cs="Times New Roman"/>
          <w:sz w:val="24"/>
        </w:rPr>
        <w:t xml:space="preserve">be able to </w:t>
      </w:r>
      <w:r w:rsidRPr="003F3B24">
        <w:rPr>
          <w:rFonts w:ascii="Times New Roman" w:hAnsi="Times New Roman" w:cs="Times New Roman"/>
          <w:sz w:val="24"/>
        </w:rPr>
        <w:t>meet with his mistress, Lesbia</w:t>
      </w:r>
      <w:r w:rsidR="007B0CE1">
        <w:rPr>
          <w:rFonts w:ascii="Times New Roman" w:hAnsi="Times New Roman" w:cs="Times New Roman"/>
          <w:sz w:val="24"/>
        </w:rPr>
        <w:t>,</w:t>
      </w:r>
      <w:r w:rsidRPr="003F3B24">
        <w:rPr>
          <w:rFonts w:ascii="Times New Roman" w:hAnsi="Times New Roman" w:cs="Times New Roman"/>
          <w:sz w:val="24"/>
        </w:rPr>
        <w:t xml:space="preserve"> in private.</w:t>
      </w:r>
      <w:r w:rsidR="00B316D6">
        <w:rPr>
          <w:rStyle w:val="FootnoteReference"/>
          <w:rFonts w:ascii="Times New Roman" w:hAnsi="Times New Roman" w:cs="Times New Roman"/>
          <w:sz w:val="24"/>
        </w:rPr>
        <w:footnoteReference w:id="1"/>
      </w:r>
      <w:r w:rsidRPr="003F3B24">
        <w:rPr>
          <w:rFonts w:ascii="Times New Roman" w:hAnsi="Times New Roman" w:cs="Times New Roman"/>
          <w:sz w:val="24"/>
        </w:rPr>
        <w:t xml:space="preserve"> The passage in focus is in the second letter, to Allius</w:t>
      </w:r>
      <w:r w:rsidR="007B0CE1">
        <w:rPr>
          <w:rFonts w:ascii="Times New Roman" w:hAnsi="Times New Roman" w:cs="Times New Roman"/>
          <w:sz w:val="24"/>
        </w:rPr>
        <w:t>,</w:t>
      </w:r>
      <w:r w:rsidRPr="003F3B24">
        <w:rPr>
          <w:rFonts w:ascii="Times New Roman" w:hAnsi="Times New Roman" w:cs="Times New Roman"/>
          <w:sz w:val="24"/>
        </w:rPr>
        <w:t xml:space="preserve"> and the lines in focus, 51-76,  are associated with two myths</w:t>
      </w:r>
      <w:r w:rsidR="007B0CE1">
        <w:rPr>
          <w:rFonts w:ascii="Times New Roman" w:hAnsi="Times New Roman" w:cs="Times New Roman"/>
          <w:sz w:val="24"/>
        </w:rPr>
        <w:t>. These</w:t>
      </w:r>
      <w:r w:rsidRPr="003F3B24">
        <w:rPr>
          <w:rFonts w:ascii="Times New Roman" w:hAnsi="Times New Roman" w:cs="Times New Roman"/>
          <w:sz w:val="24"/>
        </w:rPr>
        <w:t xml:space="preserve"> are Laodamia and </w:t>
      </w:r>
      <w:proofErr w:type="spellStart"/>
      <w:r w:rsidRPr="003F3B24">
        <w:rPr>
          <w:rFonts w:ascii="Times New Roman" w:hAnsi="Times New Roman" w:cs="Times New Roman"/>
          <w:sz w:val="24"/>
        </w:rPr>
        <w:t>Protisilaus</w:t>
      </w:r>
      <w:proofErr w:type="spellEnd"/>
      <w:r w:rsidRPr="003F3B24">
        <w:rPr>
          <w:rFonts w:ascii="Times New Roman" w:hAnsi="Times New Roman" w:cs="Times New Roman"/>
          <w:sz w:val="24"/>
        </w:rPr>
        <w:t xml:space="preserve"> and Hercules</w:t>
      </w:r>
      <w:r w:rsidR="0049216B" w:rsidRPr="003F3B24">
        <w:rPr>
          <w:rFonts w:ascii="Times New Roman" w:hAnsi="Times New Roman" w:cs="Times New Roman"/>
          <w:sz w:val="24"/>
        </w:rPr>
        <w:t>,</w:t>
      </w:r>
      <w:r w:rsidRPr="003F3B24">
        <w:rPr>
          <w:rFonts w:ascii="Times New Roman" w:hAnsi="Times New Roman" w:cs="Times New Roman"/>
          <w:sz w:val="24"/>
        </w:rPr>
        <w:t xml:space="preserve"> which are both overlapped by two prominent themes</w:t>
      </w:r>
      <w:r w:rsidR="007B0CE1">
        <w:rPr>
          <w:rFonts w:ascii="Times New Roman" w:hAnsi="Times New Roman" w:cs="Times New Roman"/>
          <w:sz w:val="24"/>
        </w:rPr>
        <w:t>:</w:t>
      </w:r>
      <w:r w:rsidRPr="003F3B24">
        <w:rPr>
          <w:rFonts w:ascii="Times New Roman" w:hAnsi="Times New Roman" w:cs="Times New Roman"/>
          <w:sz w:val="24"/>
        </w:rPr>
        <w:t xml:space="preserve"> </w:t>
      </w:r>
      <w:r w:rsidR="007B0CE1">
        <w:rPr>
          <w:rFonts w:ascii="Times New Roman" w:hAnsi="Times New Roman" w:cs="Times New Roman"/>
          <w:sz w:val="24"/>
        </w:rPr>
        <w:t>t</w:t>
      </w:r>
      <w:r w:rsidRPr="003F3B24">
        <w:rPr>
          <w:rFonts w:ascii="Times New Roman" w:hAnsi="Times New Roman" w:cs="Times New Roman"/>
          <w:sz w:val="24"/>
        </w:rPr>
        <w:t>he death of his brother and marrying his mistress, death and marriage</w:t>
      </w:r>
      <w:r w:rsidR="0049216B" w:rsidRPr="003F3B24">
        <w:rPr>
          <w:rFonts w:ascii="Times New Roman" w:hAnsi="Times New Roman" w:cs="Times New Roman"/>
          <w:sz w:val="24"/>
        </w:rPr>
        <w:t xml:space="preserve"> which exists as love, desire and passion.</w:t>
      </w:r>
    </w:p>
    <w:p w:rsidR="00E727D4" w:rsidRPr="003F3B24" w:rsidRDefault="00E727D4" w:rsidP="007955CE">
      <w:pPr>
        <w:spacing w:line="480" w:lineRule="auto"/>
        <w:rPr>
          <w:rFonts w:ascii="Times New Roman" w:hAnsi="Times New Roman" w:cs="Times New Roman"/>
          <w:sz w:val="24"/>
        </w:rPr>
      </w:pPr>
    </w:p>
    <w:p w:rsidR="00706134" w:rsidRPr="003F3B24" w:rsidRDefault="00F47E62" w:rsidP="007955CE">
      <w:pPr>
        <w:spacing w:line="480" w:lineRule="auto"/>
        <w:rPr>
          <w:rFonts w:ascii="Times New Roman" w:hAnsi="Times New Roman" w:cs="Times New Roman"/>
          <w:sz w:val="24"/>
        </w:rPr>
      </w:pPr>
      <w:r w:rsidRPr="003F3B24">
        <w:rPr>
          <w:rFonts w:ascii="Times New Roman" w:hAnsi="Times New Roman" w:cs="Times New Roman"/>
          <w:sz w:val="24"/>
        </w:rPr>
        <w:t>The poem focuses on marriage, and is referenced through the mentioning of Lesbia as she “set the sole of her shining foot on the smooth threshold”</w:t>
      </w:r>
      <w:r w:rsidR="007B0CE1">
        <w:rPr>
          <w:rFonts w:ascii="Times New Roman" w:hAnsi="Times New Roman" w:cs="Times New Roman"/>
          <w:sz w:val="24"/>
        </w:rPr>
        <w:t xml:space="preserve"> w</w:t>
      </w:r>
      <w:r w:rsidRPr="003F3B24">
        <w:rPr>
          <w:rFonts w:ascii="Times New Roman" w:hAnsi="Times New Roman" w:cs="Times New Roman"/>
          <w:sz w:val="24"/>
        </w:rPr>
        <w:t xml:space="preserve">hich is then followed by the parallel of Laodamia “burning with love to the house of </w:t>
      </w:r>
      <w:proofErr w:type="spellStart"/>
      <w:r w:rsidRPr="003F3B24">
        <w:rPr>
          <w:rFonts w:ascii="Times New Roman" w:hAnsi="Times New Roman" w:cs="Times New Roman"/>
          <w:sz w:val="24"/>
        </w:rPr>
        <w:t>Protesilaus</w:t>
      </w:r>
      <w:proofErr w:type="spellEnd"/>
      <w:r w:rsidRPr="003F3B24">
        <w:rPr>
          <w:rFonts w:ascii="Times New Roman" w:hAnsi="Times New Roman" w:cs="Times New Roman"/>
          <w:sz w:val="24"/>
        </w:rPr>
        <w:t xml:space="preserve">.” The importance of this would be </w:t>
      </w:r>
      <w:r w:rsidR="007B0CE1">
        <w:rPr>
          <w:rFonts w:ascii="Times New Roman" w:hAnsi="Times New Roman" w:cs="Times New Roman"/>
          <w:sz w:val="24"/>
        </w:rPr>
        <w:t>dependent on</w:t>
      </w:r>
      <w:r w:rsidRPr="003F3B24">
        <w:rPr>
          <w:rFonts w:ascii="Times New Roman" w:hAnsi="Times New Roman" w:cs="Times New Roman"/>
          <w:sz w:val="24"/>
        </w:rPr>
        <w:t xml:space="preserve"> the reader</w:t>
      </w:r>
      <w:r w:rsidR="007B0CE1">
        <w:rPr>
          <w:rFonts w:ascii="Times New Roman" w:hAnsi="Times New Roman" w:cs="Times New Roman"/>
          <w:sz w:val="24"/>
        </w:rPr>
        <w:t>’</w:t>
      </w:r>
      <w:r w:rsidRPr="003F3B24">
        <w:rPr>
          <w:rFonts w:ascii="Times New Roman" w:hAnsi="Times New Roman" w:cs="Times New Roman"/>
          <w:sz w:val="24"/>
        </w:rPr>
        <w:t xml:space="preserve">s own education on Troy, a cultural discussion point and epic known to many. Catullus is referencing the love held between the two people, and how </w:t>
      </w:r>
      <w:r w:rsidR="0049216B" w:rsidRPr="003F3B24">
        <w:rPr>
          <w:rFonts w:ascii="Times New Roman" w:hAnsi="Times New Roman" w:cs="Times New Roman"/>
          <w:sz w:val="24"/>
        </w:rPr>
        <w:t>they were</w:t>
      </w:r>
      <w:r w:rsidRPr="003F3B24">
        <w:rPr>
          <w:rFonts w:ascii="Times New Roman" w:hAnsi="Times New Roman" w:cs="Times New Roman"/>
          <w:sz w:val="24"/>
        </w:rPr>
        <w:t xml:space="preserve"> to be wed. The crossing of the threshold is Catullus being in the fantasy that Lesbia will be crossing over as his bride</w:t>
      </w:r>
      <w:r w:rsidR="007B0CE1">
        <w:rPr>
          <w:rFonts w:ascii="Times New Roman" w:hAnsi="Times New Roman" w:cs="Times New Roman"/>
          <w:sz w:val="24"/>
        </w:rPr>
        <w:t xml:space="preserve">, </w:t>
      </w:r>
      <w:r w:rsidRPr="003F3B24">
        <w:rPr>
          <w:rFonts w:ascii="Times New Roman" w:hAnsi="Times New Roman" w:cs="Times New Roman"/>
          <w:sz w:val="24"/>
        </w:rPr>
        <w:t>but that is not the case, for Catullus says how “she did not come for me by her father’s hand.”</w:t>
      </w:r>
      <w:r w:rsidR="00B316D6">
        <w:rPr>
          <w:rStyle w:val="FootnoteReference"/>
          <w:rFonts w:ascii="Times New Roman" w:hAnsi="Times New Roman" w:cs="Times New Roman"/>
          <w:sz w:val="24"/>
        </w:rPr>
        <w:footnoteReference w:id="2"/>
      </w:r>
      <w:r w:rsidRPr="003F3B24">
        <w:rPr>
          <w:rFonts w:ascii="Times New Roman" w:hAnsi="Times New Roman" w:cs="Times New Roman"/>
          <w:sz w:val="24"/>
        </w:rPr>
        <w:t xml:space="preserve"> However this does not disregard that myth and its importance</w:t>
      </w:r>
      <w:r w:rsidR="007B0CE1">
        <w:rPr>
          <w:rFonts w:ascii="Times New Roman" w:hAnsi="Times New Roman" w:cs="Times New Roman"/>
          <w:sz w:val="24"/>
        </w:rPr>
        <w:t>;</w:t>
      </w:r>
      <w:r w:rsidRPr="003F3B24">
        <w:rPr>
          <w:rFonts w:ascii="Times New Roman" w:hAnsi="Times New Roman" w:cs="Times New Roman"/>
          <w:sz w:val="24"/>
        </w:rPr>
        <w:t xml:space="preserve"> Catullus is mapping himself onto Laodamia, which is symbolic in itself, as this creates a power switch, making the male the submissive in the dynamic.</w:t>
      </w:r>
      <w:r w:rsidR="00B316D6">
        <w:rPr>
          <w:rStyle w:val="FootnoteReference"/>
          <w:rFonts w:ascii="Times New Roman" w:hAnsi="Times New Roman" w:cs="Times New Roman"/>
          <w:sz w:val="24"/>
        </w:rPr>
        <w:footnoteReference w:id="3"/>
      </w:r>
      <w:r w:rsidRPr="003F3B24">
        <w:rPr>
          <w:rFonts w:ascii="Times New Roman" w:hAnsi="Times New Roman" w:cs="Times New Roman"/>
          <w:sz w:val="24"/>
        </w:rPr>
        <w:t xml:space="preserve"> Like Laodamia is to </w:t>
      </w:r>
      <w:proofErr w:type="spellStart"/>
      <w:r w:rsidRPr="003F3B24">
        <w:rPr>
          <w:rFonts w:ascii="Times New Roman" w:hAnsi="Times New Roman" w:cs="Times New Roman"/>
          <w:sz w:val="24"/>
        </w:rPr>
        <w:t>Protesilaus</w:t>
      </w:r>
      <w:proofErr w:type="spellEnd"/>
      <w:r w:rsidRPr="003F3B24">
        <w:rPr>
          <w:rFonts w:ascii="Times New Roman" w:hAnsi="Times New Roman" w:cs="Times New Roman"/>
          <w:sz w:val="24"/>
        </w:rPr>
        <w:t>, Catullus is devout to Lesbia</w:t>
      </w:r>
      <w:r w:rsidR="007B0CE1">
        <w:rPr>
          <w:rFonts w:ascii="Times New Roman" w:hAnsi="Times New Roman" w:cs="Times New Roman"/>
          <w:sz w:val="24"/>
        </w:rPr>
        <w:t>;</w:t>
      </w:r>
      <w:r w:rsidRPr="003F3B24">
        <w:rPr>
          <w:rFonts w:ascii="Times New Roman" w:hAnsi="Times New Roman" w:cs="Times New Roman"/>
          <w:sz w:val="24"/>
        </w:rPr>
        <w:t xml:space="preserve"> he is committed to her wholeheartedly and this is why he looks at her with the illusion of marriage. Even though Lesbia is having an affair with him, he has to remind himself of t</w:t>
      </w:r>
      <w:r w:rsidR="007B0CE1">
        <w:rPr>
          <w:rFonts w:ascii="Times New Roman" w:hAnsi="Times New Roman" w:cs="Times New Roman"/>
          <w:sz w:val="24"/>
        </w:rPr>
        <w:t>he reality</w:t>
      </w:r>
      <w:r w:rsidRPr="003F3B24">
        <w:rPr>
          <w:rFonts w:ascii="Times New Roman" w:hAnsi="Times New Roman" w:cs="Times New Roman"/>
          <w:sz w:val="24"/>
        </w:rPr>
        <w:t xml:space="preserve"> and ignore his fantasy.</w:t>
      </w:r>
    </w:p>
    <w:p w:rsidR="00F47E62" w:rsidRPr="003F3B24" w:rsidRDefault="00F47E62" w:rsidP="007955CE">
      <w:pPr>
        <w:spacing w:line="480" w:lineRule="auto"/>
        <w:rPr>
          <w:rFonts w:ascii="Times New Roman" w:hAnsi="Times New Roman" w:cs="Times New Roman"/>
          <w:sz w:val="24"/>
        </w:rPr>
      </w:pPr>
      <w:r w:rsidRPr="003F3B24">
        <w:rPr>
          <w:rFonts w:ascii="Times New Roman" w:hAnsi="Times New Roman" w:cs="Times New Roman"/>
          <w:sz w:val="24"/>
        </w:rPr>
        <w:t>Catullus calls her his “fair goddess” yet later he refers to the gods stating “it is not reasonable that men should be compared with gods”</w:t>
      </w:r>
      <w:r w:rsidR="007B0CE1">
        <w:rPr>
          <w:rFonts w:ascii="Times New Roman" w:hAnsi="Times New Roman" w:cs="Times New Roman"/>
          <w:sz w:val="24"/>
        </w:rPr>
        <w:t>. T</w:t>
      </w:r>
      <w:r w:rsidRPr="003F3B24">
        <w:rPr>
          <w:rFonts w:ascii="Times New Roman" w:hAnsi="Times New Roman" w:cs="Times New Roman"/>
          <w:sz w:val="24"/>
        </w:rPr>
        <w:t>his is important</w:t>
      </w:r>
      <w:r w:rsidR="007B0CE1">
        <w:rPr>
          <w:rFonts w:ascii="Times New Roman" w:hAnsi="Times New Roman" w:cs="Times New Roman"/>
          <w:sz w:val="24"/>
        </w:rPr>
        <w:t>:</w:t>
      </w:r>
      <w:r w:rsidRPr="003F3B24">
        <w:rPr>
          <w:rFonts w:ascii="Times New Roman" w:hAnsi="Times New Roman" w:cs="Times New Roman"/>
          <w:sz w:val="24"/>
        </w:rPr>
        <w:t xml:space="preserve"> Catullus</w:t>
      </w:r>
      <w:r w:rsidR="007B0CE1">
        <w:rPr>
          <w:rFonts w:ascii="Times New Roman" w:hAnsi="Times New Roman" w:cs="Times New Roman"/>
          <w:sz w:val="24"/>
        </w:rPr>
        <w:t>,</w:t>
      </w:r>
      <w:r w:rsidRPr="003F3B24">
        <w:rPr>
          <w:rFonts w:ascii="Times New Roman" w:hAnsi="Times New Roman" w:cs="Times New Roman"/>
          <w:sz w:val="24"/>
        </w:rPr>
        <w:t xml:space="preserve"> through </w:t>
      </w:r>
      <w:r w:rsidR="0049216B" w:rsidRPr="003F3B24">
        <w:rPr>
          <w:rFonts w:ascii="Times New Roman" w:hAnsi="Times New Roman" w:cs="Times New Roman"/>
          <w:sz w:val="24"/>
        </w:rPr>
        <w:t>referring</w:t>
      </w:r>
      <w:r w:rsidRPr="003F3B24">
        <w:rPr>
          <w:rFonts w:ascii="Times New Roman" w:hAnsi="Times New Roman" w:cs="Times New Roman"/>
          <w:sz w:val="24"/>
        </w:rPr>
        <w:t xml:space="preserve"> to </w:t>
      </w:r>
      <w:r w:rsidRPr="003F3B24">
        <w:rPr>
          <w:rFonts w:ascii="Times New Roman" w:hAnsi="Times New Roman" w:cs="Times New Roman"/>
          <w:sz w:val="24"/>
        </w:rPr>
        <w:lastRenderedPageBreak/>
        <w:t>Lesbia pr</w:t>
      </w:r>
      <w:r w:rsidR="007B0CE1">
        <w:rPr>
          <w:rFonts w:ascii="Times New Roman" w:hAnsi="Times New Roman" w:cs="Times New Roman"/>
          <w:sz w:val="24"/>
        </w:rPr>
        <w:t>eviously</w:t>
      </w:r>
      <w:r w:rsidRPr="003F3B24">
        <w:rPr>
          <w:rFonts w:ascii="Times New Roman" w:hAnsi="Times New Roman" w:cs="Times New Roman"/>
          <w:sz w:val="24"/>
        </w:rPr>
        <w:t xml:space="preserve"> as a divine</w:t>
      </w:r>
      <w:r w:rsidR="007B0CE1">
        <w:rPr>
          <w:rFonts w:ascii="Times New Roman" w:hAnsi="Times New Roman" w:cs="Times New Roman"/>
          <w:sz w:val="24"/>
        </w:rPr>
        <w:t>,</w:t>
      </w:r>
      <w:r w:rsidRPr="003F3B24">
        <w:rPr>
          <w:rFonts w:ascii="Times New Roman" w:hAnsi="Times New Roman" w:cs="Times New Roman"/>
          <w:sz w:val="24"/>
        </w:rPr>
        <w:t xml:space="preserve"> should prompt the reader or recipient Allius to presume Lesbia has been unfaithful to Catullus and the reference to Juno later in the passage has dealt with “the many loves of all-amorous Jove”</w:t>
      </w:r>
      <w:r w:rsidR="00B316D6">
        <w:rPr>
          <w:rFonts w:ascii="Times New Roman" w:hAnsi="Times New Roman" w:cs="Times New Roman"/>
          <w:sz w:val="24"/>
        </w:rPr>
        <w:t>.</w:t>
      </w:r>
      <w:r w:rsidR="00B316D6">
        <w:rPr>
          <w:rStyle w:val="FootnoteReference"/>
          <w:rFonts w:ascii="Times New Roman" w:hAnsi="Times New Roman" w:cs="Times New Roman"/>
          <w:sz w:val="24"/>
        </w:rPr>
        <w:footnoteReference w:id="4"/>
      </w:r>
      <w:r w:rsidR="00B316D6">
        <w:rPr>
          <w:rFonts w:ascii="Times New Roman" w:hAnsi="Times New Roman" w:cs="Times New Roman"/>
          <w:sz w:val="24"/>
        </w:rPr>
        <w:t xml:space="preserve"> This means</w:t>
      </w:r>
      <w:r w:rsidRPr="003F3B24">
        <w:rPr>
          <w:rFonts w:ascii="Times New Roman" w:hAnsi="Times New Roman" w:cs="Times New Roman"/>
          <w:sz w:val="24"/>
        </w:rPr>
        <w:t xml:space="preserve"> that Catullus is placing himself in the position of Juno, and Lesbia therefor</w:t>
      </w:r>
      <w:r w:rsidR="007B0CE1">
        <w:rPr>
          <w:rFonts w:ascii="Times New Roman" w:hAnsi="Times New Roman" w:cs="Times New Roman"/>
          <w:sz w:val="24"/>
        </w:rPr>
        <w:t>e</w:t>
      </w:r>
      <w:r w:rsidRPr="003F3B24">
        <w:rPr>
          <w:rFonts w:ascii="Times New Roman" w:hAnsi="Times New Roman" w:cs="Times New Roman"/>
          <w:sz w:val="24"/>
        </w:rPr>
        <w:t xml:space="preserve"> is Jupiter, but even Juno forgives Jupiter for his infidelity.</w:t>
      </w:r>
      <w:r w:rsidR="00B04C95">
        <w:rPr>
          <w:rStyle w:val="FootnoteReference"/>
          <w:rFonts w:ascii="Times New Roman" w:hAnsi="Times New Roman" w:cs="Times New Roman"/>
          <w:sz w:val="24"/>
        </w:rPr>
        <w:footnoteReference w:id="5"/>
      </w:r>
      <w:r w:rsidRPr="003F3B24">
        <w:rPr>
          <w:rFonts w:ascii="Times New Roman" w:hAnsi="Times New Roman" w:cs="Times New Roman"/>
          <w:sz w:val="24"/>
        </w:rPr>
        <w:t xml:space="preserve"> This submissiveness is symbolic as it portrays Catullus as a slave for love and Lesbia being his only desire like Laodamia to </w:t>
      </w:r>
      <w:proofErr w:type="spellStart"/>
      <w:r w:rsidRPr="003F3B24">
        <w:rPr>
          <w:rFonts w:ascii="Times New Roman" w:hAnsi="Times New Roman" w:cs="Times New Roman"/>
          <w:sz w:val="24"/>
        </w:rPr>
        <w:t>Protesilaus</w:t>
      </w:r>
      <w:proofErr w:type="spellEnd"/>
      <w:r w:rsidRPr="003F3B24">
        <w:rPr>
          <w:rFonts w:ascii="Times New Roman" w:hAnsi="Times New Roman" w:cs="Times New Roman"/>
          <w:sz w:val="24"/>
        </w:rPr>
        <w:t>.</w:t>
      </w:r>
      <w:r w:rsidR="00FA2B4F">
        <w:rPr>
          <w:rStyle w:val="FootnoteReference"/>
          <w:rFonts w:ascii="Times New Roman" w:hAnsi="Times New Roman" w:cs="Times New Roman"/>
          <w:sz w:val="24"/>
        </w:rPr>
        <w:footnoteReference w:id="6"/>
      </w:r>
      <w:r w:rsidRPr="003F3B24">
        <w:rPr>
          <w:rFonts w:ascii="Times New Roman" w:hAnsi="Times New Roman" w:cs="Times New Roman"/>
          <w:sz w:val="24"/>
        </w:rPr>
        <w:t xml:space="preserve"> </w:t>
      </w:r>
      <w:r w:rsidR="0049216B" w:rsidRPr="003F3B24">
        <w:rPr>
          <w:rFonts w:ascii="Times New Roman" w:hAnsi="Times New Roman" w:cs="Times New Roman"/>
          <w:sz w:val="24"/>
        </w:rPr>
        <w:t xml:space="preserve">The submissiveness of the poet is also similar to the imagery of him being a flower </w:t>
      </w:r>
      <w:r w:rsidR="00BC56FD" w:rsidRPr="003F3B24">
        <w:rPr>
          <w:rFonts w:ascii="Times New Roman" w:hAnsi="Times New Roman" w:cs="Times New Roman"/>
          <w:sz w:val="24"/>
        </w:rPr>
        <w:t>in poem 12</w:t>
      </w:r>
      <w:r w:rsidR="00D15779">
        <w:rPr>
          <w:rFonts w:ascii="Times New Roman" w:hAnsi="Times New Roman" w:cs="Times New Roman"/>
          <w:sz w:val="24"/>
        </w:rPr>
        <w:t>:</w:t>
      </w:r>
      <w:r w:rsidR="00BC56FD" w:rsidRPr="003F3B24">
        <w:rPr>
          <w:rFonts w:ascii="Times New Roman" w:hAnsi="Times New Roman" w:cs="Times New Roman"/>
          <w:sz w:val="24"/>
        </w:rPr>
        <w:t xml:space="preserve"> </w:t>
      </w:r>
      <w:r w:rsidR="0049216B" w:rsidRPr="003F3B24">
        <w:rPr>
          <w:rFonts w:ascii="Times New Roman" w:hAnsi="Times New Roman" w:cs="Times New Roman"/>
          <w:sz w:val="24"/>
        </w:rPr>
        <w:t xml:space="preserve">“on the meadow’s edge, when it has been touched by the plough passing by.” </w:t>
      </w:r>
      <w:r w:rsidR="00D15779">
        <w:rPr>
          <w:rFonts w:ascii="Times New Roman" w:hAnsi="Times New Roman" w:cs="Times New Roman"/>
          <w:sz w:val="24"/>
        </w:rPr>
        <w:t>T</w:t>
      </w:r>
      <w:r w:rsidR="0049216B" w:rsidRPr="003F3B24">
        <w:rPr>
          <w:rFonts w:ascii="Times New Roman" w:hAnsi="Times New Roman" w:cs="Times New Roman"/>
          <w:sz w:val="24"/>
        </w:rPr>
        <w:t>he importance of this is because it is calling back to Sappho and her poetry.</w:t>
      </w:r>
      <w:r w:rsidR="00B316D6">
        <w:rPr>
          <w:rStyle w:val="FootnoteReference"/>
          <w:rFonts w:ascii="Times New Roman" w:hAnsi="Times New Roman" w:cs="Times New Roman"/>
          <w:sz w:val="24"/>
        </w:rPr>
        <w:footnoteReference w:id="7"/>
      </w:r>
      <w:r w:rsidR="0049216B" w:rsidRPr="003F3B24">
        <w:rPr>
          <w:rFonts w:ascii="Times New Roman" w:hAnsi="Times New Roman" w:cs="Times New Roman"/>
          <w:sz w:val="24"/>
        </w:rPr>
        <w:t xml:space="preserve"> The flower is a typical symbol for the woman, and Sappho </w:t>
      </w:r>
      <w:r w:rsidR="00BC56FD" w:rsidRPr="003F3B24">
        <w:rPr>
          <w:rFonts w:ascii="Times New Roman" w:hAnsi="Times New Roman" w:cs="Times New Roman"/>
          <w:sz w:val="24"/>
        </w:rPr>
        <w:t>recalls a “Mountain Hyacinth” being trampled</w:t>
      </w:r>
      <w:r w:rsidR="00D15779">
        <w:rPr>
          <w:rFonts w:ascii="Times New Roman" w:hAnsi="Times New Roman" w:cs="Times New Roman"/>
          <w:sz w:val="24"/>
        </w:rPr>
        <w:t>;</w:t>
      </w:r>
      <w:r w:rsidR="00BC56FD" w:rsidRPr="003F3B24">
        <w:rPr>
          <w:rFonts w:ascii="Times New Roman" w:hAnsi="Times New Roman" w:cs="Times New Roman"/>
          <w:sz w:val="24"/>
        </w:rPr>
        <w:t xml:space="preserve"> after all Lesbia is a pseudonym which is relating back to Sap</w:t>
      </w:r>
      <w:r w:rsidR="00D15779">
        <w:rPr>
          <w:rFonts w:ascii="Times New Roman" w:hAnsi="Times New Roman" w:cs="Times New Roman"/>
          <w:sz w:val="24"/>
        </w:rPr>
        <w:t>p</w:t>
      </w:r>
      <w:r w:rsidR="00BC56FD" w:rsidRPr="003F3B24">
        <w:rPr>
          <w:rFonts w:ascii="Times New Roman" w:hAnsi="Times New Roman" w:cs="Times New Roman"/>
          <w:sz w:val="24"/>
        </w:rPr>
        <w:t>ho and her own poetry</w:t>
      </w:r>
      <w:r w:rsidR="00D15779">
        <w:rPr>
          <w:rFonts w:ascii="Times New Roman" w:hAnsi="Times New Roman" w:cs="Times New Roman"/>
          <w:sz w:val="24"/>
        </w:rPr>
        <w:t>,</w:t>
      </w:r>
      <w:r w:rsidR="00B316D6">
        <w:rPr>
          <w:rStyle w:val="FootnoteReference"/>
          <w:rFonts w:ascii="Times New Roman" w:hAnsi="Times New Roman" w:cs="Times New Roman"/>
          <w:sz w:val="24"/>
        </w:rPr>
        <w:footnoteReference w:id="8"/>
      </w:r>
      <w:r w:rsidR="00BC56FD" w:rsidRPr="003F3B24">
        <w:rPr>
          <w:rFonts w:ascii="Times New Roman" w:hAnsi="Times New Roman" w:cs="Times New Roman"/>
          <w:sz w:val="24"/>
        </w:rPr>
        <w:t xml:space="preserve"> </w:t>
      </w:r>
      <w:r w:rsidR="00D15779">
        <w:rPr>
          <w:rFonts w:ascii="Times New Roman" w:hAnsi="Times New Roman" w:cs="Times New Roman"/>
          <w:sz w:val="24"/>
        </w:rPr>
        <w:t xml:space="preserve">hence </w:t>
      </w:r>
      <w:r w:rsidR="00BA0041" w:rsidRPr="003F3B24">
        <w:rPr>
          <w:rFonts w:ascii="Times New Roman" w:hAnsi="Times New Roman" w:cs="Times New Roman"/>
          <w:sz w:val="24"/>
        </w:rPr>
        <w:t>the importance as to why</w:t>
      </w:r>
      <w:r w:rsidR="00BC56FD" w:rsidRPr="003F3B24">
        <w:rPr>
          <w:rFonts w:ascii="Times New Roman" w:hAnsi="Times New Roman" w:cs="Times New Roman"/>
          <w:sz w:val="24"/>
        </w:rPr>
        <w:t xml:space="preserve"> Catullus is being submissive to Lesbia.</w:t>
      </w:r>
    </w:p>
    <w:p w:rsidR="00F47E62" w:rsidRPr="003F3B24" w:rsidRDefault="00F47E62" w:rsidP="007955CE">
      <w:pPr>
        <w:spacing w:line="480" w:lineRule="auto"/>
        <w:rPr>
          <w:rFonts w:ascii="Times New Roman" w:hAnsi="Times New Roman" w:cs="Times New Roman"/>
          <w:sz w:val="24"/>
        </w:rPr>
      </w:pPr>
    </w:p>
    <w:p w:rsidR="0049216B" w:rsidRDefault="00F47E62" w:rsidP="007955CE">
      <w:pPr>
        <w:spacing w:line="480" w:lineRule="auto"/>
        <w:rPr>
          <w:rFonts w:ascii="Times New Roman" w:hAnsi="Times New Roman" w:cs="Times New Roman"/>
          <w:sz w:val="24"/>
        </w:rPr>
      </w:pPr>
      <w:r w:rsidRPr="003F3B24">
        <w:rPr>
          <w:rFonts w:ascii="Times New Roman" w:hAnsi="Times New Roman" w:cs="Times New Roman"/>
          <w:sz w:val="24"/>
        </w:rPr>
        <w:t>The poem also holds the notion of death through myth and how the only way to overcome death is through love or passion. At the start of the argued independent poem to Manlius, Catullus states how “ all my joys have died” which to a poet could be his passion.</w:t>
      </w:r>
      <w:r w:rsidR="00F05D00">
        <w:rPr>
          <w:rStyle w:val="FootnoteReference"/>
          <w:rFonts w:ascii="Times New Roman" w:hAnsi="Times New Roman" w:cs="Times New Roman"/>
          <w:sz w:val="24"/>
        </w:rPr>
        <w:footnoteReference w:id="9"/>
      </w:r>
      <w:r w:rsidRPr="003F3B24">
        <w:rPr>
          <w:rFonts w:ascii="Times New Roman" w:hAnsi="Times New Roman" w:cs="Times New Roman"/>
          <w:sz w:val="24"/>
        </w:rPr>
        <w:t xml:space="preserve"> The reason this is important is because the lines in focus have a strong </w:t>
      </w:r>
      <w:r w:rsidR="00D15779">
        <w:rPr>
          <w:rFonts w:ascii="Times New Roman" w:hAnsi="Times New Roman" w:cs="Times New Roman"/>
          <w:sz w:val="24"/>
        </w:rPr>
        <w:t xml:space="preserve">emphasis </w:t>
      </w:r>
      <w:r w:rsidRPr="003F3B24">
        <w:rPr>
          <w:rFonts w:ascii="Times New Roman" w:hAnsi="Times New Roman" w:cs="Times New Roman"/>
          <w:sz w:val="24"/>
        </w:rPr>
        <w:t>on two geographical locations, which both relate to Hercules.</w:t>
      </w:r>
      <w:r w:rsidR="00F05D00">
        <w:rPr>
          <w:rStyle w:val="FootnoteReference"/>
          <w:rFonts w:ascii="Times New Roman" w:hAnsi="Times New Roman" w:cs="Times New Roman"/>
          <w:sz w:val="24"/>
        </w:rPr>
        <w:footnoteReference w:id="10"/>
      </w:r>
      <w:r w:rsidRPr="003F3B24">
        <w:rPr>
          <w:rFonts w:ascii="Times New Roman" w:hAnsi="Times New Roman" w:cs="Times New Roman"/>
          <w:sz w:val="24"/>
        </w:rPr>
        <w:t xml:space="preserve"> This is important for these locations are tied to the funeral pyre of Hercules. The sacrifice and pain Heracles undergoes are symbolic to the “cheeks… streaming with a flood of sorrow” at the death of Catullus’ brother. Then there is the death of </w:t>
      </w:r>
      <w:proofErr w:type="spellStart"/>
      <w:r w:rsidRPr="003F3B24">
        <w:rPr>
          <w:rFonts w:ascii="Times New Roman" w:hAnsi="Times New Roman" w:cs="Times New Roman"/>
          <w:sz w:val="24"/>
        </w:rPr>
        <w:t>Protesilaus</w:t>
      </w:r>
      <w:proofErr w:type="spellEnd"/>
      <w:r w:rsidRPr="003F3B24">
        <w:rPr>
          <w:rFonts w:ascii="Times New Roman" w:hAnsi="Times New Roman" w:cs="Times New Roman"/>
          <w:sz w:val="24"/>
        </w:rPr>
        <w:t xml:space="preserve"> at Troy</w:t>
      </w:r>
      <w:r w:rsidR="00D15779">
        <w:rPr>
          <w:rFonts w:ascii="Times New Roman" w:hAnsi="Times New Roman" w:cs="Times New Roman"/>
          <w:sz w:val="24"/>
        </w:rPr>
        <w:t xml:space="preserve">; </w:t>
      </w:r>
      <w:r w:rsidRPr="003F3B24">
        <w:rPr>
          <w:rFonts w:ascii="Times New Roman" w:hAnsi="Times New Roman" w:cs="Times New Roman"/>
          <w:sz w:val="24"/>
        </w:rPr>
        <w:t xml:space="preserve">Catullus too </w:t>
      </w:r>
      <w:r w:rsidR="00D15779">
        <w:rPr>
          <w:rFonts w:ascii="Times New Roman" w:hAnsi="Times New Roman" w:cs="Times New Roman"/>
          <w:sz w:val="24"/>
        </w:rPr>
        <w:t xml:space="preserve">depicts </w:t>
      </w:r>
      <w:r w:rsidRPr="003F3B24">
        <w:rPr>
          <w:rFonts w:ascii="Times New Roman" w:hAnsi="Times New Roman" w:cs="Times New Roman"/>
          <w:sz w:val="24"/>
        </w:rPr>
        <w:t>los</w:t>
      </w:r>
      <w:r w:rsidR="00D15779">
        <w:rPr>
          <w:rFonts w:ascii="Times New Roman" w:hAnsi="Times New Roman" w:cs="Times New Roman"/>
          <w:sz w:val="24"/>
        </w:rPr>
        <w:t>ing</w:t>
      </w:r>
      <w:r w:rsidRPr="003F3B24">
        <w:rPr>
          <w:rFonts w:ascii="Times New Roman" w:hAnsi="Times New Roman" w:cs="Times New Roman"/>
          <w:sz w:val="24"/>
        </w:rPr>
        <w:t xml:space="preserve"> his brother </w:t>
      </w:r>
      <w:r w:rsidRPr="003F3B24">
        <w:rPr>
          <w:rFonts w:ascii="Times New Roman" w:hAnsi="Times New Roman" w:cs="Times New Roman"/>
          <w:sz w:val="24"/>
        </w:rPr>
        <w:lastRenderedPageBreak/>
        <w:t>there.</w:t>
      </w:r>
      <w:r w:rsidR="00851707">
        <w:rPr>
          <w:rStyle w:val="FootnoteReference"/>
          <w:rFonts w:ascii="Times New Roman" w:hAnsi="Times New Roman" w:cs="Times New Roman"/>
          <w:sz w:val="24"/>
        </w:rPr>
        <w:footnoteReference w:id="11"/>
      </w:r>
      <w:r w:rsidRPr="003F3B24">
        <w:rPr>
          <w:rFonts w:ascii="Times New Roman" w:hAnsi="Times New Roman" w:cs="Times New Roman"/>
          <w:sz w:val="24"/>
        </w:rPr>
        <w:t xml:space="preserve"> However all these myths link back to their love</w:t>
      </w:r>
      <w:r w:rsidR="00D15779">
        <w:rPr>
          <w:rFonts w:ascii="Times New Roman" w:hAnsi="Times New Roman" w:cs="Times New Roman"/>
          <w:sz w:val="24"/>
        </w:rPr>
        <w:t>;</w:t>
      </w:r>
      <w:r w:rsidRPr="003F3B24">
        <w:rPr>
          <w:rFonts w:ascii="Times New Roman" w:hAnsi="Times New Roman" w:cs="Times New Roman"/>
          <w:sz w:val="24"/>
        </w:rPr>
        <w:t xml:space="preserve"> the heat and burning is all cooled through “bright streams… gushing headlong down the steep valley” for Hercules’ funeral pyre was cooled down and allowed him to marry Hebe, taming his passion.</w:t>
      </w:r>
      <w:r w:rsidR="00DB062B">
        <w:rPr>
          <w:rStyle w:val="FootnoteReference"/>
          <w:rFonts w:ascii="Times New Roman" w:hAnsi="Times New Roman" w:cs="Times New Roman"/>
          <w:sz w:val="24"/>
        </w:rPr>
        <w:footnoteReference w:id="12"/>
      </w:r>
      <w:r w:rsidRPr="003F3B24">
        <w:rPr>
          <w:rFonts w:ascii="Times New Roman" w:hAnsi="Times New Roman" w:cs="Times New Roman"/>
          <w:sz w:val="24"/>
        </w:rPr>
        <w:t xml:space="preserve"> Catullus tames his own pain at the death of his brother, through dedication to Lesbia</w:t>
      </w:r>
      <w:r w:rsidR="00D15779">
        <w:rPr>
          <w:rFonts w:ascii="Times New Roman" w:hAnsi="Times New Roman" w:cs="Times New Roman"/>
          <w:sz w:val="24"/>
        </w:rPr>
        <w:t>,</w:t>
      </w:r>
      <w:r w:rsidRPr="003F3B24">
        <w:rPr>
          <w:rFonts w:ascii="Times New Roman" w:hAnsi="Times New Roman" w:cs="Times New Roman"/>
          <w:sz w:val="24"/>
        </w:rPr>
        <w:t xml:space="preserve"> </w:t>
      </w:r>
      <w:r w:rsidR="00D15779">
        <w:rPr>
          <w:rFonts w:ascii="Times New Roman" w:hAnsi="Times New Roman" w:cs="Times New Roman"/>
          <w:sz w:val="24"/>
        </w:rPr>
        <w:t>describing her as</w:t>
      </w:r>
      <w:r w:rsidRPr="003F3B24">
        <w:rPr>
          <w:rFonts w:ascii="Times New Roman" w:hAnsi="Times New Roman" w:cs="Times New Roman"/>
          <w:sz w:val="24"/>
        </w:rPr>
        <w:t xml:space="preserve"> “she who is dearer to me than myself”.</w:t>
      </w:r>
      <w:r w:rsidR="00F05D00">
        <w:rPr>
          <w:rStyle w:val="FootnoteReference"/>
          <w:rFonts w:ascii="Times New Roman" w:hAnsi="Times New Roman" w:cs="Times New Roman"/>
          <w:sz w:val="24"/>
        </w:rPr>
        <w:footnoteReference w:id="13"/>
      </w:r>
      <w:r w:rsidRPr="003F3B24">
        <w:rPr>
          <w:rFonts w:ascii="Times New Roman" w:hAnsi="Times New Roman" w:cs="Times New Roman"/>
          <w:sz w:val="24"/>
        </w:rPr>
        <w:t xml:space="preserve"> </w:t>
      </w:r>
      <w:r w:rsidR="00D15779">
        <w:rPr>
          <w:rFonts w:ascii="Times New Roman" w:hAnsi="Times New Roman" w:cs="Times New Roman"/>
          <w:sz w:val="24"/>
        </w:rPr>
        <w:t>This suggests</w:t>
      </w:r>
      <w:r w:rsidRPr="003F3B24">
        <w:rPr>
          <w:rFonts w:ascii="Times New Roman" w:hAnsi="Times New Roman" w:cs="Times New Roman"/>
          <w:sz w:val="24"/>
        </w:rPr>
        <w:t xml:space="preserve"> the intertwining of the Herculean pyre and </w:t>
      </w:r>
      <w:r w:rsidR="00D15779">
        <w:rPr>
          <w:rFonts w:ascii="Times New Roman" w:hAnsi="Times New Roman" w:cs="Times New Roman"/>
          <w:sz w:val="24"/>
        </w:rPr>
        <w:t>Catullus’</w:t>
      </w:r>
      <w:r w:rsidRPr="003F3B24">
        <w:rPr>
          <w:rFonts w:ascii="Times New Roman" w:hAnsi="Times New Roman" w:cs="Times New Roman"/>
          <w:sz w:val="24"/>
        </w:rPr>
        <w:t xml:space="preserve"> own mourning, </w:t>
      </w:r>
      <w:r w:rsidR="00B23B97">
        <w:rPr>
          <w:rFonts w:ascii="Times New Roman" w:hAnsi="Times New Roman" w:cs="Times New Roman"/>
          <w:sz w:val="24"/>
        </w:rPr>
        <w:t xml:space="preserve">which are painful to start but both end with relief. </w:t>
      </w:r>
    </w:p>
    <w:p w:rsidR="00B23B97" w:rsidRPr="003F3B24" w:rsidRDefault="00B23B97" w:rsidP="007955CE">
      <w:pPr>
        <w:spacing w:line="480" w:lineRule="auto"/>
        <w:rPr>
          <w:rFonts w:ascii="Times New Roman" w:hAnsi="Times New Roman" w:cs="Times New Roman"/>
          <w:sz w:val="24"/>
        </w:rPr>
      </w:pPr>
    </w:p>
    <w:p w:rsidR="00F47E62" w:rsidRPr="003F3B24" w:rsidRDefault="00F47E62" w:rsidP="007955CE">
      <w:pPr>
        <w:spacing w:line="480" w:lineRule="auto"/>
        <w:rPr>
          <w:rFonts w:ascii="Times New Roman" w:hAnsi="Times New Roman" w:cs="Times New Roman"/>
          <w:sz w:val="24"/>
        </w:rPr>
      </w:pPr>
      <w:r w:rsidRPr="003F3B24">
        <w:rPr>
          <w:rFonts w:ascii="Times New Roman" w:hAnsi="Times New Roman" w:cs="Times New Roman"/>
          <w:sz w:val="24"/>
        </w:rPr>
        <w:t>There is still the Laodamia myth to address</w:t>
      </w:r>
      <w:r w:rsidR="00B23B97">
        <w:rPr>
          <w:rFonts w:ascii="Times New Roman" w:hAnsi="Times New Roman" w:cs="Times New Roman"/>
          <w:sz w:val="24"/>
        </w:rPr>
        <w:t xml:space="preserve">, </w:t>
      </w:r>
      <w:r w:rsidRPr="003F3B24">
        <w:rPr>
          <w:rFonts w:ascii="Times New Roman" w:hAnsi="Times New Roman" w:cs="Times New Roman"/>
          <w:sz w:val="24"/>
        </w:rPr>
        <w:t>and this is important as the passion is not contained</w:t>
      </w:r>
      <w:r w:rsidR="00B23B97">
        <w:rPr>
          <w:rFonts w:ascii="Times New Roman" w:hAnsi="Times New Roman" w:cs="Times New Roman"/>
          <w:sz w:val="24"/>
        </w:rPr>
        <w:t>: t</w:t>
      </w:r>
      <w:r w:rsidRPr="003F3B24">
        <w:rPr>
          <w:rFonts w:ascii="Times New Roman" w:hAnsi="Times New Roman" w:cs="Times New Roman"/>
          <w:sz w:val="24"/>
        </w:rPr>
        <w:t xml:space="preserve">he terminology for Catullus’ love in the lines is focused on the element of fire and heat. This is because the poem ends in </w:t>
      </w:r>
      <w:r w:rsidR="00B23B97">
        <w:rPr>
          <w:rFonts w:ascii="Times New Roman" w:hAnsi="Times New Roman" w:cs="Times New Roman"/>
          <w:sz w:val="24"/>
        </w:rPr>
        <w:t>t</w:t>
      </w:r>
      <w:r w:rsidRPr="003F3B24">
        <w:rPr>
          <w:rFonts w:ascii="Times New Roman" w:hAnsi="Times New Roman" w:cs="Times New Roman"/>
          <w:sz w:val="24"/>
        </w:rPr>
        <w:t>ragedy for Laodamia</w:t>
      </w:r>
      <w:r w:rsidR="00B23B97">
        <w:rPr>
          <w:rFonts w:ascii="Times New Roman" w:hAnsi="Times New Roman" w:cs="Times New Roman"/>
          <w:sz w:val="24"/>
        </w:rPr>
        <w:t>:</w:t>
      </w:r>
      <w:r w:rsidRPr="003F3B24">
        <w:rPr>
          <w:rFonts w:ascii="Times New Roman" w:hAnsi="Times New Roman" w:cs="Times New Roman"/>
          <w:sz w:val="24"/>
        </w:rPr>
        <w:t xml:space="preserve"> the marriage between her and </w:t>
      </w:r>
      <w:proofErr w:type="spellStart"/>
      <w:r w:rsidRPr="003F3B24">
        <w:rPr>
          <w:rFonts w:ascii="Times New Roman" w:hAnsi="Times New Roman" w:cs="Times New Roman"/>
          <w:sz w:val="24"/>
        </w:rPr>
        <w:t>Protesilaus</w:t>
      </w:r>
      <w:proofErr w:type="spellEnd"/>
      <w:r w:rsidRPr="003F3B24">
        <w:rPr>
          <w:rFonts w:ascii="Times New Roman" w:hAnsi="Times New Roman" w:cs="Times New Roman"/>
          <w:sz w:val="24"/>
        </w:rPr>
        <w:t xml:space="preserve"> never held sacrifice to the gods, and by ignoring a sacred rite therefor</w:t>
      </w:r>
      <w:r w:rsidR="00B23B97">
        <w:rPr>
          <w:rFonts w:ascii="Times New Roman" w:hAnsi="Times New Roman" w:cs="Times New Roman"/>
          <w:sz w:val="24"/>
        </w:rPr>
        <w:t>e</w:t>
      </w:r>
      <w:r w:rsidRPr="003F3B24">
        <w:rPr>
          <w:rFonts w:ascii="Times New Roman" w:hAnsi="Times New Roman" w:cs="Times New Roman"/>
          <w:sz w:val="24"/>
        </w:rPr>
        <w:t xml:space="preserve"> put ‘bad luck’ on them. </w:t>
      </w:r>
      <w:r w:rsidR="003F3B24">
        <w:rPr>
          <w:rFonts w:ascii="Times New Roman" w:hAnsi="Times New Roman" w:cs="Times New Roman"/>
          <w:sz w:val="24"/>
        </w:rPr>
        <w:t>This</w:t>
      </w:r>
      <w:r w:rsidRPr="003F3B24">
        <w:rPr>
          <w:rFonts w:ascii="Times New Roman" w:hAnsi="Times New Roman" w:cs="Times New Roman"/>
          <w:sz w:val="24"/>
        </w:rPr>
        <w:t xml:space="preserve"> is foreshadowing of the relationship between Catullus and Lesbia later in the poems</w:t>
      </w:r>
      <w:r w:rsidR="00B23B97">
        <w:rPr>
          <w:rFonts w:ascii="Times New Roman" w:hAnsi="Times New Roman" w:cs="Times New Roman"/>
          <w:sz w:val="24"/>
        </w:rPr>
        <w:t>,</w:t>
      </w:r>
      <w:r w:rsidRPr="003F3B24">
        <w:rPr>
          <w:rFonts w:ascii="Times New Roman" w:hAnsi="Times New Roman" w:cs="Times New Roman"/>
          <w:sz w:val="24"/>
        </w:rPr>
        <w:t xml:space="preserve"> such as poem </w:t>
      </w:r>
      <w:r w:rsidR="00011106" w:rsidRPr="003F3B24">
        <w:rPr>
          <w:rFonts w:ascii="Times New Roman" w:hAnsi="Times New Roman" w:cs="Times New Roman"/>
          <w:sz w:val="24"/>
        </w:rPr>
        <w:t>12</w:t>
      </w:r>
      <w:r w:rsidRPr="003F3B24">
        <w:rPr>
          <w:rFonts w:ascii="Times New Roman" w:hAnsi="Times New Roman" w:cs="Times New Roman"/>
          <w:sz w:val="24"/>
        </w:rPr>
        <w:t xml:space="preserve"> where we see </w:t>
      </w:r>
      <w:r w:rsidR="00011106" w:rsidRPr="003F3B24">
        <w:rPr>
          <w:rFonts w:ascii="Times New Roman" w:hAnsi="Times New Roman" w:cs="Times New Roman"/>
          <w:sz w:val="24"/>
        </w:rPr>
        <w:t>Catullus insult her by saying she has been attentive to “three hundred which she holds at once in her embrace” stating that she has been sleeping around with a vast number of men</w:t>
      </w:r>
      <w:r w:rsidRPr="003F3B24">
        <w:rPr>
          <w:rFonts w:ascii="Times New Roman" w:hAnsi="Times New Roman" w:cs="Times New Roman"/>
          <w:sz w:val="24"/>
        </w:rPr>
        <w:t>.</w:t>
      </w:r>
      <w:r w:rsidR="004876D6">
        <w:rPr>
          <w:rStyle w:val="FootnoteReference"/>
          <w:rFonts w:ascii="Times New Roman" w:hAnsi="Times New Roman" w:cs="Times New Roman"/>
          <w:sz w:val="24"/>
        </w:rPr>
        <w:footnoteReference w:id="14"/>
      </w:r>
      <w:r w:rsidRPr="003F3B24">
        <w:rPr>
          <w:rFonts w:ascii="Times New Roman" w:hAnsi="Times New Roman" w:cs="Times New Roman"/>
          <w:sz w:val="24"/>
        </w:rPr>
        <w:t xml:space="preserve"> </w:t>
      </w:r>
      <w:r w:rsidR="00C66124" w:rsidRPr="003F3B24">
        <w:rPr>
          <w:rFonts w:ascii="Times New Roman" w:hAnsi="Times New Roman" w:cs="Times New Roman"/>
          <w:sz w:val="24"/>
        </w:rPr>
        <w:t xml:space="preserve">In poem 83 we also see Catullus refer to Lesbia being seen in the “cross-roads and alleys…” which is implying that Lesbia is acting as a prostitute, an insult to the </w:t>
      </w:r>
      <w:proofErr w:type="spellStart"/>
      <w:r w:rsidR="00BA6AFA">
        <w:rPr>
          <w:rFonts w:ascii="Times New Roman" w:hAnsi="Times New Roman" w:cs="Times New Roman"/>
          <w:sz w:val="24"/>
        </w:rPr>
        <w:t>D</w:t>
      </w:r>
      <w:r w:rsidR="00C66124" w:rsidRPr="00BA6AFA">
        <w:rPr>
          <w:rFonts w:ascii="Times New Roman" w:hAnsi="Times New Roman" w:cs="Times New Roman"/>
          <w:sz w:val="24"/>
        </w:rPr>
        <w:t>omina</w:t>
      </w:r>
      <w:proofErr w:type="spellEnd"/>
      <w:r w:rsidR="00C66124" w:rsidRPr="003F3B24">
        <w:rPr>
          <w:rFonts w:ascii="Times New Roman" w:hAnsi="Times New Roman" w:cs="Times New Roman"/>
          <w:sz w:val="24"/>
        </w:rPr>
        <w:t>, who is of upper order Roman society, and should not be acting in this manner.</w:t>
      </w:r>
      <w:r w:rsidR="00394BBA">
        <w:rPr>
          <w:rStyle w:val="FootnoteReference"/>
          <w:rFonts w:ascii="Times New Roman" w:hAnsi="Times New Roman" w:cs="Times New Roman"/>
          <w:sz w:val="24"/>
        </w:rPr>
        <w:footnoteReference w:id="15"/>
      </w:r>
      <w:r w:rsidR="00C66124" w:rsidRPr="003F3B24">
        <w:rPr>
          <w:rFonts w:ascii="Times New Roman" w:hAnsi="Times New Roman" w:cs="Times New Roman"/>
          <w:sz w:val="24"/>
        </w:rPr>
        <w:t xml:space="preserve"> Yet that is a different note</w:t>
      </w:r>
      <w:r w:rsidR="00B23B97">
        <w:rPr>
          <w:rFonts w:ascii="Times New Roman" w:hAnsi="Times New Roman" w:cs="Times New Roman"/>
          <w:sz w:val="24"/>
        </w:rPr>
        <w:t xml:space="preserve">; </w:t>
      </w:r>
      <w:r w:rsidR="00C66124" w:rsidRPr="003F3B24">
        <w:rPr>
          <w:rFonts w:ascii="Times New Roman" w:hAnsi="Times New Roman" w:cs="Times New Roman"/>
          <w:sz w:val="24"/>
        </w:rPr>
        <w:t>the po</w:t>
      </w:r>
      <w:r w:rsidR="00BA6AFA">
        <w:rPr>
          <w:rFonts w:ascii="Times New Roman" w:hAnsi="Times New Roman" w:cs="Times New Roman"/>
          <w:sz w:val="24"/>
        </w:rPr>
        <w:t>e</w:t>
      </w:r>
      <w:r w:rsidR="00C66124" w:rsidRPr="003F3B24">
        <w:rPr>
          <w:rFonts w:ascii="Times New Roman" w:hAnsi="Times New Roman" w:cs="Times New Roman"/>
          <w:sz w:val="24"/>
        </w:rPr>
        <w:t xml:space="preserve">m is focusing on the </w:t>
      </w:r>
      <w:r w:rsidR="00B23B97">
        <w:rPr>
          <w:rFonts w:ascii="Times New Roman" w:hAnsi="Times New Roman" w:cs="Times New Roman"/>
          <w:sz w:val="24"/>
        </w:rPr>
        <w:t xml:space="preserve">reality of the </w:t>
      </w:r>
      <w:r w:rsidR="00C66124" w:rsidRPr="003F3B24">
        <w:rPr>
          <w:rFonts w:ascii="Times New Roman" w:hAnsi="Times New Roman" w:cs="Times New Roman"/>
          <w:sz w:val="24"/>
        </w:rPr>
        <w:t>now, and while he may not marry Lesbia, or father children with her and his “House is buried” with the death of his brother, the poet can enjoy the time with Lesbia and find happiness within these moments, courtesy of Allius.</w:t>
      </w:r>
      <w:r w:rsidR="00F05D00">
        <w:rPr>
          <w:rStyle w:val="FootnoteReference"/>
          <w:rFonts w:ascii="Times New Roman" w:hAnsi="Times New Roman" w:cs="Times New Roman"/>
          <w:sz w:val="24"/>
        </w:rPr>
        <w:footnoteReference w:id="16"/>
      </w:r>
    </w:p>
    <w:p w:rsidR="00C90160" w:rsidRPr="003F3B24" w:rsidRDefault="00C90160" w:rsidP="007955CE">
      <w:pPr>
        <w:spacing w:line="480" w:lineRule="auto"/>
        <w:rPr>
          <w:rFonts w:ascii="Times New Roman" w:hAnsi="Times New Roman" w:cs="Times New Roman"/>
          <w:sz w:val="24"/>
        </w:rPr>
      </w:pPr>
    </w:p>
    <w:p w:rsidR="003F3B24" w:rsidRPr="003F3B24" w:rsidRDefault="003F3B24" w:rsidP="007955CE">
      <w:pPr>
        <w:spacing w:line="480" w:lineRule="auto"/>
        <w:rPr>
          <w:rFonts w:ascii="Times New Roman" w:hAnsi="Times New Roman" w:cs="Times New Roman"/>
          <w:sz w:val="24"/>
        </w:rPr>
      </w:pPr>
      <w:bookmarkStart w:id="0" w:name="_GoBack"/>
      <w:bookmarkEnd w:id="0"/>
    </w:p>
    <w:p w:rsidR="003F3B24" w:rsidRPr="009F1ECB" w:rsidRDefault="003F3B24" w:rsidP="003F3B24">
      <w:pPr>
        <w:jc w:val="center"/>
        <w:rPr>
          <w:rFonts w:ascii="Times New Roman" w:hAnsi="Times New Roman" w:cs="Times New Roman"/>
          <w:b/>
          <w:sz w:val="28"/>
        </w:rPr>
      </w:pPr>
      <w:r w:rsidRPr="009F1ECB">
        <w:rPr>
          <w:rFonts w:ascii="Times New Roman" w:hAnsi="Times New Roman" w:cs="Times New Roman"/>
          <w:b/>
          <w:sz w:val="28"/>
        </w:rPr>
        <w:t>Bibliography</w:t>
      </w:r>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sz w:val="28"/>
          <w:u w:val="single"/>
        </w:rPr>
      </w:pPr>
      <w:r w:rsidRPr="009F1ECB">
        <w:rPr>
          <w:rFonts w:ascii="Times New Roman" w:hAnsi="Times New Roman" w:cs="Times New Roman"/>
          <w:sz w:val="28"/>
          <w:u w:val="single"/>
        </w:rPr>
        <w:t>Ancient Authors</w:t>
      </w:r>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rPr>
      </w:pPr>
      <w:r w:rsidRPr="009F1ECB">
        <w:rPr>
          <w:rFonts w:ascii="Times New Roman" w:hAnsi="Times New Roman" w:cs="Times New Roman"/>
        </w:rPr>
        <w:t>Catullus. (1956) Cornish, F, W. (trans) London: William Heinemann Ltd.</w:t>
      </w:r>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sz w:val="28"/>
          <w:u w:val="single"/>
        </w:rPr>
      </w:pPr>
      <w:r w:rsidRPr="009F1ECB">
        <w:rPr>
          <w:rFonts w:ascii="Times New Roman" w:hAnsi="Times New Roman" w:cs="Times New Roman"/>
          <w:sz w:val="28"/>
          <w:u w:val="single"/>
        </w:rPr>
        <w:t>Modern Authors</w:t>
      </w:r>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rPr>
      </w:pPr>
      <w:r w:rsidRPr="009F1ECB">
        <w:rPr>
          <w:rFonts w:ascii="Times New Roman" w:hAnsi="Times New Roman" w:cs="Times New Roman"/>
        </w:rPr>
        <w:t xml:space="preserve">Skinner, M, B. (2007) </w:t>
      </w:r>
      <w:r w:rsidRPr="009F1ECB">
        <w:rPr>
          <w:rFonts w:ascii="Times New Roman" w:hAnsi="Times New Roman" w:cs="Times New Roman"/>
          <w:i/>
        </w:rPr>
        <w:t xml:space="preserve">A Companion to Catullus. </w:t>
      </w:r>
      <w:r w:rsidRPr="009F1ECB">
        <w:rPr>
          <w:rFonts w:ascii="Times New Roman" w:hAnsi="Times New Roman" w:cs="Times New Roman"/>
        </w:rPr>
        <w:t>Oxford: Blackwell Publishing Ltd.</w:t>
      </w:r>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sz w:val="28"/>
          <w:u w:val="single"/>
        </w:rPr>
      </w:pPr>
      <w:r w:rsidRPr="009F1ECB">
        <w:rPr>
          <w:rFonts w:ascii="Times New Roman" w:hAnsi="Times New Roman" w:cs="Times New Roman"/>
          <w:sz w:val="28"/>
          <w:u w:val="single"/>
        </w:rPr>
        <w:t>Journals</w:t>
      </w:r>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rPr>
      </w:pPr>
      <w:proofErr w:type="spellStart"/>
      <w:r w:rsidRPr="009F1ECB">
        <w:rPr>
          <w:rFonts w:ascii="Times New Roman" w:hAnsi="Times New Roman" w:cs="Times New Roman"/>
        </w:rPr>
        <w:t>Clauss</w:t>
      </w:r>
      <w:proofErr w:type="spellEnd"/>
      <w:r w:rsidRPr="009F1ECB">
        <w:rPr>
          <w:rFonts w:ascii="Times New Roman" w:hAnsi="Times New Roman" w:cs="Times New Roman"/>
        </w:rPr>
        <w:t xml:space="preserve">, J, J. (1995) ‘A Delicate Foot on the Well-Worn Threshold: Paradoxical Imagery in Catullus 68b’, </w:t>
      </w:r>
      <w:r w:rsidRPr="009F1ECB">
        <w:rPr>
          <w:rFonts w:ascii="Times New Roman" w:hAnsi="Times New Roman" w:cs="Times New Roman"/>
          <w:i/>
        </w:rPr>
        <w:t>The American Journal of Philology</w:t>
      </w:r>
      <w:r w:rsidRPr="009F1ECB">
        <w:rPr>
          <w:rFonts w:ascii="Times New Roman" w:hAnsi="Times New Roman" w:cs="Times New Roman"/>
        </w:rPr>
        <w:t>.</w:t>
      </w:r>
      <w:r w:rsidRPr="009F1ECB">
        <w:rPr>
          <w:rFonts w:ascii="Times New Roman" w:hAnsi="Times New Roman" w:cs="Times New Roman"/>
          <w:i/>
        </w:rPr>
        <w:t xml:space="preserve"> </w:t>
      </w:r>
      <w:r w:rsidRPr="009F1ECB">
        <w:rPr>
          <w:rFonts w:ascii="Times New Roman" w:hAnsi="Times New Roman" w:cs="Times New Roman"/>
        </w:rPr>
        <w:t xml:space="preserve">Vol. 116, Pp. 237-253. Found at: </w:t>
      </w:r>
      <w:hyperlink r:id="rId7" w:history="1">
        <w:r w:rsidRPr="009F1ECB">
          <w:rPr>
            <w:rStyle w:val="Hyperlink"/>
            <w:rFonts w:ascii="Times New Roman" w:hAnsi="Times New Roman" w:cs="Times New Roman"/>
          </w:rPr>
          <w:t>https://www-jstor-org.ezproxy.uwtsd.ac.uk/stable/pdf/295443.pdf?refreqid=excelsior%3A7544f3918875788efc1f3f24bbafa7bb</w:t>
        </w:r>
      </w:hyperlink>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rPr>
      </w:pPr>
      <w:r w:rsidRPr="009F1ECB">
        <w:rPr>
          <w:rFonts w:ascii="Times New Roman" w:hAnsi="Times New Roman" w:cs="Times New Roman"/>
        </w:rPr>
        <w:t xml:space="preserve">Vandiver, E. (2000) ‘Hot springs, Cool rivers, and Hidden Fires: Heracles in Catullus 68.51-66’, </w:t>
      </w:r>
      <w:r w:rsidRPr="009F1ECB">
        <w:rPr>
          <w:rFonts w:ascii="Times New Roman" w:hAnsi="Times New Roman" w:cs="Times New Roman"/>
          <w:i/>
        </w:rPr>
        <w:t xml:space="preserve">Classical Philology. </w:t>
      </w:r>
      <w:r w:rsidRPr="009F1ECB">
        <w:rPr>
          <w:rFonts w:ascii="Times New Roman" w:hAnsi="Times New Roman" w:cs="Times New Roman"/>
        </w:rPr>
        <w:t xml:space="preserve">Vol. 95. Pp. 151-159. Found at: </w:t>
      </w:r>
      <w:hyperlink r:id="rId8" w:history="1">
        <w:r w:rsidRPr="009F1ECB">
          <w:rPr>
            <w:rStyle w:val="Hyperlink"/>
            <w:rFonts w:ascii="Times New Roman" w:hAnsi="Times New Roman" w:cs="Times New Roman"/>
          </w:rPr>
          <w:t>https://www-jstor-org.ezproxy.uwtsd.ac.uk/stable/pdf/270454.pdf?refreqid=excelsior%3A6213f419ba101c5c1949d908c78bcd22</w:t>
        </w:r>
      </w:hyperlink>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rPr>
      </w:pPr>
      <w:r w:rsidRPr="009F1ECB">
        <w:rPr>
          <w:rFonts w:ascii="Times New Roman" w:hAnsi="Times New Roman" w:cs="Times New Roman"/>
        </w:rPr>
        <w:t xml:space="preserve">MacLeod, C, W. (1974) ‘A Use of Myth in Ancient Poetry’, </w:t>
      </w:r>
      <w:r w:rsidRPr="009F1ECB">
        <w:rPr>
          <w:rFonts w:ascii="Times New Roman" w:hAnsi="Times New Roman" w:cs="Times New Roman"/>
          <w:i/>
        </w:rPr>
        <w:t xml:space="preserve">Classical Quarterly. </w:t>
      </w:r>
      <w:r w:rsidRPr="009F1ECB">
        <w:rPr>
          <w:rFonts w:ascii="Times New Roman" w:hAnsi="Times New Roman" w:cs="Times New Roman"/>
        </w:rPr>
        <w:t xml:space="preserve">Vol. 24, Pp. 82-93. Found at: </w:t>
      </w:r>
      <w:hyperlink r:id="rId9" w:history="1">
        <w:r w:rsidRPr="009F1ECB">
          <w:rPr>
            <w:rStyle w:val="Hyperlink"/>
            <w:rFonts w:ascii="Times New Roman" w:hAnsi="Times New Roman" w:cs="Times New Roman"/>
          </w:rPr>
          <w:t>https://www-jstor-org.ezproxy.uwtsd.ac.uk/stable/pdf/638229.pdf?refreqid=excelsior%3Afc8263f07c6ddee254d8d163ef4d71b8</w:t>
        </w:r>
      </w:hyperlink>
    </w:p>
    <w:p w:rsidR="003F3B24" w:rsidRPr="009F1ECB" w:rsidRDefault="003F3B24" w:rsidP="003F3B24">
      <w:pPr>
        <w:rPr>
          <w:rFonts w:ascii="Times New Roman" w:hAnsi="Times New Roman" w:cs="Times New Roman"/>
        </w:rPr>
      </w:pPr>
    </w:p>
    <w:p w:rsidR="003F3B24" w:rsidRPr="009F1ECB" w:rsidRDefault="003F3B24" w:rsidP="003F3B24">
      <w:pPr>
        <w:rPr>
          <w:rFonts w:ascii="Times New Roman" w:hAnsi="Times New Roman" w:cs="Times New Roman"/>
          <w:sz w:val="28"/>
          <w:u w:val="single"/>
        </w:rPr>
      </w:pPr>
      <w:r w:rsidRPr="009F1ECB">
        <w:rPr>
          <w:rFonts w:ascii="Times New Roman" w:hAnsi="Times New Roman" w:cs="Times New Roman"/>
          <w:sz w:val="28"/>
          <w:u w:val="single"/>
        </w:rPr>
        <w:t>Websites</w:t>
      </w:r>
    </w:p>
    <w:p w:rsidR="003F3B24" w:rsidRPr="009F1ECB" w:rsidRDefault="003F3B24" w:rsidP="003F3B24">
      <w:pPr>
        <w:rPr>
          <w:rFonts w:ascii="Times New Roman" w:hAnsi="Times New Roman" w:cs="Times New Roman"/>
        </w:rPr>
      </w:pPr>
    </w:p>
    <w:p w:rsidR="003F3B24" w:rsidRDefault="003F3B24" w:rsidP="003F3B24">
      <w:r w:rsidRPr="009F1ECB">
        <w:rPr>
          <w:rFonts w:ascii="Times New Roman" w:hAnsi="Times New Roman" w:cs="Times New Roman"/>
        </w:rPr>
        <w:t xml:space="preserve">Poetry Foundation. (2019) </w:t>
      </w:r>
      <w:r w:rsidRPr="009F1ECB">
        <w:rPr>
          <w:rFonts w:ascii="Times New Roman" w:hAnsi="Times New Roman" w:cs="Times New Roman"/>
          <w:i/>
        </w:rPr>
        <w:t xml:space="preserve">‘June 1994 </w:t>
      </w:r>
      <w:proofErr w:type="spellStart"/>
      <w:r w:rsidRPr="009F1ECB">
        <w:rPr>
          <w:rFonts w:ascii="Times New Roman" w:hAnsi="Times New Roman" w:cs="Times New Roman"/>
          <w:i/>
        </w:rPr>
        <w:t>Gragment</w:t>
      </w:r>
      <w:proofErr w:type="spellEnd"/>
      <w:r w:rsidRPr="009F1ECB">
        <w:rPr>
          <w:rFonts w:ascii="Times New Roman" w:hAnsi="Times New Roman" w:cs="Times New Roman"/>
          <w:i/>
        </w:rPr>
        <w:t xml:space="preserve"> 105(a) Fragment 105(c)’</w:t>
      </w:r>
      <w:r w:rsidRPr="009F1ECB">
        <w:rPr>
          <w:rFonts w:ascii="Times New Roman" w:hAnsi="Times New Roman" w:cs="Times New Roman"/>
        </w:rPr>
        <w:t xml:space="preserve">. Found at: </w:t>
      </w:r>
      <w:hyperlink r:id="rId10" w:history="1">
        <w:r w:rsidRPr="009F1ECB">
          <w:rPr>
            <w:rStyle w:val="Hyperlink"/>
            <w:rFonts w:ascii="Times New Roman" w:hAnsi="Times New Roman" w:cs="Times New Roman"/>
          </w:rPr>
          <w:t>https://www.poetryfoundation.org/poetrymagazine/browse?contentId=38962</w:t>
        </w:r>
      </w:hyperlink>
    </w:p>
    <w:sectPr w:rsidR="003F3B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51AE" w:rsidRDefault="00DE51AE" w:rsidP="00B316D6">
      <w:r>
        <w:separator/>
      </w:r>
    </w:p>
  </w:endnote>
  <w:endnote w:type="continuationSeparator" w:id="0">
    <w:p w:rsidR="00DE51AE" w:rsidRDefault="00DE51AE" w:rsidP="00B316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51AE" w:rsidRDefault="00DE51AE" w:rsidP="00B316D6">
      <w:r>
        <w:separator/>
      </w:r>
    </w:p>
  </w:footnote>
  <w:footnote w:type="continuationSeparator" w:id="0">
    <w:p w:rsidR="00DE51AE" w:rsidRDefault="00DE51AE" w:rsidP="00B316D6">
      <w:r>
        <w:continuationSeparator/>
      </w:r>
    </w:p>
  </w:footnote>
  <w:footnote w:id="1">
    <w:p w:rsidR="00B316D6" w:rsidRPr="00E11E43" w:rsidRDefault="00B31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w:t>
      </w:r>
      <w:proofErr w:type="spellStart"/>
      <w:r w:rsidRPr="00E11E43">
        <w:rPr>
          <w:rFonts w:ascii="Times New Roman" w:hAnsi="Times New Roman" w:cs="Times New Roman"/>
        </w:rPr>
        <w:t>Clauss</w:t>
      </w:r>
      <w:proofErr w:type="spellEnd"/>
      <w:r w:rsidRPr="00E11E43">
        <w:rPr>
          <w:rFonts w:ascii="Times New Roman" w:hAnsi="Times New Roman" w:cs="Times New Roman"/>
        </w:rPr>
        <w:t xml:space="preserve"> 1995: 248</w:t>
      </w:r>
    </w:p>
  </w:footnote>
  <w:footnote w:id="2">
    <w:p w:rsidR="00B316D6" w:rsidRPr="00E11E43" w:rsidRDefault="00B31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MacLeod 1974: 86</w:t>
      </w:r>
    </w:p>
  </w:footnote>
  <w:footnote w:id="3">
    <w:p w:rsidR="00B316D6" w:rsidRPr="00E11E43" w:rsidRDefault="00B31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MacLeod 1974: 83</w:t>
      </w:r>
    </w:p>
  </w:footnote>
  <w:footnote w:id="4">
    <w:p w:rsidR="00B316D6" w:rsidRPr="00E11E43" w:rsidRDefault="00B31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w:t>
      </w:r>
      <w:r w:rsidR="00B04C95" w:rsidRPr="00E11E43">
        <w:rPr>
          <w:rFonts w:ascii="Times New Roman" w:hAnsi="Times New Roman" w:cs="Times New Roman"/>
        </w:rPr>
        <w:t>Dyson 2007: 268</w:t>
      </w:r>
    </w:p>
  </w:footnote>
  <w:footnote w:id="5">
    <w:p w:rsidR="00B04C95" w:rsidRPr="00E11E43" w:rsidRDefault="00B04C95">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MacLeod 1974: 84</w:t>
      </w:r>
    </w:p>
  </w:footnote>
  <w:footnote w:id="6">
    <w:p w:rsidR="00FA2B4F" w:rsidRPr="00E11E43" w:rsidRDefault="00FA2B4F">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Dyson 2007: 267</w:t>
      </w:r>
    </w:p>
  </w:footnote>
  <w:footnote w:id="7">
    <w:p w:rsidR="00B316D6" w:rsidRPr="00E11E43" w:rsidRDefault="00B31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Cat. 12.</w:t>
      </w:r>
      <w:r w:rsidR="00B8258A" w:rsidRPr="00E11E43">
        <w:rPr>
          <w:rFonts w:ascii="Times New Roman" w:hAnsi="Times New Roman" w:cs="Times New Roman"/>
        </w:rPr>
        <w:t xml:space="preserve"> 20-24</w:t>
      </w:r>
    </w:p>
  </w:footnote>
  <w:footnote w:id="8">
    <w:p w:rsidR="00B316D6" w:rsidRPr="00E11E43" w:rsidRDefault="00B31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Poetry Foundation, 2019</w:t>
      </w:r>
    </w:p>
  </w:footnote>
  <w:footnote w:id="9">
    <w:p w:rsidR="00F05D00" w:rsidRDefault="00F05D00">
      <w:pPr>
        <w:pStyle w:val="FootnoteText"/>
      </w:pPr>
      <w:r w:rsidRPr="00E11E43">
        <w:rPr>
          <w:rStyle w:val="FootnoteReference"/>
          <w:rFonts w:ascii="Times New Roman" w:hAnsi="Times New Roman" w:cs="Times New Roman"/>
        </w:rPr>
        <w:footnoteRef/>
      </w:r>
      <w:r w:rsidRPr="00E11E43">
        <w:rPr>
          <w:rFonts w:ascii="Times New Roman" w:hAnsi="Times New Roman" w:cs="Times New Roman"/>
        </w:rPr>
        <w:t xml:space="preserve"> </w:t>
      </w:r>
      <w:proofErr w:type="spellStart"/>
      <w:r w:rsidRPr="00E11E43">
        <w:rPr>
          <w:rFonts w:ascii="Times New Roman" w:hAnsi="Times New Roman" w:cs="Times New Roman"/>
        </w:rPr>
        <w:t>Clauss</w:t>
      </w:r>
      <w:proofErr w:type="spellEnd"/>
      <w:r w:rsidRPr="00E11E43">
        <w:rPr>
          <w:rFonts w:ascii="Times New Roman" w:hAnsi="Times New Roman" w:cs="Times New Roman"/>
        </w:rPr>
        <w:t xml:space="preserve"> 1995: 238</w:t>
      </w:r>
    </w:p>
  </w:footnote>
  <w:footnote w:id="10">
    <w:p w:rsidR="00F05D00" w:rsidRPr="00E11E43" w:rsidRDefault="00F05D00">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Vandiver 2000: 155</w:t>
      </w:r>
    </w:p>
  </w:footnote>
  <w:footnote w:id="11">
    <w:p w:rsidR="00851707" w:rsidRPr="00E11E43" w:rsidRDefault="00851707">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MacLeod 1974: 84</w:t>
      </w:r>
    </w:p>
  </w:footnote>
  <w:footnote w:id="12">
    <w:p w:rsidR="00DB062B" w:rsidRPr="00E11E43" w:rsidRDefault="00DB062B">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Vandiver 2000: 156</w:t>
      </w:r>
    </w:p>
  </w:footnote>
  <w:footnote w:id="13">
    <w:p w:rsidR="00F05D00" w:rsidRPr="00E11E43" w:rsidRDefault="00F05D00">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Vandiver 2000: 153</w:t>
      </w:r>
    </w:p>
  </w:footnote>
  <w:footnote w:id="14">
    <w:p w:rsidR="004876D6" w:rsidRPr="00E11E43" w:rsidRDefault="004876D6">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MacLeod 1974: 87</w:t>
      </w:r>
      <w:r w:rsidR="00CA2EB9" w:rsidRPr="00E11E43">
        <w:rPr>
          <w:rFonts w:ascii="Times New Roman" w:hAnsi="Times New Roman" w:cs="Times New Roman"/>
        </w:rPr>
        <w:t>; Cat. 12. 10-20</w:t>
      </w:r>
    </w:p>
  </w:footnote>
  <w:footnote w:id="15">
    <w:p w:rsidR="00394BBA" w:rsidRPr="00E11E43" w:rsidRDefault="00394BBA">
      <w:pPr>
        <w:pStyle w:val="FootnoteText"/>
        <w:rPr>
          <w:rFonts w:ascii="Times New Roman" w:hAnsi="Times New Roman" w:cs="Times New Roman"/>
        </w:rPr>
      </w:pPr>
      <w:r w:rsidRPr="00E11E43">
        <w:rPr>
          <w:rStyle w:val="FootnoteReference"/>
          <w:rFonts w:ascii="Times New Roman" w:hAnsi="Times New Roman" w:cs="Times New Roman"/>
        </w:rPr>
        <w:footnoteRef/>
      </w:r>
      <w:r w:rsidRPr="00E11E43">
        <w:rPr>
          <w:rFonts w:ascii="Times New Roman" w:hAnsi="Times New Roman" w:cs="Times New Roman"/>
        </w:rPr>
        <w:t xml:space="preserve"> MacLeod 1974: </w:t>
      </w:r>
      <w:r w:rsidR="00B8258A" w:rsidRPr="00E11E43">
        <w:rPr>
          <w:rFonts w:ascii="Times New Roman" w:hAnsi="Times New Roman" w:cs="Times New Roman"/>
        </w:rPr>
        <w:t>86</w:t>
      </w:r>
      <w:r w:rsidR="00CA2EB9" w:rsidRPr="00E11E43">
        <w:rPr>
          <w:rFonts w:ascii="Times New Roman" w:hAnsi="Times New Roman" w:cs="Times New Roman"/>
        </w:rPr>
        <w:t>; Cat. 83</w:t>
      </w:r>
      <w:r w:rsidR="00631F61" w:rsidRPr="00E11E43">
        <w:rPr>
          <w:rFonts w:ascii="Times New Roman" w:hAnsi="Times New Roman" w:cs="Times New Roman"/>
        </w:rPr>
        <w:t>.</w:t>
      </w:r>
    </w:p>
  </w:footnote>
  <w:footnote w:id="16">
    <w:p w:rsidR="00F05D00" w:rsidRDefault="00F05D00">
      <w:pPr>
        <w:pStyle w:val="FootnoteText"/>
      </w:pPr>
      <w:r w:rsidRPr="00E11E43">
        <w:rPr>
          <w:rStyle w:val="FootnoteReference"/>
          <w:rFonts w:ascii="Times New Roman" w:hAnsi="Times New Roman" w:cs="Times New Roman"/>
        </w:rPr>
        <w:footnoteRef/>
      </w:r>
      <w:r w:rsidRPr="00E11E43">
        <w:rPr>
          <w:rFonts w:ascii="Times New Roman" w:hAnsi="Times New Roman" w:cs="Times New Roman"/>
        </w:rPr>
        <w:t xml:space="preserve"> Vandiver 2000: 158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988"/>
    <w:rsid w:val="00011106"/>
    <w:rsid w:val="001714CD"/>
    <w:rsid w:val="001D39C5"/>
    <w:rsid w:val="002B3799"/>
    <w:rsid w:val="003615BD"/>
    <w:rsid w:val="00394BBA"/>
    <w:rsid w:val="003F3B24"/>
    <w:rsid w:val="004876D6"/>
    <w:rsid w:val="0049216B"/>
    <w:rsid w:val="005D4988"/>
    <w:rsid w:val="005E4F46"/>
    <w:rsid w:val="00631F61"/>
    <w:rsid w:val="006F0715"/>
    <w:rsid w:val="00706134"/>
    <w:rsid w:val="007955CE"/>
    <w:rsid w:val="007B0CE1"/>
    <w:rsid w:val="007D2908"/>
    <w:rsid w:val="00851707"/>
    <w:rsid w:val="00906D6A"/>
    <w:rsid w:val="00A33094"/>
    <w:rsid w:val="00B04C95"/>
    <w:rsid w:val="00B23B97"/>
    <w:rsid w:val="00B316D6"/>
    <w:rsid w:val="00B8258A"/>
    <w:rsid w:val="00BA0041"/>
    <w:rsid w:val="00BA6AFA"/>
    <w:rsid w:val="00BC56FD"/>
    <w:rsid w:val="00C04E45"/>
    <w:rsid w:val="00C66124"/>
    <w:rsid w:val="00C90160"/>
    <w:rsid w:val="00CA2EB9"/>
    <w:rsid w:val="00CB7595"/>
    <w:rsid w:val="00D15779"/>
    <w:rsid w:val="00DB062B"/>
    <w:rsid w:val="00DB1591"/>
    <w:rsid w:val="00DE51AE"/>
    <w:rsid w:val="00E11E43"/>
    <w:rsid w:val="00E727D4"/>
    <w:rsid w:val="00EA12F1"/>
    <w:rsid w:val="00F05D00"/>
    <w:rsid w:val="00F402AB"/>
    <w:rsid w:val="00F47E62"/>
    <w:rsid w:val="00FA2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FA8EA"/>
  <w14:defaultImageDpi w14:val="32767"/>
  <w15:chartTrackingRefBased/>
  <w15:docId w15:val="{42C0B212-2535-DA42-81FD-1092BB25F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47E62"/>
    <w:rPr>
      <w:rFonts w:eastAsiaTheme="minorEastAsia"/>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3B24"/>
    <w:rPr>
      <w:color w:val="0563C1" w:themeColor="hyperlink"/>
      <w:u w:val="single"/>
    </w:rPr>
  </w:style>
  <w:style w:type="paragraph" w:styleId="FootnoteText">
    <w:name w:val="footnote text"/>
    <w:basedOn w:val="Normal"/>
    <w:link w:val="FootnoteTextChar"/>
    <w:uiPriority w:val="99"/>
    <w:semiHidden/>
    <w:unhideWhenUsed/>
    <w:rsid w:val="00B316D6"/>
    <w:rPr>
      <w:sz w:val="20"/>
      <w:szCs w:val="20"/>
    </w:rPr>
  </w:style>
  <w:style w:type="character" w:customStyle="1" w:styleId="FootnoteTextChar">
    <w:name w:val="Footnote Text Char"/>
    <w:basedOn w:val="DefaultParagraphFont"/>
    <w:link w:val="FootnoteText"/>
    <w:uiPriority w:val="99"/>
    <w:semiHidden/>
    <w:rsid w:val="00B316D6"/>
    <w:rPr>
      <w:rFonts w:eastAsiaTheme="minorEastAsia"/>
      <w:sz w:val="20"/>
      <w:szCs w:val="20"/>
      <w:lang w:eastAsia="en-GB"/>
    </w:rPr>
  </w:style>
  <w:style w:type="character" w:styleId="FootnoteReference">
    <w:name w:val="footnote reference"/>
    <w:basedOn w:val="DefaultParagraphFont"/>
    <w:uiPriority w:val="99"/>
    <w:semiHidden/>
    <w:unhideWhenUsed/>
    <w:rsid w:val="00B316D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pdf/270454.pdf?refreqid=excelsior%3A6213f419ba101c5c1949d908c78bcd22" TargetMode="External"/><Relationship Id="rId3" Type="http://schemas.openxmlformats.org/officeDocument/2006/relationships/settings" Target="settings.xml"/><Relationship Id="rId7" Type="http://schemas.openxmlformats.org/officeDocument/2006/relationships/hyperlink" Target="https://www-jstor-org.ezproxy.uwtsd.ac.uk/stable/pdf/295443.pdf?refreqid=excelsior%3A7544f3918875788efc1f3f24bbafa7b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poetryfoundation.org/poetrymagazine/browse?contentId=38962" TargetMode="External"/><Relationship Id="rId4" Type="http://schemas.openxmlformats.org/officeDocument/2006/relationships/webSettings" Target="webSettings.xml"/><Relationship Id="rId9" Type="http://schemas.openxmlformats.org/officeDocument/2006/relationships/hyperlink" Target="https://www-jstor-org.ezproxy.uwtsd.ac.uk/stable/pdf/638229.pdf?refreqid=excelsior%3Afc8263f07c6ddee254d8d163ef4d71b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AE2EE-852F-0F42-8B33-30696E8AC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4</Pages>
  <Words>1064</Words>
  <Characters>6068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134</cp:revision>
  <dcterms:created xsi:type="dcterms:W3CDTF">2019-05-22T12:24:00Z</dcterms:created>
  <dcterms:modified xsi:type="dcterms:W3CDTF">2019-05-23T22:49:00Z</dcterms:modified>
</cp:coreProperties>
</file>