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89CC0" w14:textId="77777777" w:rsidR="00651F54" w:rsidRDefault="00651F54" w:rsidP="00E50695">
      <w:pPr>
        <w:jc w:val="center"/>
        <w:rPr>
          <w:rFonts w:ascii="Arial" w:hAnsi="Arial" w:cs="Arial"/>
          <w:b/>
          <w:sz w:val="36"/>
          <w:szCs w:val="36"/>
          <w:lang w:val="en-US"/>
        </w:rPr>
      </w:pPr>
    </w:p>
    <w:p w14:paraId="3778DD35" w14:textId="77777777" w:rsidR="008406E6" w:rsidRPr="008A639E" w:rsidRDefault="008406E6" w:rsidP="008406E6">
      <w:pPr>
        <w:rPr>
          <w:b/>
          <w:bCs/>
          <w:sz w:val="32"/>
          <w:szCs w:val="36"/>
        </w:rPr>
      </w:pPr>
      <w:r>
        <w:rPr>
          <w:b/>
          <w:bCs/>
          <w:sz w:val="32"/>
          <w:szCs w:val="36"/>
        </w:rPr>
        <w:t>Financial Management and Planning</w:t>
      </w:r>
    </w:p>
    <w:p w14:paraId="43C8964B" w14:textId="7369A23A" w:rsidR="008406E6" w:rsidRPr="008A639E" w:rsidRDefault="008406E6" w:rsidP="008406E6">
      <w:pPr>
        <w:rPr>
          <w:b/>
          <w:bCs/>
          <w:sz w:val="32"/>
          <w:szCs w:val="36"/>
        </w:rPr>
      </w:pPr>
      <w:r w:rsidRPr="008A639E">
        <w:rPr>
          <w:b/>
          <w:bCs/>
          <w:sz w:val="32"/>
          <w:szCs w:val="36"/>
        </w:rPr>
        <w:t xml:space="preserve">Assignment </w:t>
      </w:r>
    </w:p>
    <w:p w14:paraId="013A87E7" w14:textId="12DE6A0B" w:rsidR="008406E6" w:rsidRPr="008A639E" w:rsidRDefault="008406E6" w:rsidP="008406E6">
      <w:pPr>
        <w:rPr>
          <w:b/>
          <w:bCs/>
          <w:sz w:val="32"/>
          <w:szCs w:val="36"/>
        </w:rPr>
      </w:pPr>
      <w:r w:rsidRPr="008A639E">
        <w:rPr>
          <w:b/>
          <w:bCs/>
          <w:sz w:val="32"/>
          <w:szCs w:val="36"/>
        </w:rPr>
        <w:t xml:space="preserve">MSc Industry 4.0 </w:t>
      </w:r>
      <w:r>
        <w:rPr>
          <w:b/>
          <w:bCs/>
          <w:sz w:val="32"/>
          <w:szCs w:val="36"/>
        </w:rPr>
        <w:t>– Advanced Manufacturing</w:t>
      </w:r>
    </w:p>
    <w:p w14:paraId="3D7C556D" w14:textId="0CEB1FF6" w:rsidR="008406E6" w:rsidRPr="008A639E" w:rsidRDefault="008406E6" w:rsidP="008406E6">
      <w:pPr>
        <w:rPr>
          <w:sz w:val="28"/>
          <w:szCs w:val="32"/>
        </w:rPr>
      </w:pPr>
      <w:r w:rsidRPr="008A639E">
        <w:rPr>
          <w:sz w:val="28"/>
          <w:szCs w:val="32"/>
        </w:rPr>
        <w:t>Module Code:</w:t>
      </w:r>
      <w:r>
        <w:rPr>
          <w:sz w:val="28"/>
          <w:szCs w:val="32"/>
        </w:rPr>
        <w:t xml:space="preserve"> ACPA7002</w:t>
      </w:r>
    </w:p>
    <w:p w14:paraId="65E60C64" w14:textId="1A05E6A3" w:rsidR="008406E6" w:rsidRDefault="008406E6" w:rsidP="008406E6">
      <w:pPr>
        <w:rPr>
          <w:sz w:val="28"/>
          <w:szCs w:val="32"/>
        </w:rPr>
      </w:pPr>
      <w:r w:rsidRPr="008A639E">
        <w:rPr>
          <w:sz w:val="28"/>
          <w:szCs w:val="32"/>
        </w:rPr>
        <w:t xml:space="preserve">Supervisor: </w:t>
      </w:r>
      <w:r>
        <w:rPr>
          <w:sz w:val="28"/>
          <w:szCs w:val="32"/>
        </w:rPr>
        <w:t>Howard Davies</w:t>
      </w:r>
    </w:p>
    <w:p w14:paraId="45763CCF" w14:textId="77777777" w:rsidR="008406E6" w:rsidRPr="008A639E" w:rsidRDefault="008406E6" w:rsidP="008406E6">
      <w:pPr>
        <w:rPr>
          <w:sz w:val="28"/>
          <w:szCs w:val="32"/>
        </w:rPr>
      </w:pPr>
    </w:p>
    <w:p w14:paraId="64079AED" w14:textId="77777777" w:rsidR="008406E6" w:rsidRDefault="008406E6" w:rsidP="008406E6"/>
    <w:p w14:paraId="12CF6C1D" w14:textId="77777777" w:rsidR="008406E6" w:rsidRDefault="008406E6" w:rsidP="008406E6">
      <w:pPr>
        <w:rPr>
          <w:b/>
          <w:bCs/>
          <w:sz w:val="36"/>
          <w:szCs w:val="40"/>
        </w:rPr>
      </w:pPr>
    </w:p>
    <w:p w14:paraId="62D980DF" w14:textId="77777777" w:rsidR="00BE1F3F" w:rsidRDefault="00BE1F3F" w:rsidP="008406E6">
      <w:pPr>
        <w:rPr>
          <w:b/>
          <w:bCs/>
          <w:sz w:val="36"/>
          <w:szCs w:val="40"/>
        </w:rPr>
      </w:pPr>
    </w:p>
    <w:p w14:paraId="3A734B3C" w14:textId="63661A71" w:rsidR="008406E6" w:rsidRDefault="008406E6" w:rsidP="008406E6">
      <w:pPr>
        <w:rPr>
          <w:b/>
          <w:bCs/>
          <w:sz w:val="36"/>
          <w:szCs w:val="40"/>
        </w:rPr>
      </w:pPr>
      <w:r>
        <w:rPr>
          <w:b/>
          <w:bCs/>
          <w:sz w:val="36"/>
          <w:szCs w:val="40"/>
        </w:rPr>
        <w:t xml:space="preserve">Capital Project Appraisal – Hingston Wash </w:t>
      </w:r>
      <w:r w:rsidR="00203232">
        <w:rPr>
          <w:b/>
          <w:bCs/>
          <w:sz w:val="36"/>
          <w:szCs w:val="40"/>
        </w:rPr>
        <w:t>P</w:t>
      </w:r>
      <w:r>
        <w:rPr>
          <w:b/>
          <w:bCs/>
          <w:sz w:val="36"/>
          <w:szCs w:val="40"/>
        </w:rPr>
        <w:t>lant Relocation</w:t>
      </w:r>
    </w:p>
    <w:p w14:paraId="12EBA178" w14:textId="3906C037" w:rsidR="00E94A9C" w:rsidRDefault="00E94A9C" w:rsidP="008406E6">
      <w:pPr>
        <w:rPr>
          <w:b/>
          <w:bCs/>
          <w:sz w:val="36"/>
          <w:szCs w:val="40"/>
        </w:rPr>
      </w:pPr>
    </w:p>
    <w:p w14:paraId="5308CB1E" w14:textId="77777777" w:rsidR="008F215A" w:rsidRDefault="008F215A" w:rsidP="008406E6">
      <w:pPr>
        <w:rPr>
          <w:b/>
          <w:bCs/>
          <w:sz w:val="36"/>
          <w:szCs w:val="40"/>
        </w:rPr>
      </w:pPr>
    </w:p>
    <w:p w14:paraId="0779DACB" w14:textId="77777777" w:rsidR="00E94A9C" w:rsidRDefault="00E94A9C" w:rsidP="008406E6">
      <w:pPr>
        <w:rPr>
          <w:b/>
          <w:bCs/>
          <w:sz w:val="36"/>
          <w:szCs w:val="40"/>
        </w:rPr>
      </w:pPr>
    </w:p>
    <w:p w14:paraId="34077013" w14:textId="77777777" w:rsidR="005D5C86" w:rsidRDefault="005D5C86" w:rsidP="008406E6">
      <w:pPr>
        <w:rPr>
          <w:b/>
          <w:bCs/>
          <w:sz w:val="28"/>
          <w:szCs w:val="32"/>
        </w:rPr>
      </w:pPr>
    </w:p>
    <w:p w14:paraId="2A18187C" w14:textId="77777777" w:rsidR="005D5C86" w:rsidRDefault="005D5C86" w:rsidP="008406E6">
      <w:pPr>
        <w:rPr>
          <w:b/>
          <w:bCs/>
          <w:sz w:val="28"/>
          <w:szCs w:val="32"/>
        </w:rPr>
      </w:pPr>
    </w:p>
    <w:p w14:paraId="214F7B04" w14:textId="1C635748" w:rsidR="008406E6" w:rsidRPr="008A639E" w:rsidRDefault="008406E6" w:rsidP="008406E6">
      <w:pPr>
        <w:rPr>
          <w:b/>
          <w:bCs/>
          <w:sz w:val="28"/>
          <w:szCs w:val="32"/>
        </w:rPr>
      </w:pPr>
      <w:r>
        <w:rPr>
          <w:b/>
          <w:bCs/>
          <w:sz w:val="28"/>
          <w:szCs w:val="32"/>
        </w:rPr>
        <w:t>3</w:t>
      </w:r>
      <w:r w:rsidRPr="008406E6">
        <w:rPr>
          <w:b/>
          <w:bCs/>
          <w:sz w:val="28"/>
          <w:szCs w:val="32"/>
          <w:vertAlign w:val="superscript"/>
        </w:rPr>
        <w:t>rd</w:t>
      </w:r>
      <w:r>
        <w:rPr>
          <w:b/>
          <w:bCs/>
          <w:sz w:val="28"/>
          <w:szCs w:val="32"/>
        </w:rPr>
        <w:t xml:space="preserve"> October</w:t>
      </w:r>
      <w:r w:rsidRPr="008A639E">
        <w:rPr>
          <w:b/>
          <w:bCs/>
          <w:sz w:val="28"/>
          <w:szCs w:val="32"/>
        </w:rPr>
        <w:t xml:space="preserve"> 202</w:t>
      </w:r>
      <w:r>
        <w:rPr>
          <w:b/>
          <w:bCs/>
          <w:sz w:val="28"/>
          <w:szCs w:val="32"/>
        </w:rPr>
        <w:t>2</w:t>
      </w:r>
    </w:p>
    <w:p w14:paraId="012F10C3" w14:textId="77777777" w:rsidR="008406E6" w:rsidRPr="008A639E" w:rsidRDefault="008406E6" w:rsidP="008406E6">
      <w:pPr>
        <w:rPr>
          <w:b/>
          <w:bCs/>
          <w:sz w:val="28"/>
          <w:szCs w:val="32"/>
        </w:rPr>
      </w:pPr>
      <w:r w:rsidRPr="008A639E">
        <w:rPr>
          <w:b/>
          <w:bCs/>
          <w:sz w:val="28"/>
          <w:szCs w:val="32"/>
        </w:rPr>
        <w:t>Student: Christopher O’Connor</w:t>
      </w:r>
    </w:p>
    <w:p w14:paraId="05A2C72F" w14:textId="77777777" w:rsidR="008406E6" w:rsidRDefault="008406E6" w:rsidP="008406E6">
      <w:pPr>
        <w:rPr>
          <w:b/>
          <w:bCs/>
          <w:sz w:val="28"/>
          <w:szCs w:val="32"/>
        </w:rPr>
      </w:pPr>
      <w:r w:rsidRPr="008A639E">
        <w:rPr>
          <w:b/>
          <w:bCs/>
          <w:sz w:val="28"/>
          <w:szCs w:val="32"/>
        </w:rPr>
        <w:t xml:space="preserve">Email: </w:t>
      </w:r>
      <w:hyperlink r:id="rId11" w:history="1">
        <w:r w:rsidRPr="00143AEC">
          <w:rPr>
            <w:rStyle w:val="Hyperlink"/>
            <w:b/>
            <w:bCs/>
            <w:sz w:val="28"/>
            <w:szCs w:val="32"/>
          </w:rPr>
          <w:t>christopher.oconnor@hanson.biz</w:t>
        </w:r>
      </w:hyperlink>
    </w:p>
    <w:p w14:paraId="50C00E59" w14:textId="77777777" w:rsidR="008406E6" w:rsidRDefault="008406E6" w:rsidP="008406E6">
      <w:pPr>
        <w:rPr>
          <w:noProof/>
        </w:rPr>
      </w:pPr>
    </w:p>
    <w:p w14:paraId="72F33B1D" w14:textId="77777777" w:rsidR="008406E6" w:rsidRDefault="008406E6" w:rsidP="008406E6">
      <w:pPr>
        <w:rPr>
          <w:noProof/>
        </w:rPr>
      </w:pPr>
    </w:p>
    <w:p w14:paraId="782FACC3" w14:textId="77777777" w:rsidR="008406E6" w:rsidRDefault="008406E6" w:rsidP="008406E6">
      <w:pPr>
        <w:rPr>
          <w:noProof/>
        </w:rPr>
      </w:pPr>
      <w:r>
        <w:rPr>
          <w:noProof/>
        </w:rPr>
        <w:drawing>
          <wp:anchor distT="0" distB="0" distL="114300" distR="114300" simplePos="0" relativeHeight="251662336" behindDoc="0" locked="0" layoutInCell="1" allowOverlap="1" wp14:anchorId="4AE74B0E" wp14:editId="26374841">
            <wp:simplePos x="0" y="0"/>
            <wp:positionH relativeFrom="margin">
              <wp:align>left</wp:align>
            </wp:positionH>
            <wp:positionV relativeFrom="paragraph">
              <wp:posOffset>113937</wp:posOffset>
            </wp:positionV>
            <wp:extent cx="1512570" cy="7080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12570" cy="7080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31DBBC3B" wp14:editId="55D0FC5F">
            <wp:simplePos x="0" y="0"/>
            <wp:positionH relativeFrom="margin">
              <wp:align>right</wp:align>
            </wp:positionH>
            <wp:positionV relativeFrom="paragraph">
              <wp:posOffset>155666</wp:posOffset>
            </wp:positionV>
            <wp:extent cx="1741170" cy="57531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41170" cy="5753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4D6EB9A7" wp14:editId="2BD52026">
            <wp:simplePos x="0" y="0"/>
            <wp:positionH relativeFrom="margin">
              <wp:align>center</wp:align>
            </wp:positionH>
            <wp:positionV relativeFrom="paragraph">
              <wp:posOffset>160201</wp:posOffset>
            </wp:positionV>
            <wp:extent cx="663575" cy="600075"/>
            <wp:effectExtent l="0" t="0" r="317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3575" cy="600075"/>
                    </a:xfrm>
                    <a:prstGeom prst="rect">
                      <a:avLst/>
                    </a:prstGeom>
                  </pic:spPr>
                </pic:pic>
              </a:graphicData>
            </a:graphic>
            <wp14:sizeRelH relativeFrom="margin">
              <wp14:pctWidth>0</wp14:pctWidth>
            </wp14:sizeRelH>
            <wp14:sizeRelV relativeFrom="margin">
              <wp14:pctHeight>0</wp14:pctHeight>
            </wp14:sizeRelV>
          </wp:anchor>
        </w:drawing>
      </w:r>
    </w:p>
    <w:p w14:paraId="58039DF7" w14:textId="77777777" w:rsidR="008406E6" w:rsidRDefault="008406E6" w:rsidP="008406E6">
      <w:pPr>
        <w:rPr>
          <w:b/>
          <w:bCs/>
          <w:sz w:val="28"/>
          <w:szCs w:val="32"/>
        </w:rPr>
      </w:pPr>
    </w:p>
    <w:p w14:paraId="1DCFE094" w14:textId="77777777" w:rsidR="008406E6" w:rsidRDefault="008406E6" w:rsidP="008406E6">
      <w:pPr>
        <w:rPr>
          <w:b/>
          <w:bCs/>
          <w:sz w:val="28"/>
          <w:szCs w:val="32"/>
        </w:rPr>
      </w:pPr>
      <w:r>
        <w:rPr>
          <w:b/>
          <w:bCs/>
          <w:sz w:val="28"/>
          <w:szCs w:val="32"/>
        </w:rPr>
        <w:br w:type="page"/>
      </w:r>
    </w:p>
    <w:p w14:paraId="05A02135" w14:textId="26FEC1C9" w:rsidR="00C43BA7" w:rsidRPr="00106458" w:rsidRDefault="00452CA5" w:rsidP="00452CA5">
      <w:pPr>
        <w:rPr>
          <w:sz w:val="18"/>
          <w:szCs w:val="18"/>
          <w:u w:val="single"/>
          <w:lang w:val="en-US"/>
        </w:rPr>
      </w:pPr>
      <w:r w:rsidRPr="00106458">
        <w:rPr>
          <w:rFonts w:ascii="Arial" w:hAnsi="Arial" w:cs="Arial"/>
          <w:b/>
          <w:sz w:val="28"/>
          <w:szCs w:val="28"/>
          <w:u w:val="single"/>
          <w:lang w:val="en-US"/>
        </w:rPr>
        <w:lastRenderedPageBreak/>
        <w:t>Project Overview</w:t>
      </w:r>
    </w:p>
    <w:p w14:paraId="6B26B343" w14:textId="77777777" w:rsidR="00C43BA7" w:rsidRDefault="00C43BA7" w:rsidP="00C43BA7">
      <w:pPr>
        <w:spacing w:after="0" w:line="240" w:lineRule="auto"/>
        <w:contextualSpacing/>
        <w:rPr>
          <w:rFonts w:cs="Arial"/>
          <w:sz w:val="6"/>
          <w:szCs w:val="6"/>
          <w:lang w:val="en-US"/>
        </w:rPr>
      </w:pPr>
    </w:p>
    <w:p w14:paraId="46B7F658" w14:textId="77777777" w:rsidR="00C43BA7" w:rsidRPr="00B25167" w:rsidRDefault="00C43BA7" w:rsidP="00C43BA7">
      <w:pPr>
        <w:spacing w:after="0" w:line="240" w:lineRule="auto"/>
        <w:contextualSpacing/>
        <w:rPr>
          <w:rFonts w:cs="Arial"/>
          <w:sz w:val="6"/>
          <w:szCs w:val="6"/>
          <w:lang w:val="en-US"/>
        </w:rPr>
      </w:pPr>
    </w:p>
    <w:p w14:paraId="76683C9F" w14:textId="79813844" w:rsidR="002E052A" w:rsidRPr="00106458" w:rsidRDefault="00651F54" w:rsidP="00106458">
      <w:pPr>
        <w:spacing w:after="120"/>
        <w:rPr>
          <w:rFonts w:cs="Arial"/>
          <w:sz w:val="20"/>
          <w:szCs w:val="20"/>
        </w:rPr>
      </w:pPr>
      <w:r w:rsidRPr="00106458">
        <w:rPr>
          <w:rFonts w:cs="Arial"/>
          <w:sz w:val="20"/>
          <w:szCs w:val="20"/>
        </w:rPr>
        <w:t>Hingston Quarry is a Granite Stone producing Quarry located Cornwall, England. It is owned by Hanson UK who are one of the UK’s three largest building material manufacturers.</w:t>
      </w:r>
    </w:p>
    <w:p w14:paraId="6D589318" w14:textId="312D6A96" w:rsidR="00651F54" w:rsidRPr="00106458" w:rsidRDefault="00106458" w:rsidP="00106458">
      <w:pPr>
        <w:spacing w:after="120"/>
        <w:rPr>
          <w:rFonts w:cs="Arial"/>
          <w:sz w:val="20"/>
          <w:szCs w:val="20"/>
        </w:rPr>
      </w:pPr>
      <w:r w:rsidRPr="00106458">
        <w:rPr>
          <w:rFonts w:cs="Arial"/>
          <w:sz w:val="20"/>
          <w:szCs w:val="20"/>
        </w:rPr>
        <w:t>T</w:t>
      </w:r>
      <w:r w:rsidR="00651F54" w:rsidRPr="00106458">
        <w:rPr>
          <w:rFonts w:cs="Arial"/>
          <w:sz w:val="20"/>
          <w:szCs w:val="20"/>
        </w:rPr>
        <w:t>he quarry itself produces over 400kt of stone, varying in sizes from 100mm to dust, and is of strategic importance to Hanson UK’s business in its ability to supply stone at a competitive price to the Southern market.</w:t>
      </w:r>
    </w:p>
    <w:p w14:paraId="4F8BD465" w14:textId="285590EE" w:rsidR="00651F54" w:rsidRPr="00106458" w:rsidRDefault="00651F54" w:rsidP="00106458">
      <w:pPr>
        <w:spacing w:after="120"/>
        <w:rPr>
          <w:rFonts w:cs="Arial"/>
          <w:sz w:val="20"/>
          <w:szCs w:val="20"/>
        </w:rPr>
      </w:pPr>
      <w:r w:rsidRPr="00106458">
        <w:rPr>
          <w:rFonts w:cs="Arial"/>
          <w:sz w:val="20"/>
          <w:szCs w:val="20"/>
        </w:rPr>
        <w:t>Hingston itself has been operating in some capacity since 1924, with an estimated 12mt (30 years) of stone reserves still accessible at the site.</w:t>
      </w:r>
    </w:p>
    <w:p w14:paraId="2EEF7E03" w14:textId="731C9BC5" w:rsidR="00651F54" w:rsidRPr="00106458" w:rsidRDefault="00651F54" w:rsidP="00106458">
      <w:pPr>
        <w:spacing w:after="120"/>
        <w:rPr>
          <w:rFonts w:cs="Arial"/>
          <w:sz w:val="20"/>
          <w:szCs w:val="20"/>
        </w:rPr>
      </w:pPr>
      <w:r w:rsidRPr="00106458">
        <w:rPr>
          <w:rFonts w:cs="Arial"/>
          <w:sz w:val="20"/>
          <w:szCs w:val="20"/>
        </w:rPr>
        <w:t>The 0-4mm dust that is produced during quarry operations makes up for 30% of production and as produced, is not considered a good value product due to application which makes it difficult to sell. This means that as well as not being particularly profitable (current sales price = £2/t), it also accounts for significant amount of stocked product on site which a) is chargeable to the P and L through stock capping and b) takes up significant storage capacity.</w:t>
      </w:r>
    </w:p>
    <w:p w14:paraId="78118D02" w14:textId="2978FCAC" w:rsidR="00651F54" w:rsidRPr="00106458" w:rsidRDefault="00651F54" w:rsidP="00106458">
      <w:pPr>
        <w:spacing w:after="120"/>
        <w:rPr>
          <w:rFonts w:cs="Arial"/>
          <w:sz w:val="20"/>
          <w:szCs w:val="20"/>
        </w:rPr>
      </w:pPr>
      <w:r w:rsidRPr="00106458">
        <w:rPr>
          <w:rFonts w:cs="Arial"/>
          <w:sz w:val="20"/>
          <w:szCs w:val="20"/>
        </w:rPr>
        <w:t>Through the process of washing, the dust product can be turned into a more coarse</w:t>
      </w:r>
      <w:r w:rsidR="006D7A4A" w:rsidRPr="00106458">
        <w:rPr>
          <w:rFonts w:cs="Arial"/>
          <w:sz w:val="20"/>
          <w:szCs w:val="20"/>
        </w:rPr>
        <w:t xml:space="preserve">, useable product by adding water and removing the fines as silt. This is a well-known practice and one that has been ongoing on the site since the beginning of the year. This process is estimated to reduce dust capped stock by around 70/80kt for 2022. </w:t>
      </w:r>
    </w:p>
    <w:p w14:paraId="2DF4680E" w14:textId="1D602BA8" w:rsidR="006D7A4A" w:rsidRPr="00106458" w:rsidRDefault="006D7A4A" w:rsidP="00106458">
      <w:pPr>
        <w:spacing w:after="120"/>
        <w:rPr>
          <w:rFonts w:cs="Arial"/>
          <w:sz w:val="20"/>
          <w:szCs w:val="20"/>
        </w:rPr>
      </w:pPr>
      <w:r w:rsidRPr="00106458">
        <w:rPr>
          <w:rFonts w:cs="Arial"/>
          <w:sz w:val="20"/>
          <w:szCs w:val="20"/>
        </w:rPr>
        <w:t>There is a strong market for the washed product, with current sales forecast of 3-4kt per month at £7.90 per tonne.</w:t>
      </w:r>
    </w:p>
    <w:p w14:paraId="2424571C" w14:textId="2B29D5A2" w:rsidR="006D7A4A" w:rsidRPr="00106458" w:rsidRDefault="006D7A4A" w:rsidP="00106458">
      <w:pPr>
        <w:spacing w:after="120"/>
        <w:rPr>
          <w:rFonts w:cs="Arial"/>
          <w:sz w:val="20"/>
          <w:szCs w:val="20"/>
        </w:rPr>
      </w:pPr>
      <w:r w:rsidRPr="00106458">
        <w:rPr>
          <w:rFonts w:cs="Arial"/>
          <w:sz w:val="20"/>
          <w:szCs w:val="20"/>
        </w:rPr>
        <w:t xml:space="preserve">The position of the current wash plant is causing some issues that will </w:t>
      </w:r>
      <w:r w:rsidR="008406E6" w:rsidRPr="00106458">
        <w:rPr>
          <w:rFonts w:cs="Arial"/>
          <w:sz w:val="20"/>
          <w:szCs w:val="20"/>
        </w:rPr>
        <w:t>affect</w:t>
      </w:r>
      <w:r w:rsidRPr="00106458">
        <w:rPr>
          <w:rFonts w:cs="Arial"/>
          <w:sz w:val="20"/>
          <w:szCs w:val="20"/>
        </w:rPr>
        <w:t xml:space="preserve"> the life of the quarry at it current operating rates, and therefore the strategic stability of the site in the South. </w:t>
      </w:r>
      <w:r w:rsidR="00E50B64" w:rsidRPr="00106458">
        <w:rPr>
          <w:rFonts w:cs="Arial"/>
          <w:sz w:val="20"/>
          <w:szCs w:val="20"/>
        </w:rPr>
        <w:t xml:space="preserve"> The below image shows the current position and the reserve it is preventing access to (highlighted red):</w:t>
      </w:r>
    </w:p>
    <w:p w14:paraId="32D33975" w14:textId="702F1965" w:rsidR="00E50B64" w:rsidRDefault="00E50B64" w:rsidP="00E50B64">
      <w:pPr>
        <w:pStyle w:val="ListParagraph"/>
        <w:spacing w:after="120"/>
        <w:ind w:left="426"/>
        <w:jc w:val="center"/>
        <w:rPr>
          <w:rFonts w:cs="Arial"/>
          <w:sz w:val="20"/>
          <w:szCs w:val="20"/>
        </w:rPr>
      </w:pPr>
      <w:r>
        <w:rPr>
          <w:noProof/>
        </w:rPr>
        <w:drawing>
          <wp:inline distT="0" distB="0" distL="0" distR="0" wp14:anchorId="4321670F" wp14:editId="698C656F">
            <wp:extent cx="2113808" cy="1589721"/>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36607" cy="1606867"/>
                    </a:xfrm>
                    <a:prstGeom prst="rect">
                      <a:avLst/>
                    </a:prstGeom>
                  </pic:spPr>
                </pic:pic>
              </a:graphicData>
            </a:graphic>
          </wp:inline>
        </w:drawing>
      </w:r>
    </w:p>
    <w:p w14:paraId="59EE3160" w14:textId="0AC3E28E" w:rsidR="00E50B64" w:rsidRDefault="00E50B64" w:rsidP="00E50B64">
      <w:pPr>
        <w:pStyle w:val="ListParagraph"/>
        <w:spacing w:after="120"/>
        <w:ind w:left="426"/>
        <w:jc w:val="center"/>
        <w:rPr>
          <w:rFonts w:cs="Arial"/>
          <w:sz w:val="20"/>
          <w:szCs w:val="20"/>
        </w:rPr>
      </w:pPr>
    </w:p>
    <w:p w14:paraId="17D72327" w14:textId="7C997FB6" w:rsidR="00E50B64" w:rsidRPr="00106458" w:rsidRDefault="00E50B64" w:rsidP="00106458">
      <w:pPr>
        <w:spacing w:after="120"/>
        <w:rPr>
          <w:rFonts w:cs="Arial"/>
          <w:sz w:val="20"/>
          <w:szCs w:val="20"/>
        </w:rPr>
      </w:pPr>
      <w:r w:rsidRPr="00106458">
        <w:rPr>
          <w:rFonts w:cs="Arial"/>
          <w:sz w:val="20"/>
          <w:szCs w:val="20"/>
        </w:rPr>
        <w:t>As well as restricting access to the reserve, the wash plant position is causing other issues such as:</w:t>
      </w:r>
    </w:p>
    <w:p w14:paraId="27C55384" w14:textId="59DD61C2" w:rsidR="00E50B64" w:rsidRDefault="00E50B64" w:rsidP="00E50B64">
      <w:pPr>
        <w:pStyle w:val="ListParagraph"/>
        <w:numPr>
          <w:ilvl w:val="0"/>
          <w:numId w:val="31"/>
        </w:numPr>
        <w:spacing w:after="120"/>
        <w:rPr>
          <w:rFonts w:cs="Arial"/>
          <w:sz w:val="20"/>
          <w:szCs w:val="20"/>
        </w:rPr>
      </w:pPr>
      <w:r>
        <w:rPr>
          <w:rFonts w:cs="Arial"/>
          <w:sz w:val="20"/>
          <w:szCs w:val="20"/>
        </w:rPr>
        <w:t>Unsafe quarrying activities due to water being stored above quarrying level</w:t>
      </w:r>
    </w:p>
    <w:p w14:paraId="1CFC40EC" w14:textId="753A12B6" w:rsidR="00E50B64" w:rsidRDefault="00E50B64" w:rsidP="00E50B64">
      <w:pPr>
        <w:pStyle w:val="ListParagraph"/>
        <w:numPr>
          <w:ilvl w:val="0"/>
          <w:numId w:val="31"/>
        </w:numPr>
        <w:spacing w:after="120"/>
        <w:rPr>
          <w:rFonts w:cs="Arial"/>
          <w:sz w:val="20"/>
          <w:szCs w:val="20"/>
        </w:rPr>
      </w:pPr>
      <w:r>
        <w:rPr>
          <w:rFonts w:cs="Arial"/>
          <w:sz w:val="20"/>
          <w:szCs w:val="20"/>
        </w:rPr>
        <w:t>High material transport costs due to wash plants position from storage/disposal areas</w:t>
      </w:r>
    </w:p>
    <w:p w14:paraId="1B502336" w14:textId="77777777" w:rsidR="002C1101" w:rsidRPr="0089699A" w:rsidRDefault="002C1101" w:rsidP="00106458">
      <w:pPr>
        <w:spacing w:after="120"/>
        <w:rPr>
          <w:rFonts w:cs="Arial"/>
          <w:b/>
          <w:bCs/>
          <w:u w:val="single"/>
          <w:lang w:val="en-US"/>
        </w:rPr>
      </w:pPr>
      <w:r w:rsidRPr="0089699A">
        <w:rPr>
          <w:rFonts w:cs="Arial"/>
          <w:b/>
          <w:bCs/>
          <w:u w:val="single"/>
          <w:lang w:val="en-US"/>
        </w:rPr>
        <w:t>Project proposal</w:t>
      </w:r>
    </w:p>
    <w:p w14:paraId="3F36FCD4" w14:textId="2A99C954" w:rsidR="00E50B64" w:rsidRPr="00106458" w:rsidRDefault="00E50B64" w:rsidP="00106458">
      <w:pPr>
        <w:spacing w:after="120"/>
        <w:jc w:val="both"/>
        <w:rPr>
          <w:rFonts w:cs="Arial"/>
          <w:sz w:val="20"/>
          <w:szCs w:val="20"/>
        </w:rPr>
      </w:pPr>
      <w:r w:rsidRPr="00106458">
        <w:rPr>
          <w:rFonts w:cs="Arial"/>
          <w:sz w:val="20"/>
          <w:szCs w:val="20"/>
        </w:rPr>
        <w:t>It is proposed that the wash plant processing equipment is to be moved to the top of the quarry (marked below), thus mitigating all previous risks and optimising processing costs. The relocation will reduce haul routes by 60%</w:t>
      </w:r>
    </w:p>
    <w:p w14:paraId="714DD569" w14:textId="61D48A3A" w:rsidR="00E50B64" w:rsidRPr="00106458" w:rsidRDefault="00CB1295" w:rsidP="00106458">
      <w:pPr>
        <w:spacing w:after="120"/>
        <w:rPr>
          <w:rFonts w:cs="Arial"/>
          <w:sz w:val="20"/>
          <w:szCs w:val="20"/>
        </w:rPr>
      </w:pPr>
      <w:r w:rsidRPr="00106458">
        <w:rPr>
          <w:rFonts w:cs="Arial"/>
          <w:sz w:val="20"/>
          <w:szCs w:val="20"/>
        </w:rPr>
        <w:t>For</w:t>
      </w:r>
      <w:r w:rsidR="00E50B64" w:rsidRPr="00106458">
        <w:rPr>
          <w:rFonts w:cs="Arial"/>
          <w:sz w:val="20"/>
          <w:szCs w:val="20"/>
        </w:rPr>
        <w:t xml:space="preserve"> this relocation to go ahead, the ground around the proposed position must be re-purposed to allow the locating of the washing equipment and to accommodate significant movement of heavy plant vehicles. It is for this that the CapEx request is to be submitted.</w:t>
      </w:r>
    </w:p>
    <w:p w14:paraId="6FC3DC9F" w14:textId="1B32B9DF" w:rsidR="0079592E" w:rsidRPr="0089699A" w:rsidRDefault="0079592E" w:rsidP="00106458">
      <w:pPr>
        <w:rPr>
          <w:rFonts w:cs="Arial"/>
          <w:b/>
          <w:bCs/>
          <w:u w:val="single"/>
          <w:lang w:val="en-US"/>
        </w:rPr>
      </w:pPr>
      <w:r w:rsidRPr="0089699A">
        <w:rPr>
          <w:rFonts w:cs="Arial"/>
          <w:b/>
          <w:bCs/>
          <w:u w:val="single"/>
          <w:lang w:val="en-US"/>
        </w:rPr>
        <w:t>Key Project Information</w:t>
      </w:r>
    </w:p>
    <w:p w14:paraId="545E569F" w14:textId="2A2718BB" w:rsidR="0079592E" w:rsidRPr="001B5ACD" w:rsidRDefault="0079592E" w:rsidP="001B5ACD">
      <w:pPr>
        <w:pStyle w:val="ListParagraph"/>
        <w:numPr>
          <w:ilvl w:val="0"/>
          <w:numId w:val="33"/>
        </w:numPr>
        <w:rPr>
          <w:rFonts w:cs="Arial"/>
          <w:sz w:val="20"/>
          <w:szCs w:val="20"/>
          <w:lang w:val="en-US"/>
        </w:rPr>
      </w:pPr>
      <w:r w:rsidRPr="001B5ACD">
        <w:rPr>
          <w:rFonts w:cs="Arial"/>
          <w:sz w:val="20"/>
          <w:szCs w:val="20"/>
          <w:lang w:val="en-US"/>
        </w:rPr>
        <w:t>CapEx requirement based at £2</w:t>
      </w:r>
      <w:r w:rsidR="00863B9C" w:rsidRPr="001B5ACD">
        <w:rPr>
          <w:rFonts w:cs="Arial"/>
          <w:sz w:val="20"/>
          <w:szCs w:val="20"/>
          <w:lang w:val="en-US"/>
        </w:rPr>
        <w:t>30</w:t>
      </w:r>
      <w:r w:rsidRPr="001B5ACD">
        <w:rPr>
          <w:rFonts w:cs="Arial"/>
          <w:sz w:val="20"/>
          <w:szCs w:val="20"/>
          <w:lang w:val="en-US"/>
        </w:rPr>
        <w:t>,000 with 10% contingency factored in.</w:t>
      </w:r>
      <w:r w:rsidR="001C3853" w:rsidRPr="001B5ACD">
        <w:rPr>
          <w:rFonts w:cs="Arial"/>
          <w:sz w:val="20"/>
          <w:szCs w:val="20"/>
          <w:lang w:val="en-US"/>
        </w:rPr>
        <w:t xml:space="preserve"> (Heidelberg state anything &gt;£100,00 must be funded by CapEx)</w:t>
      </w:r>
    </w:p>
    <w:p w14:paraId="119C5AC5" w14:textId="4FAEF63F" w:rsidR="0079592E" w:rsidRPr="001B5ACD" w:rsidRDefault="0079592E" w:rsidP="001B5ACD">
      <w:pPr>
        <w:pStyle w:val="ListParagraph"/>
        <w:numPr>
          <w:ilvl w:val="0"/>
          <w:numId w:val="33"/>
        </w:numPr>
        <w:rPr>
          <w:rFonts w:cs="Arial"/>
          <w:sz w:val="20"/>
          <w:szCs w:val="20"/>
          <w:lang w:val="en-US"/>
        </w:rPr>
      </w:pPr>
      <w:r w:rsidRPr="001B5ACD">
        <w:rPr>
          <w:rFonts w:cs="Arial"/>
          <w:sz w:val="20"/>
          <w:szCs w:val="20"/>
          <w:lang w:val="en-US"/>
        </w:rPr>
        <w:t>6-month implementation period.</w:t>
      </w:r>
    </w:p>
    <w:p w14:paraId="4C9D07B8" w14:textId="1E9D929D" w:rsidR="0079592E" w:rsidRPr="001B5ACD" w:rsidRDefault="0079592E" w:rsidP="001B5ACD">
      <w:pPr>
        <w:pStyle w:val="ListParagraph"/>
        <w:numPr>
          <w:ilvl w:val="0"/>
          <w:numId w:val="33"/>
        </w:numPr>
        <w:rPr>
          <w:rFonts w:cs="Arial"/>
          <w:sz w:val="20"/>
          <w:szCs w:val="20"/>
          <w:lang w:val="en-US"/>
        </w:rPr>
      </w:pPr>
      <w:r w:rsidRPr="001B5ACD">
        <w:rPr>
          <w:rFonts w:cs="Arial"/>
          <w:sz w:val="20"/>
          <w:szCs w:val="20"/>
          <w:lang w:val="en-US"/>
        </w:rPr>
        <w:t>10-year duration (based on reserves if project did not go ahead.</w:t>
      </w:r>
    </w:p>
    <w:p w14:paraId="08E4261B" w14:textId="06359C33" w:rsidR="0079592E" w:rsidRPr="001B5ACD" w:rsidRDefault="0079592E" w:rsidP="001B5ACD">
      <w:pPr>
        <w:pStyle w:val="ListParagraph"/>
        <w:numPr>
          <w:ilvl w:val="0"/>
          <w:numId w:val="33"/>
        </w:numPr>
        <w:rPr>
          <w:rFonts w:cs="Arial"/>
          <w:sz w:val="20"/>
          <w:szCs w:val="20"/>
          <w:lang w:val="en-US"/>
        </w:rPr>
      </w:pPr>
      <w:r w:rsidRPr="001B5ACD">
        <w:rPr>
          <w:rFonts w:cs="Arial"/>
          <w:sz w:val="20"/>
          <w:szCs w:val="20"/>
          <w:lang w:val="en-US"/>
        </w:rPr>
        <w:t>After 10-years full financial benefit of quarry remaining operational would be seen to business.</w:t>
      </w:r>
    </w:p>
    <w:p w14:paraId="51B60042" w14:textId="63EAAFF5" w:rsidR="00282B6F" w:rsidRPr="001B5ACD" w:rsidRDefault="00282B6F" w:rsidP="001B5ACD">
      <w:pPr>
        <w:pStyle w:val="ListParagraph"/>
        <w:numPr>
          <w:ilvl w:val="0"/>
          <w:numId w:val="33"/>
        </w:numPr>
        <w:rPr>
          <w:rFonts w:cs="Arial"/>
          <w:sz w:val="20"/>
          <w:szCs w:val="20"/>
          <w:lang w:val="en-US"/>
        </w:rPr>
      </w:pPr>
      <w:r w:rsidRPr="001B5ACD">
        <w:rPr>
          <w:rFonts w:cs="Arial"/>
          <w:sz w:val="20"/>
          <w:szCs w:val="20"/>
          <w:lang w:val="en-US"/>
        </w:rPr>
        <w:lastRenderedPageBreak/>
        <w:t xml:space="preserve">Fuel and hire saving coupled with estimated 10% reduction in capping equates to </w:t>
      </w:r>
      <w:r w:rsidRPr="001B5ACD">
        <w:rPr>
          <w:rFonts w:cs="Arial"/>
          <w:b/>
          <w:bCs/>
          <w:sz w:val="20"/>
          <w:szCs w:val="20"/>
          <w:u w:val="single"/>
          <w:lang w:val="en-US"/>
        </w:rPr>
        <w:t>£47,315 savings</w:t>
      </w:r>
      <w:r w:rsidRPr="001B5ACD">
        <w:rPr>
          <w:rFonts w:cs="Arial"/>
          <w:sz w:val="20"/>
          <w:szCs w:val="20"/>
          <w:lang w:val="en-US"/>
        </w:rPr>
        <w:t xml:space="preserve"> per year to OpEx budget.</w:t>
      </w:r>
    </w:p>
    <w:p w14:paraId="3D6D312E" w14:textId="04DE2074" w:rsidR="00D76C97" w:rsidRPr="0079592E" w:rsidRDefault="009A41B2" w:rsidP="00D76C97">
      <w:pPr>
        <w:jc w:val="center"/>
        <w:rPr>
          <w:rFonts w:cs="Arial"/>
          <w:sz w:val="20"/>
          <w:szCs w:val="20"/>
          <w:lang w:val="en-US"/>
        </w:rPr>
      </w:pPr>
      <w:r>
        <w:rPr>
          <w:noProof/>
        </w:rPr>
        <w:drawing>
          <wp:inline distT="0" distB="0" distL="0" distR="0" wp14:anchorId="588FAB93" wp14:editId="369A88A2">
            <wp:extent cx="1781175" cy="144817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86833" cy="1452773"/>
                    </a:xfrm>
                    <a:prstGeom prst="rect">
                      <a:avLst/>
                    </a:prstGeom>
                  </pic:spPr>
                </pic:pic>
              </a:graphicData>
            </a:graphic>
          </wp:inline>
        </w:drawing>
      </w:r>
    </w:p>
    <w:p w14:paraId="78849224" w14:textId="20C1C77A" w:rsidR="00D76C97" w:rsidRPr="0089699A" w:rsidRDefault="00E50B41" w:rsidP="00D76C97">
      <w:pPr>
        <w:rPr>
          <w:rFonts w:cs="Arial"/>
          <w:b/>
          <w:bCs/>
          <w:u w:val="single"/>
          <w:lang w:val="en-US"/>
        </w:rPr>
      </w:pPr>
      <w:r w:rsidRPr="0089699A">
        <w:rPr>
          <w:rFonts w:cs="Arial"/>
          <w:b/>
          <w:bCs/>
          <w:u w:val="single"/>
          <w:lang w:val="en-US"/>
        </w:rPr>
        <w:t>Financial appraisal Models Used for Project</w:t>
      </w:r>
    </w:p>
    <w:p w14:paraId="65E1C9EE" w14:textId="64B1F610" w:rsidR="00CB1295" w:rsidRDefault="00D76C97" w:rsidP="00CB1295">
      <w:pPr>
        <w:rPr>
          <w:rFonts w:cs="Arial"/>
          <w:sz w:val="20"/>
          <w:szCs w:val="20"/>
          <w:lang w:val="en-US"/>
        </w:rPr>
      </w:pPr>
      <w:r w:rsidRPr="00517F31">
        <w:rPr>
          <w:rFonts w:cs="Arial"/>
          <w:b/>
          <w:bCs/>
          <w:sz w:val="20"/>
          <w:szCs w:val="20"/>
          <w:lang w:val="en-US"/>
        </w:rPr>
        <w:t>Payback</w:t>
      </w:r>
      <w:r w:rsidR="00E50B41">
        <w:rPr>
          <w:rFonts w:cs="Arial"/>
          <w:sz w:val="20"/>
          <w:szCs w:val="20"/>
          <w:lang w:val="en-US"/>
        </w:rPr>
        <w:t xml:space="preserve"> – The Payback model is perhaps the simplest and therefore most used model when companies are </w:t>
      </w:r>
      <w:r w:rsidR="009753AE">
        <w:rPr>
          <w:rFonts w:cs="Arial"/>
          <w:sz w:val="20"/>
          <w:szCs w:val="20"/>
          <w:lang w:val="en-US"/>
        </w:rPr>
        <w:t>analyzing</w:t>
      </w:r>
      <w:r w:rsidR="00E50B41">
        <w:rPr>
          <w:rFonts w:cs="Arial"/>
          <w:sz w:val="20"/>
          <w:szCs w:val="20"/>
          <w:lang w:val="en-US"/>
        </w:rPr>
        <w:t xml:space="preserve"> </w:t>
      </w:r>
      <w:r w:rsidR="00517F31">
        <w:rPr>
          <w:rFonts w:cs="Arial"/>
          <w:sz w:val="20"/>
          <w:szCs w:val="20"/>
          <w:lang w:val="en-US"/>
        </w:rPr>
        <w:t>whether</w:t>
      </w:r>
      <w:r w:rsidR="00E50B41">
        <w:rPr>
          <w:rFonts w:cs="Arial"/>
          <w:sz w:val="20"/>
          <w:szCs w:val="20"/>
          <w:lang w:val="en-US"/>
        </w:rPr>
        <w:t xml:space="preserve"> to proceed with a project. Explained simply, it is a calculation used to identify how long a project will take to pay back the initial investment</w:t>
      </w:r>
      <w:r w:rsidR="00517F31">
        <w:rPr>
          <w:rFonts w:cs="Arial"/>
          <w:sz w:val="20"/>
          <w:szCs w:val="20"/>
          <w:lang w:val="en-US"/>
        </w:rPr>
        <w:t xml:space="preserve">, and it calculated by dividing the total project cost by the annual cash flow return projected </w:t>
      </w:r>
      <w:sdt>
        <w:sdtPr>
          <w:rPr>
            <w:rFonts w:cs="Arial"/>
            <w:sz w:val="20"/>
            <w:szCs w:val="20"/>
            <w:lang w:val="en-US"/>
          </w:rPr>
          <w:id w:val="303128807"/>
          <w:citation/>
        </w:sdtPr>
        <w:sdtEndPr/>
        <w:sdtContent>
          <w:r w:rsidR="00517F31">
            <w:rPr>
              <w:rFonts w:cs="Arial"/>
              <w:sz w:val="20"/>
              <w:szCs w:val="20"/>
              <w:lang w:val="en-US"/>
            </w:rPr>
            <w:fldChar w:fldCharType="begin"/>
          </w:r>
          <w:r w:rsidR="00517F31">
            <w:rPr>
              <w:rFonts w:cs="Arial"/>
              <w:sz w:val="20"/>
              <w:szCs w:val="20"/>
            </w:rPr>
            <w:instrText xml:space="preserve"> CITATION Cau22 \l 2057 </w:instrText>
          </w:r>
          <w:r w:rsidR="00517F31">
            <w:rPr>
              <w:rFonts w:cs="Arial"/>
              <w:sz w:val="20"/>
              <w:szCs w:val="20"/>
              <w:lang w:val="en-US"/>
            </w:rPr>
            <w:fldChar w:fldCharType="separate"/>
          </w:r>
          <w:r w:rsidR="00517F31" w:rsidRPr="00517F31">
            <w:rPr>
              <w:rFonts w:cs="Arial"/>
              <w:noProof/>
              <w:sz w:val="20"/>
              <w:szCs w:val="20"/>
            </w:rPr>
            <w:t>(Causal, 2022)</w:t>
          </w:r>
          <w:r w:rsidR="00517F31">
            <w:rPr>
              <w:rFonts w:cs="Arial"/>
              <w:sz w:val="20"/>
              <w:szCs w:val="20"/>
              <w:lang w:val="en-US"/>
            </w:rPr>
            <w:fldChar w:fldCharType="end"/>
          </w:r>
        </w:sdtContent>
      </w:sdt>
      <w:r w:rsidR="00517F31">
        <w:rPr>
          <w:rFonts w:cs="Arial"/>
          <w:sz w:val="20"/>
          <w:szCs w:val="20"/>
          <w:lang w:val="en-US"/>
        </w:rPr>
        <w:t>. A business will typically decide a payback period that is suitable to their financial and risk position and therefore can vary significantly depending on the business and project.</w:t>
      </w:r>
      <w:r w:rsidR="001A2C20">
        <w:rPr>
          <w:rFonts w:cs="Arial"/>
          <w:sz w:val="20"/>
          <w:szCs w:val="20"/>
          <w:lang w:val="en-US"/>
        </w:rPr>
        <w:t xml:space="preserve"> The fact that a constant, present value cash flow is projected over the project duration to calculate the payback and therefore negates any potential impact on the cash flow value means that </w:t>
      </w:r>
      <w:r w:rsidR="009753AE">
        <w:rPr>
          <w:rFonts w:cs="Arial"/>
          <w:sz w:val="20"/>
          <w:szCs w:val="20"/>
          <w:lang w:val="en-US"/>
        </w:rPr>
        <w:t>this model</w:t>
      </w:r>
      <w:r w:rsidR="001A2C20">
        <w:rPr>
          <w:rFonts w:cs="Arial"/>
          <w:sz w:val="20"/>
          <w:szCs w:val="20"/>
          <w:lang w:val="en-US"/>
        </w:rPr>
        <w:t xml:space="preserve"> is better suited </w:t>
      </w:r>
      <w:r w:rsidR="009753AE">
        <w:rPr>
          <w:rFonts w:cs="Arial"/>
          <w:sz w:val="20"/>
          <w:szCs w:val="20"/>
          <w:lang w:val="en-US"/>
        </w:rPr>
        <w:t>t</w:t>
      </w:r>
      <w:r w:rsidR="001A2C20">
        <w:rPr>
          <w:rFonts w:cs="Arial"/>
          <w:sz w:val="20"/>
          <w:szCs w:val="20"/>
          <w:lang w:val="en-US"/>
        </w:rPr>
        <w:t>o support other financial models during any project appraisal.</w:t>
      </w:r>
    </w:p>
    <w:p w14:paraId="128B484E" w14:textId="05C2F147" w:rsidR="00D447EA" w:rsidRDefault="00D76C97" w:rsidP="00CB1295">
      <w:pPr>
        <w:rPr>
          <w:rFonts w:cs="Arial"/>
          <w:sz w:val="20"/>
          <w:szCs w:val="20"/>
          <w:lang w:val="en-US"/>
        </w:rPr>
      </w:pPr>
      <w:r w:rsidRPr="001A2C20">
        <w:rPr>
          <w:rFonts w:cs="Arial"/>
          <w:b/>
          <w:bCs/>
          <w:sz w:val="20"/>
          <w:szCs w:val="20"/>
          <w:lang w:val="en-US"/>
        </w:rPr>
        <w:t>N</w:t>
      </w:r>
      <w:r w:rsidR="00517F31" w:rsidRPr="001A2C20">
        <w:rPr>
          <w:rFonts w:cs="Arial"/>
          <w:b/>
          <w:bCs/>
          <w:sz w:val="20"/>
          <w:szCs w:val="20"/>
          <w:lang w:val="en-US"/>
        </w:rPr>
        <w:t>et Present Value (NPV)</w:t>
      </w:r>
      <w:r w:rsidR="00517F31">
        <w:rPr>
          <w:rFonts w:cs="Arial"/>
          <w:sz w:val="20"/>
          <w:szCs w:val="20"/>
          <w:lang w:val="en-US"/>
        </w:rPr>
        <w:t xml:space="preserve"> – This model is used to understand the profitability</w:t>
      </w:r>
      <w:r w:rsidR="00695882">
        <w:rPr>
          <w:rFonts w:cs="Arial"/>
          <w:sz w:val="20"/>
          <w:szCs w:val="20"/>
          <w:lang w:val="en-US"/>
        </w:rPr>
        <w:t xml:space="preserve"> of a projected project, essentially to understand what the current value of a future revenue stream equates to. </w:t>
      </w:r>
      <w:r w:rsidR="00D447EA">
        <w:rPr>
          <w:rFonts w:cs="Arial"/>
          <w:sz w:val="20"/>
          <w:szCs w:val="20"/>
          <w:lang w:val="en-US"/>
        </w:rPr>
        <w:t>It is calculated using the formula:</w:t>
      </w:r>
    </w:p>
    <w:p w14:paraId="22AED882" w14:textId="20F6A131" w:rsidR="00D447EA" w:rsidRDefault="00D447EA" w:rsidP="00CB1295">
      <w:pPr>
        <w:rPr>
          <w:rFonts w:cs="Arial"/>
          <w:sz w:val="20"/>
          <w:szCs w:val="20"/>
          <w:lang w:val="en-US"/>
        </w:rPr>
      </w:pPr>
      <w:r>
        <w:rPr>
          <w:rFonts w:cs="Arial"/>
          <w:sz w:val="20"/>
          <w:szCs w:val="20"/>
          <w:lang w:val="en-US"/>
        </w:rPr>
        <w:t xml:space="preserve">NPV = (Cash Flow/(1+i) ^t) – Initial Investment </w:t>
      </w:r>
    </w:p>
    <w:p w14:paraId="1E2D647F" w14:textId="71EC5A69" w:rsidR="00D447EA" w:rsidRDefault="00D447EA" w:rsidP="00CB1295">
      <w:pPr>
        <w:rPr>
          <w:rFonts w:cs="Arial"/>
          <w:sz w:val="20"/>
          <w:szCs w:val="20"/>
          <w:lang w:val="en-US"/>
        </w:rPr>
      </w:pPr>
      <w:r>
        <w:rPr>
          <w:rFonts w:cs="Arial"/>
          <w:sz w:val="20"/>
          <w:szCs w:val="20"/>
          <w:lang w:val="en-US"/>
        </w:rPr>
        <w:t>Where:</w:t>
      </w:r>
    </w:p>
    <w:p w14:paraId="21D82F79" w14:textId="36DEC715" w:rsidR="00D447EA" w:rsidRDefault="00D447EA" w:rsidP="00D447EA">
      <w:pPr>
        <w:spacing w:after="0"/>
        <w:rPr>
          <w:rFonts w:cs="Arial"/>
          <w:sz w:val="20"/>
          <w:szCs w:val="20"/>
          <w:lang w:val="en-US"/>
        </w:rPr>
      </w:pPr>
      <w:r>
        <w:rPr>
          <w:rFonts w:cs="Arial"/>
          <w:sz w:val="20"/>
          <w:szCs w:val="20"/>
          <w:lang w:val="en-US"/>
        </w:rPr>
        <w:t>“i” = Discount Rate</w:t>
      </w:r>
    </w:p>
    <w:p w14:paraId="6FC0EEAD" w14:textId="2B65CDCE" w:rsidR="00D447EA" w:rsidRDefault="00D447EA" w:rsidP="00D447EA">
      <w:pPr>
        <w:spacing w:after="0"/>
        <w:rPr>
          <w:rFonts w:cs="Arial"/>
          <w:sz w:val="20"/>
          <w:szCs w:val="20"/>
          <w:lang w:val="en-US"/>
        </w:rPr>
      </w:pPr>
      <w:r>
        <w:rPr>
          <w:rFonts w:cs="Arial"/>
          <w:sz w:val="20"/>
          <w:szCs w:val="20"/>
          <w:lang w:val="en-US"/>
        </w:rPr>
        <w:t>“t” = Number of time periods (project duration)</w:t>
      </w:r>
    </w:p>
    <w:p w14:paraId="7B951294" w14:textId="77777777" w:rsidR="00D447EA" w:rsidRDefault="00D447EA" w:rsidP="00D447EA">
      <w:pPr>
        <w:spacing w:after="0"/>
        <w:rPr>
          <w:rFonts w:cs="Arial"/>
          <w:sz w:val="20"/>
          <w:szCs w:val="20"/>
          <w:lang w:val="en-US"/>
        </w:rPr>
      </w:pPr>
    </w:p>
    <w:p w14:paraId="7896A45D" w14:textId="60828C1F" w:rsidR="00D76C97" w:rsidRDefault="00695882" w:rsidP="00CB1295">
      <w:pPr>
        <w:rPr>
          <w:rFonts w:cs="Arial"/>
          <w:sz w:val="20"/>
          <w:szCs w:val="20"/>
          <w:lang w:val="en-US"/>
        </w:rPr>
      </w:pPr>
      <w:r>
        <w:rPr>
          <w:rFonts w:cs="Arial"/>
          <w:sz w:val="20"/>
          <w:szCs w:val="20"/>
          <w:lang w:val="en-US"/>
        </w:rPr>
        <w:t xml:space="preserve">Some estimations are required when carrying out the calculation, such as the time and amount of future cash flows </w:t>
      </w:r>
      <w:sdt>
        <w:sdtPr>
          <w:rPr>
            <w:rFonts w:cs="Arial"/>
            <w:sz w:val="20"/>
            <w:szCs w:val="20"/>
            <w:lang w:val="en-US"/>
          </w:rPr>
          <w:id w:val="-356281142"/>
          <w:citation/>
        </w:sdtPr>
        <w:sdtEndPr/>
        <w:sdtContent>
          <w:r>
            <w:rPr>
              <w:rFonts w:cs="Arial"/>
              <w:sz w:val="20"/>
              <w:szCs w:val="20"/>
              <w:lang w:val="en-US"/>
            </w:rPr>
            <w:fldChar w:fldCharType="begin"/>
          </w:r>
          <w:r>
            <w:rPr>
              <w:rFonts w:cs="Arial"/>
              <w:sz w:val="20"/>
              <w:szCs w:val="20"/>
            </w:rPr>
            <w:instrText xml:space="preserve"> CITATION Fer22 \l 2057 </w:instrText>
          </w:r>
          <w:r>
            <w:rPr>
              <w:rFonts w:cs="Arial"/>
              <w:sz w:val="20"/>
              <w:szCs w:val="20"/>
              <w:lang w:val="en-US"/>
            </w:rPr>
            <w:fldChar w:fldCharType="separate"/>
          </w:r>
          <w:r w:rsidRPr="00695882">
            <w:rPr>
              <w:rFonts w:cs="Arial"/>
              <w:noProof/>
              <w:sz w:val="20"/>
              <w:szCs w:val="20"/>
            </w:rPr>
            <w:t>(Fernando, 2022)</w:t>
          </w:r>
          <w:r>
            <w:rPr>
              <w:rFonts w:cs="Arial"/>
              <w:sz w:val="20"/>
              <w:szCs w:val="20"/>
              <w:lang w:val="en-US"/>
            </w:rPr>
            <w:fldChar w:fldCharType="end"/>
          </w:r>
        </w:sdtContent>
      </w:sdt>
      <w:r>
        <w:rPr>
          <w:rFonts w:cs="Arial"/>
          <w:sz w:val="20"/>
          <w:szCs w:val="20"/>
          <w:lang w:val="en-US"/>
        </w:rPr>
        <w:t>. A Weighted Average Cost of Capital (WACC) discount rate is also applied to the calculation</w:t>
      </w:r>
      <w:r w:rsidR="005254D2">
        <w:rPr>
          <w:rFonts w:cs="Arial"/>
          <w:sz w:val="20"/>
          <w:szCs w:val="20"/>
          <w:lang w:val="en-US"/>
        </w:rPr>
        <w:t xml:space="preserve">. WACC looks at the weighted average of a </w:t>
      </w:r>
      <w:r w:rsidR="00294DA3">
        <w:rPr>
          <w:rFonts w:cs="Arial"/>
          <w:sz w:val="20"/>
          <w:szCs w:val="20"/>
          <w:lang w:val="en-US"/>
        </w:rPr>
        <w:t>business’s</w:t>
      </w:r>
      <w:r w:rsidR="005254D2">
        <w:rPr>
          <w:rFonts w:cs="Arial"/>
          <w:sz w:val="20"/>
          <w:szCs w:val="20"/>
          <w:lang w:val="en-US"/>
        </w:rPr>
        <w:t xml:space="preserve"> equity cost and debt. The formula for WACC is:</w:t>
      </w:r>
    </w:p>
    <w:p w14:paraId="45B7532C" w14:textId="63FD5BFC" w:rsidR="005254D2" w:rsidRDefault="005254D2" w:rsidP="00CB1295">
      <w:pPr>
        <w:rPr>
          <w:rFonts w:cs="Arial"/>
          <w:sz w:val="20"/>
          <w:szCs w:val="20"/>
          <w:lang w:val="en-US"/>
        </w:rPr>
      </w:pPr>
      <w:r>
        <w:rPr>
          <w:rFonts w:cs="Arial"/>
          <w:sz w:val="20"/>
          <w:szCs w:val="20"/>
          <w:lang w:val="en-US"/>
        </w:rPr>
        <w:t xml:space="preserve">WACC = (E/V*Ke) + (D/V) * Kd * (1-Tax rate) - </w:t>
      </w:r>
      <w:sdt>
        <w:sdtPr>
          <w:rPr>
            <w:rFonts w:cs="Arial"/>
            <w:sz w:val="20"/>
            <w:szCs w:val="20"/>
            <w:lang w:val="en-US"/>
          </w:rPr>
          <w:id w:val="1144163294"/>
          <w:citation/>
        </w:sdtPr>
        <w:sdtEndPr/>
        <w:sdtContent>
          <w:r>
            <w:rPr>
              <w:rFonts w:cs="Arial"/>
              <w:sz w:val="20"/>
              <w:szCs w:val="20"/>
              <w:lang w:val="en-US"/>
            </w:rPr>
            <w:fldChar w:fldCharType="begin"/>
          </w:r>
          <w:r>
            <w:rPr>
              <w:rFonts w:cs="Arial"/>
              <w:sz w:val="20"/>
              <w:szCs w:val="20"/>
            </w:rPr>
            <w:instrText xml:space="preserve"> CITATION Vai22 \l 2057 </w:instrText>
          </w:r>
          <w:r>
            <w:rPr>
              <w:rFonts w:cs="Arial"/>
              <w:sz w:val="20"/>
              <w:szCs w:val="20"/>
              <w:lang w:val="en-US"/>
            </w:rPr>
            <w:fldChar w:fldCharType="separate"/>
          </w:r>
          <w:r w:rsidRPr="005254D2">
            <w:rPr>
              <w:rFonts w:cs="Arial"/>
              <w:noProof/>
              <w:sz w:val="20"/>
              <w:szCs w:val="20"/>
            </w:rPr>
            <w:t>(Vaidya, D, 2022)</w:t>
          </w:r>
          <w:r>
            <w:rPr>
              <w:rFonts w:cs="Arial"/>
              <w:sz w:val="20"/>
              <w:szCs w:val="20"/>
              <w:lang w:val="en-US"/>
            </w:rPr>
            <w:fldChar w:fldCharType="end"/>
          </w:r>
        </w:sdtContent>
      </w:sdt>
    </w:p>
    <w:p w14:paraId="3BB0874F" w14:textId="09BEC318" w:rsidR="005254D2" w:rsidRDefault="005254D2" w:rsidP="00CB1295">
      <w:pPr>
        <w:rPr>
          <w:rFonts w:cs="Arial"/>
          <w:sz w:val="20"/>
          <w:szCs w:val="20"/>
          <w:lang w:val="en-US"/>
        </w:rPr>
      </w:pPr>
      <w:r>
        <w:rPr>
          <w:rFonts w:cs="Arial"/>
          <w:sz w:val="20"/>
          <w:szCs w:val="20"/>
          <w:lang w:val="en-US"/>
        </w:rPr>
        <w:t>Where:</w:t>
      </w:r>
    </w:p>
    <w:p w14:paraId="7334908E" w14:textId="5998FA44" w:rsidR="005254D2" w:rsidRDefault="005254D2" w:rsidP="005254D2">
      <w:pPr>
        <w:spacing w:after="0"/>
        <w:rPr>
          <w:rFonts w:cs="Arial"/>
          <w:sz w:val="20"/>
          <w:szCs w:val="20"/>
          <w:lang w:val="en-US"/>
        </w:rPr>
      </w:pPr>
      <w:r>
        <w:rPr>
          <w:rFonts w:cs="Arial"/>
          <w:sz w:val="20"/>
          <w:szCs w:val="20"/>
          <w:lang w:val="en-US"/>
        </w:rPr>
        <w:t>E = Market Value of Equity</w:t>
      </w:r>
    </w:p>
    <w:p w14:paraId="5FDC19A8" w14:textId="0C11BC54" w:rsidR="005254D2" w:rsidRDefault="005254D2" w:rsidP="005254D2">
      <w:pPr>
        <w:spacing w:after="0"/>
        <w:rPr>
          <w:rFonts w:cs="Arial"/>
          <w:sz w:val="20"/>
          <w:szCs w:val="20"/>
          <w:lang w:val="en-US"/>
        </w:rPr>
      </w:pPr>
      <w:r>
        <w:rPr>
          <w:rFonts w:cs="Arial"/>
          <w:sz w:val="20"/>
          <w:szCs w:val="20"/>
          <w:lang w:val="en-US"/>
        </w:rPr>
        <w:t>V = Total market value of equity and debt</w:t>
      </w:r>
    </w:p>
    <w:p w14:paraId="1F72ACFF" w14:textId="02AAF6D2" w:rsidR="005254D2" w:rsidRDefault="005254D2" w:rsidP="005254D2">
      <w:pPr>
        <w:spacing w:after="0"/>
        <w:rPr>
          <w:rFonts w:cs="Arial"/>
          <w:sz w:val="20"/>
          <w:szCs w:val="20"/>
          <w:lang w:val="en-US"/>
        </w:rPr>
      </w:pPr>
      <w:r>
        <w:rPr>
          <w:rFonts w:cs="Arial"/>
          <w:sz w:val="20"/>
          <w:szCs w:val="20"/>
          <w:lang w:val="en-US"/>
        </w:rPr>
        <w:t xml:space="preserve">Ke = Cost of </w:t>
      </w:r>
      <w:r w:rsidR="00294DA3">
        <w:rPr>
          <w:rFonts w:cs="Arial"/>
          <w:sz w:val="20"/>
          <w:szCs w:val="20"/>
          <w:lang w:val="en-US"/>
        </w:rPr>
        <w:t>equity</w:t>
      </w:r>
    </w:p>
    <w:p w14:paraId="7C251269" w14:textId="3B192C91" w:rsidR="005254D2" w:rsidRDefault="005254D2" w:rsidP="005254D2">
      <w:pPr>
        <w:spacing w:after="0"/>
        <w:rPr>
          <w:rFonts w:cs="Arial"/>
          <w:sz w:val="20"/>
          <w:szCs w:val="20"/>
          <w:lang w:val="en-US"/>
        </w:rPr>
      </w:pPr>
      <w:r>
        <w:rPr>
          <w:rFonts w:cs="Arial"/>
          <w:sz w:val="20"/>
          <w:szCs w:val="20"/>
          <w:lang w:val="en-US"/>
        </w:rPr>
        <w:t>D = Market Value of Debt</w:t>
      </w:r>
    </w:p>
    <w:p w14:paraId="4FCF8307" w14:textId="00310C1D" w:rsidR="005254D2" w:rsidRDefault="005254D2" w:rsidP="005254D2">
      <w:pPr>
        <w:spacing w:after="0"/>
        <w:rPr>
          <w:rFonts w:cs="Arial"/>
          <w:sz w:val="20"/>
          <w:szCs w:val="20"/>
          <w:lang w:val="en-US"/>
        </w:rPr>
      </w:pPr>
      <w:r>
        <w:rPr>
          <w:rFonts w:cs="Arial"/>
          <w:sz w:val="20"/>
          <w:szCs w:val="20"/>
          <w:lang w:val="en-US"/>
        </w:rPr>
        <w:t>Kd = Cost of Debt</w:t>
      </w:r>
    </w:p>
    <w:p w14:paraId="74AA7062" w14:textId="03B3EB8B" w:rsidR="005254D2" w:rsidRDefault="005254D2" w:rsidP="005254D2">
      <w:pPr>
        <w:spacing w:after="0"/>
        <w:rPr>
          <w:rFonts w:cs="Arial"/>
          <w:sz w:val="20"/>
          <w:szCs w:val="20"/>
          <w:lang w:val="en-US"/>
        </w:rPr>
      </w:pPr>
      <w:r>
        <w:rPr>
          <w:rFonts w:cs="Arial"/>
          <w:sz w:val="20"/>
          <w:szCs w:val="20"/>
          <w:lang w:val="en-US"/>
        </w:rPr>
        <w:t>Tax rate = Corporate Tax Rate</w:t>
      </w:r>
    </w:p>
    <w:p w14:paraId="285FF4D6" w14:textId="77777777" w:rsidR="0089699A" w:rsidRDefault="0089699A" w:rsidP="005254D2">
      <w:pPr>
        <w:spacing w:after="0"/>
        <w:rPr>
          <w:rFonts w:cs="Arial"/>
          <w:sz w:val="20"/>
          <w:szCs w:val="20"/>
          <w:lang w:val="en-US"/>
        </w:rPr>
      </w:pPr>
    </w:p>
    <w:p w14:paraId="4862936F" w14:textId="2011BD6E" w:rsidR="001A2C20" w:rsidRDefault="00D447EA" w:rsidP="001A2C20">
      <w:pPr>
        <w:spacing w:after="0"/>
        <w:rPr>
          <w:rFonts w:cs="Arial"/>
          <w:sz w:val="20"/>
          <w:szCs w:val="20"/>
          <w:lang w:val="en-US"/>
        </w:rPr>
      </w:pPr>
      <w:r>
        <w:rPr>
          <w:rFonts w:cs="Arial"/>
          <w:sz w:val="20"/>
          <w:szCs w:val="20"/>
          <w:lang w:val="en-US"/>
        </w:rPr>
        <w:t xml:space="preserve">If the NPV value is positive then this is a good indication that the project can proceed, however as </w:t>
      </w:r>
      <w:sdt>
        <w:sdtPr>
          <w:rPr>
            <w:rFonts w:cs="Arial"/>
            <w:sz w:val="20"/>
            <w:szCs w:val="20"/>
            <w:lang w:val="en-US"/>
          </w:rPr>
          <w:id w:val="-1325817356"/>
          <w:citation/>
        </w:sdtPr>
        <w:sdtEndPr/>
        <w:sdtContent>
          <w:r>
            <w:rPr>
              <w:rFonts w:cs="Arial"/>
              <w:sz w:val="20"/>
              <w:szCs w:val="20"/>
              <w:lang w:val="en-US"/>
            </w:rPr>
            <w:fldChar w:fldCharType="begin"/>
          </w:r>
          <w:r>
            <w:rPr>
              <w:rFonts w:cs="Arial"/>
              <w:sz w:val="20"/>
              <w:szCs w:val="20"/>
            </w:rPr>
            <w:instrText xml:space="preserve"> CITATION Gol10 \l 2057 </w:instrText>
          </w:r>
          <w:r>
            <w:rPr>
              <w:rFonts w:cs="Arial"/>
              <w:sz w:val="20"/>
              <w:szCs w:val="20"/>
              <w:lang w:val="en-US"/>
            </w:rPr>
            <w:fldChar w:fldCharType="separate"/>
          </w:r>
          <w:r w:rsidRPr="00D447EA">
            <w:rPr>
              <w:rFonts w:cs="Arial"/>
              <w:noProof/>
              <w:sz w:val="20"/>
              <w:szCs w:val="20"/>
            </w:rPr>
            <w:t>(Gollier, 2010)</w:t>
          </w:r>
          <w:r>
            <w:rPr>
              <w:rFonts w:cs="Arial"/>
              <w:sz w:val="20"/>
              <w:szCs w:val="20"/>
              <w:lang w:val="en-US"/>
            </w:rPr>
            <w:fldChar w:fldCharType="end"/>
          </w:r>
        </w:sdtContent>
      </w:sdt>
      <w:r w:rsidR="00921F5B">
        <w:rPr>
          <w:rFonts w:cs="Arial"/>
          <w:sz w:val="20"/>
          <w:szCs w:val="20"/>
          <w:lang w:val="en-US"/>
        </w:rPr>
        <w:t xml:space="preserve"> suggests one must be careful when using this metric as a stand alone decision factor as assumptions are made on future cash flows which cannot take into account all external factors and therefore may be </w:t>
      </w:r>
      <w:r w:rsidR="001A2C20">
        <w:rPr>
          <w:rFonts w:cs="Arial"/>
          <w:sz w:val="20"/>
          <w:szCs w:val="20"/>
          <w:lang w:val="en-US"/>
        </w:rPr>
        <w:t>positively or negatively inaccurate. There is also the consideration that the discount rate used is subjective to each company, meaning this could be over or underestimated.</w:t>
      </w:r>
      <w:r w:rsidR="00921F5B">
        <w:rPr>
          <w:rFonts w:cs="Arial"/>
          <w:sz w:val="20"/>
          <w:szCs w:val="20"/>
          <w:lang w:val="en-US"/>
        </w:rPr>
        <w:t xml:space="preserve"> </w:t>
      </w:r>
    </w:p>
    <w:p w14:paraId="639CE3D3" w14:textId="77777777" w:rsidR="001A2C20" w:rsidRDefault="001A2C20" w:rsidP="001A2C20">
      <w:pPr>
        <w:spacing w:after="0"/>
        <w:rPr>
          <w:rFonts w:cs="Arial"/>
          <w:sz w:val="20"/>
          <w:szCs w:val="20"/>
          <w:lang w:val="en-US"/>
        </w:rPr>
      </w:pPr>
    </w:p>
    <w:p w14:paraId="509C234C" w14:textId="0F0F4BE5" w:rsidR="00D76C97" w:rsidRDefault="00D76C97" w:rsidP="00CB1295">
      <w:pPr>
        <w:rPr>
          <w:rFonts w:cs="Arial"/>
          <w:sz w:val="20"/>
          <w:szCs w:val="20"/>
          <w:lang w:val="en-US"/>
        </w:rPr>
      </w:pPr>
      <w:r w:rsidRPr="00106458">
        <w:rPr>
          <w:rFonts w:cs="Arial"/>
          <w:b/>
          <w:bCs/>
          <w:sz w:val="20"/>
          <w:szCs w:val="20"/>
          <w:lang w:val="en-US"/>
        </w:rPr>
        <w:t>I</w:t>
      </w:r>
      <w:r w:rsidR="00106458" w:rsidRPr="00106458">
        <w:rPr>
          <w:rFonts w:cs="Arial"/>
          <w:b/>
          <w:bCs/>
          <w:sz w:val="20"/>
          <w:szCs w:val="20"/>
          <w:lang w:val="en-US"/>
        </w:rPr>
        <w:t xml:space="preserve">nternal </w:t>
      </w:r>
      <w:r w:rsidRPr="00106458">
        <w:rPr>
          <w:rFonts w:cs="Arial"/>
          <w:b/>
          <w:bCs/>
          <w:sz w:val="20"/>
          <w:szCs w:val="20"/>
          <w:lang w:val="en-US"/>
        </w:rPr>
        <w:t>R</w:t>
      </w:r>
      <w:r w:rsidR="00106458" w:rsidRPr="00106458">
        <w:rPr>
          <w:rFonts w:cs="Arial"/>
          <w:b/>
          <w:bCs/>
          <w:sz w:val="20"/>
          <w:szCs w:val="20"/>
          <w:lang w:val="en-US"/>
        </w:rPr>
        <w:t xml:space="preserve">ate of </w:t>
      </w:r>
      <w:r w:rsidRPr="00106458">
        <w:rPr>
          <w:rFonts w:cs="Arial"/>
          <w:b/>
          <w:bCs/>
          <w:sz w:val="20"/>
          <w:szCs w:val="20"/>
          <w:lang w:val="en-US"/>
        </w:rPr>
        <w:t>R</w:t>
      </w:r>
      <w:r w:rsidR="00106458" w:rsidRPr="00106458">
        <w:rPr>
          <w:rFonts w:cs="Arial"/>
          <w:b/>
          <w:bCs/>
          <w:sz w:val="20"/>
          <w:szCs w:val="20"/>
          <w:lang w:val="en-US"/>
        </w:rPr>
        <w:t>eturn (IRR)</w:t>
      </w:r>
      <w:r w:rsidR="00106458">
        <w:rPr>
          <w:rFonts w:cs="Arial"/>
          <w:sz w:val="20"/>
          <w:szCs w:val="20"/>
          <w:lang w:val="en-US"/>
        </w:rPr>
        <w:t xml:space="preserve"> </w:t>
      </w:r>
      <w:r w:rsidR="00BF653D">
        <w:rPr>
          <w:rFonts w:cs="Arial"/>
          <w:sz w:val="20"/>
          <w:szCs w:val="20"/>
          <w:lang w:val="en-US"/>
        </w:rPr>
        <w:t>–</w:t>
      </w:r>
      <w:r w:rsidR="00106458">
        <w:rPr>
          <w:rFonts w:cs="Arial"/>
          <w:sz w:val="20"/>
          <w:szCs w:val="20"/>
          <w:lang w:val="en-US"/>
        </w:rPr>
        <w:t xml:space="preserve"> </w:t>
      </w:r>
      <w:r w:rsidR="00BF653D">
        <w:rPr>
          <w:rFonts w:cs="Arial"/>
          <w:sz w:val="20"/>
          <w:szCs w:val="20"/>
          <w:lang w:val="en-US"/>
        </w:rPr>
        <w:t xml:space="preserve">The IRR is a metric that indicates the annual rate of growth that a project or investment is expected to generate </w:t>
      </w:r>
      <w:sdt>
        <w:sdtPr>
          <w:rPr>
            <w:rFonts w:cs="Arial"/>
            <w:sz w:val="20"/>
            <w:szCs w:val="20"/>
            <w:lang w:val="en-US"/>
          </w:rPr>
          <w:id w:val="1396474550"/>
          <w:citation/>
        </w:sdtPr>
        <w:sdtEndPr/>
        <w:sdtContent>
          <w:r w:rsidR="00BF653D">
            <w:rPr>
              <w:rFonts w:cs="Arial"/>
              <w:sz w:val="20"/>
              <w:szCs w:val="20"/>
              <w:lang w:val="en-US"/>
            </w:rPr>
            <w:fldChar w:fldCharType="begin"/>
          </w:r>
          <w:r w:rsidR="00BF653D">
            <w:rPr>
              <w:rFonts w:cs="Arial"/>
              <w:sz w:val="20"/>
              <w:szCs w:val="20"/>
            </w:rPr>
            <w:instrText xml:space="preserve"> CITATION Fer221 \l 2057 </w:instrText>
          </w:r>
          <w:r w:rsidR="00BF653D">
            <w:rPr>
              <w:rFonts w:cs="Arial"/>
              <w:sz w:val="20"/>
              <w:szCs w:val="20"/>
              <w:lang w:val="en-US"/>
            </w:rPr>
            <w:fldChar w:fldCharType="separate"/>
          </w:r>
          <w:r w:rsidR="00BF653D" w:rsidRPr="00BF653D">
            <w:rPr>
              <w:rFonts w:cs="Arial"/>
              <w:noProof/>
              <w:sz w:val="20"/>
              <w:szCs w:val="20"/>
            </w:rPr>
            <w:t>(Fernando R. , 2022)</w:t>
          </w:r>
          <w:r w:rsidR="00BF653D">
            <w:rPr>
              <w:rFonts w:cs="Arial"/>
              <w:sz w:val="20"/>
              <w:szCs w:val="20"/>
              <w:lang w:val="en-US"/>
            </w:rPr>
            <w:fldChar w:fldCharType="end"/>
          </w:r>
        </w:sdtContent>
      </w:sdt>
      <w:r w:rsidR="00BF653D">
        <w:rPr>
          <w:rFonts w:cs="Arial"/>
          <w:sz w:val="20"/>
          <w:szCs w:val="20"/>
          <w:lang w:val="en-US"/>
        </w:rPr>
        <w:t xml:space="preserve">. It is calculated in a similar fashion to NPV, however the IRR sets the NPV to 0. It is displayed as a </w:t>
      </w:r>
      <w:r w:rsidR="00BF653D">
        <w:rPr>
          <w:rFonts w:cs="Arial"/>
          <w:sz w:val="20"/>
          <w:szCs w:val="20"/>
          <w:lang w:val="en-US"/>
        </w:rPr>
        <w:lastRenderedPageBreak/>
        <w:t>percentage and generally the higher the IRR the more appealing the project is for investment. However, as with the other financial models described it is usually used in conjunction with other models as opposed to on its own.</w:t>
      </w:r>
    </w:p>
    <w:p w14:paraId="4A4C2692" w14:textId="593DC3A5" w:rsidR="00D76C97" w:rsidRDefault="00D76C97" w:rsidP="00CB1295">
      <w:pPr>
        <w:rPr>
          <w:rFonts w:cs="Arial"/>
          <w:sz w:val="20"/>
          <w:szCs w:val="20"/>
          <w:lang w:val="en-US"/>
        </w:rPr>
      </w:pPr>
      <w:r w:rsidRPr="001A2C20">
        <w:rPr>
          <w:rFonts w:cs="Arial"/>
          <w:b/>
          <w:bCs/>
          <w:sz w:val="20"/>
          <w:szCs w:val="20"/>
          <w:lang w:val="en-US"/>
        </w:rPr>
        <w:t>P</w:t>
      </w:r>
      <w:r w:rsidR="001A2C20" w:rsidRPr="001A2C20">
        <w:rPr>
          <w:rFonts w:cs="Arial"/>
          <w:b/>
          <w:bCs/>
          <w:sz w:val="20"/>
          <w:szCs w:val="20"/>
          <w:lang w:val="en-US"/>
        </w:rPr>
        <w:t>rofitability Index</w:t>
      </w:r>
      <w:r w:rsidR="001A2C20">
        <w:rPr>
          <w:rFonts w:cs="Arial"/>
          <w:sz w:val="20"/>
          <w:szCs w:val="20"/>
          <w:lang w:val="en-US"/>
        </w:rPr>
        <w:t xml:space="preserve"> </w:t>
      </w:r>
      <w:r w:rsidR="001A2C20" w:rsidRPr="00106458">
        <w:rPr>
          <w:rFonts w:cs="Arial"/>
          <w:b/>
          <w:bCs/>
          <w:sz w:val="20"/>
          <w:szCs w:val="20"/>
          <w:lang w:val="en-US"/>
        </w:rPr>
        <w:t>(PI)</w:t>
      </w:r>
      <w:r w:rsidR="001A2C20">
        <w:rPr>
          <w:rFonts w:cs="Arial"/>
          <w:sz w:val="20"/>
          <w:szCs w:val="20"/>
          <w:lang w:val="en-US"/>
        </w:rPr>
        <w:t xml:space="preserve"> – Profitability Index is typically used to compare the “actual” vs “target” Return of Investment (ROI) on a project using the time value concept of money</w:t>
      </w:r>
      <w:r w:rsidR="001B5ACD">
        <w:rPr>
          <w:rFonts w:cs="Arial"/>
          <w:sz w:val="20"/>
          <w:szCs w:val="20"/>
          <w:lang w:val="en-US"/>
        </w:rPr>
        <w:t xml:space="preserve"> </w:t>
      </w:r>
      <w:sdt>
        <w:sdtPr>
          <w:rPr>
            <w:rFonts w:cs="Arial"/>
            <w:sz w:val="20"/>
            <w:szCs w:val="20"/>
            <w:lang w:val="en-US"/>
          </w:rPr>
          <w:id w:val="-1321813395"/>
          <w:citation/>
        </w:sdtPr>
        <w:sdtEndPr/>
        <w:sdtContent>
          <w:r w:rsidR="001B5ACD">
            <w:rPr>
              <w:rFonts w:cs="Arial"/>
              <w:sz w:val="20"/>
              <w:szCs w:val="20"/>
              <w:lang w:val="en-US"/>
            </w:rPr>
            <w:fldChar w:fldCharType="begin"/>
          </w:r>
          <w:r w:rsidR="001B5ACD">
            <w:rPr>
              <w:rFonts w:cs="Arial"/>
              <w:sz w:val="20"/>
              <w:szCs w:val="20"/>
            </w:rPr>
            <w:instrText xml:space="preserve"> CITATION Fie16 \l 2057 </w:instrText>
          </w:r>
          <w:r w:rsidR="001B5ACD">
            <w:rPr>
              <w:rFonts w:cs="Arial"/>
              <w:sz w:val="20"/>
              <w:szCs w:val="20"/>
              <w:lang w:val="en-US"/>
            </w:rPr>
            <w:fldChar w:fldCharType="separate"/>
          </w:r>
          <w:r w:rsidR="001B5ACD" w:rsidRPr="001B5ACD">
            <w:rPr>
              <w:rFonts w:cs="Arial"/>
              <w:noProof/>
              <w:sz w:val="20"/>
              <w:szCs w:val="20"/>
            </w:rPr>
            <w:t>(Fields, 2016)</w:t>
          </w:r>
          <w:r w:rsidR="001B5ACD">
            <w:rPr>
              <w:rFonts w:cs="Arial"/>
              <w:sz w:val="20"/>
              <w:szCs w:val="20"/>
              <w:lang w:val="en-US"/>
            </w:rPr>
            <w:fldChar w:fldCharType="end"/>
          </w:r>
        </w:sdtContent>
      </w:sdt>
      <w:r w:rsidR="001B5ACD">
        <w:rPr>
          <w:rFonts w:cs="Arial"/>
          <w:sz w:val="20"/>
          <w:szCs w:val="20"/>
          <w:lang w:val="en-US"/>
        </w:rPr>
        <w:t>. The formular to calculate the PI is:</w:t>
      </w:r>
    </w:p>
    <w:p w14:paraId="31877CD7" w14:textId="71CD8785" w:rsidR="001B5ACD" w:rsidRDefault="001B5ACD" w:rsidP="00CB1295">
      <w:pPr>
        <w:rPr>
          <w:rFonts w:cs="Arial"/>
          <w:sz w:val="20"/>
          <w:szCs w:val="20"/>
          <w:lang w:val="en-US"/>
        </w:rPr>
      </w:pPr>
      <w:r>
        <w:rPr>
          <w:rFonts w:cs="Arial"/>
          <w:sz w:val="20"/>
          <w:szCs w:val="20"/>
          <w:lang w:val="en-US"/>
        </w:rPr>
        <w:t>Present Value of Cash inflows/Present Value of Cash outflows = PI</w:t>
      </w:r>
    </w:p>
    <w:p w14:paraId="3421C6DC" w14:textId="1D663AE9" w:rsidR="001B5ACD" w:rsidRDefault="001B5ACD" w:rsidP="001B5ACD">
      <w:pPr>
        <w:spacing w:after="0"/>
        <w:rPr>
          <w:rFonts w:cs="Arial"/>
          <w:sz w:val="20"/>
          <w:szCs w:val="20"/>
          <w:lang w:val="en-US"/>
        </w:rPr>
      </w:pPr>
      <w:r>
        <w:rPr>
          <w:rFonts w:cs="Arial"/>
          <w:sz w:val="20"/>
          <w:szCs w:val="20"/>
          <w:lang w:val="en-US"/>
        </w:rPr>
        <w:t>Generally, if the PI score equates to value greater than 1 then the project is considered ok to proceed with the investment. As</w:t>
      </w:r>
      <w:r w:rsidR="00106458">
        <w:rPr>
          <w:rFonts w:cs="Arial"/>
          <w:sz w:val="20"/>
          <w:szCs w:val="20"/>
          <w:lang w:val="en-US"/>
        </w:rPr>
        <w:t xml:space="preserve"> suggested by </w:t>
      </w:r>
      <w:sdt>
        <w:sdtPr>
          <w:rPr>
            <w:rFonts w:cs="Arial"/>
            <w:sz w:val="20"/>
            <w:szCs w:val="20"/>
            <w:lang w:val="en-US"/>
          </w:rPr>
          <w:id w:val="612015918"/>
          <w:citation/>
        </w:sdtPr>
        <w:sdtEndPr/>
        <w:sdtContent>
          <w:r w:rsidR="00106458">
            <w:rPr>
              <w:rFonts w:cs="Arial"/>
              <w:sz w:val="20"/>
              <w:szCs w:val="20"/>
              <w:lang w:val="en-US"/>
            </w:rPr>
            <w:fldChar w:fldCharType="begin"/>
          </w:r>
          <w:r w:rsidR="00106458">
            <w:rPr>
              <w:rFonts w:cs="Arial"/>
              <w:sz w:val="20"/>
              <w:szCs w:val="20"/>
            </w:rPr>
            <w:instrText xml:space="preserve"> CITATION Gur12 \l 2057 </w:instrText>
          </w:r>
          <w:r w:rsidR="00106458">
            <w:rPr>
              <w:rFonts w:cs="Arial"/>
              <w:sz w:val="20"/>
              <w:szCs w:val="20"/>
              <w:lang w:val="en-US"/>
            </w:rPr>
            <w:fldChar w:fldCharType="separate"/>
          </w:r>
          <w:r w:rsidR="00106458" w:rsidRPr="00106458">
            <w:rPr>
              <w:rFonts w:cs="Arial"/>
              <w:noProof/>
              <w:sz w:val="20"/>
              <w:szCs w:val="20"/>
            </w:rPr>
            <w:t>(Gurau, 2012)</w:t>
          </w:r>
          <w:r w:rsidR="00106458">
            <w:rPr>
              <w:rFonts w:cs="Arial"/>
              <w:sz w:val="20"/>
              <w:szCs w:val="20"/>
              <w:lang w:val="en-US"/>
            </w:rPr>
            <w:fldChar w:fldCharType="end"/>
          </w:r>
        </w:sdtContent>
      </w:sdt>
      <w:r w:rsidR="00106458">
        <w:rPr>
          <w:rFonts w:cs="Arial"/>
          <w:sz w:val="20"/>
          <w:szCs w:val="20"/>
          <w:lang w:val="en-US"/>
        </w:rPr>
        <w:t xml:space="preserve">, PI offers </w:t>
      </w:r>
      <w:r w:rsidR="00817A97">
        <w:rPr>
          <w:rFonts w:cs="Arial"/>
          <w:sz w:val="20"/>
          <w:szCs w:val="20"/>
          <w:lang w:val="en-US"/>
        </w:rPr>
        <w:t>several</w:t>
      </w:r>
      <w:r w:rsidR="00106458">
        <w:rPr>
          <w:rFonts w:cs="Arial"/>
          <w:sz w:val="20"/>
          <w:szCs w:val="20"/>
          <w:lang w:val="en-US"/>
        </w:rPr>
        <w:t xml:space="preserve"> advantages that make it an excellent tool to consider for project appraisals, such as:</w:t>
      </w:r>
    </w:p>
    <w:p w14:paraId="5E7803F3" w14:textId="79A3D70B" w:rsidR="001B5ACD" w:rsidRDefault="001B5ACD" w:rsidP="001B5ACD">
      <w:pPr>
        <w:pStyle w:val="ListParagraph"/>
        <w:numPr>
          <w:ilvl w:val="0"/>
          <w:numId w:val="31"/>
        </w:numPr>
        <w:spacing w:after="0"/>
        <w:rPr>
          <w:rFonts w:cs="Arial"/>
          <w:sz w:val="20"/>
          <w:szCs w:val="20"/>
          <w:lang w:val="en-US"/>
        </w:rPr>
      </w:pPr>
      <w:r>
        <w:rPr>
          <w:rFonts w:cs="Arial"/>
          <w:sz w:val="20"/>
          <w:szCs w:val="20"/>
          <w:lang w:val="en-US"/>
        </w:rPr>
        <w:t>Considers the time value of money</w:t>
      </w:r>
    </w:p>
    <w:p w14:paraId="1D7DA7E0" w14:textId="1C01CDF0" w:rsidR="001B5ACD" w:rsidRDefault="001B5ACD" w:rsidP="001B5ACD">
      <w:pPr>
        <w:pStyle w:val="ListParagraph"/>
        <w:numPr>
          <w:ilvl w:val="0"/>
          <w:numId w:val="31"/>
        </w:numPr>
        <w:spacing w:after="0"/>
        <w:rPr>
          <w:rFonts w:cs="Arial"/>
          <w:sz w:val="20"/>
          <w:szCs w:val="20"/>
          <w:lang w:val="en-US"/>
        </w:rPr>
      </w:pPr>
      <w:r>
        <w:rPr>
          <w:rFonts w:cs="Arial"/>
          <w:sz w:val="20"/>
          <w:szCs w:val="20"/>
          <w:lang w:val="en-US"/>
        </w:rPr>
        <w:t>Allows the ranking of projects for investment suitability</w:t>
      </w:r>
    </w:p>
    <w:p w14:paraId="2157872B" w14:textId="6D9EB485" w:rsidR="001B5ACD" w:rsidRDefault="001B5ACD" w:rsidP="001B5ACD">
      <w:pPr>
        <w:pStyle w:val="ListParagraph"/>
        <w:numPr>
          <w:ilvl w:val="0"/>
          <w:numId w:val="31"/>
        </w:numPr>
        <w:spacing w:after="0"/>
        <w:rPr>
          <w:rFonts w:cs="Arial"/>
          <w:sz w:val="20"/>
          <w:szCs w:val="20"/>
          <w:lang w:val="en-US"/>
        </w:rPr>
      </w:pPr>
      <w:r>
        <w:rPr>
          <w:rFonts w:cs="Arial"/>
          <w:sz w:val="20"/>
          <w:szCs w:val="20"/>
          <w:lang w:val="en-US"/>
        </w:rPr>
        <w:t>Considers risk in future cash by using the WACC</w:t>
      </w:r>
    </w:p>
    <w:p w14:paraId="7C8050A4" w14:textId="1BA646E5" w:rsidR="001B5ACD" w:rsidRDefault="00134449" w:rsidP="001B5ACD">
      <w:pPr>
        <w:pStyle w:val="ListParagraph"/>
        <w:numPr>
          <w:ilvl w:val="0"/>
          <w:numId w:val="31"/>
        </w:numPr>
        <w:spacing w:after="0"/>
        <w:rPr>
          <w:rFonts w:cs="Arial"/>
          <w:sz w:val="20"/>
          <w:szCs w:val="20"/>
          <w:lang w:val="en-US"/>
        </w:rPr>
      </w:pPr>
      <w:r>
        <w:rPr>
          <w:rFonts w:cs="Arial"/>
          <w:sz w:val="20"/>
          <w:szCs w:val="20"/>
          <w:lang w:val="en-US"/>
        </w:rPr>
        <w:t>Considers</w:t>
      </w:r>
      <w:r w:rsidR="001B5ACD">
        <w:rPr>
          <w:rFonts w:cs="Arial"/>
          <w:sz w:val="20"/>
          <w:szCs w:val="20"/>
          <w:lang w:val="en-US"/>
        </w:rPr>
        <w:t xml:space="preserve"> all cash flows of the project</w:t>
      </w:r>
    </w:p>
    <w:p w14:paraId="29C1ACFB" w14:textId="77777777" w:rsidR="001B5ACD" w:rsidRPr="001B5ACD" w:rsidRDefault="001B5ACD" w:rsidP="001B5ACD">
      <w:pPr>
        <w:spacing w:after="0"/>
        <w:rPr>
          <w:rFonts w:cs="Arial"/>
          <w:sz w:val="20"/>
          <w:szCs w:val="20"/>
          <w:lang w:val="en-US"/>
        </w:rPr>
      </w:pPr>
    </w:p>
    <w:p w14:paraId="635DE0D1" w14:textId="7D619C37" w:rsidR="00BA6C2B" w:rsidRDefault="00BF653D" w:rsidP="00CB1295">
      <w:pPr>
        <w:rPr>
          <w:rFonts w:cs="Arial"/>
          <w:sz w:val="20"/>
          <w:szCs w:val="20"/>
          <w:lang w:val="en-US"/>
        </w:rPr>
      </w:pPr>
      <w:r w:rsidRPr="00BA6C2B">
        <w:rPr>
          <w:rFonts w:cs="Arial"/>
          <w:b/>
          <w:bCs/>
          <w:sz w:val="20"/>
          <w:szCs w:val="20"/>
          <w:lang w:val="en-US"/>
        </w:rPr>
        <w:t>Benefit</w:t>
      </w:r>
      <w:r w:rsidR="00BA6C2B" w:rsidRPr="00BA6C2B">
        <w:rPr>
          <w:rFonts w:cs="Arial"/>
          <w:b/>
          <w:bCs/>
          <w:sz w:val="20"/>
          <w:szCs w:val="20"/>
          <w:lang w:val="en-US"/>
        </w:rPr>
        <w:t xml:space="preserve">-Cost Ratio (BCR) </w:t>
      </w:r>
      <w:r w:rsidR="00BA6C2B">
        <w:rPr>
          <w:rFonts w:cs="Arial"/>
          <w:sz w:val="20"/>
          <w:szCs w:val="20"/>
          <w:lang w:val="en-US"/>
        </w:rPr>
        <w:t>– The BCR can be explained well by simply looking at the formula to calculate it:</w:t>
      </w:r>
    </w:p>
    <w:p w14:paraId="24B2DD26" w14:textId="64246C62" w:rsidR="00BA6C2B" w:rsidRDefault="00BA6C2B" w:rsidP="00CB1295">
      <w:pPr>
        <w:rPr>
          <w:rFonts w:cs="Arial"/>
          <w:sz w:val="20"/>
          <w:szCs w:val="20"/>
          <w:lang w:val="en-US"/>
        </w:rPr>
      </w:pPr>
      <w:r>
        <w:rPr>
          <w:rFonts w:cs="Arial"/>
          <w:sz w:val="20"/>
          <w:szCs w:val="20"/>
          <w:lang w:val="en-US"/>
        </w:rPr>
        <w:t>BCR = Present Value of Expected Costs/Present Value of Expected benefits</w:t>
      </w:r>
    </w:p>
    <w:p w14:paraId="645EDC11" w14:textId="67E2512F" w:rsidR="00BA6C2B" w:rsidRPr="00BA6C2B" w:rsidRDefault="00BA6C2B" w:rsidP="00CB1295">
      <w:pPr>
        <w:rPr>
          <w:rFonts w:cs="Arial"/>
          <w:sz w:val="20"/>
          <w:szCs w:val="20"/>
          <w:lang w:val="en-US"/>
        </w:rPr>
      </w:pPr>
      <w:r>
        <w:rPr>
          <w:rFonts w:cs="Arial"/>
          <w:sz w:val="20"/>
          <w:szCs w:val="20"/>
          <w:lang w:val="en-US"/>
        </w:rPr>
        <w:t xml:space="preserve">It is effectively the ratio between any expected incremental benefits of a project and its associated costs </w:t>
      </w:r>
      <w:sdt>
        <w:sdtPr>
          <w:rPr>
            <w:rFonts w:cs="Arial"/>
            <w:sz w:val="20"/>
            <w:szCs w:val="20"/>
            <w:lang w:val="en-US"/>
          </w:rPr>
          <w:id w:val="1238281410"/>
          <w:citation/>
        </w:sdtPr>
        <w:sdtEndPr/>
        <w:sdtContent>
          <w:r>
            <w:rPr>
              <w:rFonts w:cs="Arial"/>
              <w:sz w:val="20"/>
              <w:szCs w:val="20"/>
              <w:lang w:val="en-US"/>
            </w:rPr>
            <w:fldChar w:fldCharType="begin"/>
          </w:r>
          <w:r>
            <w:rPr>
              <w:rFonts w:cs="Arial"/>
              <w:sz w:val="20"/>
              <w:szCs w:val="20"/>
            </w:rPr>
            <w:instrText xml:space="preserve"> CITATION Edu22 \l 2057 </w:instrText>
          </w:r>
          <w:r>
            <w:rPr>
              <w:rFonts w:cs="Arial"/>
              <w:sz w:val="20"/>
              <w:szCs w:val="20"/>
              <w:lang w:val="en-US"/>
            </w:rPr>
            <w:fldChar w:fldCharType="separate"/>
          </w:r>
          <w:r w:rsidRPr="00BA6C2B">
            <w:rPr>
              <w:rFonts w:cs="Arial"/>
              <w:noProof/>
              <w:sz w:val="20"/>
              <w:szCs w:val="20"/>
            </w:rPr>
            <w:t>(Educba, 2022)</w:t>
          </w:r>
          <w:r>
            <w:rPr>
              <w:rFonts w:cs="Arial"/>
              <w:sz w:val="20"/>
              <w:szCs w:val="20"/>
              <w:lang w:val="en-US"/>
            </w:rPr>
            <w:fldChar w:fldCharType="end"/>
          </w:r>
        </w:sdtContent>
      </w:sdt>
      <w:r>
        <w:rPr>
          <w:rFonts w:cs="Arial"/>
          <w:sz w:val="20"/>
          <w:szCs w:val="20"/>
          <w:lang w:val="en-US"/>
        </w:rPr>
        <w:t xml:space="preserve">. A BCR value greater than 1 indicates that a projects benefit will outweigh the investment costs and therefore should be considered to proceed. </w:t>
      </w:r>
    </w:p>
    <w:p w14:paraId="2C63F164" w14:textId="023E030F" w:rsidR="0079592E" w:rsidRDefault="006B5366" w:rsidP="00CB1295">
      <w:pPr>
        <w:rPr>
          <w:rFonts w:cs="Arial"/>
          <w:sz w:val="20"/>
          <w:szCs w:val="20"/>
          <w:lang w:val="en-US"/>
        </w:rPr>
      </w:pPr>
      <w:r>
        <w:rPr>
          <w:rFonts w:cs="Arial"/>
          <w:b/>
          <w:sz w:val="20"/>
          <w:szCs w:val="20"/>
          <w:u w:val="single"/>
          <w:lang w:val="en-US"/>
        </w:rPr>
        <w:t xml:space="preserve">Accounting Rate of Return (ARR) </w:t>
      </w:r>
      <w:r w:rsidR="00284D52">
        <w:rPr>
          <w:rFonts w:cs="Arial"/>
          <w:sz w:val="20"/>
          <w:szCs w:val="20"/>
          <w:lang w:val="en-US"/>
        </w:rPr>
        <w:t>–</w:t>
      </w:r>
      <w:r>
        <w:rPr>
          <w:rFonts w:cs="Arial"/>
          <w:sz w:val="20"/>
          <w:szCs w:val="20"/>
          <w:lang w:val="en-US"/>
        </w:rPr>
        <w:t xml:space="preserve"> </w:t>
      </w:r>
      <w:r w:rsidR="00284D52">
        <w:rPr>
          <w:rFonts w:cs="Arial"/>
          <w:sz w:val="20"/>
          <w:szCs w:val="20"/>
          <w:lang w:val="en-US"/>
        </w:rPr>
        <w:t xml:space="preserve">ARR represents the average net income that a project or investment is expected to return divided by the average capital cost of implementation </w:t>
      </w:r>
      <w:sdt>
        <w:sdtPr>
          <w:rPr>
            <w:rFonts w:cs="Arial"/>
            <w:sz w:val="20"/>
            <w:szCs w:val="20"/>
            <w:lang w:val="en-US"/>
          </w:rPr>
          <w:id w:val="-1544591832"/>
          <w:citation/>
        </w:sdtPr>
        <w:sdtEndPr/>
        <w:sdtContent>
          <w:r w:rsidR="00284D52">
            <w:rPr>
              <w:rFonts w:cs="Arial"/>
              <w:sz w:val="20"/>
              <w:szCs w:val="20"/>
              <w:lang w:val="en-US"/>
            </w:rPr>
            <w:fldChar w:fldCharType="begin"/>
          </w:r>
          <w:r w:rsidR="00284D52">
            <w:rPr>
              <w:rFonts w:cs="Arial"/>
              <w:sz w:val="20"/>
              <w:szCs w:val="20"/>
            </w:rPr>
            <w:instrText xml:space="preserve">CITATION CFI \l 2057 </w:instrText>
          </w:r>
          <w:r w:rsidR="00284D52">
            <w:rPr>
              <w:rFonts w:cs="Arial"/>
              <w:sz w:val="20"/>
              <w:szCs w:val="20"/>
              <w:lang w:val="en-US"/>
            </w:rPr>
            <w:fldChar w:fldCharType="separate"/>
          </w:r>
          <w:r w:rsidR="00284D52" w:rsidRPr="00284D52">
            <w:rPr>
              <w:rFonts w:cs="Arial"/>
              <w:noProof/>
              <w:sz w:val="20"/>
              <w:szCs w:val="20"/>
            </w:rPr>
            <w:t>(CFI, 2022)</w:t>
          </w:r>
          <w:r w:rsidR="00284D52">
            <w:rPr>
              <w:rFonts w:cs="Arial"/>
              <w:sz w:val="20"/>
              <w:szCs w:val="20"/>
              <w:lang w:val="en-US"/>
            </w:rPr>
            <w:fldChar w:fldCharType="end"/>
          </w:r>
        </w:sdtContent>
      </w:sdt>
      <w:r w:rsidR="00284D52">
        <w:rPr>
          <w:rFonts w:cs="Arial"/>
          <w:sz w:val="20"/>
          <w:szCs w:val="20"/>
          <w:lang w:val="en-US"/>
        </w:rPr>
        <w:t>. Displayed as a percentage, the formula for ARR is:</w:t>
      </w:r>
    </w:p>
    <w:p w14:paraId="2007FDF0" w14:textId="5FC9B0D6" w:rsidR="00284D52" w:rsidRDefault="00284D52" w:rsidP="00CB1295">
      <w:pPr>
        <w:rPr>
          <w:rFonts w:cs="Arial"/>
          <w:sz w:val="20"/>
          <w:szCs w:val="20"/>
          <w:lang w:val="en-US"/>
        </w:rPr>
      </w:pPr>
      <w:r>
        <w:rPr>
          <w:rFonts w:cs="Arial"/>
          <w:sz w:val="20"/>
          <w:szCs w:val="20"/>
          <w:lang w:val="en-US"/>
        </w:rPr>
        <w:t>ARR = Average net profit/Average Investment</w:t>
      </w:r>
    </w:p>
    <w:p w14:paraId="5791E52C" w14:textId="08D24342" w:rsidR="00284D52" w:rsidRPr="006B5366" w:rsidRDefault="00284D52" w:rsidP="00CB1295">
      <w:pPr>
        <w:rPr>
          <w:rFonts w:cs="Arial"/>
          <w:sz w:val="20"/>
          <w:szCs w:val="20"/>
          <w:lang w:val="en-US"/>
        </w:rPr>
      </w:pPr>
      <w:r>
        <w:rPr>
          <w:rFonts w:cs="Arial"/>
          <w:sz w:val="20"/>
          <w:szCs w:val="20"/>
          <w:lang w:val="en-US"/>
        </w:rPr>
        <w:t xml:space="preserve">A good ARR score is very much business specific, with considerations like risk attitude and cash flow </w:t>
      </w:r>
      <w:r w:rsidR="0089699A">
        <w:rPr>
          <w:rFonts w:cs="Arial"/>
          <w:sz w:val="20"/>
          <w:szCs w:val="20"/>
          <w:lang w:val="en-US"/>
        </w:rPr>
        <w:t xml:space="preserve">impacting whether a 20% ARR score can be considered reasonable or not to proceed with. Like </w:t>
      </w:r>
      <w:r w:rsidR="00574D7D">
        <w:rPr>
          <w:rFonts w:cs="Arial"/>
          <w:sz w:val="20"/>
          <w:szCs w:val="20"/>
          <w:lang w:val="en-US"/>
        </w:rPr>
        <w:t>all</w:t>
      </w:r>
      <w:r w:rsidR="0089699A">
        <w:rPr>
          <w:rFonts w:cs="Arial"/>
          <w:sz w:val="20"/>
          <w:szCs w:val="20"/>
          <w:lang w:val="en-US"/>
        </w:rPr>
        <w:t xml:space="preserve"> the models discussed here, it is a useful tool to use in conjunction with other financial modelling tools and would not typically be used on its own.</w:t>
      </w:r>
    </w:p>
    <w:p w14:paraId="1BBD7B7C" w14:textId="46C00FC1" w:rsidR="00D76C97" w:rsidRPr="0089699A" w:rsidRDefault="00D76C97" w:rsidP="00D76C97">
      <w:pPr>
        <w:rPr>
          <w:rFonts w:cs="Arial"/>
          <w:b/>
          <w:bCs/>
          <w:u w:val="single"/>
          <w:lang w:val="en-US"/>
        </w:rPr>
      </w:pPr>
      <w:r w:rsidRPr="0089699A">
        <w:rPr>
          <w:rFonts w:cs="Arial"/>
          <w:b/>
          <w:bCs/>
          <w:u w:val="single"/>
          <w:lang w:val="en-US"/>
        </w:rPr>
        <w:t>Funding Options</w:t>
      </w:r>
    </w:p>
    <w:p w14:paraId="4F36F6EC" w14:textId="26762FE2" w:rsidR="00D76C97" w:rsidRDefault="00D76C97" w:rsidP="00D76C97">
      <w:pPr>
        <w:rPr>
          <w:rFonts w:cs="Arial"/>
          <w:sz w:val="20"/>
          <w:szCs w:val="20"/>
          <w:lang w:val="en-US"/>
        </w:rPr>
      </w:pPr>
      <w:r>
        <w:rPr>
          <w:rFonts w:cs="Arial"/>
          <w:sz w:val="20"/>
          <w:szCs w:val="20"/>
          <w:lang w:val="en-US"/>
        </w:rPr>
        <w:t xml:space="preserve"> Heidelberg project funding criteria states that anything over £100,000 must be funded through the CapEx channel. However, </w:t>
      </w:r>
      <w:r w:rsidR="00574D7D">
        <w:rPr>
          <w:rFonts w:cs="Arial"/>
          <w:sz w:val="20"/>
          <w:szCs w:val="20"/>
          <w:lang w:val="en-US"/>
        </w:rPr>
        <w:t xml:space="preserve">there are </w:t>
      </w:r>
      <w:r w:rsidR="00657E37">
        <w:rPr>
          <w:rFonts w:cs="Arial"/>
          <w:sz w:val="20"/>
          <w:szCs w:val="20"/>
          <w:lang w:val="en-US"/>
        </w:rPr>
        <w:t>four</w:t>
      </w:r>
      <w:r w:rsidR="00574D7D">
        <w:rPr>
          <w:rFonts w:cs="Arial"/>
          <w:sz w:val="20"/>
          <w:szCs w:val="20"/>
          <w:lang w:val="en-US"/>
        </w:rPr>
        <w:t xml:space="preserve"> main types of finance usually available to a business when considering </w:t>
      </w:r>
      <w:r w:rsidR="00134449">
        <w:rPr>
          <w:rFonts w:cs="Arial"/>
          <w:sz w:val="20"/>
          <w:szCs w:val="20"/>
          <w:lang w:val="en-US"/>
        </w:rPr>
        <w:t>the raising of capital funds</w:t>
      </w:r>
      <w:r w:rsidR="00657E37">
        <w:rPr>
          <w:rFonts w:cs="Arial"/>
          <w:sz w:val="20"/>
          <w:szCs w:val="20"/>
          <w:lang w:val="en-US"/>
        </w:rPr>
        <w:t xml:space="preserve">, they are through Liquid Assets, Equity, Debt or Grants/Subsidy’s </w:t>
      </w:r>
      <w:sdt>
        <w:sdtPr>
          <w:rPr>
            <w:rFonts w:cs="Arial"/>
            <w:sz w:val="20"/>
            <w:szCs w:val="20"/>
            <w:lang w:val="en-US"/>
          </w:rPr>
          <w:id w:val="-934820806"/>
          <w:citation/>
        </w:sdtPr>
        <w:sdtContent>
          <w:r w:rsidR="00657E37">
            <w:rPr>
              <w:rFonts w:cs="Arial"/>
              <w:sz w:val="20"/>
              <w:szCs w:val="20"/>
              <w:lang w:val="en-US"/>
            </w:rPr>
            <w:fldChar w:fldCharType="begin"/>
          </w:r>
          <w:r w:rsidR="00657E37">
            <w:rPr>
              <w:rFonts w:cs="Arial"/>
              <w:sz w:val="20"/>
              <w:szCs w:val="20"/>
            </w:rPr>
            <w:instrText xml:space="preserve"> CITATION OCW22 \l 2057 </w:instrText>
          </w:r>
          <w:r w:rsidR="00657E37">
            <w:rPr>
              <w:rFonts w:cs="Arial"/>
              <w:sz w:val="20"/>
              <w:szCs w:val="20"/>
              <w:lang w:val="en-US"/>
            </w:rPr>
            <w:fldChar w:fldCharType="separate"/>
          </w:r>
          <w:r w:rsidR="00657E37" w:rsidRPr="00657E37">
            <w:rPr>
              <w:rFonts w:cs="Arial"/>
              <w:noProof/>
              <w:sz w:val="20"/>
              <w:szCs w:val="20"/>
            </w:rPr>
            <w:t>(OCW IHE DELFT, 2022)</w:t>
          </w:r>
          <w:r w:rsidR="00657E37">
            <w:rPr>
              <w:rFonts w:cs="Arial"/>
              <w:sz w:val="20"/>
              <w:szCs w:val="20"/>
              <w:lang w:val="en-US"/>
            </w:rPr>
            <w:fldChar w:fldCharType="end"/>
          </w:r>
        </w:sdtContent>
      </w:sdt>
      <w:r w:rsidR="00657E37">
        <w:rPr>
          <w:rFonts w:cs="Arial"/>
          <w:sz w:val="20"/>
          <w:szCs w:val="20"/>
          <w:lang w:val="en-US"/>
        </w:rPr>
        <w:t>.</w:t>
      </w:r>
    </w:p>
    <w:p w14:paraId="0AABA264" w14:textId="582ACA88" w:rsidR="00D76C97" w:rsidRDefault="00657E37" w:rsidP="00D76C97">
      <w:pPr>
        <w:rPr>
          <w:rFonts w:cs="Arial"/>
          <w:sz w:val="20"/>
          <w:szCs w:val="20"/>
          <w:lang w:val="en-US"/>
        </w:rPr>
      </w:pPr>
      <w:r>
        <w:rPr>
          <w:rFonts w:cs="Arial"/>
          <w:sz w:val="20"/>
          <w:szCs w:val="20"/>
          <w:lang w:val="en-US"/>
        </w:rPr>
        <w:t>Liquid Assets – Examples of typical liquid assets can be cash/cash equivalents. Marketable securities (stocks/bonds), accounts receivable and inventory. Whilst this type of financing offers benefits such as, quick access to funds and no accrued debt for project financing, it has significant disadvantages such as limited access to capital, reduction in free cash flows and total ownership of project risk</w:t>
      </w:r>
      <w:r w:rsidR="00E051B0">
        <w:rPr>
          <w:rFonts w:cs="Arial"/>
          <w:sz w:val="20"/>
          <w:szCs w:val="20"/>
          <w:lang w:val="en-US"/>
        </w:rPr>
        <w:t xml:space="preserve"> </w:t>
      </w:r>
      <w:sdt>
        <w:sdtPr>
          <w:rPr>
            <w:rFonts w:cs="Arial"/>
            <w:sz w:val="20"/>
            <w:szCs w:val="20"/>
            <w:lang w:val="en-US"/>
          </w:rPr>
          <w:id w:val="-1326045397"/>
          <w:citation/>
        </w:sdtPr>
        <w:sdtContent>
          <w:r w:rsidR="00E051B0">
            <w:rPr>
              <w:rFonts w:cs="Arial"/>
              <w:sz w:val="20"/>
              <w:szCs w:val="20"/>
              <w:lang w:val="en-US"/>
            </w:rPr>
            <w:fldChar w:fldCharType="begin"/>
          </w:r>
          <w:r w:rsidR="00E051B0">
            <w:rPr>
              <w:rFonts w:cs="Arial"/>
              <w:sz w:val="20"/>
              <w:szCs w:val="20"/>
            </w:rPr>
            <w:instrText xml:space="preserve"> CITATION APM22 \l 2057 </w:instrText>
          </w:r>
          <w:r w:rsidR="00E051B0">
            <w:rPr>
              <w:rFonts w:cs="Arial"/>
              <w:sz w:val="20"/>
              <w:szCs w:val="20"/>
              <w:lang w:val="en-US"/>
            </w:rPr>
            <w:fldChar w:fldCharType="separate"/>
          </w:r>
          <w:r w:rsidR="00E051B0" w:rsidRPr="00E051B0">
            <w:rPr>
              <w:rFonts w:cs="Arial"/>
              <w:noProof/>
              <w:sz w:val="20"/>
              <w:szCs w:val="20"/>
            </w:rPr>
            <w:t>(APMG International, 2022)</w:t>
          </w:r>
          <w:r w:rsidR="00E051B0">
            <w:rPr>
              <w:rFonts w:cs="Arial"/>
              <w:sz w:val="20"/>
              <w:szCs w:val="20"/>
              <w:lang w:val="en-US"/>
            </w:rPr>
            <w:fldChar w:fldCharType="end"/>
          </w:r>
        </w:sdtContent>
      </w:sdt>
      <w:r>
        <w:rPr>
          <w:rFonts w:cs="Arial"/>
          <w:sz w:val="20"/>
          <w:szCs w:val="20"/>
          <w:lang w:val="en-US"/>
        </w:rPr>
        <w:t>.</w:t>
      </w:r>
    </w:p>
    <w:p w14:paraId="7CA8AF3A" w14:textId="0DA0731E" w:rsidR="00E051B0" w:rsidRDefault="00E051B0" w:rsidP="00D76C97">
      <w:pPr>
        <w:rPr>
          <w:rFonts w:cs="Arial"/>
          <w:sz w:val="20"/>
          <w:szCs w:val="20"/>
          <w:lang w:val="en-US"/>
        </w:rPr>
      </w:pPr>
      <w:r>
        <w:rPr>
          <w:rFonts w:cs="Arial"/>
          <w:sz w:val="20"/>
          <w:szCs w:val="20"/>
          <w:lang w:val="en-US"/>
        </w:rPr>
        <w:t xml:space="preserve">Equity Financing – Equity financing is where a company raises capital for projects/investments through the selling of company shares, either privately or publicly </w:t>
      </w:r>
      <w:sdt>
        <w:sdtPr>
          <w:rPr>
            <w:rFonts w:cs="Arial"/>
            <w:sz w:val="20"/>
            <w:szCs w:val="20"/>
            <w:lang w:val="en-US"/>
          </w:rPr>
          <w:id w:val="-492876414"/>
          <w:citation/>
        </w:sdtPr>
        <w:sdtContent>
          <w:r>
            <w:rPr>
              <w:rFonts w:cs="Arial"/>
              <w:sz w:val="20"/>
              <w:szCs w:val="20"/>
              <w:lang w:val="en-US"/>
            </w:rPr>
            <w:fldChar w:fldCharType="begin"/>
          </w:r>
          <w:r>
            <w:rPr>
              <w:rFonts w:cs="Arial"/>
              <w:sz w:val="20"/>
              <w:szCs w:val="20"/>
            </w:rPr>
            <w:instrText xml:space="preserve"> CITATION Vel22 \l 2057 </w:instrText>
          </w:r>
          <w:r>
            <w:rPr>
              <w:rFonts w:cs="Arial"/>
              <w:sz w:val="20"/>
              <w:szCs w:val="20"/>
              <w:lang w:val="en-US"/>
            </w:rPr>
            <w:fldChar w:fldCharType="separate"/>
          </w:r>
          <w:r w:rsidRPr="00E051B0">
            <w:rPr>
              <w:rFonts w:cs="Arial"/>
              <w:noProof/>
              <w:sz w:val="20"/>
              <w:szCs w:val="20"/>
            </w:rPr>
            <w:t>(Vellam, S, 2022)</w:t>
          </w:r>
          <w:r>
            <w:rPr>
              <w:rFonts w:cs="Arial"/>
              <w:sz w:val="20"/>
              <w:szCs w:val="20"/>
              <w:lang w:val="en-US"/>
            </w:rPr>
            <w:fldChar w:fldCharType="end"/>
          </w:r>
        </w:sdtContent>
      </w:sdt>
      <w:r>
        <w:rPr>
          <w:rFonts w:cs="Arial"/>
          <w:sz w:val="20"/>
          <w:szCs w:val="20"/>
          <w:lang w:val="en-US"/>
        </w:rPr>
        <w:t xml:space="preserve">. This type of financing is used if a company is need for quick access to cash, in project terms this may be required to pay upfront costs of a machine purchase for example. Advantages of Equity Financing is that it does not carry any repayment obligations, in contrast to a load, for example. Any benefit returned to the investor is through share dividends or by selling a share at an increased value. Another advantage of this type of financing is it can significantly reduce a </w:t>
      </w:r>
      <w:r w:rsidR="00321DCF">
        <w:rPr>
          <w:rFonts w:cs="Arial"/>
          <w:sz w:val="20"/>
          <w:szCs w:val="20"/>
          <w:lang w:val="en-US"/>
        </w:rPr>
        <w:t>company’s</w:t>
      </w:r>
      <w:r>
        <w:rPr>
          <w:rFonts w:cs="Arial"/>
          <w:sz w:val="20"/>
          <w:szCs w:val="20"/>
          <w:lang w:val="en-US"/>
        </w:rPr>
        <w:t xml:space="preserve"> risk, as the risk is typically shared with the investors. </w:t>
      </w:r>
      <w:r w:rsidR="00321DCF">
        <w:rPr>
          <w:rFonts w:cs="Arial"/>
          <w:sz w:val="20"/>
          <w:szCs w:val="20"/>
          <w:lang w:val="en-US"/>
        </w:rPr>
        <w:t xml:space="preserve">A downside to this </w:t>
      </w:r>
      <w:r w:rsidR="00294DA3">
        <w:rPr>
          <w:rFonts w:cs="Arial"/>
          <w:sz w:val="20"/>
          <w:szCs w:val="20"/>
          <w:lang w:val="en-US"/>
        </w:rPr>
        <w:t>option,</w:t>
      </w:r>
      <w:r w:rsidR="00321DCF">
        <w:rPr>
          <w:rFonts w:cs="Arial"/>
          <w:sz w:val="20"/>
          <w:szCs w:val="20"/>
          <w:lang w:val="en-US"/>
        </w:rPr>
        <w:t xml:space="preserve"> however, is the business is essentially giving up ownership to investor</w:t>
      </w:r>
      <w:r w:rsidR="00294DA3">
        <w:rPr>
          <w:rFonts w:cs="Arial"/>
          <w:sz w:val="20"/>
          <w:szCs w:val="20"/>
          <w:lang w:val="en-US"/>
        </w:rPr>
        <w:t>s</w:t>
      </w:r>
      <w:r w:rsidR="00321DCF">
        <w:rPr>
          <w:rFonts w:cs="Arial"/>
          <w:sz w:val="20"/>
          <w:szCs w:val="20"/>
          <w:lang w:val="en-US"/>
        </w:rPr>
        <w:t xml:space="preserve"> as well as future profits</w:t>
      </w:r>
      <w:r w:rsidR="00294DA3">
        <w:rPr>
          <w:rFonts w:cs="Arial"/>
          <w:sz w:val="20"/>
          <w:szCs w:val="20"/>
          <w:lang w:val="en-US"/>
        </w:rPr>
        <w:t xml:space="preserve">. This type of financing if used is often done so in conjunction with Debt Financing </w:t>
      </w:r>
      <w:sdt>
        <w:sdtPr>
          <w:rPr>
            <w:rFonts w:cs="Arial"/>
            <w:sz w:val="20"/>
            <w:szCs w:val="20"/>
            <w:lang w:val="en-US"/>
          </w:rPr>
          <w:id w:val="-1600553632"/>
          <w:citation/>
        </w:sdtPr>
        <w:sdtContent>
          <w:r w:rsidR="00294DA3">
            <w:rPr>
              <w:rFonts w:cs="Arial"/>
              <w:sz w:val="20"/>
              <w:szCs w:val="20"/>
              <w:lang w:val="en-US"/>
            </w:rPr>
            <w:fldChar w:fldCharType="begin"/>
          </w:r>
          <w:r w:rsidR="00294DA3">
            <w:rPr>
              <w:rFonts w:cs="Arial"/>
              <w:sz w:val="20"/>
              <w:szCs w:val="20"/>
            </w:rPr>
            <w:instrText xml:space="preserve"> CITATION Ban22 \l 2057 </w:instrText>
          </w:r>
          <w:r w:rsidR="00294DA3">
            <w:rPr>
              <w:rFonts w:cs="Arial"/>
              <w:sz w:val="20"/>
              <w:szCs w:val="20"/>
              <w:lang w:val="en-US"/>
            </w:rPr>
            <w:fldChar w:fldCharType="separate"/>
          </w:r>
          <w:r w:rsidR="00294DA3" w:rsidRPr="00294DA3">
            <w:rPr>
              <w:rFonts w:cs="Arial"/>
              <w:noProof/>
              <w:sz w:val="20"/>
              <w:szCs w:val="20"/>
            </w:rPr>
            <w:t>(Banton, 2022)</w:t>
          </w:r>
          <w:r w:rsidR="00294DA3">
            <w:rPr>
              <w:rFonts w:cs="Arial"/>
              <w:sz w:val="20"/>
              <w:szCs w:val="20"/>
              <w:lang w:val="en-US"/>
            </w:rPr>
            <w:fldChar w:fldCharType="end"/>
          </w:r>
        </w:sdtContent>
      </w:sdt>
      <w:r w:rsidR="00294DA3">
        <w:rPr>
          <w:rFonts w:cs="Arial"/>
          <w:sz w:val="20"/>
          <w:szCs w:val="20"/>
          <w:lang w:val="en-US"/>
        </w:rPr>
        <w:t>.</w:t>
      </w:r>
    </w:p>
    <w:p w14:paraId="113C7006" w14:textId="1418EE84" w:rsidR="00D76C97" w:rsidRDefault="00294DA3">
      <w:pPr>
        <w:rPr>
          <w:rFonts w:cs="Arial"/>
          <w:b/>
          <w:bCs/>
          <w:sz w:val="20"/>
          <w:szCs w:val="20"/>
          <w:u w:val="single"/>
          <w:lang w:val="en-US"/>
        </w:rPr>
      </w:pPr>
      <w:r>
        <w:rPr>
          <w:rFonts w:cs="Arial"/>
          <w:sz w:val="20"/>
          <w:szCs w:val="20"/>
          <w:lang w:val="en-US"/>
        </w:rPr>
        <w:t xml:space="preserve">Debt Financing – This type of financing can be most easily understood along with liquid assets as almost everyone has or will used it in their personal lives, whether that be to buy a car, home or that nice watch you always wanted. It is essentially where a company </w:t>
      </w:r>
      <w:r w:rsidR="00134449">
        <w:rPr>
          <w:rFonts w:cs="Arial"/>
          <w:sz w:val="20"/>
          <w:szCs w:val="20"/>
          <w:lang w:val="en-US"/>
        </w:rPr>
        <w:t xml:space="preserve">borrows </w:t>
      </w:r>
      <w:r w:rsidR="00C85D5A">
        <w:rPr>
          <w:rFonts w:cs="Arial"/>
          <w:sz w:val="20"/>
          <w:szCs w:val="20"/>
          <w:lang w:val="en-US"/>
        </w:rPr>
        <w:t>money</w:t>
      </w:r>
      <w:r w:rsidR="00134449">
        <w:rPr>
          <w:rFonts w:cs="Arial"/>
          <w:sz w:val="20"/>
          <w:szCs w:val="20"/>
          <w:lang w:val="en-US"/>
        </w:rPr>
        <w:t xml:space="preserve"> through a loan</w:t>
      </w:r>
      <w:r w:rsidR="00C85D5A">
        <w:rPr>
          <w:rFonts w:cs="Arial"/>
          <w:sz w:val="20"/>
          <w:szCs w:val="20"/>
          <w:lang w:val="en-US"/>
        </w:rPr>
        <w:t xml:space="preserve"> by selling debt instruments (bonds, for example) </w:t>
      </w:r>
      <w:sdt>
        <w:sdtPr>
          <w:rPr>
            <w:rFonts w:cs="Arial"/>
            <w:sz w:val="20"/>
            <w:szCs w:val="20"/>
            <w:lang w:val="en-US"/>
          </w:rPr>
          <w:id w:val="-1690836124"/>
          <w:citation/>
        </w:sdtPr>
        <w:sdtContent>
          <w:r w:rsidR="00C85D5A">
            <w:rPr>
              <w:rFonts w:cs="Arial"/>
              <w:sz w:val="20"/>
              <w:szCs w:val="20"/>
              <w:lang w:val="en-US"/>
            </w:rPr>
            <w:fldChar w:fldCharType="begin"/>
          </w:r>
          <w:r w:rsidR="00C85D5A">
            <w:rPr>
              <w:rFonts w:cs="Arial"/>
              <w:sz w:val="20"/>
              <w:szCs w:val="20"/>
            </w:rPr>
            <w:instrText xml:space="preserve"> CITATION The22 \l 2057 </w:instrText>
          </w:r>
          <w:r w:rsidR="00C85D5A">
            <w:rPr>
              <w:rFonts w:cs="Arial"/>
              <w:sz w:val="20"/>
              <w:szCs w:val="20"/>
              <w:lang w:val="en-US"/>
            </w:rPr>
            <w:fldChar w:fldCharType="separate"/>
          </w:r>
          <w:r w:rsidR="00C85D5A" w:rsidRPr="00C85D5A">
            <w:rPr>
              <w:rFonts w:cs="Arial"/>
              <w:noProof/>
              <w:sz w:val="20"/>
              <w:szCs w:val="20"/>
            </w:rPr>
            <w:t>(The Economic Times, 2022)</w:t>
          </w:r>
          <w:r w:rsidR="00C85D5A">
            <w:rPr>
              <w:rFonts w:cs="Arial"/>
              <w:sz w:val="20"/>
              <w:szCs w:val="20"/>
              <w:lang w:val="en-US"/>
            </w:rPr>
            <w:fldChar w:fldCharType="end"/>
          </w:r>
        </w:sdtContent>
      </w:sdt>
      <w:r w:rsidR="00C85D5A">
        <w:rPr>
          <w:rFonts w:cs="Arial"/>
          <w:sz w:val="20"/>
          <w:szCs w:val="20"/>
          <w:lang w:val="en-US"/>
        </w:rPr>
        <w:t xml:space="preserve">. Unlike Equity </w:t>
      </w:r>
      <w:r w:rsidR="00C85D5A">
        <w:rPr>
          <w:rFonts w:cs="Arial"/>
          <w:sz w:val="20"/>
          <w:szCs w:val="20"/>
          <w:lang w:val="en-US"/>
        </w:rPr>
        <w:lastRenderedPageBreak/>
        <w:t xml:space="preserve">Financing, the borrower is obligated to repay the loan amount to the creditors with a pre-determined interest fee on top. This type of financing offers benefits such as a tax advantage on the load interest paid, whilst retaining control over the company by not having to sell portions of it through shares. Disadvantages of this particular method are, for example, a good credit record is required before any lender will consider the load application, plus the fact that the asset in which the debt is raised against then becomes collateral and therefore retrievable if the load can not be repaid for any reason </w:t>
      </w:r>
      <w:sdt>
        <w:sdtPr>
          <w:rPr>
            <w:rFonts w:cs="Arial"/>
            <w:sz w:val="20"/>
            <w:szCs w:val="20"/>
            <w:lang w:val="en-US"/>
          </w:rPr>
          <w:id w:val="1289323419"/>
          <w:citation/>
        </w:sdtPr>
        <w:sdtContent>
          <w:r w:rsidR="00C85D5A">
            <w:rPr>
              <w:rFonts w:cs="Arial"/>
              <w:sz w:val="20"/>
              <w:szCs w:val="20"/>
              <w:lang w:val="en-US"/>
            </w:rPr>
            <w:fldChar w:fldCharType="begin"/>
          </w:r>
          <w:r w:rsidR="00C85D5A">
            <w:rPr>
              <w:rFonts w:cs="Arial"/>
              <w:sz w:val="20"/>
              <w:szCs w:val="20"/>
            </w:rPr>
            <w:instrText xml:space="preserve"> CITATION The221 \l 2057 </w:instrText>
          </w:r>
          <w:r w:rsidR="00C85D5A">
            <w:rPr>
              <w:rFonts w:cs="Arial"/>
              <w:sz w:val="20"/>
              <w:szCs w:val="20"/>
              <w:lang w:val="en-US"/>
            </w:rPr>
            <w:fldChar w:fldCharType="separate"/>
          </w:r>
          <w:r w:rsidR="00C85D5A" w:rsidRPr="00C85D5A">
            <w:rPr>
              <w:rFonts w:cs="Arial"/>
              <w:noProof/>
              <w:sz w:val="20"/>
              <w:szCs w:val="20"/>
            </w:rPr>
            <w:t>(The Hartford, 2022)</w:t>
          </w:r>
          <w:r w:rsidR="00C85D5A">
            <w:rPr>
              <w:rFonts w:cs="Arial"/>
              <w:sz w:val="20"/>
              <w:szCs w:val="20"/>
              <w:lang w:val="en-US"/>
            </w:rPr>
            <w:fldChar w:fldCharType="end"/>
          </w:r>
        </w:sdtContent>
      </w:sdt>
      <w:r w:rsidR="00C85D5A">
        <w:rPr>
          <w:rFonts w:cs="Arial"/>
          <w:sz w:val="20"/>
          <w:szCs w:val="20"/>
          <w:lang w:val="en-US"/>
        </w:rPr>
        <w:t xml:space="preserve">. The combination of equity and debt financing are commonly used together as they balance out the risk that a company is exposed whilst </w:t>
      </w:r>
      <w:r w:rsidR="009753AE">
        <w:rPr>
          <w:rFonts w:cs="Arial"/>
          <w:sz w:val="20"/>
          <w:szCs w:val="20"/>
          <w:lang w:val="en-US"/>
        </w:rPr>
        <w:t>maximizing</w:t>
      </w:r>
      <w:r w:rsidR="00C85D5A">
        <w:rPr>
          <w:rFonts w:cs="Arial"/>
          <w:sz w:val="20"/>
          <w:szCs w:val="20"/>
          <w:lang w:val="en-US"/>
        </w:rPr>
        <w:t xml:space="preserve"> the capital potential.</w:t>
      </w:r>
    </w:p>
    <w:p w14:paraId="3C0A4E7C" w14:textId="4AE012C2" w:rsidR="00CB1295" w:rsidRPr="0089699A" w:rsidRDefault="008D5636" w:rsidP="00CB1295">
      <w:pPr>
        <w:rPr>
          <w:rFonts w:cs="Arial"/>
          <w:b/>
          <w:bCs/>
          <w:u w:val="single"/>
          <w:lang w:val="en-US"/>
        </w:rPr>
      </w:pPr>
      <w:r w:rsidRPr="0089699A">
        <w:rPr>
          <w:rFonts w:cs="Arial"/>
          <w:b/>
          <w:bCs/>
          <w:u w:val="single"/>
          <w:lang w:val="en-US"/>
        </w:rPr>
        <w:t>Summary</w:t>
      </w:r>
    </w:p>
    <w:p w14:paraId="0FE098E1" w14:textId="0BD41B1C" w:rsidR="008D5636" w:rsidRDefault="0096441A" w:rsidP="00CB1295">
      <w:pPr>
        <w:rPr>
          <w:rFonts w:cs="Arial"/>
          <w:sz w:val="20"/>
          <w:szCs w:val="20"/>
          <w:lang w:val="en-US"/>
        </w:rPr>
      </w:pPr>
      <w:r>
        <w:rPr>
          <w:rFonts w:cs="Arial"/>
          <w:sz w:val="20"/>
          <w:szCs w:val="20"/>
          <w:lang w:val="en-US"/>
        </w:rPr>
        <w:t>As mentioned, the primary driver of this project is the quarry life extension. However, reviewing the financial models and results used in the appraisal indicates a positive business benefit over the project duration.</w:t>
      </w:r>
    </w:p>
    <w:p w14:paraId="6320B518" w14:textId="73AC6362" w:rsidR="0096441A" w:rsidRPr="00106458" w:rsidRDefault="0096441A" w:rsidP="00106458">
      <w:pPr>
        <w:pStyle w:val="ListParagraph"/>
        <w:numPr>
          <w:ilvl w:val="0"/>
          <w:numId w:val="35"/>
        </w:numPr>
        <w:rPr>
          <w:rFonts w:cs="Arial"/>
          <w:sz w:val="20"/>
          <w:szCs w:val="20"/>
          <w:lang w:val="en-US"/>
        </w:rPr>
      </w:pPr>
      <w:r w:rsidRPr="00106458">
        <w:rPr>
          <w:rFonts w:cs="Arial"/>
          <w:sz w:val="20"/>
          <w:szCs w:val="20"/>
          <w:lang w:val="en-US"/>
        </w:rPr>
        <w:t>Payback &lt; 5 years – reasonable when you consider expected quarry life extension from project.</w:t>
      </w:r>
    </w:p>
    <w:p w14:paraId="376DA083" w14:textId="4AF4ACBB" w:rsidR="0096441A" w:rsidRPr="00106458" w:rsidRDefault="0096441A" w:rsidP="00106458">
      <w:pPr>
        <w:pStyle w:val="ListParagraph"/>
        <w:numPr>
          <w:ilvl w:val="0"/>
          <w:numId w:val="35"/>
        </w:numPr>
        <w:rPr>
          <w:rFonts w:cs="Arial"/>
          <w:sz w:val="20"/>
          <w:szCs w:val="20"/>
          <w:lang w:val="en-US"/>
        </w:rPr>
      </w:pPr>
      <w:r w:rsidRPr="00106458">
        <w:rPr>
          <w:rFonts w:cs="Arial"/>
          <w:sz w:val="20"/>
          <w:szCs w:val="20"/>
          <w:lang w:val="en-US"/>
        </w:rPr>
        <w:t>Net Present Value (NPV) is positive.</w:t>
      </w:r>
    </w:p>
    <w:p w14:paraId="53A0705C" w14:textId="646A00DD" w:rsidR="0096441A" w:rsidRPr="00106458" w:rsidRDefault="0096441A" w:rsidP="00106458">
      <w:pPr>
        <w:pStyle w:val="ListParagraph"/>
        <w:numPr>
          <w:ilvl w:val="0"/>
          <w:numId w:val="35"/>
        </w:numPr>
        <w:rPr>
          <w:rFonts w:cs="Arial"/>
          <w:sz w:val="20"/>
          <w:szCs w:val="20"/>
          <w:lang w:val="en-US"/>
        </w:rPr>
      </w:pPr>
      <w:r w:rsidRPr="00106458">
        <w:rPr>
          <w:rFonts w:cs="Arial"/>
          <w:sz w:val="20"/>
          <w:szCs w:val="20"/>
          <w:lang w:val="en-US"/>
        </w:rPr>
        <w:t>Although IRR is under the 20% mark which is considered a good rate of return, it is reasonable when considered with the other project benefits.</w:t>
      </w:r>
    </w:p>
    <w:p w14:paraId="51B012DF" w14:textId="00731AC2" w:rsidR="0096441A" w:rsidRPr="00106458" w:rsidRDefault="0096441A" w:rsidP="00106458">
      <w:pPr>
        <w:pStyle w:val="ListParagraph"/>
        <w:numPr>
          <w:ilvl w:val="0"/>
          <w:numId w:val="35"/>
        </w:numPr>
        <w:rPr>
          <w:rFonts w:cs="Arial"/>
          <w:sz w:val="20"/>
          <w:szCs w:val="20"/>
          <w:lang w:val="en-US"/>
        </w:rPr>
      </w:pPr>
      <w:r w:rsidRPr="00106458">
        <w:rPr>
          <w:rFonts w:cs="Arial"/>
          <w:sz w:val="20"/>
          <w:szCs w:val="20"/>
          <w:lang w:val="en-US"/>
        </w:rPr>
        <w:t>Profitability Index (PI) is 1 which is an accepted level for a project to be considered to go ahead.</w:t>
      </w:r>
    </w:p>
    <w:p w14:paraId="60343800" w14:textId="1D0FF297" w:rsidR="0046380D" w:rsidRDefault="0096441A" w:rsidP="0046380D">
      <w:pPr>
        <w:pStyle w:val="ListParagraph"/>
        <w:numPr>
          <w:ilvl w:val="0"/>
          <w:numId w:val="35"/>
        </w:numPr>
        <w:rPr>
          <w:rFonts w:cs="Arial"/>
          <w:sz w:val="20"/>
          <w:szCs w:val="20"/>
          <w:lang w:val="en-US"/>
        </w:rPr>
      </w:pPr>
      <w:r w:rsidRPr="00106458">
        <w:rPr>
          <w:rFonts w:cs="Arial"/>
          <w:sz w:val="20"/>
          <w:szCs w:val="20"/>
          <w:lang w:val="en-US"/>
        </w:rPr>
        <w:t xml:space="preserve">Benefit Cost Ratio (BCR) score </w:t>
      </w:r>
      <w:r w:rsidR="009A41B2" w:rsidRPr="00106458">
        <w:rPr>
          <w:rFonts w:cs="Arial"/>
          <w:sz w:val="20"/>
          <w:szCs w:val="20"/>
          <w:lang w:val="en-US"/>
        </w:rPr>
        <w:t>is less than 1, which would typically mean that the project would not be suggested as proceedable.</w:t>
      </w:r>
      <w:r w:rsidR="00574D7D">
        <w:rPr>
          <w:rFonts w:cs="Arial"/>
          <w:sz w:val="20"/>
          <w:szCs w:val="20"/>
          <w:lang w:val="en-US"/>
        </w:rPr>
        <w:t xml:space="preserve"> However, with the quarry life extension the main driver of the project, supported with positive results on the other financial models then in this instance it would be reasonable to proceed with the project.</w:t>
      </w:r>
    </w:p>
    <w:p w14:paraId="07DA569D" w14:textId="6321ABAB" w:rsidR="0046380D" w:rsidRPr="0046380D" w:rsidRDefault="0046380D" w:rsidP="0046380D">
      <w:pPr>
        <w:rPr>
          <w:rFonts w:cs="Arial"/>
          <w:sz w:val="20"/>
          <w:szCs w:val="20"/>
          <w:lang w:val="en-US"/>
        </w:rPr>
      </w:pPr>
      <w:r>
        <w:rPr>
          <w:rFonts w:cs="Arial"/>
          <w:sz w:val="20"/>
          <w:szCs w:val="20"/>
          <w:lang w:val="en-US"/>
        </w:rPr>
        <w:t xml:space="preserve">Typically, each of the financial models’ results would be </w:t>
      </w:r>
      <w:r w:rsidR="009753AE">
        <w:rPr>
          <w:rFonts w:cs="Arial"/>
          <w:sz w:val="20"/>
          <w:szCs w:val="20"/>
          <w:lang w:val="en-US"/>
        </w:rPr>
        <w:t>analyzed</w:t>
      </w:r>
      <w:r>
        <w:rPr>
          <w:rFonts w:cs="Arial"/>
          <w:sz w:val="20"/>
          <w:szCs w:val="20"/>
          <w:lang w:val="en-US"/>
        </w:rPr>
        <w:t xml:space="preserve"> and then reviewed in accordance with a businesses acceptable level of risk, debt, and cash flow position before a final decision on whether to proceed or not would be made. Other considerations, such as strategic, environmental, or societal impacts of a project that are sometimes not as easy to quantify would also play a considerable part in the any decision to proceed with an investment. To </w:t>
      </w:r>
      <w:r w:rsidR="009753AE">
        <w:rPr>
          <w:rFonts w:cs="Arial"/>
          <w:sz w:val="20"/>
          <w:szCs w:val="20"/>
          <w:lang w:val="en-US"/>
        </w:rPr>
        <w:t>summarize</w:t>
      </w:r>
      <w:r>
        <w:rPr>
          <w:rFonts w:cs="Arial"/>
          <w:sz w:val="20"/>
          <w:szCs w:val="20"/>
          <w:lang w:val="en-US"/>
        </w:rPr>
        <w:t>, financial tools are an excellent and essential tool for businesses to use when deciding upon future projects and investments. However, they work best when used in tandem and whilst considering other influencing factors and should rarely be used on their own.</w:t>
      </w:r>
    </w:p>
    <w:p w14:paraId="06329072" w14:textId="77777777" w:rsidR="009A41B2" w:rsidRDefault="009A41B2" w:rsidP="00CB1295">
      <w:pPr>
        <w:rPr>
          <w:rFonts w:cs="Arial"/>
          <w:sz w:val="20"/>
          <w:szCs w:val="20"/>
          <w:lang w:val="en-US"/>
        </w:rPr>
      </w:pPr>
    </w:p>
    <w:p w14:paraId="732BB9F5" w14:textId="77777777" w:rsidR="009E69D8" w:rsidRDefault="009E69D8">
      <w:pPr>
        <w:rPr>
          <w:rFonts w:cs="Arial"/>
          <w:sz w:val="20"/>
          <w:szCs w:val="20"/>
          <w:lang w:val="en-US"/>
        </w:rPr>
      </w:pPr>
      <w:r>
        <w:rPr>
          <w:rFonts w:cs="Arial"/>
          <w:sz w:val="20"/>
          <w:szCs w:val="20"/>
          <w:lang w:val="en-US"/>
        </w:rPr>
        <w:br w:type="page"/>
      </w:r>
    </w:p>
    <w:p w14:paraId="4FD9A8EE" w14:textId="79FFDA27" w:rsidR="0096441A" w:rsidRPr="0089699A" w:rsidRDefault="00556732" w:rsidP="00CB1295">
      <w:pPr>
        <w:rPr>
          <w:rFonts w:cs="Arial"/>
          <w:b/>
          <w:bCs/>
          <w:u w:val="single"/>
          <w:lang w:val="en-US"/>
        </w:rPr>
      </w:pPr>
      <w:r w:rsidRPr="0089699A">
        <w:rPr>
          <w:rFonts w:cs="Arial"/>
          <w:b/>
          <w:bCs/>
          <w:u w:val="single"/>
          <w:lang w:val="en-US"/>
        </w:rPr>
        <w:lastRenderedPageBreak/>
        <w:t>Appendix</w:t>
      </w:r>
    </w:p>
    <w:p w14:paraId="64C39691" w14:textId="6F80D989" w:rsidR="00D76C97" w:rsidRPr="00D76C97" w:rsidRDefault="00D76C97" w:rsidP="00CB1295">
      <w:pPr>
        <w:rPr>
          <w:rFonts w:cs="Arial"/>
          <w:b/>
          <w:bCs/>
          <w:sz w:val="20"/>
          <w:szCs w:val="20"/>
          <w:u w:val="single"/>
          <w:lang w:val="en-US"/>
        </w:rPr>
      </w:pPr>
      <w:r w:rsidRPr="00D76C97">
        <w:rPr>
          <w:rFonts w:cs="Arial"/>
          <w:b/>
          <w:bCs/>
          <w:sz w:val="20"/>
          <w:szCs w:val="20"/>
          <w:u w:val="single"/>
          <w:lang w:val="en-US"/>
        </w:rPr>
        <w:t>Costs</w:t>
      </w:r>
    </w:p>
    <w:p w14:paraId="7CC6D298" w14:textId="77777777" w:rsidR="00D76C97" w:rsidRPr="001A2C20" w:rsidRDefault="00D76C97" w:rsidP="001A2C20">
      <w:pPr>
        <w:rPr>
          <w:rFonts w:cs="Arial"/>
          <w:sz w:val="20"/>
          <w:szCs w:val="20"/>
          <w:lang w:val="en-US"/>
        </w:rPr>
      </w:pPr>
      <w:r w:rsidRPr="001A2C20">
        <w:rPr>
          <w:rFonts w:cs="Arial"/>
          <w:sz w:val="20"/>
          <w:szCs w:val="20"/>
          <w:lang w:val="en-US"/>
        </w:rPr>
        <w:t>Current costs for washing (fuel):</w:t>
      </w:r>
    </w:p>
    <w:p w14:paraId="728A00C9" w14:textId="77777777" w:rsidR="00D76C97" w:rsidRDefault="00D76C97" w:rsidP="00D76C97">
      <w:pPr>
        <w:pStyle w:val="ListParagraph"/>
        <w:ind w:left="426"/>
        <w:jc w:val="center"/>
        <w:rPr>
          <w:rFonts w:cs="Arial"/>
          <w:sz w:val="20"/>
          <w:szCs w:val="20"/>
          <w:lang w:val="en-US"/>
        </w:rPr>
      </w:pPr>
      <w:r>
        <w:rPr>
          <w:noProof/>
        </w:rPr>
        <w:drawing>
          <wp:inline distT="0" distB="0" distL="0" distR="0" wp14:anchorId="7805B9F2" wp14:editId="0EBB7D2A">
            <wp:extent cx="4428360" cy="2470067"/>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45815" cy="2479803"/>
                    </a:xfrm>
                    <a:prstGeom prst="rect">
                      <a:avLst/>
                    </a:prstGeom>
                  </pic:spPr>
                </pic:pic>
              </a:graphicData>
            </a:graphic>
          </wp:inline>
        </w:drawing>
      </w:r>
    </w:p>
    <w:p w14:paraId="334D0AB1" w14:textId="77777777" w:rsidR="00D76C97" w:rsidRDefault="00D76C97" w:rsidP="00D76C97">
      <w:pPr>
        <w:rPr>
          <w:rFonts w:cs="Arial"/>
          <w:sz w:val="20"/>
          <w:szCs w:val="20"/>
          <w:lang w:val="en-US"/>
        </w:rPr>
      </w:pPr>
      <w:r>
        <w:rPr>
          <w:rFonts w:cs="Arial"/>
          <w:sz w:val="20"/>
          <w:szCs w:val="20"/>
          <w:lang w:val="en-US"/>
        </w:rPr>
        <w:t>Current costs for washing (hire):</w:t>
      </w:r>
    </w:p>
    <w:p w14:paraId="2DA002E4" w14:textId="77777777" w:rsidR="00D76C97" w:rsidRDefault="00D76C97" w:rsidP="00D76C97">
      <w:pPr>
        <w:rPr>
          <w:rFonts w:cs="Arial"/>
          <w:sz w:val="20"/>
          <w:szCs w:val="20"/>
          <w:lang w:val="en-US"/>
        </w:rPr>
      </w:pPr>
      <w:r>
        <w:rPr>
          <w:noProof/>
        </w:rPr>
        <w:drawing>
          <wp:inline distT="0" distB="0" distL="0" distR="0" wp14:anchorId="49BD7EA9" wp14:editId="05B10166">
            <wp:extent cx="6840855" cy="6673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840855" cy="667385"/>
                    </a:xfrm>
                    <a:prstGeom prst="rect">
                      <a:avLst/>
                    </a:prstGeom>
                  </pic:spPr>
                </pic:pic>
              </a:graphicData>
            </a:graphic>
          </wp:inline>
        </w:drawing>
      </w:r>
    </w:p>
    <w:p w14:paraId="6E9BAF74" w14:textId="77777777" w:rsidR="00D76C97" w:rsidRDefault="00D76C97" w:rsidP="00D76C97">
      <w:pPr>
        <w:rPr>
          <w:rFonts w:cs="Arial"/>
          <w:sz w:val="20"/>
          <w:szCs w:val="20"/>
          <w:lang w:val="en-US"/>
        </w:rPr>
      </w:pPr>
      <w:r>
        <w:rPr>
          <w:rFonts w:cs="Arial"/>
          <w:sz w:val="20"/>
          <w:szCs w:val="20"/>
          <w:lang w:val="en-US"/>
        </w:rPr>
        <w:t>Total costs including contracting wash charge @ £3.30/t</w:t>
      </w:r>
    </w:p>
    <w:p w14:paraId="65A6F20B" w14:textId="77777777" w:rsidR="00D76C97" w:rsidRDefault="00D76C97" w:rsidP="00D76C97">
      <w:pPr>
        <w:jc w:val="center"/>
        <w:rPr>
          <w:rFonts w:cs="Arial"/>
          <w:sz w:val="20"/>
          <w:szCs w:val="20"/>
          <w:lang w:val="en-US"/>
        </w:rPr>
      </w:pPr>
      <w:r>
        <w:rPr>
          <w:noProof/>
        </w:rPr>
        <w:drawing>
          <wp:inline distT="0" distB="0" distL="0" distR="0" wp14:anchorId="728F5E06" wp14:editId="59F7297F">
            <wp:extent cx="1609725" cy="56718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650546" cy="581568"/>
                    </a:xfrm>
                    <a:prstGeom prst="rect">
                      <a:avLst/>
                    </a:prstGeom>
                  </pic:spPr>
                </pic:pic>
              </a:graphicData>
            </a:graphic>
          </wp:inline>
        </w:drawing>
      </w:r>
    </w:p>
    <w:p w14:paraId="399DD3A6" w14:textId="77777777" w:rsidR="00D76C97" w:rsidRDefault="00D76C97" w:rsidP="00D76C97">
      <w:pPr>
        <w:rPr>
          <w:rFonts w:cs="Arial"/>
          <w:sz w:val="20"/>
          <w:szCs w:val="20"/>
          <w:lang w:val="en-US"/>
        </w:rPr>
      </w:pPr>
      <w:r>
        <w:rPr>
          <w:rFonts w:cs="Arial"/>
          <w:sz w:val="20"/>
          <w:szCs w:val="20"/>
          <w:lang w:val="en-US"/>
        </w:rPr>
        <w:t>Future costs (fuel and contract, hire costs are removed):</w:t>
      </w:r>
    </w:p>
    <w:p w14:paraId="76CD6749" w14:textId="77777777" w:rsidR="00D76C97" w:rsidRPr="00CB1295" w:rsidRDefault="00D76C97" w:rsidP="00D76C97">
      <w:pPr>
        <w:jc w:val="center"/>
        <w:rPr>
          <w:rFonts w:cs="Arial"/>
          <w:sz w:val="20"/>
          <w:szCs w:val="20"/>
          <w:lang w:val="en-US"/>
        </w:rPr>
      </w:pPr>
      <w:r>
        <w:rPr>
          <w:noProof/>
        </w:rPr>
        <w:drawing>
          <wp:inline distT="0" distB="0" distL="0" distR="0" wp14:anchorId="6A74123E" wp14:editId="27637C8D">
            <wp:extent cx="4631377" cy="2163288"/>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81856" cy="2186866"/>
                    </a:xfrm>
                    <a:prstGeom prst="rect">
                      <a:avLst/>
                    </a:prstGeom>
                  </pic:spPr>
                </pic:pic>
              </a:graphicData>
            </a:graphic>
          </wp:inline>
        </w:drawing>
      </w:r>
    </w:p>
    <w:p w14:paraId="41004F82" w14:textId="77777777" w:rsidR="00D76C97" w:rsidRDefault="00D76C97" w:rsidP="00D76C97">
      <w:pPr>
        <w:rPr>
          <w:rFonts w:cs="Arial"/>
          <w:sz w:val="20"/>
          <w:szCs w:val="20"/>
          <w:lang w:val="en-US"/>
        </w:rPr>
      </w:pPr>
      <w:r>
        <w:rPr>
          <w:noProof/>
        </w:rPr>
        <w:drawing>
          <wp:anchor distT="0" distB="0" distL="114300" distR="114300" simplePos="0" relativeHeight="251664384" behindDoc="0" locked="0" layoutInCell="1" allowOverlap="1" wp14:anchorId="73A1781D" wp14:editId="1489D2EC">
            <wp:simplePos x="0" y="0"/>
            <wp:positionH relativeFrom="column">
              <wp:posOffset>2637114</wp:posOffset>
            </wp:positionH>
            <wp:positionV relativeFrom="paragraph">
              <wp:posOffset>115314</wp:posOffset>
            </wp:positionV>
            <wp:extent cx="2861945" cy="44259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861945" cy="442595"/>
                    </a:xfrm>
                    <a:prstGeom prst="rect">
                      <a:avLst/>
                    </a:prstGeom>
                  </pic:spPr>
                </pic:pic>
              </a:graphicData>
            </a:graphic>
            <wp14:sizeRelH relativeFrom="page">
              <wp14:pctWidth>0</wp14:pctWidth>
            </wp14:sizeRelH>
            <wp14:sizeRelV relativeFrom="page">
              <wp14:pctHeight>0</wp14:pctHeight>
            </wp14:sizeRelV>
          </wp:anchor>
        </w:drawing>
      </w:r>
    </w:p>
    <w:p w14:paraId="43F70EF6" w14:textId="77777777" w:rsidR="00D76C97" w:rsidRPr="00181B4A" w:rsidRDefault="00D76C97" w:rsidP="00D76C97">
      <w:pPr>
        <w:rPr>
          <w:rFonts w:cs="Arial"/>
          <w:sz w:val="20"/>
          <w:szCs w:val="20"/>
          <w:lang w:val="en-US"/>
        </w:rPr>
      </w:pPr>
    </w:p>
    <w:p w14:paraId="3D2658A0" w14:textId="77777777" w:rsidR="00D76C97" w:rsidRDefault="00D76C97" w:rsidP="00CB1295">
      <w:pPr>
        <w:rPr>
          <w:rFonts w:cs="Arial"/>
          <w:sz w:val="20"/>
          <w:szCs w:val="20"/>
          <w:lang w:val="en-US"/>
        </w:rPr>
      </w:pPr>
    </w:p>
    <w:p w14:paraId="156467F4" w14:textId="6293BC22" w:rsidR="00556732" w:rsidRPr="00D76C97" w:rsidRDefault="00556732" w:rsidP="00CB1295">
      <w:pPr>
        <w:rPr>
          <w:rFonts w:cs="Arial"/>
          <w:b/>
          <w:bCs/>
          <w:sz w:val="20"/>
          <w:szCs w:val="20"/>
          <w:u w:val="single"/>
          <w:lang w:val="en-US"/>
        </w:rPr>
      </w:pPr>
      <w:r w:rsidRPr="00D76C97">
        <w:rPr>
          <w:rFonts w:cs="Arial"/>
          <w:b/>
          <w:bCs/>
          <w:sz w:val="20"/>
          <w:szCs w:val="20"/>
          <w:u w:val="single"/>
          <w:lang w:val="en-US"/>
        </w:rPr>
        <w:lastRenderedPageBreak/>
        <w:t>Financial Models</w:t>
      </w:r>
    </w:p>
    <w:p w14:paraId="58A55172" w14:textId="6576D112" w:rsidR="00D76C97" w:rsidRDefault="00D76C97" w:rsidP="00CB1295">
      <w:pPr>
        <w:rPr>
          <w:rFonts w:cs="Arial"/>
          <w:sz w:val="20"/>
          <w:szCs w:val="20"/>
          <w:lang w:val="en-US"/>
        </w:rPr>
      </w:pPr>
      <w:r w:rsidRPr="0079592E">
        <w:rPr>
          <w:rFonts w:cs="Arial"/>
          <w:noProof/>
          <w:sz w:val="20"/>
          <w:szCs w:val="20"/>
        </w:rPr>
        <w:drawing>
          <wp:inline distT="0" distB="0" distL="0" distR="0" wp14:anchorId="7EBBDC3E" wp14:editId="245CC2CE">
            <wp:extent cx="6840855" cy="1242060"/>
            <wp:effectExtent l="0" t="0" r="0" b="0"/>
            <wp:docPr id="5" name="Picture 4">
              <a:extLst xmlns:a="http://schemas.openxmlformats.org/drawingml/2006/main">
                <a:ext uri="{FF2B5EF4-FFF2-40B4-BE49-F238E27FC236}">
                  <a16:creationId xmlns:a16="http://schemas.microsoft.com/office/drawing/2014/main" id="{DB0B987D-5B34-4967-896E-145B5B43DF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DB0B987D-5B34-4967-896E-145B5B43DFCF}"/>
                        </a:ext>
                      </a:extLst>
                    </pic:cNvPr>
                    <pic:cNvPicPr>
                      <a:picLocks noChangeAspect="1"/>
                    </pic:cNvPicPr>
                  </pic:nvPicPr>
                  <pic:blipFill>
                    <a:blip r:embed="rId22"/>
                    <a:stretch>
                      <a:fillRect/>
                    </a:stretch>
                  </pic:blipFill>
                  <pic:spPr>
                    <a:xfrm>
                      <a:off x="0" y="0"/>
                      <a:ext cx="6840855" cy="1242060"/>
                    </a:xfrm>
                    <a:prstGeom prst="rect">
                      <a:avLst/>
                    </a:prstGeom>
                  </pic:spPr>
                </pic:pic>
              </a:graphicData>
            </a:graphic>
          </wp:inline>
        </w:drawing>
      </w:r>
    </w:p>
    <w:p w14:paraId="1A3F7CE7" w14:textId="77777777" w:rsidR="00E50B41" w:rsidRDefault="00E50B41" w:rsidP="00CB1295">
      <w:pPr>
        <w:rPr>
          <w:rFonts w:cs="Arial"/>
          <w:sz w:val="20"/>
          <w:szCs w:val="20"/>
          <w:lang w:val="en-US"/>
        </w:rPr>
      </w:pPr>
    </w:p>
    <w:p w14:paraId="40C74AE3" w14:textId="5BD3A83D" w:rsidR="00D76C97" w:rsidRDefault="00D76C97" w:rsidP="00CB1295">
      <w:pPr>
        <w:rPr>
          <w:rFonts w:cs="Arial"/>
          <w:sz w:val="20"/>
          <w:szCs w:val="20"/>
          <w:lang w:val="en-US"/>
        </w:rPr>
      </w:pPr>
      <w:r>
        <w:rPr>
          <w:noProof/>
        </w:rPr>
        <w:drawing>
          <wp:inline distT="0" distB="0" distL="0" distR="0" wp14:anchorId="61EA095F" wp14:editId="21336533">
            <wp:extent cx="6840855" cy="2330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840855" cy="2330450"/>
                    </a:xfrm>
                    <a:prstGeom prst="rect">
                      <a:avLst/>
                    </a:prstGeom>
                  </pic:spPr>
                </pic:pic>
              </a:graphicData>
            </a:graphic>
          </wp:inline>
        </w:drawing>
      </w:r>
    </w:p>
    <w:p w14:paraId="3B8CFF60" w14:textId="33E7FF37" w:rsidR="00556732" w:rsidRPr="00DF2A69" w:rsidRDefault="00556732" w:rsidP="00CB1295">
      <w:pPr>
        <w:rPr>
          <w:rFonts w:cs="Arial"/>
          <w:b/>
          <w:bCs/>
          <w:u w:val="single"/>
          <w:lang w:val="en-US"/>
        </w:rPr>
      </w:pPr>
      <w:r w:rsidRPr="00DF2A69">
        <w:rPr>
          <w:rFonts w:cs="Arial"/>
          <w:b/>
          <w:bCs/>
          <w:u w:val="single"/>
          <w:lang w:val="en-US"/>
        </w:rPr>
        <w:t>Wider Readin</w:t>
      </w:r>
      <w:r w:rsidR="009E69D8" w:rsidRPr="00DF2A69">
        <w:rPr>
          <w:rFonts w:cs="Arial"/>
          <w:b/>
          <w:bCs/>
          <w:u w:val="single"/>
          <w:lang w:val="en-US"/>
        </w:rPr>
        <w:t>g References</w:t>
      </w:r>
    </w:p>
    <w:p w14:paraId="756B0101" w14:textId="77777777" w:rsidR="00C64616" w:rsidRDefault="00C64616" w:rsidP="00C64616">
      <w:pPr>
        <w:pStyle w:val="Bibliography"/>
        <w:ind w:left="720" w:hanging="720"/>
        <w:rPr>
          <w:noProof/>
          <w:sz w:val="24"/>
          <w:szCs w:val="24"/>
        </w:rPr>
      </w:pPr>
      <w:r>
        <w:rPr>
          <w:rFonts w:cs="Arial"/>
          <w:b/>
          <w:bCs/>
          <w:sz w:val="20"/>
          <w:szCs w:val="20"/>
          <w:u w:val="single"/>
          <w:lang w:val="en-US"/>
        </w:rPr>
        <w:fldChar w:fldCharType="begin"/>
      </w:r>
      <w:r>
        <w:rPr>
          <w:rFonts w:cs="Arial"/>
          <w:b/>
          <w:bCs/>
          <w:sz w:val="20"/>
          <w:szCs w:val="20"/>
          <w:u w:val="single"/>
        </w:rPr>
        <w:instrText xml:space="preserve"> BIBLIOGRAPHY  \l 2057 </w:instrText>
      </w:r>
      <w:r>
        <w:rPr>
          <w:rFonts w:cs="Arial"/>
          <w:b/>
          <w:bCs/>
          <w:sz w:val="20"/>
          <w:szCs w:val="20"/>
          <w:u w:val="single"/>
          <w:lang w:val="en-US"/>
        </w:rPr>
        <w:fldChar w:fldCharType="separate"/>
      </w:r>
      <w:r>
        <w:rPr>
          <w:noProof/>
        </w:rPr>
        <w:t xml:space="preserve">APMG International. (2022, September). </w:t>
      </w:r>
      <w:r>
        <w:rPr>
          <w:i/>
          <w:iCs/>
          <w:noProof/>
        </w:rPr>
        <w:t>Project Finance - Benefits and Limitations</w:t>
      </w:r>
      <w:r>
        <w:rPr>
          <w:noProof/>
        </w:rPr>
        <w:t>. Retrieved from PPP-Certifcation: https://ppp-certification.com/ppp-certification-guide/5-project-finance-%E2%80%94-benefits-and-limitations</w:t>
      </w:r>
    </w:p>
    <w:p w14:paraId="251287FD" w14:textId="77777777" w:rsidR="00C64616" w:rsidRDefault="00C64616" w:rsidP="00C64616">
      <w:pPr>
        <w:pStyle w:val="Bibliography"/>
        <w:ind w:left="720" w:hanging="720"/>
        <w:rPr>
          <w:noProof/>
        </w:rPr>
      </w:pPr>
      <w:r>
        <w:rPr>
          <w:noProof/>
        </w:rPr>
        <w:t xml:space="preserve">Banton, C. (2022, February 20). </w:t>
      </w:r>
      <w:r>
        <w:rPr>
          <w:i/>
          <w:iCs/>
          <w:noProof/>
        </w:rPr>
        <w:t>Equity Financing: What it Is, How it works, Pros and Cons</w:t>
      </w:r>
      <w:r>
        <w:rPr>
          <w:noProof/>
        </w:rPr>
        <w:t>. Retrieved from Investopedia: https://www.investopedia.com/terms/e/equityfinancing.asp</w:t>
      </w:r>
    </w:p>
    <w:p w14:paraId="52F7BBDE" w14:textId="77777777" w:rsidR="00C64616" w:rsidRDefault="00C64616" w:rsidP="00C64616">
      <w:pPr>
        <w:pStyle w:val="Bibliography"/>
        <w:ind w:left="720" w:hanging="720"/>
        <w:rPr>
          <w:noProof/>
        </w:rPr>
      </w:pPr>
      <w:r>
        <w:rPr>
          <w:noProof/>
        </w:rPr>
        <w:t xml:space="preserve">Causal. (2022, September). </w:t>
      </w:r>
      <w:r>
        <w:rPr>
          <w:i/>
          <w:iCs/>
          <w:noProof/>
        </w:rPr>
        <w:t>Causal - Payback period</w:t>
      </w:r>
      <w:r>
        <w:rPr>
          <w:noProof/>
        </w:rPr>
        <w:t>. Retrieved from Causal: https://www.causal.app/define/payback-period#:~:text=The%20payback%20period%20is%20a%20financial%20metric%20used%20to%20determine,cash%20flow%20from%20the%20project.</w:t>
      </w:r>
    </w:p>
    <w:p w14:paraId="04EF0E04" w14:textId="77777777" w:rsidR="00C64616" w:rsidRDefault="00C64616" w:rsidP="00C64616">
      <w:pPr>
        <w:pStyle w:val="Bibliography"/>
        <w:ind w:left="720" w:hanging="720"/>
        <w:rPr>
          <w:noProof/>
        </w:rPr>
      </w:pPr>
      <w:r>
        <w:rPr>
          <w:noProof/>
        </w:rPr>
        <w:t xml:space="preserve">CFI. (2022, September). </w:t>
      </w:r>
      <w:r>
        <w:rPr>
          <w:i/>
          <w:iCs/>
          <w:noProof/>
        </w:rPr>
        <w:t>Whats is ARR - Accounting Rate of Return?</w:t>
      </w:r>
      <w:r>
        <w:rPr>
          <w:noProof/>
        </w:rPr>
        <w:t xml:space="preserve"> Retrieved from CFI: https://corporatefinanceinstitute.com/resources/knowledge/accounting/arr-accounting-rate-of-return/</w:t>
      </w:r>
    </w:p>
    <w:p w14:paraId="61F9652D" w14:textId="77777777" w:rsidR="00C64616" w:rsidRDefault="00C64616" w:rsidP="00C64616">
      <w:pPr>
        <w:pStyle w:val="Bibliography"/>
        <w:ind w:left="720" w:hanging="720"/>
        <w:rPr>
          <w:noProof/>
        </w:rPr>
      </w:pPr>
      <w:r>
        <w:rPr>
          <w:noProof/>
        </w:rPr>
        <w:t xml:space="preserve">Educba. (2022, September). </w:t>
      </w:r>
      <w:r>
        <w:rPr>
          <w:i/>
          <w:iCs/>
          <w:noProof/>
        </w:rPr>
        <w:t>Benefit cost ration formula</w:t>
      </w:r>
      <w:r>
        <w:rPr>
          <w:noProof/>
        </w:rPr>
        <w:t>. Retrieved from Educba: https://www.educba.com/benefit-cost-ratio-formula/</w:t>
      </w:r>
    </w:p>
    <w:p w14:paraId="37AB5241" w14:textId="77777777" w:rsidR="00C64616" w:rsidRDefault="00C64616" w:rsidP="00C64616">
      <w:pPr>
        <w:pStyle w:val="Bibliography"/>
        <w:ind w:left="720" w:hanging="720"/>
        <w:rPr>
          <w:noProof/>
        </w:rPr>
      </w:pPr>
      <w:r>
        <w:rPr>
          <w:noProof/>
        </w:rPr>
        <w:t xml:space="preserve">Fernando, J. (2022, August 05). </w:t>
      </w:r>
      <w:r>
        <w:rPr>
          <w:i/>
          <w:iCs/>
          <w:noProof/>
        </w:rPr>
        <w:t>Net Present Value (NPV): What is means and steps to calculate it</w:t>
      </w:r>
      <w:r>
        <w:rPr>
          <w:noProof/>
        </w:rPr>
        <w:t>. Retrieved from Investopedia: https://www.investopedia.com/terms/n/npv.asp#:~:text=Net%20present%20value%20(NPV)%20is,a%20projected%20investment%20or%20project.</w:t>
      </w:r>
    </w:p>
    <w:p w14:paraId="427F5876" w14:textId="77777777" w:rsidR="00C64616" w:rsidRDefault="00C64616" w:rsidP="00C64616">
      <w:pPr>
        <w:pStyle w:val="Bibliography"/>
        <w:ind w:left="720" w:hanging="720"/>
        <w:rPr>
          <w:noProof/>
        </w:rPr>
      </w:pPr>
      <w:r>
        <w:rPr>
          <w:noProof/>
        </w:rPr>
        <w:t xml:space="preserve">Fernando, R. (2022, August 24). </w:t>
      </w:r>
      <w:r>
        <w:rPr>
          <w:i/>
          <w:iCs/>
          <w:noProof/>
        </w:rPr>
        <w:t>What is Internal Rate of Return (IRR)?</w:t>
      </w:r>
      <w:r>
        <w:rPr>
          <w:noProof/>
        </w:rPr>
        <w:t xml:space="preserve"> Retrieved from Investopedia: https://www.investopedia.com/terms/i/irr.asp#:~:text=The%20internal%20rate%20of%20return,same%20formula%20as%20NPV%20does.</w:t>
      </w:r>
    </w:p>
    <w:p w14:paraId="2A718055" w14:textId="77777777" w:rsidR="00C64616" w:rsidRDefault="00C64616" w:rsidP="00C64616">
      <w:pPr>
        <w:pStyle w:val="Bibliography"/>
        <w:ind w:left="720" w:hanging="720"/>
        <w:rPr>
          <w:noProof/>
        </w:rPr>
      </w:pPr>
      <w:r>
        <w:rPr>
          <w:noProof/>
        </w:rPr>
        <w:lastRenderedPageBreak/>
        <w:t xml:space="preserve">Fields, E. (2016). </w:t>
      </w:r>
      <w:r>
        <w:rPr>
          <w:i/>
          <w:iCs/>
          <w:noProof/>
        </w:rPr>
        <w:t>The Essentials of Finance and Accounting for Nonfinancial Managers.</w:t>
      </w:r>
      <w:r>
        <w:rPr>
          <w:noProof/>
        </w:rPr>
        <w:t xml:space="preserve"> New York: AMACOM.</w:t>
      </w:r>
    </w:p>
    <w:p w14:paraId="5F551212" w14:textId="77777777" w:rsidR="00C64616" w:rsidRDefault="00C64616" w:rsidP="00C64616">
      <w:pPr>
        <w:pStyle w:val="Bibliography"/>
        <w:ind w:left="720" w:hanging="720"/>
        <w:rPr>
          <w:noProof/>
        </w:rPr>
      </w:pPr>
      <w:r>
        <w:rPr>
          <w:noProof/>
        </w:rPr>
        <w:t xml:space="preserve">Gollier, C. (2010). Expected net present value, expected net future value, and the Ramsey rule. </w:t>
      </w:r>
      <w:r>
        <w:rPr>
          <w:i/>
          <w:iCs/>
          <w:noProof/>
        </w:rPr>
        <w:t>Journal of Environmental Economics and Management</w:t>
      </w:r>
      <w:r>
        <w:rPr>
          <w:noProof/>
        </w:rPr>
        <w:t>, 142-148.</w:t>
      </w:r>
    </w:p>
    <w:p w14:paraId="5DA32A88" w14:textId="77777777" w:rsidR="00C64616" w:rsidRDefault="00C64616" w:rsidP="00C64616">
      <w:pPr>
        <w:pStyle w:val="Bibliography"/>
        <w:ind w:left="720" w:hanging="720"/>
        <w:rPr>
          <w:noProof/>
        </w:rPr>
      </w:pPr>
      <w:r>
        <w:rPr>
          <w:noProof/>
        </w:rPr>
        <w:t xml:space="preserve">Gurau, M. A. (2012). The use of Profitability Index in Economic Evaluatin of Industrial Investment Projects. </w:t>
      </w:r>
      <w:r>
        <w:rPr>
          <w:i/>
          <w:iCs/>
          <w:noProof/>
        </w:rPr>
        <w:t>Proceedings in Manufacturing Systems</w:t>
      </w:r>
      <w:r>
        <w:rPr>
          <w:noProof/>
        </w:rPr>
        <w:t>.</w:t>
      </w:r>
    </w:p>
    <w:p w14:paraId="57A3961F" w14:textId="77777777" w:rsidR="00C64616" w:rsidRDefault="00C64616" w:rsidP="00C64616">
      <w:pPr>
        <w:pStyle w:val="Bibliography"/>
        <w:ind w:left="720" w:hanging="720"/>
        <w:rPr>
          <w:noProof/>
        </w:rPr>
      </w:pPr>
      <w:r>
        <w:rPr>
          <w:noProof/>
        </w:rPr>
        <w:t xml:space="preserve">OCW IHE DELFT. (2022, September). </w:t>
      </w:r>
      <w:r>
        <w:rPr>
          <w:i/>
          <w:iCs/>
          <w:noProof/>
        </w:rPr>
        <w:t>Preparatory course for sanitation financing</w:t>
      </w:r>
      <w:r>
        <w:rPr>
          <w:noProof/>
        </w:rPr>
        <w:t>. Retrieved from OCW.UN-IHE: https://ocw.un-ihe.org/course/view.php?id=70&amp;section=2#tabs-tree-start</w:t>
      </w:r>
    </w:p>
    <w:p w14:paraId="39C300A0" w14:textId="77777777" w:rsidR="00C64616" w:rsidRDefault="00C64616" w:rsidP="00C64616">
      <w:pPr>
        <w:pStyle w:val="Bibliography"/>
        <w:ind w:left="720" w:hanging="720"/>
        <w:rPr>
          <w:noProof/>
        </w:rPr>
      </w:pPr>
      <w:r>
        <w:rPr>
          <w:noProof/>
        </w:rPr>
        <w:t xml:space="preserve">The Economic Times. (2022, September 2022). </w:t>
      </w:r>
      <w:r>
        <w:rPr>
          <w:i/>
          <w:iCs/>
          <w:noProof/>
        </w:rPr>
        <w:t>What is 'Debt Finance'</w:t>
      </w:r>
      <w:r>
        <w:rPr>
          <w:noProof/>
        </w:rPr>
        <w:t>. Retrieved from The Economic Times: https://economictimes.indiatimes.com/definition/debt-finance</w:t>
      </w:r>
    </w:p>
    <w:p w14:paraId="08FBBA0B" w14:textId="77777777" w:rsidR="00C64616" w:rsidRDefault="00C64616" w:rsidP="00C64616">
      <w:pPr>
        <w:pStyle w:val="Bibliography"/>
        <w:ind w:left="720" w:hanging="720"/>
        <w:rPr>
          <w:noProof/>
        </w:rPr>
      </w:pPr>
      <w:r>
        <w:rPr>
          <w:noProof/>
        </w:rPr>
        <w:t xml:space="preserve">The Hartford. (2022, September). </w:t>
      </w:r>
      <w:r>
        <w:rPr>
          <w:i/>
          <w:iCs/>
          <w:noProof/>
        </w:rPr>
        <w:t>Advantages vs Disadvantages of Debt Financing</w:t>
      </w:r>
      <w:r>
        <w:rPr>
          <w:noProof/>
        </w:rPr>
        <w:t>. Retrieved from The Hartford: https://www.thehartford.com/business-insurance/strategy/business-financing/debt-financing</w:t>
      </w:r>
    </w:p>
    <w:p w14:paraId="3C1CE926" w14:textId="77777777" w:rsidR="00C64616" w:rsidRDefault="00C64616" w:rsidP="00C64616">
      <w:pPr>
        <w:pStyle w:val="Bibliography"/>
        <w:ind w:left="720" w:hanging="720"/>
        <w:rPr>
          <w:noProof/>
        </w:rPr>
      </w:pPr>
      <w:r>
        <w:rPr>
          <w:noProof/>
        </w:rPr>
        <w:t xml:space="preserve">Vaidya, D. (2022, September). </w:t>
      </w:r>
      <w:r>
        <w:rPr>
          <w:i/>
          <w:iCs/>
          <w:noProof/>
        </w:rPr>
        <w:t>Weighted Average Cost of Capital (WACC)</w:t>
      </w:r>
      <w:r>
        <w:rPr>
          <w:noProof/>
        </w:rPr>
        <w:t>. Retrieved from Wall Street Mojo: https://www.wallstreetmojo.com/weighted-average-cost-capital-wacc/</w:t>
      </w:r>
    </w:p>
    <w:p w14:paraId="3C2936A3" w14:textId="77777777" w:rsidR="00C64616" w:rsidRDefault="00C64616" w:rsidP="00C64616">
      <w:pPr>
        <w:pStyle w:val="Bibliography"/>
        <w:ind w:left="720" w:hanging="720"/>
        <w:rPr>
          <w:noProof/>
        </w:rPr>
      </w:pPr>
      <w:r>
        <w:rPr>
          <w:noProof/>
        </w:rPr>
        <w:t xml:space="preserve">Vellam, S. (2022, September 21). </w:t>
      </w:r>
      <w:r>
        <w:rPr>
          <w:i/>
          <w:iCs/>
          <w:noProof/>
        </w:rPr>
        <w:t>What is Equity Finance and how does it work?</w:t>
      </w:r>
      <w:r>
        <w:rPr>
          <w:noProof/>
        </w:rPr>
        <w:t xml:space="preserve"> Retrieved from Development Bank Wales: https://developmentbank.wales/news-and-events/what-equity-finance-and-how-does-it-work</w:t>
      </w:r>
    </w:p>
    <w:p w14:paraId="6636C322" w14:textId="1421F145" w:rsidR="00DF2A69" w:rsidRPr="00517F31" w:rsidRDefault="00C64616" w:rsidP="00C64616">
      <w:pPr>
        <w:rPr>
          <w:rFonts w:cs="Arial"/>
          <w:b/>
          <w:bCs/>
          <w:sz w:val="20"/>
          <w:szCs w:val="20"/>
          <w:u w:val="single"/>
          <w:lang w:val="en-US"/>
        </w:rPr>
      </w:pPr>
      <w:r>
        <w:rPr>
          <w:rFonts w:cs="Arial"/>
          <w:b/>
          <w:bCs/>
          <w:sz w:val="20"/>
          <w:szCs w:val="20"/>
          <w:u w:val="single"/>
          <w:lang w:val="en-US"/>
        </w:rPr>
        <w:fldChar w:fldCharType="end"/>
      </w:r>
    </w:p>
    <w:p w14:paraId="6B811169" w14:textId="7728102A" w:rsidR="00517F31" w:rsidRDefault="00517F31" w:rsidP="00517F31">
      <w:pPr>
        <w:pStyle w:val="Bibliography"/>
        <w:ind w:left="720" w:hanging="720"/>
        <w:rPr>
          <w:noProof/>
          <w:sz w:val="24"/>
          <w:szCs w:val="24"/>
        </w:rPr>
      </w:pPr>
      <w:r>
        <w:rPr>
          <w:rFonts w:cs="Arial"/>
          <w:b/>
          <w:bCs/>
          <w:sz w:val="20"/>
          <w:szCs w:val="20"/>
          <w:lang w:val="en-US"/>
        </w:rPr>
        <w:fldChar w:fldCharType="begin"/>
      </w:r>
      <w:r>
        <w:rPr>
          <w:rFonts w:cs="Arial"/>
          <w:b/>
          <w:bCs/>
          <w:sz w:val="20"/>
          <w:szCs w:val="20"/>
        </w:rPr>
        <w:instrText xml:space="preserve"> BIBLIOGRAPHY  \l 2057 </w:instrText>
      </w:r>
      <w:r>
        <w:rPr>
          <w:rFonts w:cs="Arial"/>
          <w:b/>
          <w:bCs/>
          <w:sz w:val="20"/>
          <w:szCs w:val="20"/>
          <w:lang w:val="en-US"/>
        </w:rPr>
        <w:fldChar w:fldCharType="separate"/>
      </w:r>
    </w:p>
    <w:p w14:paraId="33E05B1F" w14:textId="5185CF7F" w:rsidR="009E69D8" w:rsidRPr="002A283B" w:rsidRDefault="00517F31" w:rsidP="00517F31">
      <w:pPr>
        <w:rPr>
          <w:rFonts w:cs="Arial"/>
          <w:b/>
          <w:bCs/>
          <w:sz w:val="20"/>
          <w:szCs w:val="20"/>
          <w:lang w:val="en-US"/>
        </w:rPr>
      </w:pPr>
      <w:r>
        <w:rPr>
          <w:rFonts w:cs="Arial"/>
          <w:b/>
          <w:bCs/>
          <w:sz w:val="20"/>
          <w:szCs w:val="20"/>
          <w:lang w:val="en-US"/>
        </w:rPr>
        <w:fldChar w:fldCharType="end"/>
      </w:r>
    </w:p>
    <w:sectPr w:rsidR="009E69D8" w:rsidRPr="002A283B" w:rsidSect="00284F15">
      <w:footerReference w:type="default" r:id="rId24"/>
      <w:type w:val="continuous"/>
      <w:pgSz w:w="11907" w:h="16839" w:code="9"/>
      <w:pgMar w:top="1134" w:right="425" w:bottom="1134" w:left="709" w:header="397" w:footer="44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C1C86" w14:textId="77777777" w:rsidR="00FD783B" w:rsidRDefault="00FD783B" w:rsidP="00BF057B">
      <w:pPr>
        <w:spacing w:after="0" w:line="240" w:lineRule="auto"/>
      </w:pPr>
      <w:r>
        <w:separator/>
      </w:r>
    </w:p>
  </w:endnote>
  <w:endnote w:type="continuationSeparator" w:id="0">
    <w:p w14:paraId="07935D72" w14:textId="77777777" w:rsidR="00FD783B" w:rsidRDefault="00FD783B" w:rsidP="00BF057B">
      <w:pPr>
        <w:spacing w:after="0" w:line="240" w:lineRule="auto"/>
      </w:pPr>
      <w:r>
        <w:continuationSeparator/>
      </w:r>
    </w:p>
  </w:endnote>
  <w:endnote w:type="continuationNotice" w:id="1">
    <w:p w14:paraId="02866413" w14:textId="77777777" w:rsidR="00FD783B" w:rsidRDefault="00FD78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8C40D" w14:textId="0DC61643" w:rsidR="005C08B6" w:rsidRDefault="005C08B6">
    <w:pPr>
      <w:pStyle w:val="Footer"/>
      <w:rPr>
        <w:sz w:val="18"/>
        <w:szCs w:val="18"/>
      </w:rPr>
    </w:pPr>
  </w:p>
  <w:p w14:paraId="0350BB5F" w14:textId="77777777" w:rsidR="008406E6" w:rsidRPr="00486F87" w:rsidRDefault="008406E6">
    <w:pPr>
      <w:pStyle w:val="Footer"/>
      <w:rPr>
        <w:sz w:val="18"/>
        <w:szCs w:val="18"/>
      </w:rPr>
    </w:pPr>
  </w:p>
  <w:p w14:paraId="19E6170B" w14:textId="77777777" w:rsidR="005C08B6" w:rsidRPr="00C5289A" w:rsidRDefault="005C08B6" w:rsidP="00C5289A">
    <w:pPr>
      <w:pStyle w:val="Footer"/>
      <w:jc w:val="right"/>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82447" w14:textId="77777777" w:rsidR="00FD783B" w:rsidRDefault="00FD783B" w:rsidP="00BF057B">
      <w:pPr>
        <w:spacing w:after="0" w:line="240" w:lineRule="auto"/>
      </w:pPr>
      <w:r>
        <w:separator/>
      </w:r>
    </w:p>
  </w:footnote>
  <w:footnote w:type="continuationSeparator" w:id="0">
    <w:p w14:paraId="47B9AAA0" w14:textId="77777777" w:rsidR="00FD783B" w:rsidRDefault="00FD783B" w:rsidP="00BF057B">
      <w:pPr>
        <w:spacing w:after="0" w:line="240" w:lineRule="auto"/>
      </w:pPr>
      <w:r>
        <w:continuationSeparator/>
      </w:r>
    </w:p>
  </w:footnote>
  <w:footnote w:type="continuationNotice" w:id="1">
    <w:p w14:paraId="2621CDF1" w14:textId="77777777" w:rsidR="00FD783B" w:rsidRDefault="00FD783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A43F4"/>
    <w:multiLevelType w:val="hybridMultilevel"/>
    <w:tmpl w:val="4044C17E"/>
    <w:lvl w:ilvl="0" w:tplc="BC3E100E">
      <w:start w:val="1"/>
      <w:numFmt w:val="bullet"/>
      <w:lvlText w:val="-"/>
      <w:lvlJc w:val="left"/>
      <w:pPr>
        <w:ind w:left="786" w:hanging="360"/>
      </w:pPr>
      <w:rPr>
        <w:rFonts w:ascii="Calibri" w:eastAsiaTheme="minorHAnsi" w:hAnsi="Calibri" w:cs="Calibr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00614232"/>
    <w:multiLevelType w:val="hybridMultilevel"/>
    <w:tmpl w:val="E0EEBED2"/>
    <w:lvl w:ilvl="0" w:tplc="0407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536499"/>
    <w:multiLevelType w:val="hybridMultilevel"/>
    <w:tmpl w:val="15D83E7E"/>
    <w:lvl w:ilvl="0" w:tplc="B3FAF7EC">
      <w:numFmt w:val="bullet"/>
      <w:lvlText w:val="-"/>
      <w:lvlJc w:val="left"/>
      <w:pPr>
        <w:ind w:left="1353" w:hanging="360"/>
      </w:pPr>
      <w:rPr>
        <w:rFonts w:ascii="Calibri" w:eastAsiaTheme="minorHAnsi" w:hAnsi="Calibri" w:cs="Aria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3" w15:restartNumberingAfterBreak="0">
    <w:nsid w:val="0A367DBD"/>
    <w:multiLevelType w:val="hybridMultilevel"/>
    <w:tmpl w:val="42F8A7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0E020E3"/>
    <w:multiLevelType w:val="hybridMultilevel"/>
    <w:tmpl w:val="AB044950"/>
    <w:lvl w:ilvl="0" w:tplc="B3FAF7EC">
      <w:numFmt w:val="bullet"/>
      <w:lvlText w:val="-"/>
      <w:lvlJc w:val="left"/>
      <w:pPr>
        <w:ind w:left="1353" w:hanging="360"/>
      </w:pPr>
      <w:rPr>
        <w:rFonts w:ascii="Calibri" w:eastAsiaTheme="minorHAnsi" w:hAnsi="Calibri" w:cs="Aria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5" w15:restartNumberingAfterBreak="0">
    <w:nsid w:val="14E846B9"/>
    <w:multiLevelType w:val="hybridMultilevel"/>
    <w:tmpl w:val="C72C670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 w15:restartNumberingAfterBreak="0">
    <w:nsid w:val="15D71925"/>
    <w:multiLevelType w:val="hybridMultilevel"/>
    <w:tmpl w:val="8B42C5B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15FF1C91"/>
    <w:multiLevelType w:val="hybridMultilevel"/>
    <w:tmpl w:val="96F6DB0C"/>
    <w:lvl w:ilvl="0" w:tplc="04070017">
      <w:start w:val="1"/>
      <w:numFmt w:val="lowerLetter"/>
      <w:lvlText w:val="%1)"/>
      <w:lvlJc w:val="left"/>
      <w:pPr>
        <w:ind w:left="786" w:hanging="360"/>
      </w:pPr>
    </w:lvl>
    <w:lvl w:ilvl="1" w:tplc="04090019">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8" w15:restartNumberingAfterBreak="0">
    <w:nsid w:val="1A3638D4"/>
    <w:multiLevelType w:val="hybridMultilevel"/>
    <w:tmpl w:val="F32C87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8A63DD"/>
    <w:multiLevelType w:val="hybridMultilevel"/>
    <w:tmpl w:val="47D63A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76E5EF7"/>
    <w:multiLevelType w:val="hybridMultilevel"/>
    <w:tmpl w:val="EDCC4D0C"/>
    <w:lvl w:ilvl="0" w:tplc="08090001">
      <w:start w:val="1"/>
      <w:numFmt w:val="bullet"/>
      <w:lvlText w:val=""/>
      <w:lvlJc w:val="left"/>
      <w:pPr>
        <w:ind w:left="1506" w:hanging="360"/>
      </w:pPr>
      <w:rPr>
        <w:rFonts w:ascii="Symbol" w:hAnsi="Symbol" w:hint="default"/>
      </w:rPr>
    </w:lvl>
    <w:lvl w:ilvl="1" w:tplc="08090003" w:tentative="1">
      <w:start w:val="1"/>
      <w:numFmt w:val="bullet"/>
      <w:lvlText w:val="o"/>
      <w:lvlJc w:val="left"/>
      <w:pPr>
        <w:ind w:left="2226" w:hanging="360"/>
      </w:pPr>
      <w:rPr>
        <w:rFonts w:ascii="Courier New" w:hAnsi="Courier New" w:cs="Courier New" w:hint="default"/>
      </w:rPr>
    </w:lvl>
    <w:lvl w:ilvl="2" w:tplc="08090005" w:tentative="1">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11" w15:restartNumberingAfterBreak="0">
    <w:nsid w:val="3079617D"/>
    <w:multiLevelType w:val="hybridMultilevel"/>
    <w:tmpl w:val="A45020E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7A47AA"/>
    <w:multiLevelType w:val="hybridMultilevel"/>
    <w:tmpl w:val="0B1C883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347A6A5E"/>
    <w:multiLevelType w:val="hybridMultilevel"/>
    <w:tmpl w:val="E4AA06B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4" w15:restartNumberingAfterBreak="0">
    <w:nsid w:val="349738D3"/>
    <w:multiLevelType w:val="hybridMultilevel"/>
    <w:tmpl w:val="56008EFE"/>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040871"/>
    <w:multiLevelType w:val="hybridMultilevel"/>
    <w:tmpl w:val="EEE0A8DC"/>
    <w:lvl w:ilvl="0" w:tplc="34F403A0">
      <w:start w:val="1"/>
      <w:numFmt w:val="lowerLetter"/>
      <w:lvlText w:val="%1)"/>
      <w:lvlJc w:val="left"/>
      <w:pPr>
        <w:ind w:left="786"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8513104"/>
    <w:multiLevelType w:val="hybridMultilevel"/>
    <w:tmpl w:val="54641AB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7" w15:restartNumberingAfterBreak="0">
    <w:nsid w:val="3A7304FB"/>
    <w:multiLevelType w:val="hybridMultilevel"/>
    <w:tmpl w:val="7B16979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3D9C44F6"/>
    <w:multiLevelType w:val="hybridMultilevel"/>
    <w:tmpl w:val="92D68EBC"/>
    <w:lvl w:ilvl="0" w:tplc="EDAC6FE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F47C51"/>
    <w:multiLevelType w:val="hybridMultilevel"/>
    <w:tmpl w:val="E4AA06B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4D7371E3"/>
    <w:multiLevelType w:val="hybridMultilevel"/>
    <w:tmpl w:val="BE16CC16"/>
    <w:lvl w:ilvl="0" w:tplc="75828466">
      <w:start w:val="1"/>
      <w:numFmt w:val="lowerLetter"/>
      <w:lvlText w:val="%1)"/>
      <w:lvlJc w:val="left"/>
      <w:pPr>
        <w:ind w:left="786"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E97F47"/>
    <w:multiLevelType w:val="hybridMultilevel"/>
    <w:tmpl w:val="4AF2772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52E30329"/>
    <w:multiLevelType w:val="hybridMultilevel"/>
    <w:tmpl w:val="E97E08A8"/>
    <w:lvl w:ilvl="0" w:tplc="08090017">
      <w:start w:val="1"/>
      <w:numFmt w:val="lowerLetter"/>
      <w:lvlText w:val="%1)"/>
      <w:lvlJc w:val="left"/>
      <w:pPr>
        <w:ind w:left="786" w:hanging="360"/>
      </w:pPr>
      <w:rPr>
        <w:rFonts w:hint="default"/>
      </w:rPr>
    </w:lvl>
    <w:lvl w:ilvl="1" w:tplc="B3FAF7EC">
      <w:numFmt w:val="bullet"/>
      <w:lvlText w:val="-"/>
      <w:lvlJc w:val="left"/>
      <w:pPr>
        <w:ind w:left="1440" w:hanging="360"/>
      </w:pPr>
      <w:rPr>
        <w:rFonts w:ascii="Calibri" w:eastAsiaTheme="minorHAnsi" w:hAnsi="Calibri"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68029CE"/>
    <w:multiLevelType w:val="hybridMultilevel"/>
    <w:tmpl w:val="F30842AC"/>
    <w:lvl w:ilvl="0" w:tplc="EDAC6FE8">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574077D5"/>
    <w:multiLevelType w:val="hybridMultilevel"/>
    <w:tmpl w:val="0A500FFA"/>
    <w:lvl w:ilvl="0" w:tplc="08090001">
      <w:start w:val="1"/>
      <w:numFmt w:val="bullet"/>
      <w:lvlText w:val=""/>
      <w:lvlJc w:val="left"/>
      <w:pPr>
        <w:ind w:left="1476" w:hanging="360"/>
      </w:pPr>
      <w:rPr>
        <w:rFonts w:ascii="Symbol" w:hAnsi="Symbol" w:hint="default"/>
      </w:rPr>
    </w:lvl>
    <w:lvl w:ilvl="1" w:tplc="08090003" w:tentative="1">
      <w:start w:val="1"/>
      <w:numFmt w:val="bullet"/>
      <w:lvlText w:val="o"/>
      <w:lvlJc w:val="left"/>
      <w:pPr>
        <w:ind w:left="2196" w:hanging="360"/>
      </w:pPr>
      <w:rPr>
        <w:rFonts w:ascii="Courier New" w:hAnsi="Courier New" w:cs="Courier New" w:hint="default"/>
      </w:rPr>
    </w:lvl>
    <w:lvl w:ilvl="2" w:tplc="08090005" w:tentative="1">
      <w:start w:val="1"/>
      <w:numFmt w:val="bullet"/>
      <w:lvlText w:val=""/>
      <w:lvlJc w:val="left"/>
      <w:pPr>
        <w:ind w:left="2916" w:hanging="360"/>
      </w:pPr>
      <w:rPr>
        <w:rFonts w:ascii="Wingdings" w:hAnsi="Wingdings" w:hint="default"/>
      </w:rPr>
    </w:lvl>
    <w:lvl w:ilvl="3" w:tplc="08090001" w:tentative="1">
      <w:start w:val="1"/>
      <w:numFmt w:val="bullet"/>
      <w:lvlText w:val=""/>
      <w:lvlJc w:val="left"/>
      <w:pPr>
        <w:ind w:left="3636" w:hanging="360"/>
      </w:pPr>
      <w:rPr>
        <w:rFonts w:ascii="Symbol" w:hAnsi="Symbol" w:hint="default"/>
      </w:rPr>
    </w:lvl>
    <w:lvl w:ilvl="4" w:tplc="08090003" w:tentative="1">
      <w:start w:val="1"/>
      <w:numFmt w:val="bullet"/>
      <w:lvlText w:val="o"/>
      <w:lvlJc w:val="left"/>
      <w:pPr>
        <w:ind w:left="4356" w:hanging="360"/>
      </w:pPr>
      <w:rPr>
        <w:rFonts w:ascii="Courier New" w:hAnsi="Courier New" w:cs="Courier New" w:hint="default"/>
      </w:rPr>
    </w:lvl>
    <w:lvl w:ilvl="5" w:tplc="08090005" w:tentative="1">
      <w:start w:val="1"/>
      <w:numFmt w:val="bullet"/>
      <w:lvlText w:val=""/>
      <w:lvlJc w:val="left"/>
      <w:pPr>
        <w:ind w:left="5076" w:hanging="360"/>
      </w:pPr>
      <w:rPr>
        <w:rFonts w:ascii="Wingdings" w:hAnsi="Wingdings" w:hint="default"/>
      </w:rPr>
    </w:lvl>
    <w:lvl w:ilvl="6" w:tplc="08090001" w:tentative="1">
      <w:start w:val="1"/>
      <w:numFmt w:val="bullet"/>
      <w:lvlText w:val=""/>
      <w:lvlJc w:val="left"/>
      <w:pPr>
        <w:ind w:left="5796" w:hanging="360"/>
      </w:pPr>
      <w:rPr>
        <w:rFonts w:ascii="Symbol" w:hAnsi="Symbol" w:hint="default"/>
      </w:rPr>
    </w:lvl>
    <w:lvl w:ilvl="7" w:tplc="08090003" w:tentative="1">
      <w:start w:val="1"/>
      <w:numFmt w:val="bullet"/>
      <w:lvlText w:val="o"/>
      <w:lvlJc w:val="left"/>
      <w:pPr>
        <w:ind w:left="6516" w:hanging="360"/>
      </w:pPr>
      <w:rPr>
        <w:rFonts w:ascii="Courier New" w:hAnsi="Courier New" w:cs="Courier New" w:hint="default"/>
      </w:rPr>
    </w:lvl>
    <w:lvl w:ilvl="8" w:tplc="08090005" w:tentative="1">
      <w:start w:val="1"/>
      <w:numFmt w:val="bullet"/>
      <w:lvlText w:val=""/>
      <w:lvlJc w:val="left"/>
      <w:pPr>
        <w:ind w:left="7236" w:hanging="360"/>
      </w:pPr>
      <w:rPr>
        <w:rFonts w:ascii="Wingdings" w:hAnsi="Wingdings" w:hint="default"/>
      </w:rPr>
    </w:lvl>
  </w:abstractNum>
  <w:abstractNum w:abstractNumId="25" w15:restartNumberingAfterBreak="0">
    <w:nsid w:val="5C934C5F"/>
    <w:multiLevelType w:val="hybridMultilevel"/>
    <w:tmpl w:val="91E0C654"/>
    <w:lvl w:ilvl="0" w:tplc="3C4C9AD8">
      <w:start w:val="1"/>
      <w:numFmt w:val="decimal"/>
      <w:lvlText w:val="%1."/>
      <w:lvlJc w:val="left"/>
      <w:pPr>
        <w:ind w:left="786" w:hanging="360"/>
      </w:pPr>
      <w:rPr>
        <w:b/>
        <w:color w:val="auto"/>
        <w:sz w:val="20"/>
        <w:szCs w:val="20"/>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DA268DA"/>
    <w:multiLevelType w:val="hybridMultilevel"/>
    <w:tmpl w:val="7DF6EE6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7" w15:restartNumberingAfterBreak="0">
    <w:nsid w:val="5F143F6E"/>
    <w:multiLevelType w:val="hybridMultilevel"/>
    <w:tmpl w:val="1B2E18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3197B20"/>
    <w:multiLevelType w:val="hybridMultilevel"/>
    <w:tmpl w:val="A4D619A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3B856E1"/>
    <w:multiLevelType w:val="hybridMultilevel"/>
    <w:tmpl w:val="7CC88F2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0" w15:restartNumberingAfterBreak="0">
    <w:nsid w:val="66853962"/>
    <w:multiLevelType w:val="hybridMultilevel"/>
    <w:tmpl w:val="96F6DB0C"/>
    <w:lvl w:ilvl="0" w:tplc="04070017">
      <w:start w:val="1"/>
      <w:numFmt w:val="lowerLetter"/>
      <w:lvlText w:val="%1)"/>
      <w:lvlJc w:val="left"/>
      <w:pPr>
        <w:ind w:left="786" w:hanging="360"/>
      </w:pPr>
    </w:lvl>
    <w:lvl w:ilvl="1" w:tplc="04090019">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31" w15:restartNumberingAfterBreak="0">
    <w:nsid w:val="67033DD4"/>
    <w:multiLevelType w:val="hybridMultilevel"/>
    <w:tmpl w:val="707E1B62"/>
    <w:lvl w:ilvl="0" w:tplc="BC3E100E">
      <w:start w:val="1"/>
      <w:numFmt w:val="bullet"/>
      <w:lvlText w:val="-"/>
      <w:lvlJc w:val="left"/>
      <w:pPr>
        <w:ind w:left="786"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9B78DE"/>
    <w:multiLevelType w:val="hybridMultilevel"/>
    <w:tmpl w:val="52DAE7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852220"/>
    <w:multiLevelType w:val="hybridMultilevel"/>
    <w:tmpl w:val="C5B0A3C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4" w15:restartNumberingAfterBreak="0">
    <w:nsid w:val="74EA0B28"/>
    <w:multiLevelType w:val="hybridMultilevel"/>
    <w:tmpl w:val="F780B01C"/>
    <w:lvl w:ilvl="0" w:tplc="08090017">
      <w:start w:val="1"/>
      <w:numFmt w:val="lowerLetter"/>
      <w:lvlText w:val="%1)"/>
      <w:lvlJc w:val="left"/>
      <w:pPr>
        <w:ind w:left="786" w:hanging="360"/>
      </w:pPr>
      <w:rPr>
        <w:rFonts w:hint="default"/>
      </w:rPr>
    </w:lvl>
    <w:lvl w:ilvl="1" w:tplc="DA0203A0">
      <w:numFmt w:val="bullet"/>
      <w:lvlText w:val="•"/>
      <w:lvlJc w:val="left"/>
      <w:pPr>
        <w:ind w:left="1440" w:hanging="360"/>
      </w:pPr>
      <w:rPr>
        <w:rFonts w:ascii="Calibri" w:eastAsiaTheme="minorHAnsi" w:hAnsi="Calibri"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7"/>
  </w:num>
  <w:num w:numId="3">
    <w:abstractNumId w:val="9"/>
  </w:num>
  <w:num w:numId="4">
    <w:abstractNumId w:val="25"/>
  </w:num>
  <w:num w:numId="5">
    <w:abstractNumId w:val="15"/>
  </w:num>
  <w:num w:numId="6">
    <w:abstractNumId w:val="20"/>
  </w:num>
  <w:num w:numId="7">
    <w:abstractNumId w:val="4"/>
  </w:num>
  <w:num w:numId="8">
    <w:abstractNumId w:val="2"/>
  </w:num>
  <w:num w:numId="9">
    <w:abstractNumId w:val="34"/>
  </w:num>
  <w:num w:numId="10">
    <w:abstractNumId w:val="18"/>
  </w:num>
  <w:num w:numId="11">
    <w:abstractNumId w:val="23"/>
  </w:num>
  <w:num w:numId="12">
    <w:abstractNumId w:val="33"/>
  </w:num>
  <w:num w:numId="13">
    <w:abstractNumId w:val="8"/>
  </w:num>
  <w:num w:numId="14">
    <w:abstractNumId w:val="22"/>
  </w:num>
  <w:num w:numId="15">
    <w:abstractNumId w:val="29"/>
  </w:num>
  <w:num w:numId="16">
    <w:abstractNumId w:val="28"/>
  </w:num>
  <w:num w:numId="17">
    <w:abstractNumId w:val="16"/>
  </w:num>
  <w:num w:numId="18">
    <w:abstractNumId w:val="12"/>
  </w:num>
  <w:num w:numId="19">
    <w:abstractNumId w:val="11"/>
  </w:num>
  <w:num w:numId="20">
    <w:abstractNumId w:val="26"/>
  </w:num>
  <w:num w:numId="21">
    <w:abstractNumId w:val="5"/>
  </w:num>
  <w:num w:numId="22">
    <w:abstractNumId w:val="6"/>
  </w:num>
  <w:num w:numId="23">
    <w:abstractNumId w:val="3"/>
  </w:num>
  <w:num w:numId="24">
    <w:abstractNumId w:val="24"/>
  </w:num>
  <w:num w:numId="25">
    <w:abstractNumId w:val="21"/>
  </w:num>
  <w:num w:numId="26">
    <w:abstractNumId w:val="13"/>
  </w:num>
  <w:num w:numId="27">
    <w:abstractNumId w:val="19"/>
  </w:num>
  <w:num w:numId="28">
    <w:abstractNumId w:val="10"/>
  </w:num>
  <w:num w:numId="29">
    <w:abstractNumId w:val="17"/>
  </w:num>
  <w:num w:numId="30">
    <w:abstractNumId w:val="32"/>
  </w:num>
  <w:num w:numId="31">
    <w:abstractNumId w:val="0"/>
  </w:num>
  <w:num w:numId="32">
    <w:abstractNumId w:val="30"/>
  </w:num>
  <w:num w:numId="33">
    <w:abstractNumId w:val="27"/>
  </w:num>
  <w:num w:numId="34">
    <w:abstractNumId w:val="31"/>
  </w:num>
  <w:num w:numId="35">
    <w:abstractNumId w:val="1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22AE"/>
    <w:rsid w:val="000027FA"/>
    <w:rsid w:val="00010E47"/>
    <w:rsid w:val="0002517E"/>
    <w:rsid w:val="00026F21"/>
    <w:rsid w:val="00035AFA"/>
    <w:rsid w:val="000404DD"/>
    <w:rsid w:val="00057070"/>
    <w:rsid w:val="000737F0"/>
    <w:rsid w:val="00077003"/>
    <w:rsid w:val="00092AA2"/>
    <w:rsid w:val="000943B2"/>
    <w:rsid w:val="000A022F"/>
    <w:rsid w:val="000A2B56"/>
    <w:rsid w:val="000B189E"/>
    <w:rsid w:val="000B22EE"/>
    <w:rsid w:val="000E1DEA"/>
    <w:rsid w:val="000E24DF"/>
    <w:rsid w:val="000E5DD8"/>
    <w:rsid w:val="000F657C"/>
    <w:rsid w:val="00106458"/>
    <w:rsid w:val="00134308"/>
    <w:rsid w:val="00134449"/>
    <w:rsid w:val="00136FDC"/>
    <w:rsid w:val="001472BC"/>
    <w:rsid w:val="001504CD"/>
    <w:rsid w:val="00150C93"/>
    <w:rsid w:val="00166E65"/>
    <w:rsid w:val="00172818"/>
    <w:rsid w:val="001732DF"/>
    <w:rsid w:val="00176335"/>
    <w:rsid w:val="00181B4A"/>
    <w:rsid w:val="00192472"/>
    <w:rsid w:val="0019383C"/>
    <w:rsid w:val="00197287"/>
    <w:rsid w:val="00197D60"/>
    <w:rsid w:val="001A2C20"/>
    <w:rsid w:val="001B45A9"/>
    <w:rsid w:val="001B5ACD"/>
    <w:rsid w:val="001C3853"/>
    <w:rsid w:val="001D45AE"/>
    <w:rsid w:val="001D4BA9"/>
    <w:rsid w:val="001D4FC5"/>
    <w:rsid w:val="001D52E4"/>
    <w:rsid w:val="001D6D3B"/>
    <w:rsid w:val="00203232"/>
    <w:rsid w:val="002136F2"/>
    <w:rsid w:val="00255B1A"/>
    <w:rsid w:val="002627E6"/>
    <w:rsid w:val="002629E7"/>
    <w:rsid w:val="00282B6F"/>
    <w:rsid w:val="00284D52"/>
    <w:rsid w:val="00284F15"/>
    <w:rsid w:val="00294DA3"/>
    <w:rsid w:val="002A1E92"/>
    <w:rsid w:val="002A283B"/>
    <w:rsid w:val="002B1482"/>
    <w:rsid w:val="002B61FB"/>
    <w:rsid w:val="002C1101"/>
    <w:rsid w:val="002C381F"/>
    <w:rsid w:val="002D7AD2"/>
    <w:rsid w:val="002E052A"/>
    <w:rsid w:val="003010AA"/>
    <w:rsid w:val="0030135B"/>
    <w:rsid w:val="00301953"/>
    <w:rsid w:val="00321DCF"/>
    <w:rsid w:val="00333A08"/>
    <w:rsid w:val="00340680"/>
    <w:rsid w:val="00341CDD"/>
    <w:rsid w:val="00353AE1"/>
    <w:rsid w:val="00355FAA"/>
    <w:rsid w:val="0038522C"/>
    <w:rsid w:val="0038640B"/>
    <w:rsid w:val="00390AD6"/>
    <w:rsid w:val="003A3DF8"/>
    <w:rsid w:val="003B0333"/>
    <w:rsid w:val="003B34D4"/>
    <w:rsid w:val="003B4856"/>
    <w:rsid w:val="003C001D"/>
    <w:rsid w:val="003E39D5"/>
    <w:rsid w:val="003F140D"/>
    <w:rsid w:val="0040087D"/>
    <w:rsid w:val="00410350"/>
    <w:rsid w:val="00411222"/>
    <w:rsid w:val="0041440D"/>
    <w:rsid w:val="00414AC5"/>
    <w:rsid w:val="0042343F"/>
    <w:rsid w:val="00433EBC"/>
    <w:rsid w:val="00447E8C"/>
    <w:rsid w:val="004522AE"/>
    <w:rsid w:val="00452CA5"/>
    <w:rsid w:val="00456392"/>
    <w:rsid w:val="0046380D"/>
    <w:rsid w:val="0048313E"/>
    <w:rsid w:val="00486F87"/>
    <w:rsid w:val="004A5918"/>
    <w:rsid w:val="004B436B"/>
    <w:rsid w:val="004C5261"/>
    <w:rsid w:val="004C5DB7"/>
    <w:rsid w:val="004E56FE"/>
    <w:rsid w:val="004F141B"/>
    <w:rsid w:val="00502260"/>
    <w:rsid w:val="0051599C"/>
    <w:rsid w:val="00517F31"/>
    <w:rsid w:val="0052024F"/>
    <w:rsid w:val="005254D2"/>
    <w:rsid w:val="005308DE"/>
    <w:rsid w:val="005328F5"/>
    <w:rsid w:val="00556732"/>
    <w:rsid w:val="00560FFA"/>
    <w:rsid w:val="00565415"/>
    <w:rsid w:val="00566402"/>
    <w:rsid w:val="00570471"/>
    <w:rsid w:val="00574D7D"/>
    <w:rsid w:val="00597056"/>
    <w:rsid w:val="005A2BFA"/>
    <w:rsid w:val="005A7437"/>
    <w:rsid w:val="005B2C38"/>
    <w:rsid w:val="005B3DC8"/>
    <w:rsid w:val="005C08B6"/>
    <w:rsid w:val="005D4FB5"/>
    <w:rsid w:val="005D5C86"/>
    <w:rsid w:val="005F3B02"/>
    <w:rsid w:val="005F5ADF"/>
    <w:rsid w:val="00617F28"/>
    <w:rsid w:val="00635551"/>
    <w:rsid w:val="006408E7"/>
    <w:rsid w:val="0064751E"/>
    <w:rsid w:val="00651F54"/>
    <w:rsid w:val="00654B7D"/>
    <w:rsid w:val="006576F4"/>
    <w:rsid w:val="00657E37"/>
    <w:rsid w:val="00663F57"/>
    <w:rsid w:val="00687047"/>
    <w:rsid w:val="006874C5"/>
    <w:rsid w:val="00695882"/>
    <w:rsid w:val="006B5366"/>
    <w:rsid w:val="006D7A4A"/>
    <w:rsid w:val="006E4047"/>
    <w:rsid w:val="006F1FDF"/>
    <w:rsid w:val="006F5C97"/>
    <w:rsid w:val="00701C6D"/>
    <w:rsid w:val="0070382B"/>
    <w:rsid w:val="007040D2"/>
    <w:rsid w:val="00707329"/>
    <w:rsid w:val="00725BAB"/>
    <w:rsid w:val="00750155"/>
    <w:rsid w:val="00751C9D"/>
    <w:rsid w:val="007576DB"/>
    <w:rsid w:val="00763D28"/>
    <w:rsid w:val="00776DB0"/>
    <w:rsid w:val="00777CF8"/>
    <w:rsid w:val="00785D4F"/>
    <w:rsid w:val="0079394F"/>
    <w:rsid w:val="00794F94"/>
    <w:rsid w:val="0079592E"/>
    <w:rsid w:val="007A04E0"/>
    <w:rsid w:val="007A1A7A"/>
    <w:rsid w:val="007A21E5"/>
    <w:rsid w:val="007A2EF6"/>
    <w:rsid w:val="007B2E32"/>
    <w:rsid w:val="007C4B63"/>
    <w:rsid w:val="007C4D75"/>
    <w:rsid w:val="007C5356"/>
    <w:rsid w:val="007C771C"/>
    <w:rsid w:val="007D169E"/>
    <w:rsid w:val="007E584E"/>
    <w:rsid w:val="008034CD"/>
    <w:rsid w:val="0080427A"/>
    <w:rsid w:val="00812260"/>
    <w:rsid w:val="00816D00"/>
    <w:rsid w:val="00817A97"/>
    <w:rsid w:val="008406E6"/>
    <w:rsid w:val="008508FD"/>
    <w:rsid w:val="008568CA"/>
    <w:rsid w:val="00863B9C"/>
    <w:rsid w:val="00873263"/>
    <w:rsid w:val="00874F95"/>
    <w:rsid w:val="008820A6"/>
    <w:rsid w:val="0089699A"/>
    <w:rsid w:val="008B4D23"/>
    <w:rsid w:val="008C1130"/>
    <w:rsid w:val="008C1703"/>
    <w:rsid w:val="008C3AFB"/>
    <w:rsid w:val="008D5636"/>
    <w:rsid w:val="008F215A"/>
    <w:rsid w:val="008F6B8D"/>
    <w:rsid w:val="00910642"/>
    <w:rsid w:val="00914097"/>
    <w:rsid w:val="00921A8B"/>
    <w:rsid w:val="00921F5B"/>
    <w:rsid w:val="009274DC"/>
    <w:rsid w:val="00960688"/>
    <w:rsid w:val="0096441A"/>
    <w:rsid w:val="00967AD1"/>
    <w:rsid w:val="009753AE"/>
    <w:rsid w:val="00984F6F"/>
    <w:rsid w:val="00987DFB"/>
    <w:rsid w:val="00997518"/>
    <w:rsid w:val="009A3F6A"/>
    <w:rsid w:val="009A41B2"/>
    <w:rsid w:val="009C46AC"/>
    <w:rsid w:val="009D1450"/>
    <w:rsid w:val="009D4E56"/>
    <w:rsid w:val="009D79A6"/>
    <w:rsid w:val="009E6665"/>
    <w:rsid w:val="009E69D8"/>
    <w:rsid w:val="00A010A1"/>
    <w:rsid w:val="00A04E52"/>
    <w:rsid w:val="00A106AF"/>
    <w:rsid w:val="00A702B6"/>
    <w:rsid w:val="00A734CE"/>
    <w:rsid w:val="00A84373"/>
    <w:rsid w:val="00AA0058"/>
    <w:rsid w:val="00AA1498"/>
    <w:rsid w:val="00AA3BE6"/>
    <w:rsid w:val="00AA7E37"/>
    <w:rsid w:val="00AB4B52"/>
    <w:rsid w:val="00AB786C"/>
    <w:rsid w:val="00AC2D04"/>
    <w:rsid w:val="00AC73A7"/>
    <w:rsid w:val="00AD3B96"/>
    <w:rsid w:val="00AD7A3A"/>
    <w:rsid w:val="00AE14D3"/>
    <w:rsid w:val="00AE3872"/>
    <w:rsid w:val="00B01A3C"/>
    <w:rsid w:val="00B05C45"/>
    <w:rsid w:val="00B074D5"/>
    <w:rsid w:val="00B244E8"/>
    <w:rsid w:val="00B25167"/>
    <w:rsid w:val="00B251B1"/>
    <w:rsid w:val="00B32CE0"/>
    <w:rsid w:val="00B3444E"/>
    <w:rsid w:val="00B350D8"/>
    <w:rsid w:val="00B36ECB"/>
    <w:rsid w:val="00B44CDF"/>
    <w:rsid w:val="00B45745"/>
    <w:rsid w:val="00B4777B"/>
    <w:rsid w:val="00B67F69"/>
    <w:rsid w:val="00B71FE1"/>
    <w:rsid w:val="00B83711"/>
    <w:rsid w:val="00BA6C2B"/>
    <w:rsid w:val="00BB1EE0"/>
    <w:rsid w:val="00BC41A8"/>
    <w:rsid w:val="00BE030A"/>
    <w:rsid w:val="00BE1F3F"/>
    <w:rsid w:val="00BF057B"/>
    <w:rsid w:val="00BF1FD0"/>
    <w:rsid w:val="00BF653D"/>
    <w:rsid w:val="00C003DD"/>
    <w:rsid w:val="00C06966"/>
    <w:rsid w:val="00C16AEC"/>
    <w:rsid w:val="00C43BA7"/>
    <w:rsid w:val="00C5289A"/>
    <w:rsid w:val="00C55A5C"/>
    <w:rsid w:val="00C64616"/>
    <w:rsid w:val="00C751DE"/>
    <w:rsid w:val="00C81A34"/>
    <w:rsid w:val="00C82490"/>
    <w:rsid w:val="00C85D5A"/>
    <w:rsid w:val="00C86DB3"/>
    <w:rsid w:val="00C90D43"/>
    <w:rsid w:val="00CB1295"/>
    <w:rsid w:val="00CC3ABC"/>
    <w:rsid w:val="00CD3C2D"/>
    <w:rsid w:val="00CE2FE6"/>
    <w:rsid w:val="00CE5D3B"/>
    <w:rsid w:val="00CF3711"/>
    <w:rsid w:val="00D0715F"/>
    <w:rsid w:val="00D13E12"/>
    <w:rsid w:val="00D251C4"/>
    <w:rsid w:val="00D31DAC"/>
    <w:rsid w:val="00D33806"/>
    <w:rsid w:val="00D33E22"/>
    <w:rsid w:val="00D447EA"/>
    <w:rsid w:val="00D50ADB"/>
    <w:rsid w:val="00D62B7B"/>
    <w:rsid w:val="00D74DFB"/>
    <w:rsid w:val="00D76C97"/>
    <w:rsid w:val="00D93EF0"/>
    <w:rsid w:val="00D953B0"/>
    <w:rsid w:val="00DA408B"/>
    <w:rsid w:val="00DA5133"/>
    <w:rsid w:val="00DC3A27"/>
    <w:rsid w:val="00DD1FC5"/>
    <w:rsid w:val="00DD4999"/>
    <w:rsid w:val="00DD7BEB"/>
    <w:rsid w:val="00DE2E32"/>
    <w:rsid w:val="00DF09C5"/>
    <w:rsid w:val="00DF1802"/>
    <w:rsid w:val="00DF2A69"/>
    <w:rsid w:val="00DF4C3B"/>
    <w:rsid w:val="00E03766"/>
    <w:rsid w:val="00E051B0"/>
    <w:rsid w:val="00E05303"/>
    <w:rsid w:val="00E20DCE"/>
    <w:rsid w:val="00E2180F"/>
    <w:rsid w:val="00E26040"/>
    <w:rsid w:val="00E3006A"/>
    <w:rsid w:val="00E30588"/>
    <w:rsid w:val="00E30B97"/>
    <w:rsid w:val="00E35D0E"/>
    <w:rsid w:val="00E50695"/>
    <w:rsid w:val="00E50B41"/>
    <w:rsid w:val="00E50B64"/>
    <w:rsid w:val="00E526F5"/>
    <w:rsid w:val="00E54A77"/>
    <w:rsid w:val="00E56A0E"/>
    <w:rsid w:val="00E57A7D"/>
    <w:rsid w:val="00E64413"/>
    <w:rsid w:val="00E73D6F"/>
    <w:rsid w:val="00E940C2"/>
    <w:rsid w:val="00E94A9C"/>
    <w:rsid w:val="00EA1AF9"/>
    <w:rsid w:val="00EA4BCF"/>
    <w:rsid w:val="00EA51EA"/>
    <w:rsid w:val="00EA5577"/>
    <w:rsid w:val="00EB2CCC"/>
    <w:rsid w:val="00EC1BFF"/>
    <w:rsid w:val="00EC47B4"/>
    <w:rsid w:val="00EC526A"/>
    <w:rsid w:val="00ED1CE8"/>
    <w:rsid w:val="00ED3AC2"/>
    <w:rsid w:val="00ED59E1"/>
    <w:rsid w:val="00EE37AB"/>
    <w:rsid w:val="00EF367E"/>
    <w:rsid w:val="00F041EC"/>
    <w:rsid w:val="00F20E3B"/>
    <w:rsid w:val="00F22F58"/>
    <w:rsid w:val="00F2388F"/>
    <w:rsid w:val="00F33015"/>
    <w:rsid w:val="00F437D5"/>
    <w:rsid w:val="00F51DD9"/>
    <w:rsid w:val="00F601B3"/>
    <w:rsid w:val="00F74C3A"/>
    <w:rsid w:val="00F81A23"/>
    <w:rsid w:val="00F82940"/>
    <w:rsid w:val="00F83D25"/>
    <w:rsid w:val="00FA1DFD"/>
    <w:rsid w:val="00FB6FC2"/>
    <w:rsid w:val="00FC49A5"/>
    <w:rsid w:val="00FD406E"/>
    <w:rsid w:val="00FD783B"/>
    <w:rsid w:val="00FF6B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DD116F5"/>
  <w15:docId w15:val="{FA2A7AD0-44DA-4B94-879D-2DDE924FF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0D8"/>
    <w:rPr>
      <w:lang w:val="en-GB"/>
    </w:rPr>
  </w:style>
  <w:style w:type="paragraph" w:styleId="Heading1">
    <w:name w:val="heading 1"/>
    <w:basedOn w:val="Normal"/>
    <w:next w:val="Normal"/>
    <w:link w:val="Heading1Char"/>
    <w:uiPriority w:val="9"/>
    <w:qFormat/>
    <w:rsid w:val="00411222"/>
    <w:pPr>
      <w:keepNext/>
      <w:pBdr>
        <w:top w:val="single" w:sz="4" w:space="1" w:color="auto"/>
        <w:left w:val="single" w:sz="4" w:space="4" w:color="auto"/>
        <w:bottom w:val="single" w:sz="4" w:space="1" w:color="auto"/>
        <w:right w:val="single" w:sz="4" w:space="4" w:color="auto"/>
      </w:pBdr>
      <w:shd w:val="clear" w:color="auto" w:fill="D9D9D9"/>
      <w:spacing w:after="0" w:line="240" w:lineRule="auto"/>
      <w:outlineLvl w:val="0"/>
    </w:pPr>
    <w:rPr>
      <w:rFonts w:ascii="Arial" w:eastAsia="Times New Roman" w:hAnsi="Arial" w:cs="Times New Roman"/>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522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522AE"/>
    <w:rPr>
      <w:color w:val="808080"/>
    </w:rPr>
  </w:style>
  <w:style w:type="paragraph" w:styleId="BalloonText">
    <w:name w:val="Balloon Text"/>
    <w:basedOn w:val="Normal"/>
    <w:link w:val="BalloonTextChar"/>
    <w:uiPriority w:val="99"/>
    <w:semiHidden/>
    <w:unhideWhenUsed/>
    <w:rsid w:val="004522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2AE"/>
    <w:rPr>
      <w:rFonts w:ascii="Tahoma" w:hAnsi="Tahoma" w:cs="Tahoma"/>
      <w:sz w:val="16"/>
      <w:szCs w:val="16"/>
      <w:lang w:val="de-DE"/>
    </w:rPr>
  </w:style>
  <w:style w:type="paragraph" w:styleId="ListParagraph">
    <w:name w:val="List Paragraph"/>
    <w:basedOn w:val="Normal"/>
    <w:uiPriority w:val="34"/>
    <w:qFormat/>
    <w:rsid w:val="004522AE"/>
    <w:pPr>
      <w:ind w:left="720"/>
      <w:contextualSpacing/>
    </w:pPr>
  </w:style>
  <w:style w:type="character" w:styleId="Hyperlink">
    <w:name w:val="Hyperlink"/>
    <w:uiPriority w:val="99"/>
    <w:unhideWhenUsed/>
    <w:rsid w:val="0038522C"/>
    <w:rPr>
      <w:color w:val="0000FF"/>
      <w:u w:val="single"/>
    </w:rPr>
  </w:style>
  <w:style w:type="character" w:styleId="FollowedHyperlink">
    <w:name w:val="FollowedHyperlink"/>
    <w:basedOn w:val="DefaultParagraphFont"/>
    <w:uiPriority w:val="99"/>
    <w:semiHidden/>
    <w:unhideWhenUsed/>
    <w:rsid w:val="0038522C"/>
    <w:rPr>
      <w:color w:val="800080" w:themeColor="followedHyperlink"/>
      <w:u w:val="single"/>
    </w:rPr>
  </w:style>
  <w:style w:type="character" w:customStyle="1" w:styleId="Heading1Char">
    <w:name w:val="Heading 1 Char"/>
    <w:basedOn w:val="DefaultParagraphFont"/>
    <w:link w:val="Heading1"/>
    <w:uiPriority w:val="9"/>
    <w:rsid w:val="00411222"/>
    <w:rPr>
      <w:rFonts w:ascii="Arial" w:eastAsia="Times New Roman" w:hAnsi="Arial" w:cs="Times New Roman"/>
      <w:b/>
      <w:sz w:val="28"/>
      <w:szCs w:val="20"/>
      <w:shd w:val="clear" w:color="auto" w:fill="D9D9D9"/>
    </w:rPr>
  </w:style>
  <w:style w:type="paragraph" w:styleId="Header">
    <w:name w:val="header"/>
    <w:basedOn w:val="Normal"/>
    <w:link w:val="HeaderChar"/>
    <w:uiPriority w:val="99"/>
    <w:unhideWhenUsed/>
    <w:rsid w:val="00BF057B"/>
    <w:pPr>
      <w:tabs>
        <w:tab w:val="center" w:pos="4703"/>
        <w:tab w:val="right" w:pos="9406"/>
      </w:tabs>
      <w:spacing w:after="0" w:line="240" w:lineRule="auto"/>
    </w:pPr>
  </w:style>
  <w:style w:type="character" w:customStyle="1" w:styleId="HeaderChar">
    <w:name w:val="Header Char"/>
    <w:basedOn w:val="DefaultParagraphFont"/>
    <w:link w:val="Header"/>
    <w:uiPriority w:val="99"/>
    <w:rsid w:val="00BF057B"/>
    <w:rPr>
      <w:lang w:val="de-DE"/>
    </w:rPr>
  </w:style>
  <w:style w:type="paragraph" w:styleId="Footer">
    <w:name w:val="footer"/>
    <w:basedOn w:val="Normal"/>
    <w:link w:val="FooterChar"/>
    <w:uiPriority w:val="99"/>
    <w:unhideWhenUsed/>
    <w:rsid w:val="00BF057B"/>
    <w:pPr>
      <w:tabs>
        <w:tab w:val="center" w:pos="4703"/>
        <w:tab w:val="right" w:pos="9406"/>
      </w:tabs>
      <w:spacing w:after="0" w:line="240" w:lineRule="auto"/>
    </w:pPr>
  </w:style>
  <w:style w:type="character" w:customStyle="1" w:styleId="FooterChar">
    <w:name w:val="Footer Char"/>
    <w:basedOn w:val="DefaultParagraphFont"/>
    <w:link w:val="Footer"/>
    <w:uiPriority w:val="99"/>
    <w:rsid w:val="00BF057B"/>
    <w:rPr>
      <w:lang w:val="de-DE"/>
    </w:rPr>
  </w:style>
  <w:style w:type="paragraph" w:styleId="NoSpacing">
    <w:name w:val="No Spacing"/>
    <w:uiPriority w:val="1"/>
    <w:qFormat/>
    <w:rsid w:val="00AA1498"/>
    <w:pPr>
      <w:spacing w:after="0" w:line="240" w:lineRule="auto"/>
    </w:pPr>
    <w:rPr>
      <w:lang w:val="de-DE"/>
    </w:rPr>
  </w:style>
  <w:style w:type="paragraph" w:styleId="Bibliography">
    <w:name w:val="Bibliography"/>
    <w:basedOn w:val="Normal"/>
    <w:next w:val="Normal"/>
    <w:uiPriority w:val="37"/>
    <w:unhideWhenUsed/>
    <w:rsid w:val="00517F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6903">
      <w:bodyDiv w:val="1"/>
      <w:marLeft w:val="0"/>
      <w:marRight w:val="0"/>
      <w:marTop w:val="0"/>
      <w:marBottom w:val="0"/>
      <w:divBdr>
        <w:top w:val="none" w:sz="0" w:space="0" w:color="auto"/>
        <w:left w:val="none" w:sz="0" w:space="0" w:color="auto"/>
        <w:bottom w:val="none" w:sz="0" w:space="0" w:color="auto"/>
        <w:right w:val="none" w:sz="0" w:space="0" w:color="auto"/>
      </w:divBdr>
    </w:div>
    <w:div w:id="11541335">
      <w:bodyDiv w:val="1"/>
      <w:marLeft w:val="0"/>
      <w:marRight w:val="0"/>
      <w:marTop w:val="0"/>
      <w:marBottom w:val="0"/>
      <w:divBdr>
        <w:top w:val="none" w:sz="0" w:space="0" w:color="auto"/>
        <w:left w:val="none" w:sz="0" w:space="0" w:color="auto"/>
        <w:bottom w:val="none" w:sz="0" w:space="0" w:color="auto"/>
        <w:right w:val="none" w:sz="0" w:space="0" w:color="auto"/>
      </w:divBdr>
    </w:div>
    <w:div w:id="13270678">
      <w:bodyDiv w:val="1"/>
      <w:marLeft w:val="0"/>
      <w:marRight w:val="0"/>
      <w:marTop w:val="0"/>
      <w:marBottom w:val="0"/>
      <w:divBdr>
        <w:top w:val="none" w:sz="0" w:space="0" w:color="auto"/>
        <w:left w:val="none" w:sz="0" w:space="0" w:color="auto"/>
        <w:bottom w:val="none" w:sz="0" w:space="0" w:color="auto"/>
        <w:right w:val="none" w:sz="0" w:space="0" w:color="auto"/>
      </w:divBdr>
    </w:div>
    <w:div w:id="18286203">
      <w:bodyDiv w:val="1"/>
      <w:marLeft w:val="0"/>
      <w:marRight w:val="0"/>
      <w:marTop w:val="0"/>
      <w:marBottom w:val="0"/>
      <w:divBdr>
        <w:top w:val="none" w:sz="0" w:space="0" w:color="auto"/>
        <w:left w:val="none" w:sz="0" w:space="0" w:color="auto"/>
        <w:bottom w:val="none" w:sz="0" w:space="0" w:color="auto"/>
        <w:right w:val="none" w:sz="0" w:space="0" w:color="auto"/>
      </w:divBdr>
    </w:div>
    <w:div w:id="77871805">
      <w:bodyDiv w:val="1"/>
      <w:marLeft w:val="0"/>
      <w:marRight w:val="0"/>
      <w:marTop w:val="0"/>
      <w:marBottom w:val="0"/>
      <w:divBdr>
        <w:top w:val="none" w:sz="0" w:space="0" w:color="auto"/>
        <w:left w:val="none" w:sz="0" w:space="0" w:color="auto"/>
        <w:bottom w:val="none" w:sz="0" w:space="0" w:color="auto"/>
        <w:right w:val="none" w:sz="0" w:space="0" w:color="auto"/>
      </w:divBdr>
    </w:div>
    <w:div w:id="243415116">
      <w:bodyDiv w:val="1"/>
      <w:marLeft w:val="0"/>
      <w:marRight w:val="0"/>
      <w:marTop w:val="0"/>
      <w:marBottom w:val="0"/>
      <w:divBdr>
        <w:top w:val="none" w:sz="0" w:space="0" w:color="auto"/>
        <w:left w:val="none" w:sz="0" w:space="0" w:color="auto"/>
        <w:bottom w:val="none" w:sz="0" w:space="0" w:color="auto"/>
        <w:right w:val="none" w:sz="0" w:space="0" w:color="auto"/>
      </w:divBdr>
    </w:div>
    <w:div w:id="253560318">
      <w:bodyDiv w:val="1"/>
      <w:marLeft w:val="0"/>
      <w:marRight w:val="0"/>
      <w:marTop w:val="0"/>
      <w:marBottom w:val="0"/>
      <w:divBdr>
        <w:top w:val="none" w:sz="0" w:space="0" w:color="auto"/>
        <w:left w:val="none" w:sz="0" w:space="0" w:color="auto"/>
        <w:bottom w:val="none" w:sz="0" w:space="0" w:color="auto"/>
        <w:right w:val="none" w:sz="0" w:space="0" w:color="auto"/>
      </w:divBdr>
    </w:div>
    <w:div w:id="275216619">
      <w:bodyDiv w:val="1"/>
      <w:marLeft w:val="0"/>
      <w:marRight w:val="0"/>
      <w:marTop w:val="0"/>
      <w:marBottom w:val="0"/>
      <w:divBdr>
        <w:top w:val="none" w:sz="0" w:space="0" w:color="auto"/>
        <w:left w:val="none" w:sz="0" w:space="0" w:color="auto"/>
        <w:bottom w:val="none" w:sz="0" w:space="0" w:color="auto"/>
        <w:right w:val="none" w:sz="0" w:space="0" w:color="auto"/>
      </w:divBdr>
    </w:div>
    <w:div w:id="293488998">
      <w:bodyDiv w:val="1"/>
      <w:marLeft w:val="0"/>
      <w:marRight w:val="0"/>
      <w:marTop w:val="0"/>
      <w:marBottom w:val="0"/>
      <w:divBdr>
        <w:top w:val="none" w:sz="0" w:space="0" w:color="auto"/>
        <w:left w:val="none" w:sz="0" w:space="0" w:color="auto"/>
        <w:bottom w:val="none" w:sz="0" w:space="0" w:color="auto"/>
        <w:right w:val="none" w:sz="0" w:space="0" w:color="auto"/>
      </w:divBdr>
    </w:div>
    <w:div w:id="438986622">
      <w:bodyDiv w:val="1"/>
      <w:marLeft w:val="0"/>
      <w:marRight w:val="0"/>
      <w:marTop w:val="0"/>
      <w:marBottom w:val="0"/>
      <w:divBdr>
        <w:top w:val="none" w:sz="0" w:space="0" w:color="auto"/>
        <w:left w:val="none" w:sz="0" w:space="0" w:color="auto"/>
        <w:bottom w:val="none" w:sz="0" w:space="0" w:color="auto"/>
        <w:right w:val="none" w:sz="0" w:space="0" w:color="auto"/>
      </w:divBdr>
    </w:div>
    <w:div w:id="444887865">
      <w:bodyDiv w:val="1"/>
      <w:marLeft w:val="0"/>
      <w:marRight w:val="0"/>
      <w:marTop w:val="0"/>
      <w:marBottom w:val="0"/>
      <w:divBdr>
        <w:top w:val="none" w:sz="0" w:space="0" w:color="auto"/>
        <w:left w:val="none" w:sz="0" w:space="0" w:color="auto"/>
        <w:bottom w:val="none" w:sz="0" w:space="0" w:color="auto"/>
        <w:right w:val="none" w:sz="0" w:space="0" w:color="auto"/>
      </w:divBdr>
    </w:div>
    <w:div w:id="564032749">
      <w:bodyDiv w:val="1"/>
      <w:marLeft w:val="0"/>
      <w:marRight w:val="0"/>
      <w:marTop w:val="0"/>
      <w:marBottom w:val="0"/>
      <w:divBdr>
        <w:top w:val="none" w:sz="0" w:space="0" w:color="auto"/>
        <w:left w:val="none" w:sz="0" w:space="0" w:color="auto"/>
        <w:bottom w:val="none" w:sz="0" w:space="0" w:color="auto"/>
        <w:right w:val="none" w:sz="0" w:space="0" w:color="auto"/>
      </w:divBdr>
    </w:div>
    <w:div w:id="622931218">
      <w:bodyDiv w:val="1"/>
      <w:marLeft w:val="0"/>
      <w:marRight w:val="0"/>
      <w:marTop w:val="0"/>
      <w:marBottom w:val="0"/>
      <w:divBdr>
        <w:top w:val="none" w:sz="0" w:space="0" w:color="auto"/>
        <w:left w:val="none" w:sz="0" w:space="0" w:color="auto"/>
        <w:bottom w:val="none" w:sz="0" w:space="0" w:color="auto"/>
        <w:right w:val="none" w:sz="0" w:space="0" w:color="auto"/>
      </w:divBdr>
    </w:div>
    <w:div w:id="745801873">
      <w:bodyDiv w:val="1"/>
      <w:marLeft w:val="0"/>
      <w:marRight w:val="0"/>
      <w:marTop w:val="0"/>
      <w:marBottom w:val="0"/>
      <w:divBdr>
        <w:top w:val="none" w:sz="0" w:space="0" w:color="auto"/>
        <w:left w:val="none" w:sz="0" w:space="0" w:color="auto"/>
        <w:bottom w:val="none" w:sz="0" w:space="0" w:color="auto"/>
        <w:right w:val="none" w:sz="0" w:space="0" w:color="auto"/>
      </w:divBdr>
    </w:div>
    <w:div w:id="920798119">
      <w:bodyDiv w:val="1"/>
      <w:marLeft w:val="0"/>
      <w:marRight w:val="0"/>
      <w:marTop w:val="0"/>
      <w:marBottom w:val="0"/>
      <w:divBdr>
        <w:top w:val="none" w:sz="0" w:space="0" w:color="auto"/>
        <w:left w:val="none" w:sz="0" w:space="0" w:color="auto"/>
        <w:bottom w:val="none" w:sz="0" w:space="0" w:color="auto"/>
        <w:right w:val="none" w:sz="0" w:space="0" w:color="auto"/>
      </w:divBdr>
    </w:div>
    <w:div w:id="937836564">
      <w:bodyDiv w:val="1"/>
      <w:marLeft w:val="0"/>
      <w:marRight w:val="0"/>
      <w:marTop w:val="0"/>
      <w:marBottom w:val="0"/>
      <w:divBdr>
        <w:top w:val="none" w:sz="0" w:space="0" w:color="auto"/>
        <w:left w:val="none" w:sz="0" w:space="0" w:color="auto"/>
        <w:bottom w:val="none" w:sz="0" w:space="0" w:color="auto"/>
        <w:right w:val="none" w:sz="0" w:space="0" w:color="auto"/>
      </w:divBdr>
    </w:div>
    <w:div w:id="956567393">
      <w:bodyDiv w:val="1"/>
      <w:marLeft w:val="0"/>
      <w:marRight w:val="0"/>
      <w:marTop w:val="0"/>
      <w:marBottom w:val="0"/>
      <w:divBdr>
        <w:top w:val="none" w:sz="0" w:space="0" w:color="auto"/>
        <w:left w:val="none" w:sz="0" w:space="0" w:color="auto"/>
        <w:bottom w:val="none" w:sz="0" w:space="0" w:color="auto"/>
        <w:right w:val="none" w:sz="0" w:space="0" w:color="auto"/>
      </w:divBdr>
    </w:div>
    <w:div w:id="1037579581">
      <w:bodyDiv w:val="1"/>
      <w:marLeft w:val="0"/>
      <w:marRight w:val="0"/>
      <w:marTop w:val="0"/>
      <w:marBottom w:val="0"/>
      <w:divBdr>
        <w:top w:val="none" w:sz="0" w:space="0" w:color="auto"/>
        <w:left w:val="none" w:sz="0" w:space="0" w:color="auto"/>
        <w:bottom w:val="none" w:sz="0" w:space="0" w:color="auto"/>
        <w:right w:val="none" w:sz="0" w:space="0" w:color="auto"/>
      </w:divBdr>
    </w:div>
    <w:div w:id="1045448078">
      <w:bodyDiv w:val="1"/>
      <w:marLeft w:val="0"/>
      <w:marRight w:val="0"/>
      <w:marTop w:val="0"/>
      <w:marBottom w:val="0"/>
      <w:divBdr>
        <w:top w:val="none" w:sz="0" w:space="0" w:color="auto"/>
        <w:left w:val="none" w:sz="0" w:space="0" w:color="auto"/>
        <w:bottom w:val="none" w:sz="0" w:space="0" w:color="auto"/>
        <w:right w:val="none" w:sz="0" w:space="0" w:color="auto"/>
      </w:divBdr>
    </w:div>
    <w:div w:id="1051073486">
      <w:bodyDiv w:val="1"/>
      <w:marLeft w:val="0"/>
      <w:marRight w:val="0"/>
      <w:marTop w:val="0"/>
      <w:marBottom w:val="0"/>
      <w:divBdr>
        <w:top w:val="none" w:sz="0" w:space="0" w:color="auto"/>
        <w:left w:val="none" w:sz="0" w:space="0" w:color="auto"/>
        <w:bottom w:val="none" w:sz="0" w:space="0" w:color="auto"/>
        <w:right w:val="none" w:sz="0" w:space="0" w:color="auto"/>
      </w:divBdr>
    </w:div>
    <w:div w:id="1228951953">
      <w:bodyDiv w:val="1"/>
      <w:marLeft w:val="0"/>
      <w:marRight w:val="0"/>
      <w:marTop w:val="0"/>
      <w:marBottom w:val="0"/>
      <w:divBdr>
        <w:top w:val="none" w:sz="0" w:space="0" w:color="auto"/>
        <w:left w:val="none" w:sz="0" w:space="0" w:color="auto"/>
        <w:bottom w:val="none" w:sz="0" w:space="0" w:color="auto"/>
        <w:right w:val="none" w:sz="0" w:space="0" w:color="auto"/>
      </w:divBdr>
      <w:divsChild>
        <w:div w:id="156387437">
          <w:marLeft w:val="994"/>
          <w:marRight w:val="0"/>
          <w:marTop w:val="0"/>
          <w:marBottom w:val="0"/>
          <w:divBdr>
            <w:top w:val="none" w:sz="0" w:space="0" w:color="auto"/>
            <w:left w:val="none" w:sz="0" w:space="0" w:color="auto"/>
            <w:bottom w:val="none" w:sz="0" w:space="0" w:color="auto"/>
            <w:right w:val="none" w:sz="0" w:space="0" w:color="auto"/>
          </w:divBdr>
        </w:div>
        <w:div w:id="1813669577">
          <w:marLeft w:val="994"/>
          <w:marRight w:val="0"/>
          <w:marTop w:val="0"/>
          <w:marBottom w:val="0"/>
          <w:divBdr>
            <w:top w:val="none" w:sz="0" w:space="0" w:color="auto"/>
            <w:left w:val="none" w:sz="0" w:space="0" w:color="auto"/>
            <w:bottom w:val="none" w:sz="0" w:space="0" w:color="auto"/>
            <w:right w:val="none" w:sz="0" w:space="0" w:color="auto"/>
          </w:divBdr>
        </w:div>
      </w:divsChild>
    </w:div>
    <w:div w:id="1263487286">
      <w:bodyDiv w:val="1"/>
      <w:marLeft w:val="0"/>
      <w:marRight w:val="0"/>
      <w:marTop w:val="0"/>
      <w:marBottom w:val="0"/>
      <w:divBdr>
        <w:top w:val="none" w:sz="0" w:space="0" w:color="auto"/>
        <w:left w:val="none" w:sz="0" w:space="0" w:color="auto"/>
        <w:bottom w:val="none" w:sz="0" w:space="0" w:color="auto"/>
        <w:right w:val="none" w:sz="0" w:space="0" w:color="auto"/>
      </w:divBdr>
    </w:div>
    <w:div w:id="1264996471">
      <w:bodyDiv w:val="1"/>
      <w:marLeft w:val="0"/>
      <w:marRight w:val="0"/>
      <w:marTop w:val="0"/>
      <w:marBottom w:val="0"/>
      <w:divBdr>
        <w:top w:val="none" w:sz="0" w:space="0" w:color="auto"/>
        <w:left w:val="none" w:sz="0" w:space="0" w:color="auto"/>
        <w:bottom w:val="none" w:sz="0" w:space="0" w:color="auto"/>
        <w:right w:val="none" w:sz="0" w:space="0" w:color="auto"/>
      </w:divBdr>
    </w:div>
    <w:div w:id="1272590589">
      <w:bodyDiv w:val="1"/>
      <w:marLeft w:val="0"/>
      <w:marRight w:val="0"/>
      <w:marTop w:val="0"/>
      <w:marBottom w:val="0"/>
      <w:divBdr>
        <w:top w:val="none" w:sz="0" w:space="0" w:color="auto"/>
        <w:left w:val="none" w:sz="0" w:space="0" w:color="auto"/>
        <w:bottom w:val="none" w:sz="0" w:space="0" w:color="auto"/>
        <w:right w:val="none" w:sz="0" w:space="0" w:color="auto"/>
      </w:divBdr>
    </w:div>
    <w:div w:id="1361664520">
      <w:bodyDiv w:val="1"/>
      <w:marLeft w:val="0"/>
      <w:marRight w:val="0"/>
      <w:marTop w:val="0"/>
      <w:marBottom w:val="0"/>
      <w:divBdr>
        <w:top w:val="none" w:sz="0" w:space="0" w:color="auto"/>
        <w:left w:val="none" w:sz="0" w:space="0" w:color="auto"/>
        <w:bottom w:val="none" w:sz="0" w:space="0" w:color="auto"/>
        <w:right w:val="none" w:sz="0" w:space="0" w:color="auto"/>
      </w:divBdr>
    </w:div>
    <w:div w:id="1480075249">
      <w:bodyDiv w:val="1"/>
      <w:marLeft w:val="0"/>
      <w:marRight w:val="0"/>
      <w:marTop w:val="0"/>
      <w:marBottom w:val="0"/>
      <w:divBdr>
        <w:top w:val="none" w:sz="0" w:space="0" w:color="auto"/>
        <w:left w:val="none" w:sz="0" w:space="0" w:color="auto"/>
        <w:bottom w:val="none" w:sz="0" w:space="0" w:color="auto"/>
        <w:right w:val="none" w:sz="0" w:space="0" w:color="auto"/>
      </w:divBdr>
    </w:div>
    <w:div w:id="1492793461">
      <w:bodyDiv w:val="1"/>
      <w:marLeft w:val="0"/>
      <w:marRight w:val="0"/>
      <w:marTop w:val="0"/>
      <w:marBottom w:val="0"/>
      <w:divBdr>
        <w:top w:val="none" w:sz="0" w:space="0" w:color="auto"/>
        <w:left w:val="none" w:sz="0" w:space="0" w:color="auto"/>
        <w:bottom w:val="none" w:sz="0" w:space="0" w:color="auto"/>
        <w:right w:val="none" w:sz="0" w:space="0" w:color="auto"/>
      </w:divBdr>
    </w:div>
    <w:div w:id="1529834661">
      <w:bodyDiv w:val="1"/>
      <w:marLeft w:val="0"/>
      <w:marRight w:val="0"/>
      <w:marTop w:val="0"/>
      <w:marBottom w:val="0"/>
      <w:divBdr>
        <w:top w:val="none" w:sz="0" w:space="0" w:color="auto"/>
        <w:left w:val="none" w:sz="0" w:space="0" w:color="auto"/>
        <w:bottom w:val="none" w:sz="0" w:space="0" w:color="auto"/>
        <w:right w:val="none" w:sz="0" w:space="0" w:color="auto"/>
      </w:divBdr>
    </w:div>
    <w:div w:id="1561556554">
      <w:bodyDiv w:val="1"/>
      <w:marLeft w:val="0"/>
      <w:marRight w:val="0"/>
      <w:marTop w:val="0"/>
      <w:marBottom w:val="0"/>
      <w:divBdr>
        <w:top w:val="none" w:sz="0" w:space="0" w:color="auto"/>
        <w:left w:val="none" w:sz="0" w:space="0" w:color="auto"/>
        <w:bottom w:val="none" w:sz="0" w:space="0" w:color="auto"/>
        <w:right w:val="none" w:sz="0" w:space="0" w:color="auto"/>
      </w:divBdr>
    </w:div>
    <w:div w:id="1600217182">
      <w:bodyDiv w:val="1"/>
      <w:marLeft w:val="0"/>
      <w:marRight w:val="0"/>
      <w:marTop w:val="0"/>
      <w:marBottom w:val="0"/>
      <w:divBdr>
        <w:top w:val="none" w:sz="0" w:space="0" w:color="auto"/>
        <w:left w:val="none" w:sz="0" w:space="0" w:color="auto"/>
        <w:bottom w:val="none" w:sz="0" w:space="0" w:color="auto"/>
        <w:right w:val="none" w:sz="0" w:space="0" w:color="auto"/>
      </w:divBdr>
    </w:div>
    <w:div w:id="1673800891">
      <w:bodyDiv w:val="1"/>
      <w:marLeft w:val="0"/>
      <w:marRight w:val="0"/>
      <w:marTop w:val="0"/>
      <w:marBottom w:val="0"/>
      <w:divBdr>
        <w:top w:val="none" w:sz="0" w:space="0" w:color="auto"/>
        <w:left w:val="none" w:sz="0" w:space="0" w:color="auto"/>
        <w:bottom w:val="none" w:sz="0" w:space="0" w:color="auto"/>
        <w:right w:val="none" w:sz="0" w:space="0" w:color="auto"/>
      </w:divBdr>
    </w:div>
    <w:div w:id="1792698812">
      <w:bodyDiv w:val="1"/>
      <w:marLeft w:val="0"/>
      <w:marRight w:val="0"/>
      <w:marTop w:val="0"/>
      <w:marBottom w:val="0"/>
      <w:divBdr>
        <w:top w:val="none" w:sz="0" w:space="0" w:color="auto"/>
        <w:left w:val="none" w:sz="0" w:space="0" w:color="auto"/>
        <w:bottom w:val="none" w:sz="0" w:space="0" w:color="auto"/>
        <w:right w:val="none" w:sz="0" w:space="0" w:color="auto"/>
      </w:divBdr>
    </w:div>
    <w:div w:id="1856384998">
      <w:bodyDiv w:val="1"/>
      <w:marLeft w:val="0"/>
      <w:marRight w:val="0"/>
      <w:marTop w:val="0"/>
      <w:marBottom w:val="0"/>
      <w:divBdr>
        <w:top w:val="none" w:sz="0" w:space="0" w:color="auto"/>
        <w:left w:val="none" w:sz="0" w:space="0" w:color="auto"/>
        <w:bottom w:val="none" w:sz="0" w:space="0" w:color="auto"/>
        <w:right w:val="none" w:sz="0" w:space="0" w:color="auto"/>
      </w:divBdr>
    </w:div>
    <w:div w:id="2103065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christopher.oconnor@hanson.biz"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Larissa">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9E2CE1A5D3674D9F06FC0483857D3A" ma:contentTypeVersion="10" ma:contentTypeDescription="Create a new document." ma:contentTypeScope="" ma:versionID="00c0dbb2f46a71c4a8ef64b2765b7b4c">
  <xsd:schema xmlns:xsd="http://www.w3.org/2001/XMLSchema" xmlns:xs="http://www.w3.org/2001/XMLSchema" xmlns:p="http://schemas.microsoft.com/office/2006/metadata/properties" xmlns:ns2="86a1585b-2a53-41cb-92c8-e9508248150a" targetNamespace="http://schemas.microsoft.com/office/2006/metadata/properties" ma:root="true" ma:fieldsID="c5aa87d3f69bf6b1e0b54087dedd1458" ns2:_="">
    <xsd:import namespace="86a1585b-2a53-41cb-92c8-e9508248150a"/>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AutoKeyPoints" minOccurs="0"/>
                <xsd:element ref="ns2:MediaServiceKeyPoints"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a1585b-2a53-41cb-92c8-e950824815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Cau22</b:Tag>
    <b:SourceType>InternetSite</b:SourceType>
    <b:Guid>{324A3AAC-0822-4082-8ED8-3CB89F579A6F}</b:Guid>
    <b:Author>
      <b:Author>
        <b:Corporate>Causal</b:Corporate>
      </b:Author>
    </b:Author>
    <b:Title>Causal - Payback period</b:Title>
    <b:InternetSiteTitle>Causal</b:InternetSiteTitle>
    <b:Year>2022</b:Year>
    <b:Month>September</b:Month>
    <b:URL>https://www.causal.app/define/payback-period#:~:text=The%20payback%20period%20is%20a%20financial%20metric%20used%20to%20determine,cash%20flow%20from%20the%20project.</b:URL>
    <b:RefOrder>1</b:RefOrder>
  </b:Source>
  <b:Source>
    <b:Tag>Fer22</b:Tag>
    <b:SourceType>InternetSite</b:SourceType>
    <b:Guid>{F43936E5-9B11-4298-91F3-2F9CAA6A7785}</b:Guid>
    <b:Author>
      <b:Author>
        <b:NameList>
          <b:Person>
            <b:Last>Fernando</b:Last>
            <b:First>J</b:First>
          </b:Person>
        </b:NameList>
      </b:Author>
    </b:Author>
    <b:Title>Net Present Value (NPV): What is means and steps to calculate it</b:Title>
    <b:InternetSiteTitle>Investopedia</b:InternetSiteTitle>
    <b:Year>2022</b:Year>
    <b:Month>August</b:Month>
    <b:Day>05</b:Day>
    <b:URL>https://www.investopedia.com/terms/n/npv.asp#:~:text=Net%20present%20value%20(NPV)%20is,a%20projected%20investment%20or%20project.</b:URL>
    <b:RefOrder>2</b:RefOrder>
  </b:Source>
  <b:Source>
    <b:Tag>Vai22</b:Tag>
    <b:SourceType>InternetSite</b:SourceType>
    <b:Guid>{2E1498AE-F759-4A7C-9419-D01A51B1F775}</b:Guid>
    <b:Author>
      <b:Author>
        <b:Corporate>Vaidya, D</b:Corporate>
      </b:Author>
    </b:Author>
    <b:Title>Weighted Average Cost of Capital (WACC)</b:Title>
    <b:InternetSiteTitle>Wall Street Mojo</b:InternetSiteTitle>
    <b:Year>2022</b:Year>
    <b:Month>September</b:Month>
    <b:URL>https://www.wallstreetmojo.com/weighted-average-cost-capital-wacc/</b:URL>
    <b:RefOrder>3</b:RefOrder>
  </b:Source>
  <b:Source>
    <b:Tag>Gol10</b:Tag>
    <b:SourceType>JournalArticle</b:SourceType>
    <b:Guid>{07CDAF01-F30E-414A-94D4-5DCA9E3FC9A4}</b:Guid>
    <b:Title>Expected net present value, expected net future value, and the Ramsey rule</b:Title>
    <b:Year>2010</b:Year>
    <b:JournalName>Journal of Environmental Economics and Management</b:JournalName>
    <b:Pages>142-148</b:Pages>
    <b:Author>
      <b:Author>
        <b:NameList>
          <b:Person>
            <b:Last>Gollier</b:Last>
            <b:First>C</b:First>
          </b:Person>
        </b:NameList>
      </b:Author>
    </b:Author>
    <b:RefOrder>4</b:RefOrder>
  </b:Source>
  <b:Source>
    <b:Tag>Fie16</b:Tag>
    <b:SourceType>Book</b:SourceType>
    <b:Guid>{138B5553-F075-4B2A-8F63-C14DBF6F407C}</b:Guid>
    <b:Title>The Essentials of Finance and Accounting for Nonfinancial Managers</b:Title>
    <b:Year>2016</b:Year>
    <b:Author>
      <b:Author>
        <b:NameList>
          <b:Person>
            <b:Last>Fields</b:Last>
            <b:First>E</b:First>
          </b:Person>
        </b:NameList>
      </b:Author>
    </b:Author>
    <b:City>New York</b:City>
    <b:Publisher>AMACOM</b:Publisher>
    <b:RefOrder>6</b:RefOrder>
  </b:Source>
  <b:Source>
    <b:Tag>Gur12</b:Tag>
    <b:SourceType>JournalArticle</b:SourceType>
    <b:Guid>{9FB99EDD-7AC5-4FDB-9EED-CAE87D915A4A}</b:Guid>
    <b:Title>The use of Profitability Index in Economic Evaluatin of Industrial Investment Projects</b:Title>
    <b:Year>2012</b:Year>
    <b:Author>
      <b:Author>
        <b:NameList>
          <b:Person>
            <b:Last>Gurau</b:Last>
            <b:First>M</b:First>
            <b:Middle>A</b:Middle>
          </b:Person>
        </b:NameList>
      </b:Author>
    </b:Author>
    <b:JournalName>Proceedings in Manufacturing Systems</b:JournalName>
    <b:RefOrder>7</b:RefOrder>
  </b:Source>
  <b:Source>
    <b:Tag>Fer221</b:Tag>
    <b:SourceType>InternetSite</b:SourceType>
    <b:Guid>{8D86AED0-38F1-4589-B767-F18305ED59B4}</b:Guid>
    <b:Title>What is Internal Rate of Return (IRR)?</b:Title>
    <b:Year>2022</b:Year>
    <b:Author>
      <b:Author>
        <b:NameList>
          <b:Person>
            <b:Last>Fernando</b:Last>
            <b:First>R</b:First>
          </b:Person>
        </b:NameList>
      </b:Author>
    </b:Author>
    <b:InternetSiteTitle>Investopedia</b:InternetSiteTitle>
    <b:Month>August</b:Month>
    <b:Day>24</b:Day>
    <b:URL>https://www.investopedia.com/terms/i/irr.asp#:~:text=The%20internal%20rate%20of%20return,same%20formula%20as%20NPV%20does.</b:URL>
    <b:RefOrder>5</b:RefOrder>
  </b:Source>
  <b:Source>
    <b:Tag>Edu22</b:Tag>
    <b:SourceType>InternetSite</b:SourceType>
    <b:Guid>{6BA867B2-5B37-4A8E-A3C4-7EFDCB4DF06C}</b:Guid>
    <b:Author>
      <b:Author>
        <b:Corporate>Educba</b:Corporate>
      </b:Author>
    </b:Author>
    <b:Title>Benefit cost ration formula</b:Title>
    <b:InternetSiteTitle>Educba</b:InternetSiteTitle>
    <b:Year>2022</b:Year>
    <b:Month>September</b:Month>
    <b:URL>https://www.educba.com/benefit-cost-ratio-formula/</b:URL>
    <b:RefOrder>8</b:RefOrder>
  </b:Source>
  <b:Source>
    <b:Tag>CFI</b:Tag>
    <b:SourceType>InternetSite</b:SourceType>
    <b:Guid>{D786BF04-80E1-4E94-A98B-E4E32D28828C}</b:Guid>
    <b:Author>
      <b:Author>
        <b:Corporate>CFI</b:Corporate>
      </b:Author>
    </b:Author>
    <b:Title>Whats is ARR - Accounting Rate of Return?</b:Title>
    <b:InternetSiteTitle>CFI</b:InternetSiteTitle>
    <b:Year>2022</b:Year>
    <b:Month>September</b:Month>
    <b:URL>https://corporatefinanceinstitute.com/resources/knowledge/accounting/arr-accounting-rate-of-return/</b:URL>
    <b:RefOrder>9</b:RefOrder>
  </b:Source>
  <b:Source>
    <b:Tag>OCW22</b:Tag>
    <b:SourceType>InternetSite</b:SourceType>
    <b:Guid>{C4291550-E801-423E-B9D2-3329F78C2D2A}</b:Guid>
    <b:Author>
      <b:Author>
        <b:Corporate>OCW IHE DELFT</b:Corporate>
      </b:Author>
    </b:Author>
    <b:Title>Preparatory course for sanitation financing</b:Title>
    <b:InternetSiteTitle>OCW.UN-IHE</b:InternetSiteTitle>
    <b:Year>2022</b:Year>
    <b:Month>September</b:Month>
    <b:URL>https://ocw.un-ihe.org/course/view.php?id=70&amp;section=2#tabs-tree-start</b:URL>
    <b:RefOrder>10</b:RefOrder>
  </b:Source>
  <b:Source>
    <b:Tag>APM22</b:Tag>
    <b:SourceType>InternetSite</b:SourceType>
    <b:Guid>{431828B4-12E2-43D5-98F5-28362811AD8E}</b:Guid>
    <b:Author>
      <b:Author>
        <b:Corporate>APMG International</b:Corporate>
      </b:Author>
    </b:Author>
    <b:Title>Project Finance - Benefits and Limitations</b:Title>
    <b:InternetSiteTitle>PPP-Certifcation</b:InternetSiteTitle>
    <b:Year>2022</b:Year>
    <b:Month>September</b:Month>
    <b:URL>https://ppp-certification.com/ppp-certification-guide/5-project-finance-%E2%80%94-benefits-and-limitations</b:URL>
    <b:RefOrder>11</b:RefOrder>
  </b:Source>
  <b:Source>
    <b:Tag>Vel22</b:Tag>
    <b:SourceType>InternetSite</b:SourceType>
    <b:Guid>{B8C0F0E5-E894-4CFE-B840-C253445AA5FA}</b:Guid>
    <b:Author>
      <b:Author>
        <b:Corporate>Vellam, S</b:Corporate>
      </b:Author>
    </b:Author>
    <b:Title>What is Equity Finance and how does it work?</b:Title>
    <b:InternetSiteTitle>Development Bank Wales</b:InternetSiteTitle>
    <b:Year>2022</b:Year>
    <b:Month>September</b:Month>
    <b:Day>21</b:Day>
    <b:URL>https://developmentbank.wales/news-and-events/what-equity-finance-and-how-does-it-work</b:URL>
    <b:RefOrder>12</b:RefOrder>
  </b:Source>
  <b:Source>
    <b:Tag>Ban22</b:Tag>
    <b:SourceType>InternetSite</b:SourceType>
    <b:Guid>{F57995A8-EB47-49B4-8BD0-A5003E0457FB}</b:Guid>
    <b:Author>
      <b:Author>
        <b:NameList>
          <b:Person>
            <b:Last>Banton</b:Last>
            <b:First>C</b:First>
          </b:Person>
        </b:NameList>
      </b:Author>
    </b:Author>
    <b:Title>Equity Financing: What it Is, How it works, Pros and Cons</b:Title>
    <b:InternetSiteTitle>Investopedia</b:InternetSiteTitle>
    <b:Year>2022</b:Year>
    <b:Month>February</b:Month>
    <b:Day>20</b:Day>
    <b:URL>https://www.investopedia.com/terms/e/equityfinancing.asp</b:URL>
    <b:RefOrder>13</b:RefOrder>
  </b:Source>
  <b:Source>
    <b:Tag>The22</b:Tag>
    <b:SourceType>InternetSite</b:SourceType>
    <b:Guid>{0F559DD7-368F-4CB0-80F7-B8C63BF4594E}</b:Guid>
    <b:Author>
      <b:Author>
        <b:Corporate>The Economic Times</b:Corporate>
      </b:Author>
    </b:Author>
    <b:Title>What is 'Debt Finance'</b:Title>
    <b:InternetSiteTitle>The Economic Times</b:InternetSiteTitle>
    <b:Year>2022</b:Year>
    <b:Month>September</b:Month>
    <b:Day>2022</b:Day>
    <b:URL>https://economictimes.indiatimes.com/definition/debt-finance</b:URL>
    <b:RefOrder>14</b:RefOrder>
  </b:Source>
  <b:Source>
    <b:Tag>The221</b:Tag>
    <b:SourceType>InternetSite</b:SourceType>
    <b:Guid>{F9471C2D-F6B3-4844-862C-900084317050}</b:Guid>
    <b:Author>
      <b:Author>
        <b:Corporate>The Hartford</b:Corporate>
      </b:Author>
    </b:Author>
    <b:Title>Advantages vs Disadvantages of Debt Financing</b:Title>
    <b:InternetSiteTitle>The Hartford</b:InternetSiteTitle>
    <b:Year>2022</b:Year>
    <b:Month>September</b:Month>
    <b:URL>https://www.thehartford.com/business-insurance/strategy/business-financing/debt-financing</b:URL>
    <b:RefOrder>15</b:RefOrder>
  </b:Source>
</b:Sources>
</file>

<file path=customXml/itemProps1.xml><?xml version="1.0" encoding="utf-8"?>
<ds:datastoreItem xmlns:ds="http://schemas.openxmlformats.org/officeDocument/2006/customXml" ds:itemID="{60B561C7-20A7-44D3-B85A-8191ED609457}">
  <ds:schemaRefs>
    <ds:schemaRef ds:uri="http://schemas.microsoft.com/office/2006/metadata/properties"/>
  </ds:schemaRefs>
</ds:datastoreItem>
</file>

<file path=customXml/itemProps2.xml><?xml version="1.0" encoding="utf-8"?>
<ds:datastoreItem xmlns:ds="http://schemas.openxmlformats.org/officeDocument/2006/customXml" ds:itemID="{E442C85F-E487-434F-AB13-AED3C5235C3F}">
  <ds:schemaRefs>
    <ds:schemaRef ds:uri="http://schemas.microsoft.com/sharepoint/v3/contenttype/forms"/>
  </ds:schemaRefs>
</ds:datastoreItem>
</file>

<file path=customXml/itemProps3.xml><?xml version="1.0" encoding="utf-8"?>
<ds:datastoreItem xmlns:ds="http://schemas.openxmlformats.org/officeDocument/2006/customXml" ds:itemID="{DEC9EF56-DA2A-477C-BDDA-4D0EB62CD4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a1585b-2a53-41cb-92c8-e950824815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436534-61C2-440C-8079-FC9DCADBA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1644</TotalTime>
  <Pages>8</Pages>
  <Words>2398</Words>
  <Characters>13675</Characters>
  <Application>Microsoft Office Word</Application>
  <DocSecurity>0</DocSecurity>
  <Lines>113</Lines>
  <Paragraphs>32</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HeidelbergCement AG</Company>
  <LinksUpToDate>false</LinksUpToDate>
  <CharactersWithSpaces>16041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Haissant, Christophe (Heidelberg) DEU</dc:creator>
  <cp:lastModifiedBy>O'Connor, Christopher (Chipping Sodbury) GBR</cp:lastModifiedBy>
  <cp:revision>20</cp:revision>
  <cp:lastPrinted>2020-10-30T15:57:00Z</cp:lastPrinted>
  <dcterms:created xsi:type="dcterms:W3CDTF">2022-09-22T15:59:00Z</dcterms:created>
  <dcterms:modified xsi:type="dcterms:W3CDTF">2022-09-26T12:00:00Z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0x010100689E2CE1A5D3674D9F06FC0483857D3A</vt:lpwstr>
  </property>
</Properties>
</file>