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F45BC1" w:rsidRDefault="00F45BC1">
      <w:pPr>
        <w:jc w:val="center"/>
        <w:rPr>
          <w:b/>
          <w:sz w:val="32"/>
          <w:szCs w:val="32"/>
        </w:rPr>
      </w:pPr>
    </w:p>
    <w:p w14:paraId="00000002" w14:textId="77777777" w:rsidR="00F45BC1" w:rsidRDefault="00F45BC1">
      <w:pPr>
        <w:jc w:val="center"/>
        <w:rPr>
          <w:b/>
          <w:sz w:val="32"/>
          <w:szCs w:val="32"/>
        </w:rPr>
      </w:pPr>
    </w:p>
    <w:p w14:paraId="00000003" w14:textId="77777777" w:rsidR="00F45BC1" w:rsidRDefault="00F45BC1">
      <w:pPr>
        <w:jc w:val="center"/>
        <w:rPr>
          <w:b/>
          <w:sz w:val="32"/>
          <w:szCs w:val="32"/>
        </w:rPr>
      </w:pPr>
    </w:p>
    <w:p w14:paraId="00000004" w14:textId="77777777" w:rsidR="00F45BC1" w:rsidRDefault="00F45BC1">
      <w:pPr>
        <w:jc w:val="center"/>
        <w:rPr>
          <w:b/>
          <w:sz w:val="32"/>
          <w:szCs w:val="32"/>
        </w:rPr>
      </w:pPr>
    </w:p>
    <w:p w14:paraId="00000005" w14:textId="77777777" w:rsidR="00F45BC1" w:rsidRDefault="00F45BC1">
      <w:pPr>
        <w:jc w:val="center"/>
        <w:rPr>
          <w:b/>
          <w:sz w:val="32"/>
          <w:szCs w:val="32"/>
        </w:rPr>
      </w:pPr>
    </w:p>
    <w:p w14:paraId="00000006" w14:textId="77777777" w:rsidR="00F45BC1" w:rsidRDefault="00F45BC1">
      <w:pPr>
        <w:jc w:val="center"/>
        <w:rPr>
          <w:b/>
          <w:sz w:val="32"/>
          <w:szCs w:val="32"/>
        </w:rPr>
      </w:pPr>
    </w:p>
    <w:p w14:paraId="00000007" w14:textId="77777777" w:rsidR="00F45BC1" w:rsidRDefault="00F45BC1">
      <w:pPr>
        <w:jc w:val="center"/>
        <w:rPr>
          <w:b/>
          <w:sz w:val="32"/>
          <w:szCs w:val="32"/>
        </w:rPr>
      </w:pPr>
    </w:p>
    <w:p w14:paraId="00000008" w14:textId="77777777" w:rsidR="00F45BC1" w:rsidRDefault="00F45BC1">
      <w:pPr>
        <w:jc w:val="center"/>
        <w:rPr>
          <w:b/>
          <w:sz w:val="32"/>
          <w:szCs w:val="32"/>
        </w:rPr>
      </w:pPr>
    </w:p>
    <w:p w14:paraId="00000009" w14:textId="77777777" w:rsidR="00F45BC1" w:rsidRDefault="00F45BC1">
      <w:pPr>
        <w:jc w:val="center"/>
        <w:rPr>
          <w:b/>
          <w:sz w:val="32"/>
          <w:szCs w:val="32"/>
        </w:rPr>
      </w:pPr>
    </w:p>
    <w:p w14:paraId="0000000A" w14:textId="77777777" w:rsidR="00F45BC1" w:rsidRDefault="00F45BC1">
      <w:pPr>
        <w:jc w:val="center"/>
        <w:rPr>
          <w:b/>
          <w:sz w:val="32"/>
          <w:szCs w:val="32"/>
        </w:rPr>
      </w:pPr>
    </w:p>
    <w:p w14:paraId="0000000B" w14:textId="77777777" w:rsidR="00F45BC1" w:rsidRDefault="00000000">
      <w:pPr>
        <w:jc w:val="center"/>
        <w:rPr>
          <w:b/>
          <w:sz w:val="32"/>
          <w:szCs w:val="32"/>
        </w:rPr>
      </w:pPr>
      <w:r>
        <w:rPr>
          <w:b/>
          <w:sz w:val="32"/>
          <w:szCs w:val="32"/>
        </w:rPr>
        <w:t>Task 2: Reflective Evaluation</w:t>
      </w:r>
    </w:p>
    <w:p w14:paraId="07433B60" w14:textId="77777777" w:rsidR="00755022" w:rsidRPr="00290C67" w:rsidRDefault="00755022" w:rsidP="00755022">
      <w:pPr>
        <w:jc w:val="center"/>
      </w:pPr>
      <w:r>
        <w:t>Student</w:t>
      </w:r>
      <w:r w:rsidRPr="00290C67">
        <w:t xml:space="preserve"> name:</w:t>
      </w:r>
      <w:r>
        <w:t xml:space="preserve"> </w:t>
      </w:r>
      <w:proofErr w:type="spellStart"/>
      <w:r>
        <w:t>Ionel</w:t>
      </w:r>
      <w:proofErr w:type="spellEnd"/>
      <w:r>
        <w:t xml:space="preserve"> </w:t>
      </w:r>
      <w:proofErr w:type="spellStart"/>
      <w:r>
        <w:t>Jerca</w:t>
      </w:r>
      <w:proofErr w:type="spellEnd"/>
    </w:p>
    <w:p w14:paraId="39497864" w14:textId="77777777" w:rsidR="00755022" w:rsidRPr="00290C67" w:rsidRDefault="00755022" w:rsidP="00755022">
      <w:pPr>
        <w:jc w:val="center"/>
      </w:pPr>
      <w:r>
        <w:t>Student number</w:t>
      </w:r>
      <w:r w:rsidRPr="00290C67">
        <w:t>:</w:t>
      </w:r>
      <w:r>
        <w:t>2123373</w:t>
      </w:r>
    </w:p>
    <w:p w14:paraId="0000000C" w14:textId="77777777" w:rsidR="00F45BC1" w:rsidRDefault="00000000">
      <w:pPr>
        <w:jc w:val="center"/>
        <w:rPr>
          <w:b/>
        </w:rPr>
      </w:pPr>
      <w:r>
        <w:br w:type="page"/>
      </w:r>
    </w:p>
    <w:p w14:paraId="0000000D" w14:textId="77777777" w:rsidR="00F45BC1" w:rsidRDefault="00000000">
      <w:pPr>
        <w:jc w:val="center"/>
        <w:rPr>
          <w:b/>
          <w:sz w:val="28"/>
          <w:szCs w:val="28"/>
        </w:rPr>
      </w:pPr>
      <w:r>
        <w:rPr>
          <w:b/>
          <w:sz w:val="28"/>
          <w:szCs w:val="28"/>
        </w:rPr>
        <w:lastRenderedPageBreak/>
        <w:t>Table of Contents</w:t>
      </w:r>
    </w:p>
    <w:p w14:paraId="0000000E" w14:textId="77777777" w:rsidR="00F45BC1" w:rsidRDefault="00F45BC1">
      <w:pPr>
        <w:jc w:val="center"/>
        <w:rPr>
          <w:b/>
        </w:rPr>
      </w:pPr>
    </w:p>
    <w:sdt>
      <w:sdtPr>
        <w:id w:val="-1302542416"/>
        <w:docPartObj>
          <w:docPartGallery w:val="Table of Contents"/>
          <w:docPartUnique/>
        </w:docPartObj>
      </w:sdtPr>
      <w:sdtContent>
        <w:p w14:paraId="0000000F" w14:textId="77777777" w:rsidR="00F45BC1" w:rsidRDefault="00000000">
          <w:pPr>
            <w:tabs>
              <w:tab w:val="right" w:pos="9025"/>
            </w:tabs>
            <w:spacing w:before="80" w:line="240" w:lineRule="auto"/>
            <w:rPr>
              <w:b/>
              <w:color w:val="000000"/>
            </w:rPr>
          </w:pPr>
          <w:r>
            <w:fldChar w:fldCharType="begin"/>
          </w:r>
          <w:r>
            <w:instrText xml:space="preserve"> TOC \h \u \z </w:instrText>
          </w:r>
          <w:r>
            <w:fldChar w:fldCharType="separate"/>
          </w:r>
          <w:hyperlink w:anchor="_okmz473lpilz">
            <w:r>
              <w:rPr>
                <w:b/>
                <w:color w:val="000000"/>
              </w:rPr>
              <w:t>Introduction</w:t>
            </w:r>
          </w:hyperlink>
          <w:r>
            <w:rPr>
              <w:b/>
              <w:color w:val="000000"/>
            </w:rPr>
            <w:tab/>
          </w:r>
          <w:r>
            <w:fldChar w:fldCharType="begin"/>
          </w:r>
          <w:r>
            <w:instrText xml:space="preserve"> PAGEREF _okmz473lpilz \h </w:instrText>
          </w:r>
          <w:r>
            <w:fldChar w:fldCharType="separate"/>
          </w:r>
          <w:r>
            <w:rPr>
              <w:b/>
              <w:color w:val="000000"/>
            </w:rPr>
            <w:t>3</w:t>
          </w:r>
          <w:r>
            <w:fldChar w:fldCharType="end"/>
          </w:r>
        </w:p>
        <w:p w14:paraId="00000010" w14:textId="77777777" w:rsidR="00F45BC1" w:rsidRDefault="00000000">
          <w:pPr>
            <w:tabs>
              <w:tab w:val="right" w:pos="9025"/>
            </w:tabs>
            <w:spacing w:before="200" w:line="240" w:lineRule="auto"/>
            <w:rPr>
              <w:b/>
              <w:color w:val="000000"/>
            </w:rPr>
          </w:pPr>
          <w:hyperlink w:anchor="_ol8h5mnb0dug">
            <w:r>
              <w:rPr>
                <w:b/>
                <w:color w:val="000000"/>
              </w:rPr>
              <w:t>The Body</w:t>
            </w:r>
          </w:hyperlink>
          <w:r>
            <w:rPr>
              <w:b/>
              <w:color w:val="000000"/>
            </w:rPr>
            <w:tab/>
          </w:r>
          <w:r>
            <w:fldChar w:fldCharType="begin"/>
          </w:r>
          <w:r>
            <w:instrText xml:space="preserve"> PAGEREF _ol8h5mnb0dug \h </w:instrText>
          </w:r>
          <w:r>
            <w:fldChar w:fldCharType="separate"/>
          </w:r>
          <w:r>
            <w:rPr>
              <w:b/>
              <w:color w:val="000000"/>
            </w:rPr>
            <w:t>3</w:t>
          </w:r>
          <w:r>
            <w:fldChar w:fldCharType="end"/>
          </w:r>
        </w:p>
        <w:p w14:paraId="00000011" w14:textId="77777777" w:rsidR="00F45BC1" w:rsidRDefault="00000000">
          <w:pPr>
            <w:tabs>
              <w:tab w:val="right" w:pos="9025"/>
            </w:tabs>
            <w:spacing w:before="60" w:line="240" w:lineRule="auto"/>
            <w:ind w:left="360"/>
            <w:rPr>
              <w:color w:val="000000"/>
            </w:rPr>
          </w:pPr>
          <w:hyperlink w:anchor="_lntfcls3iad8">
            <w:r>
              <w:rPr>
                <w:color w:val="000000"/>
              </w:rPr>
              <w:t>The process and system management of the Community consultancy</w:t>
            </w:r>
          </w:hyperlink>
          <w:r>
            <w:rPr>
              <w:color w:val="000000"/>
            </w:rPr>
            <w:tab/>
          </w:r>
          <w:r>
            <w:fldChar w:fldCharType="begin"/>
          </w:r>
          <w:r>
            <w:instrText xml:space="preserve"> PAGEREF _lntfcls3iad8 \h </w:instrText>
          </w:r>
          <w:r>
            <w:fldChar w:fldCharType="separate"/>
          </w:r>
          <w:r>
            <w:rPr>
              <w:color w:val="000000"/>
            </w:rPr>
            <w:t>3</w:t>
          </w:r>
          <w:r>
            <w:fldChar w:fldCharType="end"/>
          </w:r>
        </w:p>
        <w:p w14:paraId="00000012" w14:textId="77777777" w:rsidR="00F45BC1" w:rsidRDefault="00000000">
          <w:pPr>
            <w:tabs>
              <w:tab w:val="right" w:pos="9025"/>
            </w:tabs>
            <w:spacing w:before="60" w:line="240" w:lineRule="auto"/>
            <w:ind w:left="360"/>
            <w:rPr>
              <w:color w:val="000000"/>
            </w:rPr>
          </w:pPr>
          <w:hyperlink w:anchor="_hzq02tpfwj4n">
            <w:r>
              <w:rPr>
                <w:color w:val="000000"/>
              </w:rPr>
              <w:t>Stakeholder Relationship and best practice for Stakeholder Engagement</w:t>
            </w:r>
          </w:hyperlink>
          <w:r>
            <w:rPr>
              <w:color w:val="000000"/>
            </w:rPr>
            <w:tab/>
          </w:r>
          <w:r>
            <w:fldChar w:fldCharType="begin"/>
          </w:r>
          <w:r>
            <w:instrText xml:space="preserve"> PAGEREF _hzq02tpfwj4n \h </w:instrText>
          </w:r>
          <w:r>
            <w:fldChar w:fldCharType="separate"/>
          </w:r>
          <w:r>
            <w:rPr>
              <w:color w:val="000000"/>
            </w:rPr>
            <w:t>5</w:t>
          </w:r>
          <w:r>
            <w:fldChar w:fldCharType="end"/>
          </w:r>
        </w:p>
        <w:p w14:paraId="00000013" w14:textId="77777777" w:rsidR="00F45BC1" w:rsidRDefault="00000000">
          <w:pPr>
            <w:tabs>
              <w:tab w:val="right" w:pos="9025"/>
            </w:tabs>
            <w:spacing w:before="60" w:line="240" w:lineRule="auto"/>
            <w:ind w:left="360"/>
            <w:rPr>
              <w:color w:val="000000"/>
            </w:rPr>
          </w:pPr>
          <w:hyperlink w:anchor="_iz1nns9mzlah">
            <w:r>
              <w:rPr>
                <w:color w:val="000000"/>
              </w:rPr>
              <w:t>Avenues to promote community participation</w:t>
            </w:r>
          </w:hyperlink>
          <w:r>
            <w:rPr>
              <w:color w:val="000000"/>
            </w:rPr>
            <w:tab/>
          </w:r>
          <w:r>
            <w:fldChar w:fldCharType="begin"/>
          </w:r>
          <w:r>
            <w:instrText xml:space="preserve"> PAGEREF _iz1nns9mzlah \h </w:instrText>
          </w:r>
          <w:r>
            <w:fldChar w:fldCharType="separate"/>
          </w:r>
          <w:r>
            <w:rPr>
              <w:color w:val="000000"/>
            </w:rPr>
            <w:t>6</w:t>
          </w:r>
          <w:r>
            <w:fldChar w:fldCharType="end"/>
          </w:r>
        </w:p>
        <w:p w14:paraId="00000014" w14:textId="77777777" w:rsidR="00F45BC1" w:rsidRDefault="00000000">
          <w:pPr>
            <w:tabs>
              <w:tab w:val="right" w:pos="9025"/>
            </w:tabs>
            <w:spacing w:before="200" w:line="240" w:lineRule="auto"/>
            <w:rPr>
              <w:b/>
              <w:color w:val="000000"/>
            </w:rPr>
          </w:pPr>
          <w:hyperlink w:anchor="_1txwqchsirr0">
            <w:r>
              <w:rPr>
                <w:b/>
                <w:color w:val="000000"/>
              </w:rPr>
              <w:t>Conclusion</w:t>
            </w:r>
          </w:hyperlink>
          <w:r>
            <w:rPr>
              <w:b/>
              <w:color w:val="000000"/>
            </w:rPr>
            <w:tab/>
          </w:r>
          <w:r>
            <w:fldChar w:fldCharType="begin"/>
          </w:r>
          <w:r>
            <w:instrText xml:space="preserve"> PAGEREF _1txwqchsirr0 \h </w:instrText>
          </w:r>
          <w:r>
            <w:fldChar w:fldCharType="separate"/>
          </w:r>
          <w:r>
            <w:rPr>
              <w:b/>
              <w:color w:val="000000"/>
            </w:rPr>
            <w:t>7</w:t>
          </w:r>
          <w:r>
            <w:fldChar w:fldCharType="end"/>
          </w:r>
        </w:p>
        <w:p w14:paraId="00000015" w14:textId="77777777" w:rsidR="00F45BC1" w:rsidRDefault="00000000">
          <w:pPr>
            <w:tabs>
              <w:tab w:val="right" w:pos="9025"/>
            </w:tabs>
            <w:spacing w:before="200" w:after="80" w:line="240" w:lineRule="auto"/>
          </w:pPr>
          <w:hyperlink w:anchor="_j519395cl0yw">
            <w:r>
              <w:rPr>
                <w:b/>
              </w:rPr>
              <w:t>Reference</w:t>
            </w:r>
          </w:hyperlink>
          <w:r>
            <w:rPr>
              <w:b/>
            </w:rPr>
            <w:tab/>
          </w:r>
          <w:r>
            <w:fldChar w:fldCharType="begin"/>
          </w:r>
          <w:r>
            <w:instrText xml:space="preserve"> PAGEREF _j519395cl0yw \h </w:instrText>
          </w:r>
          <w:r>
            <w:fldChar w:fldCharType="separate"/>
          </w:r>
          <w:r>
            <w:rPr>
              <w:b/>
            </w:rPr>
            <w:t>9</w:t>
          </w:r>
          <w:r>
            <w:fldChar w:fldCharType="end"/>
          </w:r>
          <w:r>
            <w:fldChar w:fldCharType="end"/>
          </w:r>
        </w:p>
      </w:sdtContent>
    </w:sdt>
    <w:p w14:paraId="00000016" w14:textId="77777777" w:rsidR="00F45BC1" w:rsidRDefault="00F45BC1">
      <w:pPr>
        <w:rPr>
          <w:shd w:val="clear" w:color="auto" w:fill="F4CCCC"/>
        </w:rPr>
      </w:pPr>
    </w:p>
    <w:p w14:paraId="00000017" w14:textId="77777777" w:rsidR="00F45BC1" w:rsidRDefault="00000000">
      <w:pPr>
        <w:pStyle w:val="Heading1"/>
        <w:rPr>
          <w:b w:val="0"/>
          <w:sz w:val="24"/>
          <w:szCs w:val="24"/>
          <w:shd w:val="clear" w:color="auto" w:fill="F4CCCC"/>
        </w:rPr>
      </w:pPr>
      <w:bookmarkStart w:id="0" w:name="_ckkf33b0apam" w:colFirst="0" w:colLast="0"/>
      <w:bookmarkEnd w:id="0"/>
      <w:r>
        <w:br w:type="page"/>
      </w:r>
    </w:p>
    <w:p w14:paraId="00000018" w14:textId="77777777" w:rsidR="00F45BC1" w:rsidRDefault="00000000">
      <w:pPr>
        <w:pStyle w:val="Heading1"/>
      </w:pPr>
      <w:bookmarkStart w:id="1" w:name="_okmz473lpilz" w:colFirst="0" w:colLast="0"/>
      <w:bookmarkEnd w:id="1"/>
      <w:r>
        <w:lastRenderedPageBreak/>
        <w:t>Introduction</w:t>
      </w:r>
    </w:p>
    <w:p w14:paraId="00000019" w14:textId="6C1FC31E" w:rsidR="00F45BC1" w:rsidRDefault="00000000">
      <w:r>
        <w:t xml:space="preserve">Students are given the opportunity to have a positive impact in the communities that we are a part of via a charity consultancy that hosts a challenge in which teams collaborate to find solutions to problems that are being faced by charitable organisations. Through the website, the students may sign up to participate in the internship programme. The consulting company works with a variety of charitable organisations in partnership. As a result, the consulting offers help to charitable organisations by providing them with suitable answers to the challenges they face. The consultant works with students and teaches them how to solve problems that arise in charitable organisations. In addition, the consultancy offers some fantastic engagement initiatives. Each team is given a project brief, and throughout the first ten weeks of the programme, students have the incredible chance to put their abilities to work by coming up with a solution to the problem. The programme is a component of </w:t>
      </w:r>
      <w:r w:rsidR="00755022">
        <w:t xml:space="preserve">the </w:t>
      </w:r>
      <w:r>
        <w:t xml:space="preserve">Student Futures' Civic Engagement strand, which encourages students to investigate the myriad of ways in which they may </w:t>
      </w:r>
      <w:r w:rsidR="00755022">
        <w:t>affect</w:t>
      </w:r>
      <w:r>
        <w:t xml:space="preserve"> the world.</w:t>
      </w:r>
    </w:p>
    <w:p w14:paraId="0000001A" w14:textId="77777777" w:rsidR="00F45BC1" w:rsidRDefault="00000000">
      <w:pPr>
        <w:pStyle w:val="Heading1"/>
      </w:pPr>
      <w:bookmarkStart w:id="2" w:name="_ol8h5mnb0dug" w:colFirst="0" w:colLast="0"/>
      <w:bookmarkEnd w:id="2"/>
      <w:r>
        <w:t xml:space="preserve">The Body </w:t>
      </w:r>
    </w:p>
    <w:p w14:paraId="0000001B" w14:textId="77777777" w:rsidR="00F45BC1" w:rsidRDefault="00000000">
      <w:r>
        <w:t>In my own opinion, I believe that this consultancy is an outstanding possibility for students who have never participated in community service before to do so within the context of an activity that is sponsored by the organisation. In addition, the students who are pursuing degrees in public administration, human resource management, human development science, and other forms of welfare will have the chance to do internships at the consulting while they are pursuing their degrees.</w:t>
      </w:r>
    </w:p>
    <w:p w14:paraId="0000001C" w14:textId="77777777" w:rsidR="00F45BC1" w:rsidRDefault="00000000">
      <w:pPr>
        <w:pStyle w:val="Heading2"/>
      </w:pPr>
      <w:bookmarkStart w:id="3" w:name="_lntfcls3iad8" w:colFirst="0" w:colLast="0"/>
      <w:bookmarkEnd w:id="3"/>
      <w:r>
        <w:t>The process and system management of the Community consultancy</w:t>
      </w:r>
    </w:p>
    <w:p w14:paraId="0000001D" w14:textId="77777777" w:rsidR="00F45BC1" w:rsidRDefault="00000000">
      <w:r>
        <w:t xml:space="preserve">It has been my experience that the community involvement programme is cognizant of the fact that the program's charity partners stand to gain from the students' </w:t>
      </w:r>
      <w:proofErr w:type="gramStart"/>
      <w:r>
        <w:t>already-developed</w:t>
      </w:r>
      <w:proofErr w:type="gramEnd"/>
      <w:r>
        <w:t xml:space="preserve"> and expanded capacities in areas such as research and consultation.</w:t>
      </w:r>
    </w:p>
    <w:p w14:paraId="0000001E" w14:textId="61BFF4F4" w:rsidR="00F45BC1" w:rsidRDefault="00000000">
      <w:pPr>
        <w:numPr>
          <w:ilvl w:val="0"/>
          <w:numId w:val="3"/>
        </w:numPr>
      </w:pPr>
      <w:r>
        <w:t xml:space="preserve">After following the program's progress and </w:t>
      </w:r>
      <w:r w:rsidR="00755022">
        <w:t>its</w:t>
      </w:r>
      <w:r>
        <w:t xml:space="preserve"> ideas, I've learned that the young participants will have the possibility to gain experience, create connections, boost their resumes, and broaden their understanding of human societies. The lives of the individuals who benefit from the student's involvement in the charity programme will be enhanced as a result.</w:t>
      </w:r>
    </w:p>
    <w:p w14:paraId="0000001F" w14:textId="19DF6C8A" w:rsidR="00F45BC1" w:rsidRDefault="00000000">
      <w:pPr>
        <w:numPr>
          <w:ilvl w:val="0"/>
          <w:numId w:val="3"/>
        </w:numPr>
      </w:pPr>
      <w:r>
        <w:lastRenderedPageBreak/>
        <w:t xml:space="preserve">A </w:t>
      </w:r>
      <w:proofErr w:type="spellStart"/>
      <w:r>
        <w:t>nonprofit</w:t>
      </w:r>
      <w:proofErr w:type="spellEnd"/>
      <w:r>
        <w:t xml:space="preserve"> organisation will assign a group of students to aid a community in need by developing a strategy to solve a problem. For example, you may assist a </w:t>
      </w:r>
      <w:proofErr w:type="spellStart"/>
      <w:r>
        <w:t>nonprofit</w:t>
      </w:r>
      <w:proofErr w:type="spellEnd"/>
      <w:r>
        <w:t xml:space="preserve"> figure out where it would be ideal to open a new thrift store, advising them on creative ways to raise money or assessing the results of the services they provide with an eye toward the betterment of the organisation (Charity, 2022). Students will be working in groups of 6-8 to debate the subject at hand, do extensive research, and analyse the data to come up with concrete ideas for moving forward. The </w:t>
      </w:r>
      <w:proofErr w:type="gramStart"/>
      <w:r w:rsidR="00755022">
        <w:t>students</w:t>
      </w:r>
      <w:proofErr w:type="gramEnd"/>
      <w:r>
        <w:t xml:space="preserve"> hand in their research report to the organisation in week 10 of the engagement. The consultancy awards students with marks and diplomas based on how well they solve the problem.</w:t>
      </w:r>
    </w:p>
    <w:p w14:paraId="00000020" w14:textId="77777777" w:rsidR="00F45BC1" w:rsidRDefault="00000000">
      <w:pPr>
        <w:numPr>
          <w:ilvl w:val="0"/>
          <w:numId w:val="3"/>
        </w:numPr>
      </w:pPr>
      <w:r>
        <w:t>The consultancy actively seeks applications from students of all levels of expertise. They want to target individuals who may have trouble becoming involved in volunteer work because of factors including lack of prior experience, not knowing what to do, or feeling rushed because of having to perform something completely unrelated to their degree work.</w:t>
      </w:r>
    </w:p>
    <w:p w14:paraId="00000021" w14:textId="130A3031" w:rsidR="00F45BC1" w:rsidRDefault="00000000">
      <w:pPr>
        <w:numPr>
          <w:ilvl w:val="0"/>
          <w:numId w:val="3"/>
        </w:numPr>
      </w:pPr>
      <w:r>
        <w:t xml:space="preserve">The consulting firm aimed to make the programme accessible to the widest possible audience. They expect a weekly time commitment of four to five hours from each member. It's much easier to delegate and divide up work when </w:t>
      </w:r>
      <w:r w:rsidR="00755022">
        <w:t>just six to eight individuals are working</w:t>
      </w:r>
      <w:r>
        <w:t xml:space="preserve"> on a project. The 10-week length of the programme should be feasible for each team member </w:t>
      </w:r>
      <w:r w:rsidR="00755022">
        <w:t>every week</w:t>
      </w:r>
      <w:r>
        <w:t>. The consulting firm's professionals are available to help pupils during each phase. They have also hired professional teachers to ensure the quality and accessibility of their curriculum. The teams will have an easier time navigating any obstacles that may occur with the assistance of the experienced and the group's mentors.</w:t>
      </w:r>
    </w:p>
    <w:p w14:paraId="00000022" w14:textId="77777777" w:rsidR="00F45BC1" w:rsidRDefault="00000000">
      <w:pPr>
        <w:numPr>
          <w:ilvl w:val="0"/>
          <w:numId w:val="3"/>
        </w:numPr>
      </w:pPr>
      <w:r>
        <w:t>The pupils will learn to be fair, ethical, non-discriminatory, and accepting of people of various social classes, sexes, races, and ethnic backgrounds. Everyone has their own set of strengths and weaknesses. Students are trained to serve others based on their individual needs and strengths. In addition, they learn how to persuade members of the local community to take part in community initiatives that they have organised. Community participation is crucial in many settings, including blood donation camps and thalassemia detection camps (NIH, 2022). Students who want to lead such a programme must, therefore, be articulate and persuasive. Consulting firm professionals assist students in organising thalassemia identification camps, which include both awareness campaigns and blood drives.</w:t>
      </w:r>
    </w:p>
    <w:p w14:paraId="00000023" w14:textId="328E0EAF" w:rsidR="00F45BC1" w:rsidRDefault="00000000">
      <w:r>
        <w:lastRenderedPageBreak/>
        <w:t xml:space="preserve">To me, this programme represents a true opportunity for students to have a positive impact </w:t>
      </w:r>
      <w:r w:rsidR="00755022">
        <w:t>on</w:t>
      </w:r>
      <w:r>
        <w:t xml:space="preserve"> the world. They will be able to develop and hone their talents, meet interesting people, add to their resumes, have a more fulfilling internship experience, and learn more about the consulting and </w:t>
      </w:r>
      <w:proofErr w:type="spellStart"/>
      <w:r>
        <w:t>nonprofit</w:t>
      </w:r>
      <w:proofErr w:type="spellEnd"/>
      <w:r>
        <w:t xml:space="preserve"> worlds.</w:t>
      </w:r>
    </w:p>
    <w:p w14:paraId="00000024" w14:textId="77777777" w:rsidR="00F45BC1" w:rsidRDefault="00000000">
      <w:pPr>
        <w:pStyle w:val="Heading2"/>
      </w:pPr>
      <w:bookmarkStart w:id="4" w:name="_hzq02tpfwj4n" w:colFirst="0" w:colLast="0"/>
      <w:bookmarkEnd w:id="4"/>
      <w:r>
        <w:t>Stakeholder Relationship and best practice for Stakeholder Engagement</w:t>
      </w:r>
    </w:p>
    <w:p w14:paraId="00000025" w14:textId="45FA5BF8" w:rsidR="00F45BC1" w:rsidRDefault="00000000">
      <w:pPr>
        <w:rPr>
          <w:shd w:val="clear" w:color="auto" w:fill="F4CCCC"/>
        </w:rPr>
      </w:pPr>
      <w:r>
        <w:t xml:space="preserve">The organisation that provides consulting services is not for profit. </w:t>
      </w:r>
      <w:proofErr w:type="gramStart"/>
      <w:r>
        <w:t>Similar to</w:t>
      </w:r>
      <w:proofErr w:type="gramEnd"/>
      <w:r>
        <w:t xml:space="preserve"> intricately crafted devices are charitable organisations (Chron, 2019). they consist of </w:t>
      </w:r>
      <w:proofErr w:type="gramStart"/>
      <w:r>
        <w:t>a large number of</w:t>
      </w:r>
      <w:proofErr w:type="gramEnd"/>
      <w:r>
        <w:t xml:space="preserve"> moving elements, all of which are interdependent on one another to ensure the success of the whole. Even though each component is necessary, a </w:t>
      </w:r>
      <w:proofErr w:type="spellStart"/>
      <w:r>
        <w:t>nonprofit</w:t>
      </w:r>
      <w:proofErr w:type="spellEnd"/>
      <w:r>
        <w:t xml:space="preserve"> organisation's stakeholders and the participation of those stakeholders are two of the most important factors in determining the organisation's level of success. A </w:t>
      </w:r>
      <w:proofErr w:type="spellStart"/>
      <w:r>
        <w:t>nonprofit</w:t>
      </w:r>
      <w:proofErr w:type="spellEnd"/>
      <w:r>
        <w:t xml:space="preserve"> organisation runs the danger of losing money, support, and growth opportunities if effective stakeholder interaction is lacking (MW, 2022). I would like to refer to a few recommendations to boost stakeholder involvement for the </w:t>
      </w:r>
      <w:proofErr w:type="spellStart"/>
      <w:r>
        <w:t>nonprofit</w:t>
      </w:r>
      <w:proofErr w:type="spellEnd"/>
      <w:r>
        <w:t xml:space="preserve"> consultant. These tips </w:t>
      </w:r>
      <w:r w:rsidR="00755022">
        <w:t>apply</w:t>
      </w:r>
      <w:r>
        <w:t xml:space="preserve"> to both community engagement and student development, so they should be useful in both contexts. This will help guarantee that the consultancy does not risk such losses.</w:t>
      </w:r>
      <w:r>
        <w:rPr>
          <w:shd w:val="clear" w:color="auto" w:fill="F4CCCC"/>
        </w:rPr>
        <w:t xml:space="preserve"> </w:t>
      </w:r>
    </w:p>
    <w:p w14:paraId="00000026" w14:textId="77777777" w:rsidR="00F45BC1" w:rsidRDefault="00000000">
      <w:pPr>
        <w:numPr>
          <w:ilvl w:val="0"/>
          <w:numId w:val="1"/>
        </w:numPr>
        <w:rPr>
          <w:b/>
        </w:rPr>
      </w:pPr>
      <w:r>
        <w:rPr>
          <w:b/>
        </w:rPr>
        <w:t>Effective communication</w:t>
      </w:r>
    </w:p>
    <w:p w14:paraId="00000027" w14:textId="5CA1D64E" w:rsidR="00F45BC1" w:rsidRDefault="00000000">
      <w:pPr>
        <w:ind w:left="720"/>
      </w:pPr>
      <w:r>
        <w:t xml:space="preserve">Communication with stakeholders is a fundamental component of the interaction that exists between the company and the stakeholders. However, </w:t>
      </w:r>
      <w:r w:rsidR="00755022">
        <w:t>for</w:t>
      </w:r>
      <w:r>
        <w:t xml:space="preserve"> communication to be successful, it </w:t>
      </w:r>
      <w:proofErr w:type="gramStart"/>
      <w:r>
        <w:t>has to</w:t>
      </w:r>
      <w:proofErr w:type="gramEnd"/>
      <w:r>
        <w:t xml:space="preserve"> take place promptly and in a regular manner. Include the stakeholders from the beginning of the process </w:t>
      </w:r>
      <w:r w:rsidR="00755022">
        <w:t>to</w:t>
      </w:r>
      <w:r>
        <w:t xml:space="preserve"> give them the impression that they are an integral part of the company. In addition to making early contact, the consultant is obligated to maintain open lines of communication with its many stakeholders (</w:t>
      </w:r>
      <w:proofErr w:type="spellStart"/>
      <w:r>
        <w:t>Knoepke</w:t>
      </w:r>
      <w:proofErr w:type="spellEnd"/>
      <w:r>
        <w:t xml:space="preserve"> </w:t>
      </w:r>
      <w:r>
        <w:rPr>
          <w:i/>
        </w:rPr>
        <w:t>et al.</w:t>
      </w:r>
      <w:r>
        <w:t>, 2019). When it comes to sustaining a partnership that is trustworthy and helpful, continued communication is essential.</w:t>
      </w:r>
    </w:p>
    <w:p w14:paraId="00000028" w14:textId="77777777" w:rsidR="00F45BC1" w:rsidRDefault="00000000">
      <w:pPr>
        <w:numPr>
          <w:ilvl w:val="0"/>
          <w:numId w:val="1"/>
        </w:numPr>
        <w:rPr>
          <w:b/>
        </w:rPr>
      </w:pPr>
      <w:r>
        <w:rPr>
          <w:b/>
        </w:rPr>
        <w:t>Use of social media platforms</w:t>
      </w:r>
    </w:p>
    <w:p w14:paraId="00000029" w14:textId="142DFF5B" w:rsidR="00F45BC1" w:rsidRDefault="00000000">
      <w:pPr>
        <w:ind w:left="720"/>
      </w:pPr>
      <w:r>
        <w:t>A significant number of stakeholders look to social media for information about their preferred organisations and possible investments in such organisations. Therefore, the material that the consultancy posts on social media is not intended just for the organisation's clients or volunteers. To encourage participation from stakeholders, develop a content strategy that includes materials geared at both those individuals and the other parts of the audience (</w:t>
      </w:r>
      <w:proofErr w:type="spellStart"/>
      <w:r>
        <w:t>Thizy</w:t>
      </w:r>
      <w:proofErr w:type="spellEnd"/>
      <w:r>
        <w:t xml:space="preserve"> </w:t>
      </w:r>
      <w:r>
        <w:rPr>
          <w:i/>
        </w:rPr>
        <w:t>et al</w:t>
      </w:r>
      <w:r>
        <w:t xml:space="preserve">., 2019). Demonstrate to the existing and </w:t>
      </w:r>
      <w:r>
        <w:lastRenderedPageBreak/>
        <w:t xml:space="preserve">future stakeholders that the consulting firm is aware of their participation in social media and that the consultancy cares about their interaction with the firm (Braun and </w:t>
      </w:r>
      <w:proofErr w:type="spellStart"/>
      <w:r>
        <w:t>Busuioc</w:t>
      </w:r>
      <w:proofErr w:type="spellEnd"/>
      <w:r>
        <w:t xml:space="preserve">, 2020). They will be able to engage in the discussion about consulting </w:t>
      </w:r>
      <w:r w:rsidR="00755022">
        <w:t>differently</w:t>
      </w:r>
      <w:r>
        <w:t xml:space="preserve"> </w:t>
      </w:r>
      <w:proofErr w:type="gramStart"/>
      <w:r>
        <w:t>as a result of</w:t>
      </w:r>
      <w:proofErr w:type="gramEnd"/>
      <w:r>
        <w:t xml:space="preserve"> this. It may also assist the consulting firm in attracting additional stakeholders who are interested in investing in the job that the consulting firm does.</w:t>
      </w:r>
    </w:p>
    <w:p w14:paraId="0000002A" w14:textId="77777777" w:rsidR="00F45BC1" w:rsidRDefault="00000000">
      <w:pPr>
        <w:numPr>
          <w:ilvl w:val="0"/>
          <w:numId w:val="1"/>
        </w:numPr>
        <w:rPr>
          <w:b/>
        </w:rPr>
      </w:pPr>
      <w:r>
        <w:rPr>
          <w:b/>
        </w:rPr>
        <w:t>Ask for views</w:t>
      </w:r>
    </w:p>
    <w:p w14:paraId="0000002B" w14:textId="17E8C87A" w:rsidR="00F45BC1" w:rsidRDefault="00000000">
      <w:pPr>
        <w:ind w:left="720"/>
      </w:pPr>
      <w:r>
        <w:t xml:space="preserve">In addition, the planning of special events for stakeholders would do wonders for the level of stakeholder involvement achieved by the consulting. Through participation in these invitation-only events, the consultancy will demonstrate to its stakeholders how highly it regards them. Additionally, there will be possibilities for face-to-face </w:t>
      </w:r>
      <w:r w:rsidR="00755022">
        <w:t>contact</w:t>
      </w:r>
      <w:r>
        <w:t xml:space="preserve"> as well as networking. Events have the potential to raise money, improve connections with stakeholders, promote the firm and its objective, and do much more besides (Stocker </w:t>
      </w:r>
      <w:r>
        <w:rPr>
          <w:i/>
        </w:rPr>
        <w:t>et al</w:t>
      </w:r>
      <w:r>
        <w:t xml:space="preserve">., 2020). For instance, the various parties involved may be asked to serve as the principal guests at various charitable events. They will have the impression that they are included </w:t>
      </w:r>
      <w:proofErr w:type="gramStart"/>
      <w:r>
        <w:t>as a result of</w:t>
      </w:r>
      <w:proofErr w:type="gramEnd"/>
      <w:r>
        <w:t xml:space="preserve"> this.</w:t>
      </w:r>
    </w:p>
    <w:p w14:paraId="0000002C" w14:textId="77777777" w:rsidR="00F45BC1" w:rsidRDefault="00000000">
      <w:pPr>
        <w:numPr>
          <w:ilvl w:val="0"/>
          <w:numId w:val="1"/>
        </w:numPr>
        <w:rPr>
          <w:b/>
        </w:rPr>
      </w:pPr>
      <w:r>
        <w:rPr>
          <w:b/>
        </w:rPr>
        <w:t>Make the stakeholders feel engaged.</w:t>
      </w:r>
    </w:p>
    <w:p w14:paraId="0000002D" w14:textId="77777777" w:rsidR="00F45BC1" w:rsidRDefault="00000000">
      <w:pPr>
        <w:ind w:left="720"/>
      </w:pPr>
      <w:r>
        <w:t>Not only should stakeholders be informed, but they should also be engaged. If the stakeholders get the impression that they are being excluded from the Consultancy and its efforts, they will lose interest in the process and cease participating. By actively incorporating stakeholders in the development and implementation of projects rather than only notifying them, the consulting firm may mitigate potentially catastrophic issues such as a sudden reduction in financial backing (</w:t>
      </w:r>
      <w:proofErr w:type="spellStart"/>
      <w:r>
        <w:t>Salvioni</w:t>
      </w:r>
      <w:proofErr w:type="spellEnd"/>
      <w:r>
        <w:t xml:space="preserve"> and </w:t>
      </w:r>
      <w:proofErr w:type="spellStart"/>
      <w:r>
        <w:t>Almici</w:t>
      </w:r>
      <w:proofErr w:type="spellEnd"/>
      <w:r>
        <w:t>, 2020).</w:t>
      </w:r>
    </w:p>
    <w:p w14:paraId="0000002E" w14:textId="77777777" w:rsidR="00F45BC1" w:rsidRDefault="00000000">
      <w:pPr>
        <w:pStyle w:val="Heading2"/>
      </w:pPr>
      <w:bookmarkStart w:id="5" w:name="_iz1nns9mzlah" w:colFirst="0" w:colLast="0"/>
      <w:bookmarkEnd w:id="5"/>
      <w:r>
        <w:t>Avenues to promote community participation</w:t>
      </w:r>
    </w:p>
    <w:p w14:paraId="0000002F" w14:textId="765A2F1B" w:rsidR="00F45BC1" w:rsidRDefault="00000000">
      <w:pPr>
        <w:spacing w:before="240" w:after="240"/>
      </w:pPr>
      <w:r>
        <w:t xml:space="preserve">It is necessary to centre one's attention on community involvement and social welfare non-profit organisational structure on the social, cultural, economic, and political processes and requirements of the community. Every different sort of person, originating from a variety of different origins, ethnicities, and cultural behaviours, has its </w:t>
      </w:r>
      <w:proofErr w:type="gramStart"/>
      <w:r>
        <w:t>particular processing</w:t>
      </w:r>
      <w:proofErr w:type="gramEnd"/>
      <w:r>
        <w:t xml:space="preserve"> mode. Therefore, </w:t>
      </w:r>
      <w:r w:rsidR="00755022">
        <w:t>to</w:t>
      </w:r>
      <w:r>
        <w:t xml:space="preserve"> continue with their appropriate process of support, it is vitally necessary to understand their requirements and preferences in the process of finding a solution to the issue and personal preferences in the process of finding a solution to the problem (West </w:t>
      </w:r>
      <w:r>
        <w:rPr>
          <w:i/>
        </w:rPr>
        <w:t>et al.</w:t>
      </w:r>
      <w:r>
        <w:t xml:space="preserve">, 2018). </w:t>
      </w:r>
      <w:r>
        <w:lastRenderedPageBreak/>
        <w:t>In the end, the social care service industry is known for its commitment to accurately delivering high-quality services to the communities it serves.</w:t>
      </w:r>
    </w:p>
    <w:p w14:paraId="00000030" w14:textId="77777777" w:rsidR="00F45BC1" w:rsidRDefault="00000000">
      <w:pPr>
        <w:numPr>
          <w:ilvl w:val="0"/>
          <w:numId w:val="2"/>
        </w:numPr>
        <w:spacing w:before="240" w:after="240"/>
        <w:rPr>
          <w:b/>
        </w:rPr>
      </w:pPr>
      <w:r>
        <w:rPr>
          <w:b/>
        </w:rPr>
        <w:t>Building rapport</w:t>
      </w:r>
    </w:p>
    <w:p w14:paraId="00000031" w14:textId="07388DEB" w:rsidR="00F45BC1" w:rsidRDefault="00000000">
      <w:pPr>
        <w:spacing w:before="240" w:after="240"/>
        <w:ind w:left="720"/>
      </w:pPr>
      <w:r>
        <w:t xml:space="preserve">Establishing mutual trust and understanding is what we mean when we talk about establishing rapport. In this case, both parties stand to gain financially from the arrangement; hence it may be thought of as a beneficiary agreement. Rapport building is the process of developing such a relationship with another person. One of the most important aspects of any social care system is the ability to communicate clearly and effectively with the communities it serves and with each patient (Jennings and </w:t>
      </w:r>
      <w:proofErr w:type="spellStart"/>
      <w:r>
        <w:t>Bamkole</w:t>
      </w:r>
      <w:proofErr w:type="spellEnd"/>
      <w:r>
        <w:t>, 2019). If you want to get to know a group, it's crucial to keep tabs on their health, their stories, and their preferences throughout time.</w:t>
      </w:r>
    </w:p>
    <w:p w14:paraId="00000032" w14:textId="77777777" w:rsidR="00F45BC1" w:rsidRDefault="00000000">
      <w:pPr>
        <w:numPr>
          <w:ilvl w:val="0"/>
          <w:numId w:val="2"/>
        </w:numPr>
        <w:spacing w:before="240" w:after="240"/>
        <w:rPr>
          <w:b/>
        </w:rPr>
      </w:pPr>
      <w:r>
        <w:rPr>
          <w:b/>
        </w:rPr>
        <w:t>Building confidence and self-esteem</w:t>
      </w:r>
    </w:p>
    <w:p w14:paraId="00000033" w14:textId="77777777" w:rsidR="00F45BC1" w:rsidRDefault="00000000">
      <w:pPr>
        <w:spacing w:before="240" w:after="240"/>
        <w:ind w:left="720"/>
        <w:rPr>
          <w:shd w:val="clear" w:color="auto" w:fill="F4CCCC"/>
        </w:rPr>
      </w:pPr>
      <w:r>
        <w:t xml:space="preserve">Community development warriors in the social care industry are called upon to enhance people's self-esteem right from the bat so that they feel inspired and get the need to get well sooner. After all, helping someone means more than just providing medical care; it also means being there for them emotionally. People who have suffered emotional trauma require support as they attempt to rebuild their lives (Hecker </w:t>
      </w:r>
      <w:r>
        <w:rPr>
          <w:i/>
        </w:rPr>
        <w:t>et al.</w:t>
      </w:r>
      <w:r>
        <w:t>, 2018). It's crucial to arm everyone with simple ideas and principles to help them weather any storm.</w:t>
      </w:r>
    </w:p>
    <w:p w14:paraId="00000034" w14:textId="77777777" w:rsidR="00F45BC1" w:rsidRDefault="00000000">
      <w:pPr>
        <w:pStyle w:val="Heading1"/>
      </w:pPr>
      <w:bookmarkStart w:id="6" w:name="_1txwqchsirr0" w:colFirst="0" w:colLast="0"/>
      <w:bookmarkEnd w:id="6"/>
      <w:r>
        <w:t xml:space="preserve">Conclusion </w:t>
      </w:r>
    </w:p>
    <w:p w14:paraId="00000035" w14:textId="34F9A2B7" w:rsidR="00F45BC1" w:rsidRDefault="00000000">
      <w:r>
        <w:t xml:space="preserve">Therefore, community engagement is a deliberate process with the explicit objective of engaging with recognised sections of the population, whether they are related by geographic location, a special interest, or affiliation, to identify and solve problems impacting their well-being. This may be done </w:t>
      </w:r>
      <w:r w:rsidR="00755022">
        <w:t>to</w:t>
      </w:r>
      <w:r>
        <w:t xml:space="preserve"> improve the community's overall quality of life.</w:t>
      </w:r>
    </w:p>
    <w:p w14:paraId="00000036" w14:textId="4488198E" w:rsidR="00F45BC1" w:rsidRDefault="00000000">
      <w:r>
        <w:t xml:space="preserve">The mission statement of the consultancy is to resolve issues faced by various charitable organisations, as well as to build a large group of youths who will be insightful, emotionally supportive, caring, and capable of identifying flaws and difficulties in and around the community so that they can further resolve them using their acquired skills and knowledge. It is possible to </w:t>
      </w:r>
      <w:r w:rsidR="00755022">
        <w:t>suggest</w:t>
      </w:r>
      <w:r>
        <w:t xml:space="preserve"> that the consulting firm should consider making modifications to their website </w:t>
      </w:r>
      <w:r w:rsidR="00755022">
        <w:t>to</w:t>
      </w:r>
      <w:r>
        <w:t xml:space="preserve"> make it more accessible to charitable organisations and students who are looking for </w:t>
      </w:r>
      <w:r>
        <w:lastRenderedPageBreak/>
        <w:t xml:space="preserve">assistance and assistance with their charitable endeavours. This may be accomplished by providing a helpline number that is accessible around the clock on the website. People will have an easier time comprehending the material if the registration alternatives are simplified and made more readily available. Already, the consulting business is going quite well. They only need to be somewhat more organised and aware of their surroundings </w:t>
      </w:r>
      <w:r w:rsidR="00755022">
        <w:t>to</w:t>
      </w:r>
      <w:r>
        <w:t xml:space="preserve"> become much more effective in the </w:t>
      </w:r>
      <w:r w:rsidR="00755022">
        <w:t>not-too-distant</w:t>
      </w:r>
      <w:r>
        <w:t xml:space="preserve"> future.</w:t>
      </w:r>
    </w:p>
    <w:p w14:paraId="00000037" w14:textId="77777777" w:rsidR="00F45BC1" w:rsidRDefault="00F45BC1"/>
    <w:p w14:paraId="00000038" w14:textId="77777777" w:rsidR="00F45BC1" w:rsidRDefault="00F45BC1">
      <w:pPr>
        <w:rPr>
          <w:shd w:val="clear" w:color="auto" w:fill="F4CCCC"/>
        </w:rPr>
      </w:pPr>
    </w:p>
    <w:p w14:paraId="00000039" w14:textId="77777777" w:rsidR="00F45BC1" w:rsidRDefault="00000000">
      <w:pPr>
        <w:rPr>
          <w:b/>
          <w:shd w:val="clear" w:color="auto" w:fill="F4CCCC"/>
        </w:rPr>
      </w:pPr>
      <w:r>
        <w:br w:type="page"/>
      </w:r>
    </w:p>
    <w:p w14:paraId="0000003A" w14:textId="77777777" w:rsidR="00F45BC1" w:rsidRDefault="00000000">
      <w:pPr>
        <w:pStyle w:val="Heading1"/>
      </w:pPr>
      <w:bookmarkStart w:id="7" w:name="_j519395cl0yw" w:colFirst="0" w:colLast="0"/>
      <w:bookmarkEnd w:id="7"/>
      <w:r>
        <w:lastRenderedPageBreak/>
        <w:t>Reference</w:t>
      </w:r>
    </w:p>
    <w:p w14:paraId="0000003B" w14:textId="79EA4C0C" w:rsidR="00F45BC1" w:rsidRDefault="00000000">
      <w:r>
        <w:t xml:space="preserve">Braun, C. and </w:t>
      </w:r>
      <w:proofErr w:type="spellStart"/>
      <w:r>
        <w:t>Busuioc</w:t>
      </w:r>
      <w:proofErr w:type="spellEnd"/>
      <w:r>
        <w:t>, M., 2020. Stakeholder engagement as a conduit for regulatory legitimacy</w:t>
      </w:r>
      <w:r w:rsidR="00755022">
        <w:t>.</w:t>
      </w:r>
      <w:r>
        <w:t xml:space="preserve"> Journal of European Public Policy, 27(11), pp.1599-1611.</w:t>
      </w:r>
    </w:p>
    <w:p w14:paraId="0000003C" w14:textId="77777777" w:rsidR="00F45BC1" w:rsidRDefault="00000000">
      <w:r>
        <w:t>Chron, 2019, “</w:t>
      </w:r>
      <w:r>
        <w:rPr>
          <w:i/>
        </w:rPr>
        <w:t>For Profit vs. Not-for-Profit Organization</w:t>
      </w:r>
      <w:r>
        <w:t xml:space="preserve">”, Available </w:t>
      </w:r>
      <w:proofErr w:type="gramStart"/>
      <w:r>
        <w:t>at  https://smallbusiness.chron.com/profit-vs-not-for-profit-organization-4158.html</w:t>
      </w:r>
      <w:proofErr w:type="gramEnd"/>
      <w:r>
        <w:t xml:space="preserve"> [Accessed on 17th August 2022]</w:t>
      </w:r>
    </w:p>
    <w:p w14:paraId="0000003D" w14:textId="77777777" w:rsidR="00F45BC1" w:rsidRDefault="00000000">
      <w:r>
        <w:t>Classy, 2022, “</w:t>
      </w:r>
      <w:r>
        <w:rPr>
          <w:i/>
        </w:rPr>
        <w:t xml:space="preserve">Fundraising Ideas for </w:t>
      </w:r>
      <w:proofErr w:type="spellStart"/>
      <w:r>
        <w:rPr>
          <w:i/>
        </w:rPr>
        <w:t>Nonprofits</w:t>
      </w:r>
      <w:proofErr w:type="spellEnd"/>
      <w:r>
        <w:t>”, Available at   https://www.classy.org/blog/fundraising-event-ideas-raise-money-cause/ [Accessed on 17th August 2022]</w:t>
      </w:r>
    </w:p>
    <w:p w14:paraId="0000003E" w14:textId="77777777" w:rsidR="00F45BC1" w:rsidRDefault="00000000">
      <w:r>
        <w:t xml:space="preserve">Hecker, S., Bonney, R., </w:t>
      </w:r>
      <w:proofErr w:type="spellStart"/>
      <w:r>
        <w:t>Haklay</w:t>
      </w:r>
      <w:proofErr w:type="spellEnd"/>
      <w:r>
        <w:t xml:space="preserve">, M., </w:t>
      </w:r>
      <w:proofErr w:type="spellStart"/>
      <w:r>
        <w:t>Hölker</w:t>
      </w:r>
      <w:proofErr w:type="spellEnd"/>
      <w:r>
        <w:t xml:space="preserve">, F., Hofer, H., Goebel, C., Gold, M., </w:t>
      </w:r>
      <w:proofErr w:type="spellStart"/>
      <w:r>
        <w:t>Makuch</w:t>
      </w:r>
      <w:proofErr w:type="spellEnd"/>
      <w:r>
        <w:t>, Z., Ponti, M., Richter, A. and Robinson, L., 2018. Innovation in citizen science–perspectives on science-policy advances. Citizen Science: Theory and Practice, 3(1).</w:t>
      </w:r>
    </w:p>
    <w:p w14:paraId="0000003F" w14:textId="77777777" w:rsidR="00F45BC1" w:rsidRDefault="00000000">
      <w:r>
        <w:t xml:space="preserve">Jennings, V. and </w:t>
      </w:r>
      <w:proofErr w:type="spellStart"/>
      <w:r>
        <w:t>Bamkole</w:t>
      </w:r>
      <w:proofErr w:type="spellEnd"/>
      <w:r>
        <w:t>, O., 2019. The relationship between social cohesion and urban green space: An avenue for health promotion. International journal of environmental research and public health, 16(3), p.452.</w:t>
      </w:r>
    </w:p>
    <w:p w14:paraId="00000040" w14:textId="77777777" w:rsidR="00F45BC1" w:rsidRDefault="00000000">
      <w:proofErr w:type="spellStart"/>
      <w:r>
        <w:t>Knoepke</w:t>
      </w:r>
      <w:proofErr w:type="spellEnd"/>
      <w:r>
        <w:t xml:space="preserve">, C.E., Ingle, M.P., Matlock, D.D., Brownson, R.C. and Glasgow, R.E., 2019. Dissemination and stakeholder engagement practices among dissemination &amp; implementation scientists: results from an online survey. </w:t>
      </w:r>
      <w:proofErr w:type="spellStart"/>
      <w:r>
        <w:t>PLoS</w:t>
      </w:r>
      <w:proofErr w:type="spellEnd"/>
      <w:r>
        <w:t xml:space="preserve"> One, 14(11), p.e0216971.</w:t>
      </w:r>
    </w:p>
    <w:p w14:paraId="00000041" w14:textId="77777777" w:rsidR="00F45BC1" w:rsidRDefault="00000000">
      <w:r>
        <w:t>MW, 2022, “</w:t>
      </w:r>
      <w:r>
        <w:rPr>
          <w:i/>
        </w:rPr>
        <w:t>Stakeholder</w:t>
      </w:r>
      <w:r>
        <w:t>”, Available at   https://www.merriam-webster.com/dictionary/stakeholder [Accessed on 17th August 2022]</w:t>
      </w:r>
    </w:p>
    <w:p w14:paraId="00000042" w14:textId="5A165AAB" w:rsidR="00F45BC1" w:rsidRDefault="00000000">
      <w:r>
        <w:t xml:space="preserve">NIH, 2022, “Voluntary blood donation: </w:t>
      </w:r>
      <w:r w:rsidR="00755022">
        <w:t xml:space="preserve">the </w:t>
      </w:r>
      <w:r>
        <w:t xml:space="preserve">foundation of a safe and sufficient blood supply”, Available </w:t>
      </w:r>
      <w:proofErr w:type="gramStart"/>
      <w:r>
        <w:t>at  https://www.ncbi.nlm.nih.gov/books/NBK305666/</w:t>
      </w:r>
      <w:proofErr w:type="gramEnd"/>
      <w:r>
        <w:t xml:space="preserve"> [Accessed on 15th August 2022]</w:t>
      </w:r>
    </w:p>
    <w:p w14:paraId="00000043" w14:textId="77777777" w:rsidR="00F45BC1" w:rsidRDefault="00000000">
      <w:proofErr w:type="spellStart"/>
      <w:r>
        <w:t>Salvioni</w:t>
      </w:r>
      <w:proofErr w:type="spellEnd"/>
      <w:r>
        <w:t xml:space="preserve">, D.M. and </w:t>
      </w:r>
      <w:proofErr w:type="spellStart"/>
      <w:r>
        <w:t>Almici</w:t>
      </w:r>
      <w:proofErr w:type="spellEnd"/>
      <w:r>
        <w:t>, A., 2020. Transitioning toward a circular economy: The impact of stakeholder engagement on sustainability culture. Sustainability, 12(20), p.8641.</w:t>
      </w:r>
    </w:p>
    <w:p w14:paraId="00000044" w14:textId="77777777" w:rsidR="00F45BC1" w:rsidRDefault="00000000">
      <w:r>
        <w:t xml:space="preserve">Stocker, F., de Arruda, M.P., de </w:t>
      </w:r>
      <w:proofErr w:type="spellStart"/>
      <w:r>
        <w:t>Mascena</w:t>
      </w:r>
      <w:proofErr w:type="spellEnd"/>
      <w:r>
        <w:t xml:space="preserve">, K.M. and </w:t>
      </w:r>
      <w:proofErr w:type="spellStart"/>
      <w:r>
        <w:t>Boaventura</w:t>
      </w:r>
      <w:proofErr w:type="spellEnd"/>
      <w:r>
        <w:t>, J.M., 2020. Stakeholder engagement in sustainability reporting: a classification model. Corporate Social Responsibility and Environmental Management, 27(5), pp.2071-2080.</w:t>
      </w:r>
    </w:p>
    <w:p w14:paraId="00000045" w14:textId="77777777" w:rsidR="00F45BC1" w:rsidRDefault="00000000">
      <w:proofErr w:type="spellStart"/>
      <w:r>
        <w:t>Thizy</w:t>
      </w:r>
      <w:proofErr w:type="spellEnd"/>
      <w:r>
        <w:t xml:space="preserve">, D., Emerson, C., Gibbs, J., Hartley, S., </w:t>
      </w:r>
      <w:proofErr w:type="spellStart"/>
      <w:r>
        <w:t>Kapiriri</w:t>
      </w:r>
      <w:proofErr w:type="spellEnd"/>
      <w:r>
        <w:t xml:space="preserve">, L., </w:t>
      </w:r>
      <w:proofErr w:type="spellStart"/>
      <w:r>
        <w:t>Lavery</w:t>
      </w:r>
      <w:proofErr w:type="spellEnd"/>
      <w:r>
        <w:t xml:space="preserve">, J., </w:t>
      </w:r>
      <w:proofErr w:type="spellStart"/>
      <w:r>
        <w:t>Lunshof</w:t>
      </w:r>
      <w:proofErr w:type="spellEnd"/>
      <w:r>
        <w:t xml:space="preserve">, J., Ramsey, J., Shapiro, J., Singh, J.A. and Toe, L.P., 2019. Guidance on stakeholder engagement practices to inform the development of area-wide vector control methods. </w:t>
      </w:r>
      <w:proofErr w:type="spellStart"/>
      <w:r>
        <w:t>PLoS</w:t>
      </w:r>
      <w:proofErr w:type="spellEnd"/>
      <w:r>
        <w:t xml:space="preserve"> neglected tropical diseases, 13(4), p.e0007286.</w:t>
      </w:r>
    </w:p>
    <w:p w14:paraId="00000046" w14:textId="77777777" w:rsidR="00F45BC1" w:rsidRDefault="00000000">
      <w:r>
        <w:lastRenderedPageBreak/>
        <w:t xml:space="preserve">West, M.A., Hwang, S., Maier, R.V., Ahuja, N., </w:t>
      </w:r>
      <w:proofErr w:type="spellStart"/>
      <w:r>
        <w:t>Angelos</w:t>
      </w:r>
      <w:proofErr w:type="spellEnd"/>
      <w:r>
        <w:t xml:space="preserve">, P., Bass, B.L., </w:t>
      </w:r>
      <w:proofErr w:type="spellStart"/>
      <w:r>
        <w:t>Brasel</w:t>
      </w:r>
      <w:proofErr w:type="spellEnd"/>
      <w:r>
        <w:t xml:space="preserve">, K.J., Chen, H., Davis, K.A., </w:t>
      </w:r>
      <w:proofErr w:type="spellStart"/>
      <w:r>
        <w:t>Eberlein</w:t>
      </w:r>
      <w:proofErr w:type="spellEnd"/>
      <w:r>
        <w:t>, T.J. and Fong, Y., 2018. Ensuring equity, diversity, and inclusion in academic surgery: an American Surgical Association white paper. Annals of surgery, 268(3), pp.403-407.</w:t>
      </w:r>
    </w:p>
    <w:p w14:paraId="00000047" w14:textId="77777777" w:rsidR="00F45BC1" w:rsidRDefault="00F45BC1"/>
    <w:sectPr w:rsidR="00F45BC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2D073" w14:textId="77777777" w:rsidR="006A3043" w:rsidRDefault="006A3043" w:rsidP="00755022">
      <w:pPr>
        <w:spacing w:line="240" w:lineRule="auto"/>
      </w:pPr>
      <w:r>
        <w:separator/>
      </w:r>
    </w:p>
  </w:endnote>
  <w:endnote w:type="continuationSeparator" w:id="0">
    <w:p w14:paraId="6395255A" w14:textId="77777777" w:rsidR="006A3043" w:rsidRDefault="006A3043" w:rsidP="007550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C908A" w14:textId="77777777" w:rsidR="00755022" w:rsidRDefault="007550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C84D1" w14:textId="77777777" w:rsidR="00755022" w:rsidRDefault="007550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48D1B" w14:textId="77777777" w:rsidR="00755022" w:rsidRDefault="00755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19D41" w14:textId="77777777" w:rsidR="006A3043" w:rsidRDefault="006A3043" w:rsidP="00755022">
      <w:pPr>
        <w:spacing w:line="240" w:lineRule="auto"/>
      </w:pPr>
      <w:r>
        <w:separator/>
      </w:r>
    </w:p>
  </w:footnote>
  <w:footnote w:type="continuationSeparator" w:id="0">
    <w:p w14:paraId="5E6670C8" w14:textId="77777777" w:rsidR="006A3043" w:rsidRDefault="006A3043" w:rsidP="007550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92721" w14:textId="77777777" w:rsidR="00755022" w:rsidRDefault="007550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20750" w14:textId="77777777" w:rsidR="00755022" w:rsidRDefault="007550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AFDC2" w14:textId="77777777" w:rsidR="00755022" w:rsidRDefault="007550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F2556"/>
    <w:multiLevelType w:val="multilevel"/>
    <w:tmpl w:val="0CF8E5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1544C8"/>
    <w:multiLevelType w:val="multilevel"/>
    <w:tmpl w:val="C812F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02199F"/>
    <w:multiLevelType w:val="multilevel"/>
    <w:tmpl w:val="29785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3052122">
    <w:abstractNumId w:val="2"/>
  </w:num>
  <w:num w:numId="2" w16cid:durableId="58210763">
    <w:abstractNumId w:val="0"/>
  </w:num>
  <w:num w:numId="3" w16cid:durableId="533546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BC1"/>
    <w:rsid w:val="006A3043"/>
    <w:rsid w:val="00755022"/>
    <w:rsid w:val="00F45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7634E0"/>
  <w15:docId w15:val="{E7F8FDAE-82EB-904F-8549-2C9FA8C91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55022"/>
    <w:pPr>
      <w:tabs>
        <w:tab w:val="center" w:pos="4513"/>
        <w:tab w:val="right" w:pos="9026"/>
      </w:tabs>
      <w:spacing w:line="240" w:lineRule="auto"/>
    </w:pPr>
  </w:style>
  <w:style w:type="character" w:customStyle="1" w:styleId="HeaderChar">
    <w:name w:val="Header Char"/>
    <w:basedOn w:val="DefaultParagraphFont"/>
    <w:link w:val="Header"/>
    <w:uiPriority w:val="99"/>
    <w:rsid w:val="00755022"/>
  </w:style>
  <w:style w:type="paragraph" w:styleId="Footer">
    <w:name w:val="footer"/>
    <w:basedOn w:val="Normal"/>
    <w:link w:val="FooterChar"/>
    <w:uiPriority w:val="99"/>
    <w:unhideWhenUsed/>
    <w:rsid w:val="00755022"/>
    <w:pPr>
      <w:tabs>
        <w:tab w:val="center" w:pos="4513"/>
        <w:tab w:val="right" w:pos="9026"/>
      </w:tabs>
      <w:spacing w:line="240" w:lineRule="auto"/>
    </w:pPr>
  </w:style>
  <w:style w:type="character" w:customStyle="1" w:styleId="FooterChar">
    <w:name w:val="Footer Char"/>
    <w:basedOn w:val="DefaultParagraphFont"/>
    <w:link w:val="Footer"/>
    <w:uiPriority w:val="99"/>
    <w:rsid w:val="007550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2396</Words>
  <Characters>13658</Characters>
  <Application>Microsoft Office Word</Application>
  <DocSecurity>0</DocSecurity>
  <Lines>113</Lines>
  <Paragraphs>32</Paragraphs>
  <ScaleCrop>false</ScaleCrop>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2</cp:revision>
  <dcterms:created xsi:type="dcterms:W3CDTF">2022-08-26T17:47:00Z</dcterms:created>
  <dcterms:modified xsi:type="dcterms:W3CDTF">2022-08-26T17:50:00Z</dcterms:modified>
</cp:coreProperties>
</file>