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AE0AA9" w14:textId="77777777" w:rsidR="006C0A8E" w:rsidRPr="006C0A8E" w:rsidRDefault="006C0A8E" w:rsidP="006C0A8E">
      <w:pPr>
        <w:spacing w:line="278" w:lineRule="auto"/>
        <w:jc w:val="center"/>
        <w:rPr>
          <w:rFonts w:eastAsia="DengXian" w:cs="Arial"/>
          <w:kern w:val="2"/>
          <w:szCs w:val="24"/>
          <w:lang w:eastAsia="zh-CN"/>
          <w14:ligatures w14:val="standardContextual"/>
        </w:rPr>
      </w:pPr>
      <w:r w:rsidRPr="006C0A8E">
        <w:rPr>
          <w:rFonts w:eastAsia="DengXian" w:cs="Arial"/>
          <w:noProof/>
          <w:kern w:val="2"/>
          <w:szCs w:val="24"/>
          <w:lang w:val="en-US"/>
          <w14:ligatures w14:val="standardContextual"/>
        </w:rPr>
        <w:drawing>
          <wp:inline distT="0" distB="0" distL="0" distR="0" wp14:anchorId="622A72D9" wp14:editId="1184DBB5">
            <wp:extent cx="3694316" cy="1543050"/>
            <wp:effectExtent l="0" t="0" r="1905" b="0"/>
            <wp:docPr id="1"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723795" cy="1555363"/>
                    </a:xfrm>
                    <a:prstGeom prst="rect">
                      <a:avLst/>
                    </a:prstGeom>
                    <a:noFill/>
                    <a:ln>
                      <a:noFill/>
                    </a:ln>
                  </pic:spPr>
                </pic:pic>
              </a:graphicData>
            </a:graphic>
          </wp:inline>
        </w:drawing>
      </w:r>
    </w:p>
    <w:p w14:paraId="55DBD1DB" w14:textId="77777777" w:rsidR="006C0A8E" w:rsidRPr="006C0A8E" w:rsidRDefault="006C0A8E" w:rsidP="006C0A8E">
      <w:pPr>
        <w:spacing w:line="278" w:lineRule="auto"/>
        <w:jc w:val="center"/>
        <w:rPr>
          <w:rFonts w:eastAsia="DengXian" w:cs="Arial"/>
          <w:kern w:val="2"/>
          <w:sz w:val="44"/>
          <w:szCs w:val="48"/>
          <w:lang w:eastAsia="zh-CN"/>
          <w14:ligatures w14:val="standardContextual"/>
        </w:rPr>
      </w:pPr>
      <w:r w:rsidRPr="006C0A8E">
        <w:rPr>
          <w:rFonts w:eastAsia="DengXian" w:cs="Arial"/>
          <w:b/>
          <w:bCs/>
          <w:kern w:val="2"/>
          <w:sz w:val="44"/>
          <w:szCs w:val="48"/>
          <w:lang w:eastAsia="zh-CN"/>
          <w14:ligatures w14:val="standardContextual"/>
        </w:rPr>
        <w:t xml:space="preserve">Module Name: </w:t>
      </w:r>
      <w:r w:rsidRPr="006C0A8E">
        <w:rPr>
          <w:rFonts w:eastAsia="DengXian" w:cs="Arial"/>
          <w:kern w:val="2"/>
          <w:sz w:val="44"/>
          <w:szCs w:val="48"/>
          <w:lang w:eastAsia="zh-CN"/>
          <w14:ligatures w14:val="standardContextual"/>
        </w:rPr>
        <w:t>Professional Career Development</w:t>
      </w:r>
    </w:p>
    <w:p w14:paraId="6D0E9DF1" w14:textId="77777777" w:rsidR="006C0A8E" w:rsidRPr="006C0A8E" w:rsidRDefault="006C0A8E" w:rsidP="006C0A8E">
      <w:pPr>
        <w:spacing w:line="278" w:lineRule="auto"/>
        <w:jc w:val="center"/>
        <w:rPr>
          <w:rFonts w:eastAsia="DengXian" w:cs="Arial"/>
          <w:b/>
          <w:bCs/>
          <w:kern w:val="2"/>
          <w:sz w:val="44"/>
          <w:szCs w:val="48"/>
          <w:lang w:eastAsia="zh-CN"/>
          <w14:ligatures w14:val="standardContextual"/>
        </w:rPr>
      </w:pPr>
    </w:p>
    <w:p w14:paraId="64CE0928" w14:textId="77777777" w:rsidR="006C0A8E" w:rsidRPr="006C0A8E" w:rsidRDefault="006C0A8E" w:rsidP="006C0A8E">
      <w:pPr>
        <w:spacing w:line="278" w:lineRule="auto"/>
        <w:jc w:val="center"/>
        <w:rPr>
          <w:rFonts w:eastAsia="DengXian" w:cs="Arial"/>
          <w:kern w:val="2"/>
          <w:sz w:val="44"/>
          <w:szCs w:val="48"/>
          <w:lang w:eastAsia="zh-CN"/>
          <w14:ligatures w14:val="standardContextual"/>
        </w:rPr>
      </w:pPr>
      <w:r w:rsidRPr="006C0A8E">
        <w:rPr>
          <w:rFonts w:eastAsia="DengXian" w:cs="Arial"/>
          <w:b/>
          <w:bCs/>
          <w:kern w:val="2"/>
          <w:sz w:val="44"/>
          <w:szCs w:val="48"/>
          <w:lang w:eastAsia="zh-CN"/>
          <w14:ligatures w14:val="standardContextual"/>
        </w:rPr>
        <w:t xml:space="preserve">Module Code: </w:t>
      </w:r>
      <w:r w:rsidRPr="006C0A8E">
        <w:rPr>
          <w:rFonts w:eastAsia="DengXian" w:cs="Arial"/>
          <w:kern w:val="2"/>
          <w:sz w:val="44"/>
          <w:szCs w:val="48"/>
          <w:lang w:eastAsia="zh-CN"/>
          <w14:ligatures w14:val="standardContextual"/>
        </w:rPr>
        <w:t>BMSW4012</w:t>
      </w:r>
    </w:p>
    <w:p w14:paraId="4F421EDE" w14:textId="77777777" w:rsidR="006C0A8E" w:rsidRPr="008B78AD" w:rsidRDefault="006C0A8E" w:rsidP="006C0A8E">
      <w:pPr>
        <w:spacing w:line="278" w:lineRule="auto"/>
        <w:jc w:val="left"/>
        <w:rPr>
          <w:rFonts w:eastAsia="DengXian" w:cs="Arial"/>
          <w:b/>
          <w:bCs/>
          <w:kern w:val="2"/>
          <w:sz w:val="48"/>
          <w:szCs w:val="48"/>
          <w:lang w:eastAsia="zh-CN"/>
          <w14:ligatures w14:val="standardContextual"/>
        </w:rPr>
      </w:pPr>
    </w:p>
    <w:p w14:paraId="36A71499" w14:textId="77777777" w:rsidR="006C0A8E" w:rsidRPr="006C0A8E" w:rsidRDefault="006C0A8E" w:rsidP="006C0A8E">
      <w:pPr>
        <w:spacing w:line="278" w:lineRule="auto"/>
        <w:jc w:val="left"/>
        <w:rPr>
          <w:rFonts w:eastAsia="DengXian" w:cs="Arial"/>
          <w:b/>
          <w:bCs/>
          <w:kern w:val="2"/>
          <w:sz w:val="48"/>
          <w:szCs w:val="48"/>
          <w:lang w:eastAsia="zh-CN"/>
          <w14:ligatures w14:val="standardContextual"/>
        </w:rPr>
      </w:pPr>
    </w:p>
    <w:p w14:paraId="42CE0547" w14:textId="77777777" w:rsidR="006C0A8E" w:rsidRPr="006C0A8E" w:rsidRDefault="006C0A8E" w:rsidP="006C0A8E">
      <w:pPr>
        <w:spacing w:line="278" w:lineRule="auto"/>
        <w:jc w:val="left"/>
        <w:rPr>
          <w:rFonts w:eastAsia="DengXian" w:cs="Arial"/>
          <w:b/>
          <w:bCs/>
          <w:kern w:val="2"/>
          <w:sz w:val="28"/>
          <w:szCs w:val="48"/>
          <w:lang w:eastAsia="zh-CN"/>
          <w14:ligatures w14:val="standardContextual"/>
        </w:rPr>
      </w:pPr>
      <w:r w:rsidRPr="006C0A8E">
        <w:rPr>
          <w:rFonts w:eastAsia="DengXian" w:cs="Arial"/>
          <w:b/>
          <w:bCs/>
          <w:kern w:val="2"/>
          <w:sz w:val="28"/>
          <w:szCs w:val="48"/>
          <w:lang w:eastAsia="zh-CN"/>
          <w14:ligatures w14:val="standardContextual"/>
        </w:rPr>
        <w:t>Student Name:</w:t>
      </w:r>
    </w:p>
    <w:p w14:paraId="74AD4A82" w14:textId="77777777" w:rsidR="006C0A8E" w:rsidRPr="006C0A8E" w:rsidRDefault="006C0A8E" w:rsidP="006C0A8E">
      <w:pPr>
        <w:spacing w:line="278" w:lineRule="auto"/>
        <w:jc w:val="left"/>
        <w:rPr>
          <w:rFonts w:eastAsia="DengXian" w:cs="Arial"/>
          <w:b/>
          <w:bCs/>
          <w:kern w:val="2"/>
          <w:sz w:val="28"/>
          <w:szCs w:val="48"/>
          <w:lang w:eastAsia="zh-CN"/>
          <w14:ligatures w14:val="standardContextual"/>
        </w:rPr>
      </w:pPr>
    </w:p>
    <w:p w14:paraId="371055A3" w14:textId="77777777" w:rsidR="006C0A8E" w:rsidRPr="006C0A8E" w:rsidRDefault="006C0A8E" w:rsidP="006C0A8E">
      <w:pPr>
        <w:spacing w:line="278" w:lineRule="auto"/>
        <w:jc w:val="left"/>
        <w:rPr>
          <w:rFonts w:eastAsia="DengXian" w:cs="Arial"/>
          <w:b/>
          <w:bCs/>
          <w:kern w:val="2"/>
          <w:sz w:val="28"/>
          <w:szCs w:val="48"/>
          <w:lang w:eastAsia="zh-CN"/>
          <w14:ligatures w14:val="standardContextual"/>
        </w:rPr>
      </w:pPr>
      <w:r w:rsidRPr="006C0A8E">
        <w:rPr>
          <w:rFonts w:eastAsia="DengXian" w:cs="Arial"/>
          <w:b/>
          <w:bCs/>
          <w:kern w:val="2"/>
          <w:sz w:val="28"/>
          <w:szCs w:val="48"/>
          <w:lang w:eastAsia="zh-CN"/>
          <w14:ligatures w14:val="standardContextual"/>
        </w:rPr>
        <w:t>Student Number:</w:t>
      </w:r>
    </w:p>
    <w:p w14:paraId="08B22429" w14:textId="77777777" w:rsidR="006C0A8E" w:rsidRPr="006C0A8E" w:rsidRDefault="006C0A8E" w:rsidP="006C0A8E">
      <w:pPr>
        <w:spacing w:line="278" w:lineRule="auto"/>
        <w:jc w:val="left"/>
        <w:rPr>
          <w:rFonts w:eastAsia="DengXian" w:cs="Arial"/>
          <w:b/>
          <w:bCs/>
          <w:kern w:val="2"/>
          <w:sz w:val="28"/>
          <w:szCs w:val="48"/>
          <w:lang w:eastAsia="zh-CN"/>
          <w14:ligatures w14:val="standardContextual"/>
        </w:rPr>
      </w:pPr>
    </w:p>
    <w:p w14:paraId="3521F97C" w14:textId="77777777" w:rsidR="006C0A8E" w:rsidRPr="006C0A8E" w:rsidRDefault="006C0A8E" w:rsidP="006C0A8E">
      <w:pPr>
        <w:spacing w:line="278" w:lineRule="auto"/>
        <w:jc w:val="left"/>
        <w:rPr>
          <w:rFonts w:eastAsia="DengXian" w:cs="Arial"/>
          <w:b/>
          <w:bCs/>
          <w:kern w:val="2"/>
          <w:sz w:val="28"/>
          <w:szCs w:val="48"/>
          <w:lang w:eastAsia="zh-CN"/>
          <w14:ligatures w14:val="standardContextual"/>
        </w:rPr>
      </w:pPr>
      <w:r w:rsidRPr="006C0A8E">
        <w:rPr>
          <w:rFonts w:eastAsia="DengXian" w:cs="Arial"/>
          <w:b/>
          <w:bCs/>
          <w:kern w:val="2"/>
          <w:sz w:val="28"/>
          <w:szCs w:val="48"/>
          <w:lang w:eastAsia="zh-CN"/>
          <w14:ligatures w14:val="standardContextual"/>
        </w:rPr>
        <w:t>Lecturer:</w:t>
      </w:r>
    </w:p>
    <w:p w14:paraId="736CD38C" w14:textId="77777777" w:rsidR="006C0A8E" w:rsidRPr="006C0A8E" w:rsidRDefault="006C0A8E" w:rsidP="006C0A8E">
      <w:pPr>
        <w:spacing w:line="278" w:lineRule="auto"/>
        <w:jc w:val="left"/>
        <w:rPr>
          <w:rFonts w:eastAsia="DengXian" w:cs="Arial"/>
          <w:b/>
          <w:bCs/>
          <w:kern w:val="2"/>
          <w:sz w:val="28"/>
          <w:szCs w:val="48"/>
          <w:lang w:eastAsia="zh-CN"/>
          <w14:ligatures w14:val="standardContextual"/>
        </w:rPr>
      </w:pPr>
    </w:p>
    <w:p w14:paraId="30FCA955" w14:textId="77777777" w:rsidR="00616D56" w:rsidRDefault="006C0A8E" w:rsidP="006C0A8E">
      <w:pPr>
        <w:spacing w:line="278" w:lineRule="auto"/>
        <w:jc w:val="left"/>
        <w:rPr>
          <w:rFonts w:eastAsia="DengXian" w:cs="Arial"/>
          <w:kern w:val="2"/>
          <w:sz w:val="28"/>
          <w:szCs w:val="48"/>
          <w:lang w:eastAsia="zh-CN"/>
          <w14:ligatures w14:val="standardContextual"/>
        </w:rPr>
      </w:pPr>
      <w:r w:rsidRPr="006C0A8E">
        <w:rPr>
          <w:rFonts w:eastAsia="DengXian" w:cs="Arial"/>
          <w:b/>
          <w:bCs/>
          <w:kern w:val="2"/>
          <w:sz w:val="28"/>
          <w:szCs w:val="48"/>
          <w:lang w:eastAsia="zh-CN"/>
          <w14:ligatures w14:val="standardContextual"/>
        </w:rPr>
        <w:t xml:space="preserve">Deadline: </w:t>
      </w:r>
      <w:r w:rsidRPr="006C0A8E">
        <w:rPr>
          <w:rFonts w:eastAsia="DengXian" w:cs="Arial"/>
          <w:kern w:val="2"/>
          <w:sz w:val="28"/>
          <w:szCs w:val="48"/>
          <w:lang w:eastAsia="zh-CN"/>
          <w14:ligatures w14:val="standardContextual"/>
        </w:rPr>
        <w:t>Friday 12</w:t>
      </w:r>
      <w:r w:rsidRPr="006C0A8E">
        <w:rPr>
          <w:rFonts w:eastAsia="DengXian" w:cs="Arial"/>
          <w:kern w:val="2"/>
          <w:sz w:val="28"/>
          <w:szCs w:val="48"/>
          <w:vertAlign w:val="superscript"/>
          <w:lang w:eastAsia="zh-CN"/>
          <w14:ligatures w14:val="standardContextual"/>
        </w:rPr>
        <w:t>th</w:t>
      </w:r>
      <w:r w:rsidRPr="006C0A8E">
        <w:rPr>
          <w:rFonts w:eastAsia="DengXian" w:cs="Arial"/>
          <w:kern w:val="2"/>
          <w:sz w:val="28"/>
          <w:szCs w:val="48"/>
          <w:lang w:eastAsia="zh-CN"/>
          <w14:ligatures w14:val="standardContextual"/>
        </w:rPr>
        <w:t xml:space="preserve"> June 2026 23.59PM</w:t>
      </w:r>
    </w:p>
    <w:p w14:paraId="2F920BC0" w14:textId="10D97F0C" w:rsidR="008A5ED1" w:rsidRDefault="008A5ED1">
      <w:pPr>
        <w:spacing w:line="259" w:lineRule="auto"/>
        <w:jc w:val="left"/>
        <w:rPr>
          <w:rFonts w:eastAsia="DengXian" w:cs="Arial"/>
          <w:kern w:val="2"/>
          <w:sz w:val="28"/>
          <w:szCs w:val="48"/>
          <w:lang w:eastAsia="zh-CN"/>
          <w14:ligatures w14:val="standardContextual"/>
        </w:rPr>
      </w:pPr>
      <w:r>
        <w:rPr>
          <w:rFonts w:eastAsia="DengXian" w:cs="Arial"/>
          <w:kern w:val="2"/>
          <w:sz w:val="28"/>
          <w:szCs w:val="48"/>
          <w:lang w:eastAsia="zh-CN"/>
          <w14:ligatures w14:val="standardContextual"/>
        </w:rPr>
        <w:br w:type="page"/>
      </w:r>
    </w:p>
    <w:p w14:paraId="5A470F6A" w14:textId="77777777" w:rsidR="006B6891" w:rsidRPr="006B6891" w:rsidRDefault="006B6891" w:rsidP="001573FE">
      <w:pPr>
        <w:rPr>
          <w:lang w:val="en-IN" w:eastAsia="zh-CN"/>
        </w:rPr>
      </w:pPr>
      <w:r w:rsidRPr="006B6891">
        <w:rPr>
          <w:b/>
          <w:bCs/>
          <w:lang w:val="en-IN" w:eastAsia="zh-CN"/>
        </w:rPr>
        <w:lastRenderedPageBreak/>
        <w:t xml:space="preserve">AI Acknowledgement: </w:t>
      </w:r>
      <w:r w:rsidRPr="006B6891">
        <w:rPr>
          <w:lang w:val="en-IN" w:eastAsia="zh-CN"/>
        </w:rPr>
        <w:t>This reflective essay is entirely my own work. No artificial intelligence tools were used in the preparation, research, drafting or editing of this essay.</w:t>
      </w:r>
    </w:p>
    <w:p w14:paraId="02EBAEFA" w14:textId="77777777" w:rsidR="008A5ED1" w:rsidRPr="008B78AD" w:rsidRDefault="008A5ED1" w:rsidP="006C0A8E">
      <w:pPr>
        <w:spacing w:line="278" w:lineRule="auto"/>
        <w:jc w:val="left"/>
        <w:rPr>
          <w:rFonts w:eastAsia="DengXian" w:cs="Arial"/>
          <w:kern w:val="2"/>
          <w:sz w:val="28"/>
          <w:szCs w:val="48"/>
          <w:lang w:eastAsia="zh-CN"/>
          <w14:ligatures w14:val="standardContextual"/>
        </w:rPr>
      </w:pPr>
    </w:p>
    <w:p w14:paraId="63E117BD" w14:textId="66499766" w:rsidR="007D6992" w:rsidRPr="00E46CBE" w:rsidRDefault="007D6992">
      <w:pPr>
        <w:spacing w:line="259" w:lineRule="auto"/>
        <w:jc w:val="left"/>
        <w:rPr>
          <w:rFonts w:eastAsia="DengXian" w:cs="Arial"/>
          <w:kern w:val="2"/>
          <w:sz w:val="28"/>
          <w:szCs w:val="48"/>
          <w:lang w:eastAsia="zh-CN"/>
          <w14:ligatures w14:val="standardContextual"/>
        </w:rPr>
      </w:pPr>
      <w:r w:rsidRPr="008B78AD">
        <w:rPr>
          <w:rFonts w:cs="Arial"/>
        </w:rPr>
        <w:br w:type="page"/>
      </w:r>
    </w:p>
    <w:p w14:paraId="4D58AACA" w14:textId="77777777" w:rsidR="002C3F16" w:rsidRPr="008B78AD" w:rsidRDefault="007D6992" w:rsidP="007D6992">
      <w:pPr>
        <w:jc w:val="center"/>
        <w:rPr>
          <w:rFonts w:cs="Arial"/>
          <w:b/>
          <w:sz w:val="28"/>
        </w:rPr>
      </w:pPr>
      <w:r w:rsidRPr="008B78AD">
        <w:rPr>
          <w:rFonts w:cs="Arial"/>
          <w:b/>
          <w:sz w:val="28"/>
        </w:rPr>
        <w:lastRenderedPageBreak/>
        <w:t>Reflective Essay: Career Journey and Future Professional Development</w:t>
      </w:r>
    </w:p>
    <w:p w14:paraId="5D9CEE42" w14:textId="77777777" w:rsidR="007C6BA5" w:rsidRPr="008B78AD" w:rsidRDefault="007C6BA5" w:rsidP="007D6992">
      <w:pPr>
        <w:jc w:val="center"/>
        <w:rPr>
          <w:rFonts w:cs="Arial"/>
          <w:b/>
          <w:i/>
        </w:rPr>
      </w:pPr>
      <w:r w:rsidRPr="008B78AD">
        <w:rPr>
          <w:rFonts w:cs="Arial"/>
          <w:b/>
          <w:i/>
        </w:rPr>
        <w:t>Written using Gibbs' Reflective Cycle</w:t>
      </w:r>
    </w:p>
    <w:p w14:paraId="3E59A0AC" w14:textId="77777777" w:rsidR="001573FE" w:rsidRDefault="001573FE" w:rsidP="001573FE">
      <w:pPr>
        <w:pStyle w:val="Heading1"/>
      </w:pPr>
      <w:r>
        <w:t>Introduction</w:t>
      </w:r>
    </w:p>
    <w:p w14:paraId="0F75C32D" w14:textId="03E0B970" w:rsidR="001573FE" w:rsidRDefault="00214034" w:rsidP="001573FE">
      <w:pPr>
        <w:spacing w:after="120"/>
      </w:pPr>
      <w:r w:rsidRPr="00214034">
        <w:t>This essay examines my professional journey as an Investment Firm professional, an interpreter, moving to UWTSD Cardiff to undertake skills self-discovery and development studies in Career Development and its impact on future development as an Executive Career Coach specialising in talent mobility in the global financial sector. This reflective essay is organized by Gibbs' (1988) Reflective Cycle, for personal reflection. The following theories are used from the module: Planned Happenstance theory by Krumboltz, Life-Span, Life-Space theory by Super and Career Construction theory by Savickas. These will help me to define my career trajectory as a roadmap and will help others understand my business journey</w:t>
      </w:r>
      <w:r w:rsidR="001573FE">
        <w:t>.</w:t>
      </w:r>
    </w:p>
    <w:p w14:paraId="33CD3CE9" w14:textId="77777777" w:rsidR="001573FE" w:rsidRDefault="001573FE" w:rsidP="001573FE">
      <w:pPr>
        <w:pStyle w:val="Heading1"/>
      </w:pPr>
      <w:r>
        <w:t>1. Description (What happened?)</w:t>
      </w:r>
    </w:p>
    <w:p w14:paraId="22781C2B" w14:textId="77777777" w:rsidR="00214034" w:rsidRDefault="00214034" w:rsidP="00214034">
      <w:pPr>
        <w:spacing w:after="120"/>
      </w:pPr>
      <w:r>
        <w:t>My combination so far is cool: being a working linguist, interpreter and working at a very fast-paced corporate investment company isn't too hard since we discuss language nuances and how it can be used. Through my work as an interpreter, I have developed excellent skill in active listening, cultural intelligence and on-demand cognitive processing. Being in the investment company, I was able to find out about financial markets, corporate structure, data driven decision making and strategic asset management.</w:t>
      </w:r>
    </w:p>
    <w:p w14:paraId="0777BCEE" w14:textId="6B182243" w:rsidR="001573FE" w:rsidRDefault="00214034" w:rsidP="00214034">
      <w:pPr>
        <w:spacing w:after="120"/>
      </w:pPr>
      <w:r>
        <w:t>I found a pattern amongst them: the act of assisting someone in a complex system and helping them make an important life-changing decision. This was propelled by the awareness into taking a course in UWTSD Cardiff, the Course of Career Development. I hope to bring these together and provide a distinguished gap in Executive Career Coaching and Talent Mobility Strategy within the global Financial industry in the future. Possesses background in psychology, pedagogy, career development and knowledge in the investment sector, language skills, and ability to work in multiple countries; will be able to help high-net-worth executives with career transitions or changes in leadership</w:t>
      </w:r>
      <w:r w:rsidR="001573FE">
        <w:t>.</w:t>
      </w:r>
    </w:p>
    <w:p w14:paraId="1797AF7C" w14:textId="77777777" w:rsidR="001573FE" w:rsidRDefault="001573FE" w:rsidP="001573FE">
      <w:pPr>
        <w:pStyle w:val="Heading1"/>
      </w:pPr>
      <w:r>
        <w:lastRenderedPageBreak/>
        <w:t>2. Feelings (What were you thinking/feeling?)</w:t>
      </w:r>
    </w:p>
    <w:p w14:paraId="2C36F8CE" w14:textId="77777777" w:rsidR="00214034" w:rsidRDefault="00214034" w:rsidP="00214034">
      <w:pPr>
        <w:spacing w:after="120"/>
      </w:pPr>
      <w:r>
        <w:t>My career trajectory emotions have been: Confident and motivated, unsure, and then optimistic. As an Interpreter, using ability to communicate successfully across cultural and linguistic barriers in complex contexts resulted in a massive sense of competence, cultural pride and enhanced self-confidence. The shift to investment firm was intellectually stimulating with challenges to strategic financial decisions; however, it also brought concerns about legitimacy, lack of familiarity with traditional finance and concerns about authority and role.</w:t>
      </w:r>
    </w:p>
    <w:p w14:paraId="2EC9C639" w14:textId="4B5CF13C" w:rsidR="001573FE" w:rsidRDefault="00214034" w:rsidP="00214034">
      <w:pPr>
        <w:spacing w:after="120"/>
      </w:pPr>
      <w:r>
        <w:t>I was torn, stressed out about school and students lifestyle issues, but feeling excited and driven by integrating experiences into a career. Emotions were emphasized in class activities. I got uncomfortable when I began to coach triads that needed to shift and pivot from ‘interpreter-helper' coaching style to facilitative, non-directive coaching, and then on to empowerment and curiosity about ‘coaching potential'. Module diagnostic activities validated and decreased uncertainty about working style. Democratic leadership orientation facilitated the cultivation of collaborative and consensus building as strength for future coaching practice</w:t>
      </w:r>
      <w:r w:rsidR="001573FE">
        <w:t>.</w:t>
      </w:r>
    </w:p>
    <w:p w14:paraId="0DC63C4C" w14:textId="77777777" w:rsidR="001573FE" w:rsidRDefault="001573FE" w:rsidP="001573FE">
      <w:pPr>
        <w:pStyle w:val="Heading1"/>
      </w:pPr>
      <w:r>
        <w:t>3. Evaluation (What was good/bad?)</w:t>
      </w:r>
    </w:p>
    <w:p w14:paraId="023E4592" w14:textId="77777777" w:rsidR="00214034" w:rsidRDefault="00214034" w:rsidP="00214034">
      <w:pPr>
        <w:spacing w:after="120"/>
      </w:pPr>
      <w:r>
        <w:t>Positive aspects of successful career development: transferable skills, such as interpreting, interpreting techniques, listening, active listening, cultural intelligence, and investment sector, strategic analysis, business sense. These presented themselves professionally. The module was difficult because there was a concern for potentially fragmentation, burn out and not necessarily having formal career coaching qualifications prior to the module.</w:t>
      </w:r>
    </w:p>
    <w:p w14:paraId="29FF99FA" w14:textId="77777777" w:rsidR="00214034" w:rsidRDefault="00214034" w:rsidP="00214034">
      <w:pPr>
        <w:spacing w:after="120"/>
      </w:pPr>
      <w:r>
        <w:t>The transfer of experience to theory was facilitated through taught sessions. In the Personal SWOT Analysis Matrix, "cross industry versatility" was listed as a strength but with the possibility of professional burner out and identity diffusion from crossing over with other careers. The combined niche in the Executive financial coaching emerged as a result of this.</w:t>
      </w:r>
    </w:p>
    <w:p w14:paraId="51652C1D" w14:textId="47E0595B" w:rsidR="001573FE" w:rsidRDefault="00214034" w:rsidP="00214034">
      <w:pPr>
        <w:spacing w:after="120"/>
      </w:pPr>
      <w:r>
        <w:lastRenderedPageBreak/>
        <w:t>Developing aspects of the activities were: Simulated Coaching, Triad Discussions. Rather than jumping in to speak for the other person, 'client and observer' helped get me out of my comfort zone to get me to ask questions and to selectively use a strategic pause. 1 st quarter answered that I was a Reflector and 1 st quarter answered that my leadership type was Democratic. Enhancement of insights served to deepen understanding of strengths in facilitative and/or client-centred practice, which informed coaching aspirations</w:t>
      </w:r>
      <w:r w:rsidR="001573FE">
        <w:t>.</w:t>
      </w:r>
    </w:p>
    <w:p w14:paraId="315A2A7B" w14:textId="77777777" w:rsidR="001573FE" w:rsidRDefault="001573FE" w:rsidP="001573FE">
      <w:pPr>
        <w:pStyle w:val="Heading1"/>
      </w:pPr>
      <w:r>
        <w:t>4. Analysis (What does it mean?)</w:t>
      </w:r>
    </w:p>
    <w:p w14:paraId="712294C9" w14:textId="77777777" w:rsidR="00214034" w:rsidRDefault="00214034" w:rsidP="00214034">
      <w:pPr>
        <w:spacing w:after="120"/>
      </w:pPr>
      <w:r>
        <w:t>There were three theories from the module that could be used to explain experiences, strengths, gaps and patterns.</w:t>
      </w:r>
    </w:p>
    <w:p w14:paraId="56B2E04C" w14:textId="77777777" w:rsidR="00214034" w:rsidRDefault="00214034" w:rsidP="00214034">
      <w:pPr>
        <w:spacing w:after="120"/>
      </w:pPr>
      <w:r>
        <w:t>Krumboltz's Planned Happenstance Theory emphasizes on career development that is non-linear, and maximizing those accidents of nature by remaining curious, persistent, flexible, optimistic, and willing to take chances (Vo et al., 2021). I didn't write a straight line to be an interpreter and investment professional, but multi-lines. Not having studied finance called for a creative way and some guesswork. The opportunity to attend UWTSD is an example of the philosophy of making the best of incidental opportunities for work-based learning and incorporating aspects of this into academic courses. This emphasises adaptability in changing direction and proactively developing opportunities for the future through networking in the coaching arena.</w:t>
      </w:r>
    </w:p>
    <w:p w14:paraId="2753B86D" w14:textId="77777777" w:rsidR="00214034" w:rsidRDefault="00214034" w:rsidP="00214034">
      <w:pPr>
        <w:spacing w:after="120"/>
      </w:pPr>
      <w:r>
        <w:t>Super's Life-Span, Life-Space Theory is a career as constellation of life roles transition across development stages (Cardello, Parker-Bell and Shao, 2024). Am at Establishment and Worker stages (dual industries) and Student stages. An intention to expand roles with a systems perspective of career adaptability and career resilience suggests that this strategy can have a positive long-term impact on career satisfaction instead of paving the way for a career breakdown (McMahon and Abkhezr, 2025). This means considering academic transition as "re-align of life spaces" and brings attention to need for balance to minimize burn out.</w:t>
      </w:r>
    </w:p>
    <w:p w14:paraId="51D6E7E4" w14:textId="77777777" w:rsidR="00214034" w:rsidRDefault="00214034" w:rsidP="00214034">
      <w:pPr>
        <w:spacing w:after="120"/>
      </w:pPr>
      <w:r>
        <w:t xml:space="preserve">The Savickas (2021) meta-competency to be highlighted in the Career Construction Theory (CCT) is Career Adaptability, and Career Perspective as stories people tell to make sense. Interpreter is good at understanding tone, context and subtext. The </w:t>
      </w:r>
      <w:r>
        <w:lastRenderedPageBreak/>
        <w:t>adaptability resources are correlated with career construction styles (Yılmaz 2026). This enables Multi-faceted Career to be seen as integrated in an ‘intercultural and inter-industry translation'. This is where she wants to go as executive coach. Collaborative attitude and good communicativeness are important for co-constructing client career stories for Reflector style and Democratic leadership orientation ( Chen et al., 2020). These display strengths in client centred and adaptive facilitation, trans boundary.</w:t>
      </w:r>
    </w:p>
    <w:p w14:paraId="66A836A2" w14:textId="77777777" w:rsidR="001573FE" w:rsidRDefault="001573FE" w:rsidP="001573FE">
      <w:pPr>
        <w:pStyle w:val="Heading1"/>
      </w:pPr>
      <w:r>
        <w:t>5. Conclusion (What have you learned?)</w:t>
      </w:r>
    </w:p>
    <w:p w14:paraId="5E44D7CA" w14:textId="71D8CDF9" w:rsidR="001573FE" w:rsidRDefault="00214034" w:rsidP="001573FE">
      <w:pPr>
        <w:spacing w:after="120"/>
      </w:pPr>
      <w:r w:rsidRPr="00214034">
        <w:t>Structured reflection using Gibbs' Reflective Cycle gave a greater understanding of myself as a developing professional. I now see career path as going through a continuous series of story building, multi-role navigation and adaptive path as chance events. The module fostered a sense of awareness of the use of tools such as SWOT and learning style diagnostic to support career development, in addition to the theoretical lenses. My worth comes from combining the skills of being linguistically agile, having financial industry expertise, being reflective and collaborative, and applying them to the domain of executive career coaching, and talent mobility strategy. This reflection gave me insight into my work and self-knowledge to take this journey and to do it with purpose</w:t>
      </w:r>
      <w:r w:rsidR="001573FE">
        <w:t>.</w:t>
      </w:r>
    </w:p>
    <w:p w14:paraId="121752A7" w14:textId="77777777" w:rsidR="001573FE" w:rsidRDefault="001573FE" w:rsidP="001573FE">
      <w:pPr>
        <w:pStyle w:val="Heading1"/>
      </w:pPr>
      <w:r>
        <w:t>6. Action Plan (What will you do next?)</w:t>
      </w:r>
    </w:p>
    <w:p w14:paraId="23CA8438" w14:textId="77777777" w:rsidR="001573FE" w:rsidRDefault="001573FE" w:rsidP="001573FE">
      <w:pPr>
        <w:spacing w:after="120"/>
      </w:pPr>
      <w:r>
        <w:t>Based on module learning and understandings, I developed the following SMART action plan for academic, career and professional growth:</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100"/>
        <w:gridCol w:w="2100"/>
        <w:gridCol w:w="1700"/>
        <w:gridCol w:w="1400"/>
        <w:gridCol w:w="1700"/>
        <w:gridCol w:w="1360"/>
      </w:tblGrid>
      <w:tr w:rsidR="001573FE" w14:paraId="12E41C5E" w14:textId="77777777" w:rsidTr="00B31C90">
        <w:tblPrEx>
          <w:tblCellMar>
            <w:top w:w="0" w:type="dxa"/>
            <w:bottom w:w="0" w:type="dxa"/>
          </w:tblCellMar>
        </w:tblPrEx>
        <w:tc>
          <w:tcPr>
            <w:tcW w:w="1100" w:type="dxa"/>
            <w:tcBorders>
              <w:top w:val="single" w:sz="1" w:space="0" w:color="666666"/>
              <w:left w:val="single" w:sz="1" w:space="0" w:color="666666"/>
              <w:bottom w:val="single" w:sz="1" w:space="0" w:color="666666"/>
              <w:right w:val="single" w:sz="1" w:space="0" w:color="666666"/>
            </w:tcBorders>
            <w:shd w:val="clear" w:color="auto" w:fill="1F4E79"/>
            <w:tcMar>
              <w:top w:w="60" w:type="dxa"/>
              <w:left w:w="60" w:type="dxa"/>
              <w:bottom w:w="60" w:type="dxa"/>
              <w:right w:w="60" w:type="dxa"/>
            </w:tcMar>
          </w:tcPr>
          <w:p w14:paraId="2B3F30FC" w14:textId="77777777" w:rsidR="001573FE" w:rsidRDefault="001573FE" w:rsidP="00B31C90">
            <w:r>
              <w:rPr>
                <w:rFonts w:eastAsia="Arial" w:cs="Arial"/>
                <w:b/>
                <w:bCs/>
                <w:color w:val="FFFFFF"/>
                <w:sz w:val="18"/>
                <w:szCs w:val="18"/>
              </w:rPr>
              <w:t>Goal</w:t>
            </w:r>
          </w:p>
        </w:tc>
        <w:tc>
          <w:tcPr>
            <w:tcW w:w="2100" w:type="dxa"/>
            <w:tcBorders>
              <w:top w:val="single" w:sz="1" w:space="0" w:color="666666"/>
              <w:left w:val="single" w:sz="1" w:space="0" w:color="666666"/>
              <w:bottom w:val="single" w:sz="1" w:space="0" w:color="666666"/>
              <w:right w:val="single" w:sz="1" w:space="0" w:color="666666"/>
            </w:tcBorders>
            <w:shd w:val="clear" w:color="auto" w:fill="1F4E79"/>
            <w:tcMar>
              <w:top w:w="60" w:type="dxa"/>
              <w:left w:w="60" w:type="dxa"/>
              <w:bottom w:w="60" w:type="dxa"/>
              <w:right w:w="60" w:type="dxa"/>
            </w:tcMar>
          </w:tcPr>
          <w:p w14:paraId="324708D1" w14:textId="77777777" w:rsidR="001573FE" w:rsidRDefault="001573FE" w:rsidP="00B31C90">
            <w:r>
              <w:rPr>
                <w:rFonts w:eastAsia="Arial" w:cs="Arial"/>
                <w:b/>
                <w:bCs/>
                <w:color w:val="FFFFFF"/>
                <w:sz w:val="18"/>
                <w:szCs w:val="18"/>
              </w:rPr>
              <w:t>Specific Action</w:t>
            </w:r>
          </w:p>
        </w:tc>
        <w:tc>
          <w:tcPr>
            <w:tcW w:w="1700" w:type="dxa"/>
            <w:tcBorders>
              <w:top w:val="single" w:sz="1" w:space="0" w:color="666666"/>
              <w:left w:val="single" w:sz="1" w:space="0" w:color="666666"/>
              <w:bottom w:val="single" w:sz="1" w:space="0" w:color="666666"/>
              <w:right w:val="single" w:sz="1" w:space="0" w:color="666666"/>
            </w:tcBorders>
            <w:shd w:val="clear" w:color="auto" w:fill="1F4E79"/>
            <w:tcMar>
              <w:top w:w="60" w:type="dxa"/>
              <w:left w:w="60" w:type="dxa"/>
              <w:bottom w:w="60" w:type="dxa"/>
              <w:right w:w="60" w:type="dxa"/>
            </w:tcMar>
          </w:tcPr>
          <w:p w14:paraId="6A2A0886" w14:textId="77777777" w:rsidR="001573FE" w:rsidRDefault="001573FE" w:rsidP="00B31C90">
            <w:r>
              <w:rPr>
                <w:rFonts w:eastAsia="Arial" w:cs="Arial"/>
                <w:b/>
                <w:bCs/>
                <w:color w:val="FFFFFF"/>
                <w:sz w:val="18"/>
                <w:szCs w:val="18"/>
              </w:rPr>
              <w:t>Measurable</w:t>
            </w:r>
          </w:p>
        </w:tc>
        <w:tc>
          <w:tcPr>
            <w:tcW w:w="1400" w:type="dxa"/>
            <w:tcBorders>
              <w:top w:val="single" w:sz="1" w:space="0" w:color="666666"/>
              <w:left w:val="single" w:sz="1" w:space="0" w:color="666666"/>
              <w:bottom w:val="single" w:sz="1" w:space="0" w:color="666666"/>
              <w:right w:val="single" w:sz="1" w:space="0" w:color="666666"/>
            </w:tcBorders>
            <w:shd w:val="clear" w:color="auto" w:fill="1F4E79"/>
            <w:tcMar>
              <w:top w:w="60" w:type="dxa"/>
              <w:left w:w="60" w:type="dxa"/>
              <w:bottom w:w="60" w:type="dxa"/>
              <w:right w:w="60" w:type="dxa"/>
            </w:tcMar>
          </w:tcPr>
          <w:p w14:paraId="6995EB46" w14:textId="77777777" w:rsidR="001573FE" w:rsidRDefault="001573FE" w:rsidP="00B31C90">
            <w:r>
              <w:rPr>
                <w:rFonts w:eastAsia="Arial" w:cs="Arial"/>
                <w:b/>
                <w:bCs/>
                <w:color w:val="FFFFFF"/>
                <w:sz w:val="18"/>
                <w:szCs w:val="18"/>
              </w:rPr>
              <w:t>Achievable</w:t>
            </w:r>
          </w:p>
        </w:tc>
        <w:tc>
          <w:tcPr>
            <w:tcW w:w="1700" w:type="dxa"/>
            <w:tcBorders>
              <w:top w:val="single" w:sz="1" w:space="0" w:color="666666"/>
              <w:left w:val="single" w:sz="1" w:space="0" w:color="666666"/>
              <w:bottom w:val="single" w:sz="1" w:space="0" w:color="666666"/>
              <w:right w:val="single" w:sz="1" w:space="0" w:color="666666"/>
            </w:tcBorders>
            <w:shd w:val="clear" w:color="auto" w:fill="1F4E79"/>
            <w:tcMar>
              <w:top w:w="60" w:type="dxa"/>
              <w:left w:w="60" w:type="dxa"/>
              <w:bottom w:w="60" w:type="dxa"/>
              <w:right w:w="60" w:type="dxa"/>
            </w:tcMar>
          </w:tcPr>
          <w:p w14:paraId="376FBA2A" w14:textId="77777777" w:rsidR="001573FE" w:rsidRDefault="001573FE" w:rsidP="00B31C90">
            <w:r>
              <w:rPr>
                <w:rFonts w:eastAsia="Arial" w:cs="Arial"/>
                <w:b/>
                <w:bCs/>
                <w:color w:val="FFFFFF"/>
                <w:sz w:val="18"/>
                <w:szCs w:val="18"/>
              </w:rPr>
              <w:t>Relevant</w:t>
            </w:r>
          </w:p>
        </w:tc>
        <w:tc>
          <w:tcPr>
            <w:tcW w:w="1360" w:type="dxa"/>
            <w:tcBorders>
              <w:top w:val="single" w:sz="1" w:space="0" w:color="666666"/>
              <w:left w:val="single" w:sz="1" w:space="0" w:color="666666"/>
              <w:bottom w:val="single" w:sz="1" w:space="0" w:color="666666"/>
              <w:right w:val="single" w:sz="1" w:space="0" w:color="666666"/>
            </w:tcBorders>
            <w:shd w:val="clear" w:color="auto" w:fill="1F4E79"/>
            <w:tcMar>
              <w:top w:w="60" w:type="dxa"/>
              <w:left w:w="60" w:type="dxa"/>
              <w:bottom w:w="60" w:type="dxa"/>
              <w:right w:w="60" w:type="dxa"/>
            </w:tcMar>
          </w:tcPr>
          <w:p w14:paraId="5445C003" w14:textId="77777777" w:rsidR="001573FE" w:rsidRDefault="001573FE" w:rsidP="00B31C90">
            <w:r>
              <w:rPr>
                <w:rFonts w:eastAsia="Arial" w:cs="Arial"/>
                <w:b/>
                <w:bCs/>
                <w:color w:val="FFFFFF"/>
                <w:sz w:val="18"/>
                <w:szCs w:val="18"/>
              </w:rPr>
              <w:t>Time-Bound</w:t>
            </w:r>
          </w:p>
        </w:tc>
      </w:tr>
      <w:tr w:rsidR="001573FE" w14:paraId="423FD517" w14:textId="77777777" w:rsidTr="00B31C90">
        <w:tblPrEx>
          <w:tblCellMar>
            <w:top w:w="0" w:type="dxa"/>
            <w:bottom w:w="0" w:type="dxa"/>
          </w:tblCellMar>
        </w:tblPrEx>
        <w:tc>
          <w:tcPr>
            <w:tcW w:w="1100" w:type="dxa"/>
            <w:tcBorders>
              <w:top w:val="single" w:sz="1" w:space="0" w:color="666666"/>
              <w:left w:val="single" w:sz="1" w:space="0" w:color="666666"/>
              <w:bottom w:val="single" w:sz="1" w:space="0" w:color="666666"/>
              <w:right w:val="single" w:sz="1" w:space="0" w:color="666666"/>
            </w:tcBorders>
            <w:shd w:val="clear" w:color="auto" w:fill="FFFFFF"/>
            <w:tcMar>
              <w:top w:w="60" w:type="dxa"/>
              <w:left w:w="60" w:type="dxa"/>
              <w:bottom w:w="60" w:type="dxa"/>
              <w:right w:w="60" w:type="dxa"/>
            </w:tcMar>
          </w:tcPr>
          <w:p w14:paraId="5420FD7E" w14:textId="77777777" w:rsidR="001573FE" w:rsidRDefault="001573FE" w:rsidP="00B31C90">
            <w:r>
              <w:rPr>
                <w:rFonts w:eastAsia="Arial" w:cs="Arial"/>
                <w:sz w:val="16"/>
                <w:szCs w:val="16"/>
              </w:rPr>
              <w:t>Consolidate professional identity as Executive Career Coach</w:t>
            </w:r>
          </w:p>
        </w:tc>
        <w:tc>
          <w:tcPr>
            <w:tcW w:w="2100" w:type="dxa"/>
            <w:tcBorders>
              <w:top w:val="single" w:sz="1" w:space="0" w:color="666666"/>
              <w:left w:val="single" w:sz="1" w:space="0" w:color="666666"/>
              <w:bottom w:val="single" w:sz="1" w:space="0" w:color="666666"/>
              <w:right w:val="single" w:sz="1" w:space="0" w:color="666666"/>
            </w:tcBorders>
            <w:shd w:val="clear" w:color="auto" w:fill="FFFFFF"/>
            <w:tcMar>
              <w:top w:w="60" w:type="dxa"/>
              <w:left w:w="60" w:type="dxa"/>
              <w:bottom w:w="60" w:type="dxa"/>
              <w:right w:w="60" w:type="dxa"/>
            </w:tcMar>
          </w:tcPr>
          <w:p w14:paraId="10A99F39" w14:textId="77777777" w:rsidR="001573FE" w:rsidRDefault="001573FE" w:rsidP="00B31C90">
            <w:r>
              <w:rPr>
                <w:rFonts w:eastAsia="Arial" w:cs="Arial"/>
                <w:sz w:val="16"/>
                <w:szCs w:val="16"/>
              </w:rPr>
              <w:t>Complete an ICF-accredited executive coaching certification programme and develop a professional portfolio website/LinkedIn presence showcasing dual expertise and anonymised case summaries.</w:t>
            </w:r>
          </w:p>
        </w:tc>
        <w:tc>
          <w:tcPr>
            <w:tcW w:w="1700" w:type="dxa"/>
            <w:tcBorders>
              <w:top w:val="single" w:sz="1" w:space="0" w:color="666666"/>
              <w:left w:val="single" w:sz="1" w:space="0" w:color="666666"/>
              <w:bottom w:val="single" w:sz="1" w:space="0" w:color="666666"/>
              <w:right w:val="single" w:sz="1" w:space="0" w:color="666666"/>
            </w:tcBorders>
            <w:shd w:val="clear" w:color="auto" w:fill="FFFFFF"/>
            <w:tcMar>
              <w:top w:w="60" w:type="dxa"/>
              <w:left w:w="60" w:type="dxa"/>
              <w:bottom w:w="60" w:type="dxa"/>
              <w:right w:w="60" w:type="dxa"/>
            </w:tcMar>
          </w:tcPr>
          <w:p w14:paraId="564DF604" w14:textId="77777777" w:rsidR="001573FE" w:rsidRDefault="001573FE" w:rsidP="00B31C90">
            <w:r>
              <w:rPr>
                <w:rFonts w:eastAsia="Arial" w:cs="Arial"/>
                <w:sz w:val="16"/>
                <w:szCs w:val="16"/>
              </w:rPr>
              <w:t>Obtain certification; launch portfolio site with 5 detailed (anonymised) case examples; achieve 500+ profile views/month.</w:t>
            </w:r>
          </w:p>
        </w:tc>
        <w:tc>
          <w:tcPr>
            <w:tcW w:w="1400" w:type="dxa"/>
            <w:tcBorders>
              <w:top w:val="single" w:sz="1" w:space="0" w:color="666666"/>
              <w:left w:val="single" w:sz="1" w:space="0" w:color="666666"/>
              <w:bottom w:val="single" w:sz="1" w:space="0" w:color="666666"/>
              <w:right w:val="single" w:sz="1" w:space="0" w:color="666666"/>
            </w:tcBorders>
            <w:shd w:val="clear" w:color="auto" w:fill="FFFFFF"/>
            <w:tcMar>
              <w:top w:w="60" w:type="dxa"/>
              <w:left w:w="60" w:type="dxa"/>
              <w:bottom w:w="60" w:type="dxa"/>
              <w:right w:w="60" w:type="dxa"/>
            </w:tcMar>
          </w:tcPr>
          <w:p w14:paraId="07E3ED05" w14:textId="77777777" w:rsidR="001573FE" w:rsidRDefault="001573FE" w:rsidP="00B31C90">
            <w:r>
              <w:rPr>
                <w:rFonts w:eastAsia="Arial" w:cs="Arial"/>
                <w:sz w:val="16"/>
                <w:szCs w:val="16"/>
              </w:rPr>
              <w:t>Yes – flexible online/blended programmes exist; pursue part-time alongside current roles and studies.</w:t>
            </w:r>
          </w:p>
        </w:tc>
        <w:tc>
          <w:tcPr>
            <w:tcW w:w="1700" w:type="dxa"/>
            <w:tcBorders>
              <w:top w:val="single" w:sz="1" w:space="0" w:color="666666"/>
              <w:left w:val="single" w:sz="1" w:space="0" w:color="666666"/>
              <w:bottom w:val="single" w:sz="1" w:space="0" w:color="666666"/>
              <w:right w:val="single" w:sz="1" w:space="0" w:color="666666"/>
            </w:tcBorders>
            <w:shd w:val="clear" w:color="auto" w:fill="FFFFFF"/>
            <w:tcMar>
              <w:top w:w="60" w:type="dxa"/>
              <w:left w:w="60" w:type="dxa"/>
              <w:bottom w:w="60" w:type="dxa"/>
              <w:right w:w="60" w:type="dxa"/>
            </w:tcMar>
          </w:tcPr>
          <w:p w14:paraId="4E088C11" w14:textId="77777777" w:rsidR="001573FE" w:rsidRDefault="001573FE" w:rsidP="00B31C90">
            <w:r>
              <w:rPr>
                <w:rFonts w:eastAsia="Arial" w:cs="Arial"/>
                <w:sz w:val="16"/>
                <w:szCs w:val="16"/>
              </w:rPr>
              <w:t>Builds on module coaching triads, Savickas narrative approach, and talent mobility strategy goal.</w:t>
            </w:r>
          </w:p>
        </w:tc>
        <w:tc>
          <w:tcPr>
            <w:tcW w:w="1360" w:type="dxa"/>
            <w:tcBorders>
              <w:top w:val="single" w:sz="1" w:space="0" w:color="666666"/>
              <w:left w:val="single" w:sz="1" w:space="0" w:color="666666"/>
              <w:bottom w:val="single" w:sz="1" w:space="0" w:color="666666"/>
              <w:right w:val="single" w:sz="1" w:space="0" w:color="666666"/>
            </w:tcBorders>
            <w:shd w:val="clear" w:color="auto" w:fill="FFFFFF"/>
            <w:tcMar>
              <w:top w:w="60" w:type="dxa"/>
              <w:left w:w="60" w:type="dxa"/>
              <w:bottom w:w="60" w:type="dxa"/>
              <w:right w:w="60" w:type="dxa"/>
            </w:tcMar>
          </w:tcPr>
          <w:p w14:paraId="38F24B4F" w14:textId="77777777" w:rsidR="001573FE" w:rsidRDefault="001573FE" w:rsidP="00B31C90">
            <w:r>
              <w:rPr>
                <w:rFonts w:eastAsia="Arial" w:cs="Arial"/>
                <w:sz w:val="16"/>
                <w:szCs w:val="16"/>
              </w:rPr>
              <w:t>Certification by December 2026; portfolio live by September 2026.</w:t>
            </w:r>
          </w:p>
        </w:tc>
      </w:tr>
      <w:tr w:rsidR="001573FE" w14:paraId="3F0CAB86" w14:textId="77777777" w:rsidTr="00B31C90">
        <w:tblPrEx>
          <w:tblCellMar>
            <w:top w:w="0" w:type="dxa"/>
            <w:bottom w:w="0" w:type="dxa"/>
          </w:tblCellMar>
        </w:tblPrEx>
        <w:tc>
          <w:tcPr>
            <w:tcW w:w="1100" w:type="dxa"/>
            <w:tcBorders>
              <w:top w:val="single" w:sz="1" w:space="0" w:color="666666"/>
              <w:left w:val="single" w:sz="1" w:space="0" w:color="666666"/>
              <w:bottom w:val="single" w:sz="1" w:space="0" w:color="666666"/>
              <w:right w:val="single" w:sz="1" w:space="0" w:color="666666"/>
            </w:tcBorders>
            <w:shd w:val="clear" w:color="auto" w:fill="F2F2F2"/>
            <w:tcMar>
              <w:top w:w="60" w:type="dxa"/>
              <w:left w:w="60" w:type="dxa"/>
              <w:bottom w:w="60" w:type="dxa"/>
              <w:right w:w="60" w:type="dxa"/>
            </w:tcMar>
          </w:tcPr>
          <w:p w14:paraId="25DEA075" w14:textId="77777777" w:rsidR="001573FE" w:rsidRDefault="001573FE" w:rsidP="00B31C90">
            <w:r>
              <w:rPr>
                <w:rFonts w:eastAsia="Arial" w:cs="Arial"/>
                <w:sz w:val="16"/>
                <w:szCs w:val="16"/>
              </w:rPr>
              <w:t xml:space="preserve">Expand strategic network in financial </w:t>
            </w:r>
            <w:r>
              <w:rPr>
                <w:rFonts w:eastAsia="Arial" w:cs="Arial"/>
                <w:sz w:val="16"/>
                <w:szCs w:val="16"/>
              </w:rPr>
              <w:lastRenderedPageBreak/>
              <w:t>services and career development fields</w:t>
            </w:r>
          </w:p>
        </w:tc>
        <w:tc>
          <w:tcPr>
            <w:tcW w:w="2100" w:type="dxa"/>
            <w:tcBorders>
              <w:top w:val="single" w:sz="1" w:space="0" w:color="666666"/>
              <w:left w:val="single" w:sz="1" w:space="0" w:color="666666"/>
              <w:bottom w:val="single" w:sz="1" w:space="0" w:color="666666"/>
              <w:right w:val="single" w:sz="1" w:space="0" w:color="666666"/>
            </w:tcBorders>
            <w:shd w:val="clear" w:color="auto" w:fill="F2F2F2"/>
            <w:tcMar>
              <w:top w:w="60" w:type="dxa"/>
              <w:left w:w="60" w:type="dxa"/>
              <w:bottom w:w="60" w:type="dxa"/>
              <w:right w:w="60" w:type="dxa"/>
            </w:tcMar>
          </w:tcPr>
          <w:p w14:paraId="68BE7ED2" w14:textId="77777777" w:rsidR="001573FE" w:rsidRDefault="001573FE" w:rsidP="00B31C90">
            <w:r>
              <w:rPr>
                <w:rFonts w:eastAsia="Arial" w:cs="Arial"/>
                <w:sz w:val="16"/>
                <w:szCs w:val="16"/>
              </w:rPr>
              <w:lastRenderedPageBreak/>
              <w:t xml:space="preserve">Attend two relevant industry events (virtual or in-person) on talent management/leadership </w:t>
            </w:r>
            <w:r>
              <w:rPr>
                <w:rFonts w:eastAsia="Arial" w:cs="Arial"/>
                <w:sz w:val="16"/>
                <w:szCs w:val="16"/>
              </w:rPr>
              <w:lastRenderedPageBreak/>
              <w:t>development; join the Career Development Institute (CDI) or equivalent professional body.</w:t>
            </w:r>
          </w:p>
        </w:tc>
        <w:tc>
          <w:tcPr>
            <w:tcW w:w="1700" w:type="dxa"/>
            <w:tcBorders>
              <w:top w:val="single" w:sz="1" w:space="0" w:color="666666"/>
              <w:left w:val="single" w:sz="1" w:space="0" w:color="666666"/>
              <w:bottom w:val="single" w:sz="1" w:space="0" w:color="666666"/>
              <w:right w:val="single" w:sz="1" w:space="0" w:color="666666"/>
            </w:tcBorders>
            <w:shd w:val="clear" w:color="auto" w:fill="F2F2F2"/>
            <w:tcMar>
              <w:top w:w="60" w:type="dxa"/>
              <w:left w:w="60" w:type="dxa"/>
              <w:bottom w:w="60" w:type="dxa"/>
              <w:right w:w="60" w:type="dxa"/>
            </w:tcMar>
          </w:tcPr>
          <w:p w14:paraId="6F1421B7" w14:textId="77777777" w:rsidR="001573FE" w:rsidRDefault="001573FE" w:rsidP="00B31C90">
            <w:r>
              <w:rPr>
                <w:rFonts w:eastAsia="Arial" w:cs="Arial"/>
                <w:sz w:val="16"/>
                <w:szCs w:val="16"/>
              </w:rPr>
              <w:lastRenderedPageBreak/>
              <w:t xml:space="preserve">Secure at least 12 high-quality new professional connections; </w:t>
            </w:r>
            <w:r>
              <w:rPr>
                <w:rFonts w:eastAsia="Arial" w:cs="Arial"/>
                <w:sz w:val="16"/>
                <w:szCs w:val="16"/>
              </w:rPr>
              <w:lastRenderedPageBreak/>
              <w:t>participate in 4 online forums or webinars; obtain one informational interview per quarter.</w:t>
            </w:r>
          </w:p>
        </w:tc>
        <w:tc>
          <w:tcPr>
            <w:tcW w:w="1400" w:type="dxa"/>
            <w:tcBorders>
              <w:top w:val="single" w:sz="1" w:space="0" w:color="666666"/>
              <w:left w:val="single" w:sz="1" w:space="0" w:color="666666"/>
              <w:bottom w:val="single" w:sz="1" w:space="0" w:color="666666"/>
              <w:right w:val="single" w:sz="1" w:space="0" w:color="666666"/>
            </w:tcBorders>
            <w:shd w:val="clear" w:color="auto" w:fill="F2F2F2"/>
            <w:tcMar>
              <w:top w:w="60" w:type="dxa"/>
              <w:left w:w="60" w:type="dxa"/>
              <w:bottom w:w="60" w:type="dxa"/>
              <w:right w:w="60" w:type="dxa"/>
            </w:tcMar>
          </w:tcPr>
          <w:p w14:paraId="725E6B1B" w14:textId="77777777" w:rsidR="001573FE" w:rsidRDefault="001573FE" w:rsidP="00B31C90">
            <w:r>
              <w:rPr>
                <w:rFonts w:eastAsia="Arial" w:cs="Arial"/>
                <w:sz w:val="16"/>
                <w:szCs w:val="16"/>
              </w:rPr>
              <w:lastRenderedPageBreak/>
              <w:t xml:space="preserve">Yes – many virtual options; aligns with current access and </w:t>
            </w:r>
            <w:r>
              <w:rPr>
                <w:rFonts w:eastAsia="Arial" w:cs="Arial"/>
                <w:sz w:val="16"/>
                <w:szCs w:val="16"/>
              </w:rPr>
              <w:lastRenderedPageBreak/>
              <w:t>Krumboltz happenstance principle.</w:t>
            </w:r>
          </w:p>
        </w:tc>
        <w:tc>
          <w:tcPr>
            <w:tcW w:w="1700" w:type="dxa"/>
            <w:tcBorders>
              <w:top w:val="single" w:sz="1" w:space="0" w:color="666666"/>
              <w:left w:val="single" w:sz="1" w:space="0" w:color="666666"/>
              <w:bottom w:val="single" w:sz="1" w:space="0" w:color="666666"/>
              <w:right w:val="single" w:sz="1" w:space="0" w:color="666666"/>
            </w:tcBorders>
            <w:shd w:val="clear" w:color="auto" w:fill="F2F2F2"/>
            <w:tcMar>
              <w:top w:w="60" w:type="dxa"/>
              <w:left w:w="60" w:type="dxa"/>
              <w:bottom w:w="60" w:type="dxa"/>
              <w:right w:w="60" w:type="dxa"/>
            </w:tcMar>
          </w:tcPr>
          <w:p w14:paraId="2B3FCDF1" w14:textId="77777777" w:rsidR="001573FE" w:rsidRDefault="001573FE" w:rsidP="00B31C90">
            <w:r>
              <w:rPr>
                <w:rFonts w:eastAsia="Arial" w:cs="Arial"/>
                <w:sz w:val="16"/>
                <w:szCs w:val="16"/>
              </w:rPr>
              <w:lastRenderedPageBreak/>
              <w:t xml:space="preserve">Enhances opportunity creation (Krumboltz) and provides insights to inform coaching </w:t>
            </w:r>
            <w:r>
              <w:rPr>
                <w:rFonts w:eastAsia="Arial" w:cs="Arial"/>
                <w:sz w:val="16"/>
                <w:szCs w:val="16"/>
              </w:rPr>
              <w:lastRenderedPageBreak/>
              <w:t>practice and Super's life-space integration.</w:t>
            </w:r>
          </w:p>
        </w:tc>
        <w:tc>
          <w:tcPr>
            <w:tcW w:w="1360" w:type="dxa"/>
            <w:tcBorders>
              <w:top w:val="single" w:sz="1" w:space="0" w:color="666666"/>
              <w:left w:val="single" w:sz="1" w:space="0" w:color="666666"/>
              <w:bottom w:val="single" w:sz="1" w:space="0" w:color="666666"/>
              <w:right w:val="single" w:sz="1" w:space="0" w:color="666666"/>
            </w:tcBorders>
            <w:shd w:val="clear" w:color="auto" w:fill="F2F2F2"/>
            <w:tcMar>
              <w:top w:w="60" w:type="dxa"/>
              <w:left w:w="60" w:type="dxa"/>
              <w:bottom w:w="60" w:type="dxa"/>
              <w:right w:w="60" w:type="dxa"/>
            </w:tcMar>
          </w:tcPr>
          <w:p w14:paraId="49CC5604" w14:textId="77777777" w:rsidR="001573FE" w:rsidRDefault="001573FE" w:rsidP="00B31C90">
            <w:r>
              <w:rPr>
                <w:rFonts w:eastAsia="Arial" w:cs="Arial"/>
                <w:sz w:val="16"/>
                <w:szCs w:val="16"/>
              </w:rPr>
              <w:lastRenderedPageBreak/>
              <w:t xml:space="preserve">First event and CDI membership by August 2026; </w:t>
            </w:r>
            <w:r>
              <w:rPr>
                <w:rFonts w:eastAsia="Arial" w:cs="Arial"/>
                <w:sz w:val="16"/>
                <w:szCs w:val="16"/>
              </w:rPr>
              <w:lastRenderedPageBreak/>
              <w:t>quarterly targets through 2027.</w:t>
            </w:r>
          </w:p>
        </w:tc>
      </w:tr>
      <w:tr w:rsidR="001573FE" w14:paraId="0579DA7C" w14:textId="77777777" w:rsidTr="00B31C90">
        <w:tblPrEx>
          <w:tblCellMar>
            <w:top w:w="0" w:type="dxa"/>
            <w:bottom w:w="0" w:type="dxa"/>
          </w:tblCellMar>
        </w:tblPrEx>
        <w:tc>
          <w:tcPr>
            <w:tcW w:w="1100" w:type="dxa"/>
            <w:tcBorders>
              <w:top w:val="single" w:sz="1" w:space="0" w:color="666666"/>
              <w:left w:val="single" w:sz="1" w:space="0" w:color="666666"/>
              <w:bottom w:val="single" w:sz="1" w:space="0" w:color="666666"/>
              <w:right w:val="single" w:sz="1" w:space="0" w:color="666666"/>
            </w:tcBorders>
            <w:shd w:val="clear" w:color="auto" w:fill="FFFFFF"/>
            <w:tcMar>
              <w:top w:w="60" w:type="dxa"/>
              <w:left w:w="60" w:type="dxa"/>
              <w:bottom w:w="60" w:type="dxa"/>
              <w:right w:w="60" w:type="dxa"/>
            </w:tcMar>
          </w:tcPr>
          <w:p w14:paraId="641D05E0" w14:textId="77777777" w:rsidR="001573FE" w:rsidRDefault="001573FE" w:rsidP="00B31C90">
            <w:r>
              <w:rPr>
                <w:rFonts w:eastAsia="Arial" w:cs="Arial"/>
                <w:sz w:val="16"/>
                <w:szCs w:val="16"/>
              </w:rPr>
              <w:lastRenderedPageBreak/>
              <w:t>Embed reflective practice and coaching skills into current professional roles</w:t>
            </w:r>
          </w:p>
        </w:tc>
        <w:tc>
          <w:tcPr>
            <w:tcW w:w="2100" w:type="dxa"/>
            <w:tcBorders>
              <w:top w:val="single" w:sz="1" w:space="0" w:color="666666"/>
              <w:left w:val="single" w:sz="1" w:space="0" w:color="666666"/>
              <w:bottom w:val="single" w:sz="1" w:space="0" w:color="666666"/>
              <w:right w:val="single" w:sz="1" w:space="0" w:color="666666"/>
            </w:tcBorders>
            <w:shd w:val="clear" w:color="auto" w:fill="FFFFFF"/>
            <w:tcMar>
              <w:top w:w="60" w:type="dxa"/>
              <w:left w:w="60" w:type="dxa"/>
              <w:bottom w:w="60" w:type="dxa"/>
              <w:right w:w="60" w:type="dxa"/>
            </w:tcMar>
          </w:tcPr>
          <w:p w14:paraId="4877462E" w14:textId="77777777" w:rsidR="001573FE" w:rsidRDefault="001573FE" w:rsidP="00B31C90">
            <w:r>
              <w:rPr>
                <w:rFonts w:eastAsia="Arial" w:cs="Arial"/>
                <w:sz w:val="16"/>
                <w:szCs w:val="16"/>
              </w:rPr>
              <w:t>Maintain a structured reflective journal using Gibbs' cycle on key work interactions weekly; offer and document informal peer coaching conversations with 2 colleagues per month.</w:t>
            </w:r>
          </w:p>
        </w:tc>
        <w:tc>
          <w:tcPr>
            <w:tcW w:w="1700" w:type="dxa"/>
            <w:tcBorders>
              <w:top w:val="single" w:sz="1" w:space="0" w:color="666666"/>
              <w:left w:val="single" w:sz="1" w:space="0" w:color="666666"/>
              <w:bottom w:val="single" w:sz="1" w:space="0" w:color="666666"/>
              <w:right w:val="single" w:sz="1" w:space="0" w:color="666666"/>
            </w:tcBorders>
            <w:shd w:val="clear" w:color="auto" w:fill="FFFFFF"/>
            <w:tcMar>
              <w:top w:w="60" w:type="dxa"/>
              <w:left w:w="60" w:type="dxa"/>
              <w:bottom w:w="60" w:type="dxa"/>
              <w:right w:w="60" w:type="dxa"/>
            </w:tcMar>
          </w:tcPr>
          <w:p w14:paraId="22CC2A74" w14:textId="77777777" w:rsidR="001573FE" w:rsidRDefault="001573FE" w:rsidP="00B31C90">
            <w:r>
              <w:rPr>
                <w:rFonts w:eastAsia="Arial" w:cs="Arial"/>
                <w:sz w:val="16"/>
                <w:szCs w:val="16"/>
              </w:rPr>
              <w:t>Complete 24 journal entries over 6 months; conduct and gather feedback from minimum 8 peer coaching sessions.</w:t>
            </w:r>
          </w:p>
        </w:tc>
        <w:tc>
          <w:tcPr>
            <w:tcW w:w="1400" w:type="dxa"/>
            <w:tcBorders>
              <w:top w:val="single" w:sz="1" w:space="0" w:color="666666"/>
              <w:left w:val="single" w:sz="1" w:space="0" w:color="666666"/>
              <w:bottom w:val="single" w:sz="1" w:space="0" w:color="666666"/>
              <w:right w:val="single" w:sz="1" w:space="0" w:color="666666"/>
            </w:tcBorders>
            <w:shd w:val="clear" w:color="auto" w:fill="FFFFFF"/>
            <w:tcMar>
              <w:top w:w="60" w:type="dxa"/>
              <w:left w:w="60" w:type="dxa"/>
              <w:bottom w:w="60" w:type="dxa"/>
              <w:right w:w="60" w:type="dxa"/>
            </w:tcMar>
          </w:tcPr>
          <w:p w14:paraId="0D857285" w14:textId="77777777" w:rsidR="001573FE" w:rsidRDefault="001573FE" w:rsidP="00B31C90">
            <w:r>
              <w:rPr>
                <w:rFonts w:eastAsia="Arial" w:cs="Arial"/>
                <w:sz w:val="16"/>
                <w:szCs w:val="16"/>
              </w:rPr>
              <w:t>Yes – integrates into existing schedule; leverages Reflector strength and Democratic style.</w:t>
            </w:r>
          </w:p>
        </w:tc>
        <w:tc>
          <w:tcPr>
            <w:tcW w:w="1700" w:type="dxa"/>
            <w:tcBorders>
              <w:top w:val="single" w:sz="1" w:space="0" w:color="666666"/>
              <w:left w:val="single" w:sz="1" w:space="0" w:color="666666"/>
              <w:bottom w:val="single" w:sz="1" w:space="0" w:color="666666"/>
              <w:right w:val="single" w:sz="1" w:space="0" w:color="666666"/>
            </w:tcBorders>
            <w:shd w:val="clear" w:color="auto" w:fill="FFFFFF"/>
            <w:tcMar>
              <w:top w:w="60" w:type="dxa"/>
              <w:left w:w="60" w:type="dxa"/>
              <w:bottom w:w="60" w:type="dxa"/>
              <w:right w:w="60" w:type="dxa"/>
            </w:tcMar>
          </w:tcPr>
          <w:p w14:paraId="53870BA4" w14:textId="77777777" w:rsidR="001573FE" w:rsidRDefault="001573FE" w:rsidP="00B31C90">
            <w:r>
              <w:rPr>
                <w:rFonts w:eastAsia="Arial" w:cs="Arial"/>
                <w:sz w:val="16"/>
                <w:szCs w:val="16"/>
              </w:rPr>
              <w:t>Strengthens coaching competencies, demonstrates module application, and supports continuous professional development.</w:t>
            </w:r>
          </w:p>
        </w:tc>
        <w:tc>
          <w:tcPr>
            <w:tcW w:w="1360" w:type="dxa"/>
            <w:tcBorders>
              <w:top w:val="single" w:sz="1" w:space="0" w:color="666666"/>
              <w:left w:val="single" w:sz="1" w:space="0" w:color="666666"/>
              <w:bottom w:val="single" w:sz="1" w:space="0" w:color="666666"/>
              <w:right w:val="single" w:sz="1" w:space="0" w:color="666666"/>
            </w:tcBorders>
            <w:shd w:val="clear" w:color="auto" w:fill="FFFFFF"/>
            <w:tcMar>
              <w:top w:w="60" w:type="dxa"/>
              <w:left w:w="60" w:type="dxa"/>
              <w:bottom w:w="60" w:type="dxa"/>
              <w:right w:w="60" w:type="dxa"/>
            </w:tcMar>
          </w:tcPr>
          <w:p w14:paraId="7ED67CAC" w14:textId="77777777" w:rsidR="001573FE" w:rsidRDefault="001573FE" w:rsidP="00B31C90">
            <w:r>
              <w:rPr>
                <w:rFonts w:eastAsia="Arial" w:cs="Arial"/>
                <w:sz w:val="16"/>
                <w:szCs w:val="16"/>
              </w:rPr>
              <w:t>Journal from July 2026; peer sessions by November 2026 with review in December.</w:t>
            </w:r>
          </w:p>
        </w:tc>
      </w:tr>
    </w:tbl>
    <w:p w14:paraId="6068AE5F" w14:textId="2562C3F7" w:rsidR="001E6243" w:rsidRPr="008B78AD" w:rsidRDefault="001573FE" w:rsidP="00D25CAA">
      <w:pPr>
        <w:rPr>
          <w:rFonts w:cs="Arial"/>
          <w:lang w:val="en-US"/>
        </w:rPr>
      </w:pPr>
      <w:r>
        <w:t>These actions are realistic, utilize theoretical understanding and self-awareness from the module, integrate into professional practice and academic duties, and are grounded in current development theories. Reflective journaling will review progress quarterly</w:t>
      </w:r>
      <w:r w:rsidR="00214034">
        <w:t>.</w:t>
      </w:r>
    </w:p>
    <w:p w14:paraId="2AF64B88" w14:textId="77777777" w:rsidR="001E6243" w:rsidRPr="008B78AD" w:rsidRDefault="001E6243">
      <w:pPr>
        <w:spacing w:line="259" w:lineRule="auto"/>
        <w:jc w:val="left"/>
        <w:rPr>
          <w:rFonts w:cs="Arial"/>
          <w:lang w:val="en-US"/>
        </w:rPr>
      </w:pPr>
      <w:r w:rsidRPr="008B78AD">
        <w:rPr>
          <w:rFonts w:cs="Arial"/>
          <w:lang w:val="en-US"/>
        </w:rPr>
        <w:br w:type="page"/>
      </w:r>
    </w:p>
    <w:p w14:paraId="45BC5741" w14:textId="77777777" w:rsidR="00D25CAA" w:rsidRPr="008B78AD" w:rsidRDefault="001E6243" w:rsidP="001E6243">
      <w:pPr>
        <w:pStyle w:val="Heading1"/>
        <w:rPr>
          <w:rFonts w:cs="Arial"/>
          <w:lang w:val="en-US"/>
        </w:rPr>
      </w:pPr>
      <w:r w:rsidRPr="008B78AD">
        <w:rPr>
          <w:rFonts w:cs="Arial"/>
          <w:lang w:val="en-US"/>
        </w:rPr>
        <w:lastRenderedPageBreak/>
        <w:t>References</w:t>
      </w:r>
    </w:p>
    <w:p w14:paraId="656C30F4" w14:textId="77777777" w:rsidR="0064458F" w:rsidRPr="008B78AD" w:rsidRDefault="0064458F" w:rsidP="0064458F">
      <w:pPr>
        <w:ind w:left="720" w:hanging="720"/>
        <w:rPr>
          <w:rFonts w:cs="Arial"/>
          <w:lang w:val="en-US"/>
        </w:rPr>
      </w:pPr>
      <w:r w:rsidRPr="008B78AD">
        <w:rPr>
          <w:rFonts w:cs="Arial"/>
          <w:lang w:val="en-US"/>
        </w:rPr>
        <w:t xml:space="preserve">Cardello, L., Parker-Bell, B. and Shao, H. (2024). </w:t>
      </w:r>
      <w:r w:rsidRPr="008B78AD">
        <w:rPr>
          <w:rFonts w:cs="Arial"/>
          <w:i/>
          <w:iCs/>
          <w:lang w:val="en-US"/>
        </w:rPr>
        <w:t>Bringing Theories to Life in the Classroom: Super’s Life Span Life Space Theory</w:t>
      </w:r>
      <w:r w:rsidRPr="008B78AD">
        <w:rPr>
          <w:rFonts w:cs="Arial"/>
          <w:lang w:val="en-US"/>
        </w:rPr>
        <w:t xml:space="preserve">. [online] www.ncda.org. Available at: </w:t>
      </w:r>
      <w:hyperlink r:id="rId7" w:history="1">
        <w:r w:rsidRPr="008B78AD">
          <w:rPr>
            <w:rStyle w:val="Hyperlink"/>
            <w:rFonts w:cs="Arial"/>
            <w:lang w:val="en-US"/>
          </w:rPr>
          <w:t>https://www.ncda.org/aws/NCDA/pt/sd/news_article/559383/_PARENT/CC_layout_details/false</w:t>
        </w:r>
      </w:hyperlink>
      <w:r w:rsidRPr="008B78AD">
        <w:rPr>
          <w:rFonts w:cs="Arial"/>
          <w:lang w:val="en-US"/>
        </w:rPr>
        <w:t xml:space="preserve">. </w:t>
      </w:r>
    </w:p>
    <w:p w14:paraId="029EE067" w14:textId="77777777" w:rsidR="0064458F" w:rsidRPr="008B78AD" w:rsidRDefault="0064458F" w:rsidP="0064458F">
      <w:pPr>
        <w:ind w:left="720" w:hanging="720"/>
        <w:rPr>
          <w:rFonts w:cs="Arial"/>
          <w:lang w:val="en-US"/>
        </w:rPr>
      </w:pPr>
      <w:r w:rsidRPr="008B78AD">
        <w:rPr>
          <w:rFonts w:cs="Arial"/>
          <w:lang w:val="en-US"/>
        </w:rPr>
        <w:t xml:space="preserve">Chen, H., Fang, T., Liu, F., Pang, L., Wen, Y., Chen, S. and Gu, X. (2020). Career Adaptability Research: A Literature Review with Scientific Knowledge Mapping in Web of Science. </w:t>
      </w:r>
      <w:r w:rsidRPr="008B78AD">
        <w:rPr>
          <w:rFonts w:cs="Arial"/>
          <w:i/>
          <w:iCs/>
          <w:lang w:val="en-US"/>
        </w:rPr>
        <w:t>International Journal of Environmental Research and Public Health</w:t>
      </w:r>
      <w:r w:rsidRPr="008B78AD">
        <w:rPr>
          <w:rFonts w:cs="Arial"/>
          <w:lang w:val="en-US"/>
        </w:rPr>
        <w:t xml:space="preserve">, 17(16), p.5986. doi: </w:t>
      </w:r>
      <w:hyperlink r:id="rId8" w:history="1">
        <w:r w:rsidRPr="008B78AD">
          <w:rPr>
            <w:rStyle w:val="Hyperlink"/>
            <w:rFonts w:cs="Arial"/>
            <w:lang w:val="en-US"/>
          </w:rPr>
          <w:t>https://doi.org/10.3390/ijerph17165986</w:t>
        </w:r>
      </w:hyperlink>
      <w:r w:rsidRPr="008B78AD">
        <w:rPr>
          <w:rFonts w:cs="Arial"/>
          <w:lang w:val="en-US"/>
        </w:rPr>
        <w:t xml:space="preserve">. </w:t>
      </w:r>
    </w:p>
    <w:p w14:paraId="24138824" w14:textId="77777777" w:rsidR="0064458F" w:rsidRPr="008B78AD" w:rsidRDefault="0064458F" w:rsidP="0064458F">
      <w:pPr>
        <w:ind w:left="720" w:hanging="720"/>
        <w:rPr>
          <w:rFonts w:cs="Arial"/>
          <w:lang w:val="en-US"/>
        </w:rPr>
      </w:pPr>
      <w:r w:rsidRPr="008B78AD">
        <w:rPr>
          <w:rFonts w:cs="Arial"/>
          <w:lang w:val="en-US"/>
        </w:rPr>
        <w:t xml:space="preserve">McMahon, M. and Abkhezr, P. (2025). Career adaptability and career resilience: a systems perspective. </w:t>
      </w:r>
      <w:r w:rsidRPr="008B78AD">
        <w:rPr>
          <w:rFonts w:cs="Arial"/>
          <w:i/>
          <w:iCs/>
          <w:lang w:val="en-US"/>
        </w:rPr>
        <w:t>International Journal for Educational and Vocational Guidance</w:t>
      </w:r>
      <w:r w:rsidRPr="008B78AD">
        <w:rPr>
          <w:rFonts w:cs="Arial"/>
          <w:lang w:val="en-US"/>
        </w:rPr>
        <w:t xml:space="preserve">. doi: </w:t>
      </w:r>
      <w:hyperlink r:id="rId9" w:history="1">
        <w:r w:rsidRPr="008B78AD">
          <w:rPr>
            <w:rStyle w:val="Hyperlink"/>
            <w:rFonts w:cs="Arial"/>
            <w:lang w:val="en-US"/>
          </w:rPr>
          <w:t>https://doi.org/10.1007/s10775-025-09739-1</w:t>
        </w:r>
      </w:hyperlink>
      <w:r w:rsidRPr="008B78AD">
        <w:rPr>
          <w:rFonts w:cs="Arial"/>
          <w:lang w:val="en-US"/>
        </w:rPr>
        <w:t xml:space="preserve">. </w:t>
      </w:r>
    </w:p>
    <w:p w14:paraId="1C5A93D1" w14:textId="77777777" w:rsidR="0064458F" w:rsidRPr="008B78AD" w:rsidRDefault="0064458F" w:rsidP="0064458F">
      <w:pPr>
        <w:ind w:left="720" w:hanging="720"/>
        <w:rPr>
          <w:rFonts w:cs="Arial"/>
          <w:lang w:val="en-US"/>
        </w:rPr>
      </w:pPr>
      <w:r w:rsidRPr="008B78AD">
        <w:rPr>
          <w:rFonts w:cs="Arial"/>
          <w:lang w:val="en-US"/>
        </w:rPr>
        <w:t xml:space="preserve">Savickas, M. (2021). </w:t>
      </w:r>
      <w:r w:rsidRPr="008B78AD">
        <w:rPr>
          <w:rFonts w:cs="Arial"/>
          <w:i/>
          <w:iCs/>
          <w:lang w:val="en-US"/>
        </w:rPr>
        <w:t>Career Adaptability</w:t>
      </w:r>
      <w:r w:rsidRPr="008B78AD">
        <w:rPr>
          <w:rFonts w:cs="Arial"/>
          <w:lang w:val="en-US"/>
        </w:rPr>
        <w:t>. Mark L. Savickas.</w:t>
      </w:r>
    </w:p>
    <w:p w14:paraId="59E56F06" w14:textId="77777777" w:rsidR="0064458F" w:rsidRPr="008B78AD" w:rsidRDefault="0064458F" w:rsidP="0064458F">
      <w:pPr>
        <w:ind w:left="720" w:hanging="720"/>
        <w:rPr>
          <w:rFonts w:cs="Arial"/>
          <w:lang w:val="en-US"/>
        </w:rPr>
      </w:pPr>
      <w:r w:rsidRPr="008B78AD">
        <w:rPr>
          <w:rFonts w:cs="Arial"/>
          <w:lang w:val="en-US"/>
        </w:rPr>
        <w:t xml:space="preserve">SAVICKAS, M.L. (2020). Career Construction Theory and Counseling Model. </w:t>
      </w:r>
      <w:r w:rsidRPr="008B78AD">
        <w:rPr>
          <w:rFonts w:cs="Arial"/>
          <w:i/>
          <w:iCs/>
          <w:lang w:val="en-US"/>
        </w:rPr>
        <w:t>Career Construction Theory and Counseling Model</w:t>
      </w:r>
      <w:r w:rsidRPr="008B78AD">
        <w:rPr>
          <w:rFonts w:cs="Arial"/>
          <w:lang w:val="en-US"/>
        </w:rPr>
        <w:t xml:space="preserve">, pp.165–199. doi: </w:t>
      </w:r>
      <w:hyperlink r:id="rId10" w:history="1">
        <w:r w:rsidRPr="008B78AD">
          <w:rPr>
            <w:rStyle w:val="Hyperlink"/>
            <w:rFonts w:cs="Arial"/>
            <w:lang w:val="en-US"/>
          </w:rPr>
          <w:t>https://doi.org/10.1002/9781394258994.ch6</w:t>
        </w:r>
      </w:hyperlink>
      <w:r w:rsidRPr="008B78AD">
        <w:rPr>
          <w:rFonts w:cs="Arial"/>
          <w:lang w:val="en-US"/>
        </w:rPr>
        <w:t xml:space="preserve">. </w:t>
      </w:r>
    </w:p>
    <w:p w14:paraId="51E11890" w14:textId="77777777" w:rsidR="0064458F" w:rsidRPr="008B78AD" w:rsidRDefault="0064458F" w:rsidP="0064458F">
      <w:pPr>
        <w:ind w:left="720" w:hanging="720"/>
        <w:rPr>
          <w:rFonts w:cs="Arial"/>
          <w:lang w:val="en-US"/>
        </w:rPr>
      </w:pPr>
      <w:r w:rsidRPr="008B78AD">
        <w:rPr>
          <w:rFonts w:cs="Arial"/>
          <w:lang w:val="en-US"/>
        </w:rPr>
        <w:t xml:space="preserve">Vo, M., Dallaghan, G.B., Borges, N., Gill, A.C., Good, B., Gollehon, N., Mehta, J.J., Richards, B., Richards, R., Serelzic, E., Tenney-Soeiro, R., Winward, J. and Balmer, D. (2021). Planning for Happenstance: Helping Students Optimize Unexpected Career Developments. </w:t>
      </w:r>
      <w:r w:rsidRPr="008B78AD">
        <w:rPr>
          <w:rFonts w:cs="Arial"/>
          <w:i/>
          <w:iCs/>
          <w:lang w:val="en-US"/>
        </w:rPr>
        <w:t>MedEdPORTAL</w:t>
      </w:r>
      <w:r w:rsidRPr="008B78AD">
        <w:rPr>
          <w:rFonts w:cs="Arial"/>
          <w:lang w:val="en-US"/>
        </w:rPr>
        <w:t xml:space="preserve">, 17(1), p.11087. doi: </w:t>
      </w:r>
      <w:hyperlink r:id="rId11" w:history="1">
        <w:r w:rsidRPr="008B78AD">
          <w:rPr>
            <w:rStyle w:val="Hyperlink"/>
            <w:rFonts w:cs="Arial"/>
            <w:lang w:val="en-US"/>
          </w:rPr>
          <w:t>https://doi.org/10.15766/mep_2374-8265.11087</w:t>
        </w:r>
      </w:hyperlink>
      <w:r w:rsidRPr="008B78AD">
        <w:rPr>
          <w:rFonts w:cs="Arial"/>
          <w:lang w:val="en-US"/>
        </w:rPr>
        <w:t xml:space="preserve">. </w:t>
      </w:r>
    </w:p>
    <w:p w14:paraId="43782EEB" w14:textId="77777777" w:rsidR="0064458F" w:rsidRPr="008B78AD" w:rsidRDefault="0064458F" w:rsidP="0064458F">
      <w:pPr>
        <w:ind w:left="720" w:hanging="720"/>
        <w:rPr>
          <w:rFonts w:cs="Arial"/>
          <w:lang w:val="en-US"/>
        </w:rPr>
      </w:pPr>
      <w:r w:rsidRPr="008B78AD">
        <w:rPr>
          <w:rFonts w:cs="Arial"/>
          <w:lang w:val="en-US"/>
        </w:rPr>
        <w:t xml:space="preserve">Wang, D. and Li, Y. (2024). Career construction theory: tools, interventions, and future trends. </w:t>
      </w:r>
      <w:r w:rsidRPr="008B78AD">
        <w:rPr>
          <w:rFonts w:cs="Arial"/>
          <w:i/>
          <w:iCs/>
          <w:lang w:val="en-US"/>
        </w:rPr>
        <w:t>Frontiers in psychology</w:t>
      </w:r>
      <w:r w:rsidRPr="008B78AD">
        <w:rPr>
          <w:rFonts w:cs="Arial"/>
          <w:lang w:val="en-US"/>
        </w:rPr>
        <w:t xml:space="preserve">, 15(1381233). doi: </w:t>
      </w:r>
      <w:hyperlink r:id="rId12" w:history="1">
        <w:r w:rsidRPr="008B78AD">
          <w:rPr>
            <w:rStyle w:val="Hyperlink"/>
            <w:rFonts w:cs="Arial"/>
            <w:lang w:val="en-US"/>
          </w:rPr>
          <w:t>https://doi.org/10.3389/fpsyg.2024.1381233</w:t>
        </w:r>
      </w:hyperlink>
      <w:r w:rsidRPr="008B78AD">
        <w:rPr>
          <w:rFonts w:cs="Arial"/>
          <w:lang w:val="en-US"/>
        </w:rPr>
        <w:t xml:space="preserve">. </w:t>
      </w:r>
    </w:p>
    <w:p w14:paraId="4D5A1A3C" w14:textId="45B7166F" w:rsidR="003978F6" w:rsidRPr="00925E66" w:rsidRDefault="0064458F" w:rsidP="00925E66">
      <w:pPr>
        <w:ind w:left="720" w:hanging="720"/>
        <w:rPr>
          <w:rFonts w:cs="Arial"/>
          <w:lang w:val="en-US"/>
        </w:rPr>
      </w:pPr>
      <w:r w:rsidRPr="008B78AD">
        <w:rPr>
          <w:rFonts w:cs="Arial"/>
          <w:lang w:val="en-US"/>
        </w:rPr>
        <w:t xml:space="preserve">Yılmaz, O. (2026). Linking career construction styles to career adaptability among university students: a canonical correlation analysis. </w:t>
      </w:r>
      <w:r w:rsidRPr="008B78AD">
        <w:rPr>
          <w:rFonts w:cs="Arial"/>
          <w:i/>
          <w:iCs/>
          <w:lang w:val="en-US"/>
        </w:rPr>
        <w:t>BMC Psychology</w:t>
      </w:r>
      <w:r w:rsidRPr="008B78AD">
        <w:rPr>
          <w:rFonts w:cs="Arial"/>
          <w:lang w:val="en-US"/>
        </w:rPr>
        <w:t xml:space="preserve">. doi: </w:t>
      </w:r>
      <w:hyperlink r:id="rId13" w:history="1">
        <w:r w:rsidRPr="008B78AD">
          <w:rPr>
            <w:rStyle w:val="Hyperlink"/>
            <w:rFonts w:cs="Arial"/>
            <w:lang w:val="en-US"/>
          </w:rPr>
          <w:t>https://doi.org/10.1186/s40359-026-04391-y</w:t>
        </w:r>
      </w:hyperlink>
      <w:r w:rsidRPr="008B78AD">
        <w:rPr>
          <w:rFonts w:cs="Arial"/>
          <w:lang w:val="en-US"/>
        </w:rPr>
        <w:t xml:space="preserve">.  </w:t>
      </w:r>
    </w:p>
    <w:sectPr w:rsidR="003978F6" w:rsidRPr="00925E66">
      <w:head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8B83B9" w14:textId="77777777" w:rsidR="00360388" w:rsidRDefault="00360388" w:rsidP="006B1038">
      <w:pPr>
        <w:spacing w:after="0" w:line="240" w:lineRule="auto"/>
      </w:pPr>
      <w:r>
        <w:separator/>
      </w:r>
    </w:p>
  </w:endnote>
  <w:endnote w:type="continuationSeparator" w:id="0">
    <w:p w14:paraId="20A2AE42" w14:textId="77777777" w:rsidR="00360388" w:rsidRDefault="00360388" w:rsidP="006B10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10088B" w14:textId="77777777" w:rsidR="00360388" w:rsidRDefault="00360388" w:rsidP="006B1038">
      <w:pPr>
        <w:spacing w:after="0" w:line="240" w:lineRule="auto"/>
      </w:pPr>
      <w:r>
        <w:separator/>
      </w:r>
    </w:p>
  </w:footnote>
  <w:footnote w:type="continuationSeparator" w:id="0">
    <w:p w14:paraId="0F94965A" w14:textId="77777777" w:rsidR="00360388" w:rsidRDefault="00360388" w:rsidP="006B10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7B03C0" w14:textId="77777777" w:rsidR="006B1038" w:rsidRPr="006B1038" w:rsidRDefault="006B1038" w:rsidP="006B1038">
    <w:pPr>
      <w:pStyle w:val="Header"/>
      <w:jc w:val="right"/>
      <w:rPr>
        <w:i/>
        <w:sz w:val="22"/>
      </w:rPr>
    </w:pPr>
    <w:r w:rsidRPr="006B1038">
      <w:rPr>
        <w:i/>
        <w:sz w:val="22"/>
      </w:rPr>
      <w:t>Professional Career Development – BMSW4012 | Reflective Essay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F57B4"/>
    <w:rsid w:val="00007DEA"/>
    <w:rsid w:val="00045631"/>
    <w:rsid w:val="00142513"/>
    <w:rsid w:val="001573FE"/>
    <w:rsid w:val="001D1AC0"/>
    <w:rsid w:val="001E6243"/>
    <w:rsid w:val="001F57B4"/>
    <w:rsid w:val="00214034"/>
    <w:rsid w:val="00244408"/>
    <w:rsid w:val="002C3F16"/>
    <w:rsid w:val="00360388"/>
    <w:rsid w:val="003978F6"/>
    <w:rsid w:val="003D0BFA"/>
    <w:rsid w:val="003D7414"/>
    <w:rsid w:val="004C6958"/>
    <w:rsid w:val="005A7202"/>
    <w:rsid w:val="005E71B1"/>
    <w:rsid w:val="00601556"/>
    <w:rsid w:val="00616D56"/>
    <w:rsid w:val="00640B7D"/>
    <w:rsid w:val="0064458F"/>
    <w:rsid w:val="00673A52"/>
    <w:rsid w:val="006B1038"/>
    <w:rsid w:val="006B6891"/>
    <w:rsid w:val="006C0A8E"/>
    <w:rsid w:val="00783FDB"/>
    <w:rsid w:val="007C6BA5"/>
    <w:rsid w:val="007D6992"/>
    <w:rsid w:val="008A5ED1"/>
    <w:rsid w:val="008B580A"/>
    <w:rsid w:val="008B78AD"/>
    <w:rsid w:val="008D1528"/>
    <w:rsid w:val="008E1A9E"/>
    <w:rsid w:val="00904269"/>
    <w:rsid w:val="00925E66"/>
    <w:rsid w:val="00977533"/>
    <w:rsid w:val="009979AF"/>
    <w:rsid w:val="009F5CAA"/>
    <w:rsid w:val="00A02268"/>
    <w:rsid w:val="00A06061"/>
    <w:rsid w:val="00B3701C"/>
    <w:rsid w:val="00B6597F"/>
    <w:rsid w:val="00C03D19"/>
    <w:rsid w:val="00C049DB"/>
    <w:rsid w:val="00D10189"/>
    <w:rsid w:val="00D15513"/>
    <w:rsid w:val="00D25CAA"/>
    <w:rsid w:val="00D346D0"/>
    <w:rsid w:val="00E46CBE"/>
    <w:rsid w:val="00E51F33"/>
    <w:rsid w:val="00E80758"/>
    <w:rsid w:val="00EC6707"/>
    <w:rsid w:val="00F076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76D99B"/>
  <w15:chartTrackingRefBased/>
  <w15:docId w15:val="{066A5523-8485-4008-B63A-BA70A72AB4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73FE"/>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E80758"/>
    <w:pPr>
      <w:keepNext/>
      <w:keepLines/>
      <w:spacing w:before="240" w:after="0"/>
      <w:outlineLvl w:val="0"/>
    </w:pPr>
    <w:rPr>
      <w:rFonts w:eastAsiaTheme="majorEastAsia" w:cstheme="majorBidi"/>
      <w:b/>
      <w:color w:val="2E74B5" w:themeColor="accent1" w:themeShade="BF"/>
      <w:sz w:val="28"/>
      <w:szCs w:val="32"/>
    </w:rPr>
  </w:style>
  <w:style w:type="paragraph" w:styleId="Heading2">
    <w:name w:val="heading 2"/>
    <w:basedOn w:val="Normal"/>
    <w:next w:val="Normal"/>
    <w:link w:val="Heading2Char"/>
    <w:uiPriority w:val="9"/>
    <w:semiHidden/>
    <w:unhideWhenUsed/>
    <w:qFormat/>
    <w:rsid w:val="00E80758"/>
    <w:pPr>
      <w:keepNext/>
      <w:keepLines/>
      <w:spacing w:before="40" w:after="0"/>
      <w:outlineLvl w:val="1"/>
    </w:pPr>
    <w:rPr>
      <w:rFonts w:eastAsiaTheme="majorEastAsia" w:cstheme="majorBidi"/>
      <w:color w:val="2E74B5" w:themeColor="accent1" w:themeShade="BF"/>
      <w:szCs w:val="26"/>
      <w:u w:val="singl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0758"/>
    <w:rPr>
      <w:rFonts w:ascii="Times New Roman" w:eastAsiaTheme="majorEastAsia" w:hAnsi="Times New Roman" w:cstheme="majorBidi"/>
      <w:b/>
      <w:color w:val="2E74B5" w:themeColor="accent1" w:themeShade="BF"/>
      <w:sz w:val="28"/>
      <w:szCs w:val="32"/>
    </w:rPr>
  </w:style>
  <w:style w:type="character" w:customStyle="1" w:styleId="Heading2Char">
    <w:name w:val="Heading 2 Char"/>
    <w:basedOn w:val="DefaultParagraphFont"/>
    <w:link w:val="Heading2"/>
    <w:uiPriority w:val="9"/>
    <w:semiHidden/>
    <w:rsid w:val="00E80758"/>
    <w:rPr>
      <w:rFonts w:ascii="Times New Roman" w:eastAsiaTheme="majorEastAsia" w:hAnsi="Times New Roman" w:cstheme="majorBidi"/>
      <w:color w:val="2E74B5" w:themeColor="accent1" w:themeShade="BF"/>
      <w:sz w:val="24"/>
      <w:szCs w:val="26"/>
      <w:u w:val="single"/>
    </w:rPr>
  </w:style>
  <w:style w:type="paragraph" w:styleId="Header">
    <w:name w:val="header"/>
    <w:basedOn w:val="Normal"/>
    <w:link w:val="HeaderChar"/>
    <w:uiPriority w:val="99"/>
    <w:unhideWhenUsed/>
    <w:rsid w:val="006B1038"/>
    <w:pPr>
      <w:tabs>
        <w:tab w:val="center" w:pos="4680"/>
        <w:tab w:val="right" w:pos="9360"/>
      </w:tabs>
      <w:spacing w:after="0" w:line="240" w:lineRule="auto"/>
    </w:pPr>
  </w:style>
  <w:style w:type="character" w:customStyle="1" w:styleId="HeaderChar">
    <w:name w:val="Header Char"/>
    <w:basedOn w:val="DefaultParagraphFont"/>
    <w:link w:val="Header"/>
    <w:uiPriority w:val="99"/>
    <w:rsid w:val="006B1038"/>
    <w:rPr>
      <w:rFonts w:ascii="Times New Roman" w:hAnsi="Times New Roman"/>
      <w:sz w:val="24"/>
      <w:lang w:val="en-GB"/>
    </w:rPr>
  </w:style>
  <w:style w:type="paragraph" w:styleId="Footer">
    <w:name w:val="footer"/>
    <w:basedOn w:val="Normal"/>
    <w:link w:val="FooterChar"/>
    <w:uiPriority w:val="99"/>
    <w:unhideWhenUsed/>
    <w:rsid w:val="006B1038"/>
    <w:pPr>
      <w:tabs>
        <w:tab w:val="center" w:pos="4680"/>
        <w:tab w:val="right" w:pos="9360"/>
      </w:tabs>
      <w:spacing w:after="0" w:line="240" w:lineRule="auto"/>
    </w:pPr>
  </w:style>
  <w:style w:type="character" w:customStyle="1" w:styleId="FooterChar">
    <w:name w:val="Footer Char"/>
    <w:basedOn w:val="DefaultParagraphFont"/>
    <w:link w:val="Footer"/>
    <w:uiPriority w:val="99"/>
    <w:rsid w:val="006B1038"/>
    <w:rPr>
      <w:rFonts w:ascii="Times New Roman" w:hAnsi="Times New Roman"/>
      <w:sz w:val="24"/>
      <w:lang w:val="en-GB"/>
    </w:rPr>
  </w:style>
  <w:style w:type="character" w:styleId="Hyperlink">
    <w:name w:val="Hyperlink"/>
    <w:basedOn w:val="DefaultParagraphFont"/>
    <w:uiPriority w:val="99"/>
    <w:unhideWhenUsed/>
    <w:rsid w:val="0064458F"/>
    <w:rPr>
      <w:color w:val="0563C1" w:themeColor="hyperlink"/>
      <w:u w:val="single"/>
    </w:rPr>
  </w:style>
  <w:style w:type="paragraph" w:styleId="NormalWeb">
    <w:name w:val="Normal (Web)"/>
    <w:basedOn w:val="Normal"/>
    <w:uiPriority w:val="99"/>
    <w:unhideWhenUsed/>
    <w:rsid w:val="003D7414"/>
    <w:pPr>
      <w:spacing w:before="100" w:beforeAutospacing="1" w:after="100" w:afterAutospacing="1" w:line="240" w:lineRule="auto"/>
      <w:jc w:val="left"/>
    </w:pPr>
    <w:rPr>
      <w:rFonts w:eastAsia="Times New Roman" w:cs="Times New Roman"/>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54728097">
      <w:bodyDiv w:val="1"/>
      <w:marLeft w:val="0"/>
      <w:marRight w:val="0"/>
      <w:marTop w:val="0"/>
      <w:marBottom w:val="0"/>
      <w:divBdr>
        <w:top w:val="none" w:sz="0" w:space="0" w:color="auto"/>
        <w:left w:val="none" w:sz="0" w:space="0" w:color="auto"/>
        <w:bottom w:val="none" w:sz="0" w:space="0" w:color="auto"/>
        <w:right w:val="none" w:sz="0" w:space="0" w:color="auto"/>
      </w:divBdr>
    </w:div>
    <w:div w:id="1076899386">
      <w:bodyDiv w:val="1"/>
      <w:marLeft w:val="0"/>
      <w:marRight w:val="0"/>
      <w:marTop w:val="0"/>
      <w:marBottom w:val="0"/>
      <w:divBdr>
        <w:top w:val="none" w:sz="0" w:space="0" w:color="auto"/>
        <w:left w:val="none" w:sz="0" w:space="0" w:color="auto"/>
        <w:bottom w:val="none" w:sz="0" w:space="0" w:color="auto"/>
        <w:right w:val="none" w:sz="0" w:space="0" w:color="auto"/>
      </w:divBdr>
    </w:div>
    <w:div w:id="1122771876">
      <w:bodyDiv w:val="1"/>
      <w:marLeft w:val="0"/>
      <w:marRight w:val="0"/>
      <w:marTop w:val="0"/>
      <w:marBottom w:val="0"/>
      <w:divBdr>
        <w:top w:val="none" w:sz="0" w:space="0" w:color="auto"/>
        <w:left w:val="none" w:sz="0" w:space="0" w:color="auto"/>
        <w:bottom w:val="none" w:sz="0" w:space="0" w:color="auto"/>
        <w:right w:val="none" w:sz="0" w:space="0" w:color="auto"/>
      </w:divBdr>
      <w:divsChild>
        <w:div w:id="65623029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ijerph17165986" TargetMode="External"/><Relationship Id="rId13" Type="http://schemas.openxmlformats.org/officeDocument/2006/relationships/hyperlink" Target="https://doi.org/10.1186/s40359-026-04391-y" TargetMode="External"/><Relationship Id="rId3" Type="http://schemas.openxmlformats.org/officeDocument/2006/relationships/webSettings" Target="webSettings.xml"/><Relationship Id="rId7" Type="http://schemas.openxmlformats.org/officeDocument/2006/relationships/hyperlink" Target="https://www.ncda.org/aws/NCDA/pt/sd/news_article/559383/_PARENT/CC_layout_details/false" TargetMode="External"/><Relationship Id="rId12" Type="http://schemas.openxmlformats.org/officeDocument/2006/relationships/hyperlink" Target="https://doi.org/10.3389/fpsyg.2024.1381233"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doi.org/10.15766/mep_2374-8265.11087"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doi.org/10.1002/9781394258994.ch6" TargetMode="External"/><Relationship Id="rId4" Type="http://schemas.openxmlformats.org/officeDocument/2006/relationships/footnotes" Target="footnotes.xml"/><Relationship Id="rId9" Type="http://schemas.openxmlformats.org/officeDocument/2006/relationships/hyperlink" Target="https://doi.org/10.1007/s10775-025-09739-1"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TotalTime>
  <Pages>8</Pages>
  <Words>1921</Words>
  <Characters>10955</Characters>
  <Application>Microsoft Office Word</Application>
  <DocSecurity>0</DocSecurity>
  <Lines>91</Lines>
  <Paragraphs>25</Paragraphs>
  <ScaleCrop>false</ScaleCrop>
  <Company/>
  <LinksUpToDate>false</LinksUpToDate>
  <CharactersWithSpaces>12851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45</cp:revision>
  <dcterms:created xsi:type="dcterms:W3CDTF">2026-06-10T16:49:00Z</dcterms:created>
  <dcterms:modified xsi:type="dcterms:W3CDTF">2026-06-11T09:24:00Z</dcterms:modified>
</cp:coreProperties>
</file>