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81C8AD" w14:textId="77777777" w:rsidR="004629D1" w:rsidRDefault="004629D1">
      <w:pPr>
        <w:pStyle w:val="Heading1"/>
        <w:rPr>
          <w:rFonts w:ascii="Arial" w:eastAsia="Arial" w:hAnsi="Arial" w:cs="Arial"/>
          <w:b/>
          <w:color w:val="000000"/>
        </w:rPr>
      </w:pPr>
    </w:p>
    <w:p w14:paraId="6A4BE650" w14:textId="6E5BF35C" w:rsidR="004629D1" w:rsidRDefault="004629D1">
      <w:pPr>
        <w:pStyle w:val="Heading1"/>
        <w:rPr>
          <w:rFonts w:ascii="Arial" w:eastAsia="Arial" w:hAnsi="Arial" w:cs="Arial"/>
          <w:b/>
          <w:color w:val="000000"/>
        </w:rPr>
      </w:pPr>
      <w:r>
        <w:rPr>
          <w:noProof/>
        </w:rPr>
        <w:drawing>
          <wp:inline distT="0" distB="0" distL="0" distR="0" wp14:anchorId="5894048F" wp14:editId="43576F52">
            <wp:extent cx="5943600" cy="3343275"/>
            <wp:effectExtent l="0" t="0" r="0" b="9525"/>
            <wp:docPr id="3" name="Picture 2">
              <a:extLst xmlns:a="http://schemas.openxmlformats.org/drawingml/2006/main">
                <a:ext uri="{FF2B5EF4-FFF2-40B4-BE49-F238E27FC236}">
                  <a16:creationId xmlns:a16="http://schemas.microsoft.com/office/drawing/2014/main" id="{F6CA65F0-2D28-4E33-9683-2C5577B78B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6CA65F0-2D28-4E33-9683-2C5577B78BC3}"/>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0A00711" w14:textId="77777777" w:rsidR="004629D1" w:rsidRDefault="004629D1">
      <w:pPr>
        <w:pStyle w:val="Heading1"/>
        <w:rPr>
          <w:rFonts w:ascii="Arial" w:eastAsia="Arial" w:hAnsi="Arial" w:cs="Arial"/>
          <w:b/>
          <w:color w:val="000000"/>
        </w:rPr>
      </w:pPr>
    </w:p>
    <w:p w14:paraId="52FC0ABF" w14:textId="77777777" w:rsidR="004629D1" w:rsidRDefault="004629D1">
      <w:pPr>
        <w:pStyle w:val="Heading1"/>
        <w:rPr>
          <w:rFonts w:ascii="Arial" w:eastAsia="Arial" w:hAnsi="Arial" w:cs="Arial"/>
          <w:b/>
          <w:color w:val="000000"/>
        </w:rPr>
      </w:pPr>
    </w:p>
    <w:p w14:paraId="5502F37B" w14:textId="77777777" w:rsidR="004629D1" w:rsidRDefault="004629D1">
      <w:pPr>
        <w:pStyle w:val="Heading1"/>
        <w:rPr>
          <w:rFonts w:ascii="Arial" w:eastAsia="Arial" w:hAnsi="Arial" w:cs="Arial"/>
          <w:b/>
          <w:color w:val="000000"/>
        </w:rPr>
      </w:pPr>
    </w:p>
    <w:p w14:paraId="65D2046B" w14:textId="77777777" w:rsidR="004629D1" w:rsidRDefault="004629D1">
      <w:pPr>
        <w:pStyle w:val="Heading1"/>
        <w:rPr>
          <w:rFonts w:asciiTheme="majorHAnsi" w:eastAsiaTheme="majorEastAsia" w:hAnsi="Corbel" w:cstheme="majorBidi"/>
          <w:color w:val="000000" w:themeColor="text1"/>
          <w:kern w:val="24"/>
          <w:sz w:val="108"/>
          <w:szCs w:val="108"/>
        </w:rPr>
      </w:pPr>
    </w:p>
    <w:p w14:paraId="6E600BD6" w14:textId="77777777" w:rsidR="004629D1" w:rsidRDefault="004629D1">
      <w:pPr>
        <w:pStyle w:val="Heading1"/>
        <w:rPr>
          <w:rFonts w:asciiTheme="majorHAnsi" w:eastAsiaTheme="majorEastAsia" w:hAnsi="Corbel" w:cstheme="majorBidi"/>
          <w:color w:val="000000" w:themeColor="text1"/>
          <w:kern w:val="24"/>
          <w:sz w:val="108"/>
          <w:szCs w:val="108"/>
        </w:rPr>
      </w:pPr>
    </w:p>
    <w:p w14:paraId="530B632E" w14:textId="75B2F691" w:rsidR="004629D1" w:rsidRDefault="004629D1">
      <w:pPr>
        <w:pStyle w:val="Heading1"/>
        <w:rPr>
          <w:rFonts w:asciiTheme="majorHAnsi" w:eastAsiaTheme="majorEastAsia" w:hAnsi="Corbel" w:cstheme="majorBidi"/>
          <w:color w:val="000000" w:themeColor="text1"/>
          <w:kern w:val="24"/>
          <w:sz w:val="108"/>
          <w:szCs w:val="108"/>
        </w:rPr>
      </w:pPr>
      <w:r>
        <w:rPr>
          <w:rFonts w:asciiTheme="majorHAnsi" w:eastAsiaTheme="majorEastAsia" w:hAnsi="Corbel" w:cstheme="majorBidi"/>
          <w:color w:val="000000" w:themeColor="text1"/>
          <w:kern w:val="24"/>
          <w:sz w:val="108"/>
          <w:szCs w:val="108"/>
        </w:rPr>
        <w:lastRenderedPageBreak/>
        <w:t>DIGITAL SKILLS AND RESEARCH METHODS</w:t>
      </w:r>
    </w:p>
    <w:p w14:paraId="6DAA132E" w14:textId="30AECB51" w:rsidR="004629D1" w:rsidRDefault="004629D1" w:rsidP="004629D1"/>
    <w:p w14:paraId="5525AA01" w14:textId="77777777" w:rsidR="004629D1" w:rsidRDefault="004629D1" w:rsidP="004629D1">
      <w:pPr>
        <w:pStyle w:val="NormalWeb"/>
        <w:spacing w:before="58" w:beforeAutospacing="0" w:after="120" w:afterAutospacing="0"/>
        <w:jc w:val="right"/>
      </w:pPr>
      <w:r>
        <w:rPr>
          <w:rFonts w:asciiTheme="minorHAnsi" w:eastAsiaTheme="minorEastAsia" w:hAnsi="Corbel" w:cstheme="minorBidi"/>
          <w:color w:val="000000" w:themeColor="text1"/>
          <w:kern w:val="24"/>
        </w:rPr>
        <w:t xml:space="preserve">Mihai </w:t>
      </w:r>
      <w:proofErr w:type="spellStart"/>
      <w:proofErr w:type="gramStart"/>
      <w:r>
        <w:rPr>
          <w:rFonts w:asciiTheme="minorHAnsi" w:eastAsiaTheme="minorEastAsia" w:hAnsi="Corbel" w:cstheme="minorBidi"/>
          <w:color w:val="000000" w:themeColor="text1"/>
          <w:kern w:val="24"/>
        </w:rPr>
        <w:t>Mariuta</w:t>
      </w:r>
      <w:proofErr w:type="spellEnd"/>
      <w:r>
        <w:rPr>
          <w:rFonts w:asciiTheme="minorHAnsi" w:eastAsiaTheme="minorEastAsia" w:hAnsi="Corbel" w:cstheme="minorBidi"/>
          <w:color w:val="000000" w:themeColor="text1"/>
          <w:kern w:val="24"/>
        </w:rPr>
        <w:t xml:space="preserve"> :</w:t>
      </w:r>
      <w:r>
        <w:rPr>
          <w:rFonts w:eastAsiaTheme="minorEastAsia"/>
          <w:i/>
          <w:iCs/>
          <w:color w:val="000000" w:themeColor="text1"/>
          <w:kern w:val="24"/>
          <w:lang w:val="en-US"/>
        </w:rPr>
        <w:t>Background</w:t>
      </w:r>
      <w:proofErr w:type="gramEnd"/>
      <w:r>
        <w:rPr>
          <w:rFonts w:eastAsiaTheme="minorEastAsia"/>
          <w:i/>
          <w:iCs/>
          <w:color w:val="000000" w:themeColor="text1"/>
          <w:kern w:val="24"/>
          <w:lang w:val="en-US"/>
        </w:rPr>
        <w:t xml:space="preserve"> Of Lloyds Bank</w:t>
      </w:r>
      <w:r>
        <w:rPr>
          <w:rFonts w:eastAsiaTheme="minorEastAsia"/>
          <w:i/>
          <w:iCs/>
          <w:color w:val="000000" w:themeColor="text1"/>
          <w:kern w:val="24"/>
        </w:rPr>
        <w:t xml:space="preserve"> </w:t>
      </w:r>
    </w:p>
    <w:p w14:paraId="20F7BC36" w14:textId="77777777" w:rsidR="004629D1" w:rsidRDefault="004629D1" w:rsidP="004629D1">
      <w:pPr>
        <w:pStyle w:val="NormalWeb"/>
        <w:spacing w:before="58" w:beforeAutospacing="0" w:after="120" w:afterAutospacing="0"/>
        <w:jc w:val="right"/>
      </w:pPr>
      <w:proofErr w:type="spellStart"/>
      <w:r>
        <w:rPr>
          <w:rFonts w:asciiTheme="minorHAnsi" w:eastAsiaTheme="minorEastAsia" w:hAnsi="Corbel" w:cstheme="minorBidi"/>
          <w:color w:val="000000" w:themeColor="text1"/>
          <w:kern w:val="24"/>
        </w:rPr>
        <w:t>Andrada</w:t>
      </w:r>
      <w:proofErr w:type="spellEnd"/>
      <w:r>
        <w:rPr>
          <w:rFonts w:asciiTheme="minorHAnsi" w:eastAsiaTheme="minorEastAsia" w:hAnsi="Corbel" w:cstheme="minorBidi"/>
          <w:color w:val="000000" w:themeColor="text1"/>
          <w:kern w:val="24"/>
        </w:rPr>
        <w:t xml:space="preserve"> Balaban: </w:t>
      </w:r>
      <w:r>
        <w:rPr>
          <w:rFonts w:eastAsiaTheme="minorEastAsia"/>
          <w:color w:val="000000" w:themeColor="text1"/>
          <w:kern w:val="24"/>
        </w:rPr>
        <w:t>Challenges of Electronic Payment System</w:t>
      </w:r>
    </w:p>
    <w:p w14:paraId="5AFC20E8" w14:textId="77777777" w:rsidR="004629D1" w:rsidRDefault="004629D1" w:rsidP="004629D1">
      <w:pPr>
        <w:pStyle w:val="NormalWeb"/>
        <w:spacing w:before="58" w:beforeAutospacing="0" w:after="120" w:afterAutospacing="0"/>
        <w:jc w:val="right"/>
      </w:pPr>
      <w:r>
        <w:rPr>
          <w:rFonts w:asciiTheme="minorHAnsi" w:eastAsiaTheme="minorEastAsia" w:hAnsi="Corbel" w:cstheme="minorBidi"/>
          <w:color w:val="000000" w:themeColor="text1"/>
          <w:kern w:val="24"/>
        </w:rPr>
        <w:t xml:space="preserve">Diana </w:t>
      </w:r>
      <w:proofErr w:type="spellStart"/>
      <w:r>
        <w:rPr>
          <w:rFonts w:asciiTheme="minorHAnsi" w:eastAsiaTheme="minorEastAsia" w:hAnsi="Corbel" w:cstheme="minorBidi"/>
          <w:color w:val="000000" w:themeColor="text1"/>
          <w:kern w:val="24"/>
        </w:rPr>
        <w:t>Cotorobai</w:t>
      </w:r>
      <w:proofErr w:type="spellEnd"/>
      <w:r>
        <w:rPr>
          <w:rFonts w:asciiTheme="minorHAnsi" w:eastAsiaTheme="minorEastAsia" w:hAnsi="Corbel" w:cstheme="minorBidi"/>
          <w:color w:val="000000" w:themeColor="text1"/>
          <w:kern w:val="24"/>
        </w:rPr>
        <w:t xml:space="preserve">: </w:t>
      </w:r>
      <w:r>
        <w:rPr>
          <w:rFonts w:eastAsiaTheme="minorEastAsia"/>
          <w:color w:val="000000" w:themeColor="text1"/>
          <w:kern w:val="24"/>
        </w:rPr>
        <w:t>Cyber Security</w:t>
      </w:r>
    </w:p>
    <w:p w14:paraId="15875474" w14:textId="77777777" w:rsidR="004629D1" w:rsidRDefault="004629D1" w:rsidP="004629D1">
      <w:pPr>
        <w:pStyle w:val="NormalWeb"/>
        <w:spacing w:before="58" w:beforeAutospacing="0" w:after="120" w:afterAutospacing="0"/>
        <w:jc w:val="right"/>
      </w:pPr>
      <w:r>
        <w:rPr>
          <w:rFonts w:asciiTheme="minorHAnsi" w:eastAsiaTheme="minorEastAsia" w:hAnsi="Corbel" w:cstheme="minorBidi"/>
          <w:color w:val="000000" w:themeColor="text1"/>
          <w:kern w:val="24"/>
        </w:rPr>
        <w:t xml:space="preserve">Liliana </w:t>
      </w:r>
      <w:proofErr w:type="spellStart"/>
      <w:r>
        <w:rPr>
          <w:rFonts w:asciiTheme="minorHAnsi" w:eastAsiaTheme="minorEastAsia" w:hAnsi="Corbel" w:cstheme="minorBidi"/>
          <w:color w:val="000000" w:themeColor="text1"/>
          <w:kern w:val="24"/>
        </w:rPr>
        <w:t>Putaru</w:t>
      </w:r>
      <w:proofErr w:type="spellEnd"/>
      <w:r>
        <w:rPr>
          <w:rFonts w:asciiTheme="minorHAnsi" w:eastAsiaTheme="minorEastAsia" w:hAnsi="Corbel" w:cstheme="minorBidi"/>
          <w:color w:val="000000" w:themeColor="text1"/>
          <w:kern w:val="24"/>
        </w:rPr>
        <w:t xml:space="preserve">: </w:t>
      </w:r>
      <w:r>
        <w:rPr>
          <w:rFonts w:eastAsiaTheme="minorEastAsia"/>
          <w:color w:val="000000" w:themeColor="text1"/>
          <w:kern w:val="24"/>
        </w:rPr>
        <w:t xml:space="preserve">Low-Cost Customer Oriented </w:t>
      </w:r>
      <w:proofErr w:type="spellStart"/>
      <w:r>
        <w:rPr>
          <w:rFonts w:eastAsiaTheme="minorEastAsia"/>
          <w:color w:val="000000" w:themeColor="text1"/>
          <w:kern w:val="24"/>
        </w:rPr>
        <w:t>Sevrices</w:t>
      </w:r>
      <w:proofErr w:type="spellEnd"/>
    </w:p>
    <w:p w14:paraId="03BF9666" w14:textId="105732F8" w:rsidR="004629D1" w:rsidRDefault="004629D1" w:rsidP="004629D1">
      <w:pPr>
        <w:pStyle w:val="NormalWeb"/>
        <w:spacing w:before="58" w:beforeAutospacing="0" w:after="120" w:afterAutospacing="0"/>
        <w:jc w:val="right"/>
        <w:rPr>
          <w:rFonts w:eastAsiaTheme="minorEastAsia"/>
          <w:color w:val="000000" w:themeColor="text1"/>
          <w:kern w:val="24"/>
        </w:rPr>
      </w:pPr>
      <w:r>
        <w:rPr>
          <w:rFonts w:asciiTheme="minorHAnsi" w:eastAsiaTheme="minorEastAsia" w:hAnsi="Corbel" w:cstheme="minorBidi"/>
          <w:color w:val="000000" w:themeColor="text1"/>
          <w:kern w:val="24"/>
        </w:rPr>
        <w:t xml:space="preserve">Ioana Cozma: </w:t>
      </w:r>
      <w:proofErr w:type="spellStart"/>
      <w:r>
        <w:rPr>
          <w:rFonts w:eastAsiaTheme="minorEastAsia"/>
          <w:color w:val="000000" w:themeColor="text1"/>
          <w:kern w:val="24"/>
        </w:rPr>
        <w:t>Impacto</w:t>
      </w:r>
      <w:proofErr w:type="spellEnd"/>
      <w:r>
        <w:rPr>
          <w:rFonts w:eastAsiaTheme="minorEastAsia"/>
          <w:color w:val="000000" w:themeColor="text1"/>
          <w:kern w:val="24"/>
        </w:rPr>
        <w:t xml:space="preserve"> of Technology</w:t>
      </w:r>
    </w:p>
    <w:p w14:paraId="7C4B1DD2" w14:textId="68C3F74D" w:rsidR="004629D1" w:rsidRDefault="004629D1" w:rsidP="004629D1">
      <w:pPr>
        <w:pStyle w:val="NormalWeb"/>
        <w:spacing w:before="58" w:beforeAutospacing="0" w:after="120" w:afterAutospacing="0"/>
        <w:jc w:val="right"/>
        <w:rPr>
          <w:rFonts w:eastAsiaTheme="minorEastAsia"/>
          <w:color w:val="000000" w:themeColor="text1"/>
          <w:kern w:val="24"/>
        </w:rPr>
      </w:pPr>
    </w:p>
    <w:p w14:paraId="40F3221C" w14:textId="77777777" w:rsidR="004629D1" w:rsidRDefault="004629D1" w:rsidP="004629D1">
      <w:pPr>
        <w:pStyle w:val="NormalWeb"/>
        <w:spacing w:before="58" w:beforeAutospacing="0" w:after="120" w:afterAutospacing="0"/>
        <w:jc w:val="right"/>
      </w:pPr>
    </w:p>
    <w:p w14:paraId="3CBAA2CA" w14:textId="4A705D8B" w:rsidR="004629D1" w:rsidRDefault="004629D1" w:rsidP="004629D1"/>
    <w:p w14:paraId="53C18160" w14:textId="418D1E96" w:rsidR="004629D1" w:rsidRDefault="004629D1" w:rsidP="004629D1"/>
    <w:p w14:paraId="5DDB2ABF" w14:textId="3C03BB73" w:rsidR="004629D1" w:rsidRDefault="004629D1" w:rsidP="004629D1"/>
    <w:p w14:paraId="763B115A" w14:textId="53159D16" w:rsidR="004629D1" w:rsidRDefault="004629D1" w:rsidP="004629D1"/>
    <w:p w14:paraId="7F382456" w14:textId="27D70528" w:rsidR="004629D1" w:rsidRDefault="004629D1" w:rsidP="004629D1"/>
    <w:p w14:paraId="7EEDAA91" w14:textId="29864D29" w:rsidR="004629D1" w:rsidRDefault="004629D1" w:rsidP="004629D1"/>
    <w:p w14:paraId="204AE754" w14:textId="7499354A" w:rsidR="004629D1" w:rsidRDefault="004629D1" w:rsidP="004629D1"/>
    <w:p w14:paraId="349E456E" w14:textId="36DA5604" w:rsidR="004629D1" w:rsidRDefault="004629D1" w:rsidP="004629D1"/>
    <w:p w14:paraId="7122B51C" w14:textId="5B8AF552" w:rsidR="004629D1" w:rsidRDefault="004629D1" w:rsidP="004629D1"/>
    <w:p w14:paraId="7CF23842" w14:textId="73652446" w:rsidR="004629D1" w:rsidRDefault="004629D1" w:rsidP="004629D1"/>
    <w:p w14:paraId="0A2D8BA4" w14:textId="1052CFF3" w:rsidR="004629D1" w:rsidRDefault="004629D1" w:rsidP="004629D1"/>
    <w:p w14:paraId="540047B0" w14:textId="29CAFD6F" w:rsidR="004629D1" w:rsidRDefault="004629D1" w:rsidP="004629D1"/>
    <w:p w14:paraId="6B6964A3" w14:textId="4546AED6" w:rsidR="004629D1" w:rsidRDefault="004629D1" w:rsidP="004629D1"/>
    <w:p w14:paraId="43AE17B1" w14:textId="08CFB3E0" w:rsidR="004629D1" w:rsidRDefault="004629D1" w:rsidP="004629D1"/>
    <w:p w14:paraId="2334524C" w14:textId="77777777" w:rsidR="004629D1" w:rsidRDefault="004629D1" w:rsidP="004629D1"/>
    <w:p w14:paraId="11C149DE" w14:textId="77777777" w:rsidR="004629D1" w:rsidRDefault="004629D1" w:rsidP="004629D1"/>
    <w:p w14:paraId="36A7EF71" w14:textId="639983FC" w:rsidR="004629D1" w:rsidRDefault="004629D1" w:rsidP="004629D1"/>
    <w:p w14:paraId="136954C2" w14:textId="77777777" w:rsidR="004629D1" w:rsidRPr="004629D1" w:rsidRDefault="004629D1" w:rsidP="004629D1"/>
    <w:p w14:paraId="7B319FA2" w14:textId="77777777" w:rsidR="004629D1" w:rsidRDefault="004629D1">
      <w:pPr>
        <w:pStyle w:val="Heading1"/>
        <w:rPr>
          <w:rFonts w:asciiTheme="majorHAnsi" w:eastAsiaTheme="majorEastAsia" w:hAnsi="Corbel" w:cstheme="majorBidi"/>
          <w:b/>
          <w:bCs/>
          <w:color w:val="000000" w:themeColor="text1"/>
          <w:kern w:val="24"/>
          <w:sz w:val="80"/>
          <w:szCs w:val="80"/>
        </w:rPr>
      </w:pPr>
    </w:p>
    <w:p w14:paraId="7AD34B8E" w14:textId="77777777" w:rsidR="004629D1" w:rsidRDefault="004629D1">
      <w:pPr>
        <w:pStyle w:val="Heading1"/>
        <w:rPr>
          <w:rFonts w:asciiTheme="majorHAnsi" w:eastAsiaTheme="majorEastAsia" w:hAnsi="Corbel" w:cstheme="majorBidi"/>
          <w:b/>
          <w:bCs/>
          <w:color w:val="000000" w:themeColor="text1"/>
          <w:kern w:val="24"/>
          <w:sz w:val="80"/>
          <w:szCs w:val="80"/>
        </w:rPr>
      </w:pPr>
    </w:p>
    <w:p w14:paraId="6F56F1BF" w14:textId="77777777" w:rsidR="004629D1" w:rsidRDefault="004629D1">
      <w:pPr>
        <w:pStyle w:val="Heading1"/>
        <w:rPr>
          <w:rFonts w:asciiTheme="majorHAnsi" w:eastAsiaTheme="majorEastAsia" w:hAnsi="Corbel" w:cstheme="majorBidi"/>
          <w:b/>
          <w:bCs/>
          <w:color w:val="000000" w:themeColor="text1"/>
          <w:kern w:val="24"/>
          <w:sz w:val="80"/>
          <w:szCs w:val="80"/>
        </w:rPr>
      </w:pPr>
    </w:p>
    <w:p w14:paraId="596FA98C" w14:textId="17067F86" w:rsidR="004629D1" w:rsidRDefault="004629D1">
      <w:pPr>
        <w:pStyle w:val="Heading1"/>
        <w:rPr>
          <w:rFonts w:asciiTheme="majorHAnsi" w:eastAsiaTheme="majorEastAsia" w:hAnsi="Corbel" w:cstheme="majorBidi"/>
          <w:b/>
          <w:bCs/>
          <w:color w:val="000000" w:themeColor="text1"/>
          <w:kern w:val="24"/>
          <w:sz w:val="80"/>
          <w:szCs w:val="80"/>
        </w:rPr>
      </w:pPr>
      <w:r>
        <w:rPr>
          <w:rFonts w:asciiTheme="majorHAnsi" w:eastAsiaTheme="majorEastAsia" w:hAnsi="Corbel" w:cstheme="majorBidi"/>
          <w:b/>
          <w:bCs/>
          <w:color w:val="000000" w:themeColor="text1"/>
          <w:kern w:val="24"/>
          <w:sz w:val="80"/>
          <w:szCs w:val="80"/>
        </w:rPr>
        <w:t xml:space="preserve">Background </w:t>
      </w:r>
      <w:proofErr w:type="gramStart"/>
      <w:r>
        <w:rPr>
          <w:rFonts w:asciiTheme="majorHAnsi" w:eastAsiaTheme="majorEastAsia" w:hAnsi="Corbel" w:cstheme="majorBidi"/>
          <w:b/>
          <w:bCs/>
          <w:color w:val="000000" w:themeColor="text1"/>
          <w:kern w:val="24"/>
          <w:sz w:val="80"/>
          <w:szCs w:val="80"/>
        </w:rPr>
        <w:t>Of</w:t>
      </w:r>
      <w:proofErr w:type="gramEnd"/>
      <w:r>
        <w:rPr>
          <w:rFonts w:asciiTheme="majorHAnsi" w:eastAsiaTheme="majorEastAsia" w:hAnsi="Corbel" w:cstheme="majorBidi"/>
          <w:b/>
          <w:bCs/>
          <w:color w:val="000000" w:themeColor="text1"/>
          <w:kern w:val="24"/>
          <w:sz w:val="80"/>
          <w:szCs w:val="80"/>
        </w:rPr>
        <w:t xml:space="preserve"> Lloyds Bank</w:t>
      </w:r>
    </w:p>
    <w:p w14:paraId="063AE4BD" w14:textId="77777777" w:rsidR="004629D1" w:rsidRPr="004629D1" w:rsidRDefault="004629D1" w:rsidP="004629D1"/>
    <w:p w14:paraId="3DA4BF51" w14:textId="77777777" w:rsidR="004629D1" w:rsidRDefault="004629D1">
      <w:pPr>
        <w:pStyle w:val="Heading1"/>
        <w:rPr>
          <w:rFonts w:ascii="Arial" w:eastAsia="Arial" w:hAnsi="Arial" w:cs="Arial"/>
          <w:b/>
          <w:color w:val="000000"/>
        </w:rPr>
      </w:pPr>
    </w:p>
    <w:p w14:paraId="31831D76" w14:textId="77777777" w:rsidR="004629D1" w:rsidRDefault="004629D1">
      <w:pPr>
        <w:pStyle w:val="Heading1"/>
        <w:rPr>
          <w:rFonts w:ascii="Arial" w:eastAsia="Arial" w:hAnsi="Arial" w:cs="Arial"/>
          <w:b/>
          <w:color w:val="000000"/>
        </w:rPr>
      </w:pPr>
    </w:p>
    <w:p w14:paraId="09AB5F7E" w14:textId="77777777" w:rsidR="004629D1" w:rsidRDefault="004629D1" w:rsidP="004629D1">
      <w:pPr>
        <w:pStyle w:val="NormalWeb"/>
        <w:spacing w:before="115" w:beforeAutospacing="0" w:after="120" w:afterAutospacing="0" w:line="360" w:lineRule="auto"/>
        <w:jc w:val="both"/>
        <w:rPr>
          <w:rFonts w:ascii="Arial" w:eastAsia="Calibri" w:hAnsi="Arial" w:cs="Arial"/>
          <w:color w:val="000000"/>
          <w:kern w:val="24"/>
          <w:sz w:val="48"/>
          <w:szCs w:val="48"/>
          <w:lang w:val="en-US"/>
        </w:rPr>
      </w:pPr>
    </w:p>
    <w:p w14:paraId="26521EE9" w14:textId="77777777" w:rsidR="004629D1" w:rsidRDefault="004629D1" w:rsidP="004629D1">
      <w:pPr>
        <w:pStyle w:val="NormalWeb"/>
        <w:spacing w:before="115" w:beforeAutospacing="0" w:after="120" w:afterAutospacing="0" w:line="360" w:lineRule="auto"/>
        <w:jc w:val="both"/>
        <w:rPr>
          <w:rFonts w:ascii="Arial" w:eastAsia="Calibri" w:hAnsi="Arial" w:cs="Arial"/>
          <w:color w:val="000000"/>
          <w:kern w:val="24"/>
          <w:sz w:val="48"/>
          <w:szCs w:val="48"/>
          <w:lang w:val="en-US"/>
        </w:rPr>
      </w:pPr>
    </w:p>
    <w:p w14:paraId="29AD1A2E" w14:textId="77777777" w:rsidR="004629D1" w:rsidRDefault="004629D1" w:rsidP="004629D1">
      <w:pPr>
        <w:pStyle w:val="NormalWeb"/>
        <w:spacing w:before="115" w:beforeAutospacing="0" w:after="120" w:afterAutospacing="0" w:line="360" w:lineRule="auto"/>
        <w:jc w:val="both"/>
        <w:rPr>
          <w:rFonts w:ascii="Arial" w:eastAsia="Calibri" w:hAnsi="Arial" w:cs="Arial"/>
          <w:color w:val="000000"/>
          <w:kern w:val="24"/>
          <w:sz w:val="48"/>
          <w:szCs w:val="48"/>
          <w:lang w:val="en-US"/>
        </w:rPr>
      </w:pPr>
    </w:p>
    <w:p w14:paraId="47AF24A6" w14:textId="77777777" w:rsidR="004629D1" w:rsidRDefault="004629D1" w:rsidP="004629D1">
      <w:pPr>
        <w:pStyle w:val="NormalWeb"/>
        <w:spacing w:before="115" w:beforeAutospacing="0" w:after="120" w:afterAutospacing="0" w:line="360" w:lineRule="auto"/>
        <w:jc w:val="both"/>
        <w:rPr>
          <w:rFonts w:ascii="Arial" w:eastAsia="Calibri" w:hAnsi="Arial" w:cs="Arial"/>
          <w:color w:val="000000"/>
          <w:kern w:val="24"/>
          <w:sz w:val="48"/>
          <w:szCs w:val="48"/>
          <w:lang w:val="en-US"/>
        </w:rPr>
      </w:pPr>
    </w:p>
    <w:p w14:paraId="13A6EACB" w14:textId="70D21CFE" w:rsidR="004629D1" w:rsidRPr="00E12B7A" w:rsidRDefault="004629D1" w:rsidP="004629D1">
      <w:pPr>
        <w:pStyle w:val="NormalWeb"/>
        <w:spacing w:before="115" w:beforeAutospacing="0" w:after="120" w:afterAutospacing="0" w:line="360" w:lineRule="auto"/>
        <w:jc w:val="both"/>
        <w:rPr>
          <w:rFonts w:ascii="Arial" w:eastAsia="Calibri" w:hAnsi="Arial" w:cs="Arial"/>
          <w:color w:val="000000"/>
          <w:kern w:val="24"/>
          <w:sz w:val="40"/>
          <w:szCs w:val="40"/>
          <w:lang w:val="en-US"/>
        </w:rPr>
      </w:pPr>
      <w:r w:rsidRPr="00E12B7A">
        <w:rPr>
          <w:rFonts w:ascii="Arial" w:eastAsia="Calibri" w:hAnsi="Arial" w:cs="Arial"/>
          <w:color w:val="000000"/>
          <w:kern w:val="24"/>
          <w:sz w:val="40"/>
          <w:szCs w:val="40"/>
          <w:lang w:val="en-US"/>
        </w:rPr>
        <w:lastRenderedPageBreak/>
        <w:t xml:space="preserve">Lloyds Bank was established in Birmingham City in 1765. This started when the button maker John Taylor and iron manufacturer Sampson Lloyd combined forces. They founded up a bank named Taylors and </w:t>
      </w:r>
    </w:p>
    <w:p w14:paraId="21AA5C8B" w14:textId="77777777" w:rsidR="004629D1" w:rsidRDefault="004629D1" w:rsidP="004629D1">
      <w:pPr>
        <w:pStyle w:val="NormalWeb"/>
        <w:spacing w:before="115" w:beforeAutospacing="0" w:after="120" w:afterAutospacing="0" w:line="360" w:lineRule="auto"/>
        <w:jc w:val="both"/>
        <w:rPr>
          <w:rFonts w:ascii="Arial" w:eastAsia="Calibri" w:hAnsi="Arial" w:cs="Arial"/>
          <w:color w:val="000000"/>
          <w:kern w:val="24"/>
          <w:sz w:val="48"/>
          <w:szCs w:val="48"/>
          <w:lang w:val="en-US"/>
        </w:rPr>
      </w:pPr>
    </w:p>
    <w:p w14:paraId="34AD4774" w14:textId="56FEF941" w:rsidR="004629D1" w:rsidRPr="00E12B7A" w:rsidRDefault="004629D1" w:rsidP="004629D1">
      <w:pPr>
        <w:pStyle w:val="NormalWeb"/>
        <w:spacing w:before="115" w:beforeAutospacing="0" w:after="120" w:afterAutospacing="0" w:line="360" w:lineRule="auto"/>
        <w:jc w:val="both"/>
        <w:rPr>
          <w:sz w:val="40"/>
          <w:szCs w:val="40"/>
        </w:rPr>
      </w:pPr>
      <w:r w:rsidRPr="00E12B7A">
        <w:rPr>
          <w:rFonts w:ascii="Arial" w:eastAsia="Calibri" w:hAnsi="Arial" w:cs="Arial"/>
          <w:color w:val="000000"/>
          <w:kern w:val="24"/>
          <w:sz w:val="40"/>
          <w:szCs w:val="40"/>
          <w:lang w:val="en-US"/>
        </w:rPr>
        <w:t>Lloyds. The bank served manufacturers and traders in the center of the city.</w:t>
      </w:r>
    </w:p>
    <w:p w14:paraId="44367D82" w14:textId="77777777" w:rsidR="00E12B7A" w:rsidRDefault="004629D1" w:rsidP="00E12B7A">
      <w:pPr>
        <w:pStyle w:val="NormalWeb"/>
        <w:spacing w:before="115" w:beforeAutospacing="0" w:after="120" w:afterAutospacing="0" w:line="360" w:lineRule="auto"/>
        <w:rPr>
          <w:rFonts w:ascii="Arial" w:eastAsia="Calibri" w:hAnsi="Arial" w:cs="Arial"/>
          <w:color w:val="000000"/>
          <w:kern w:val="24"/>
          <w:sz w:val="40"/>
          <w:szCs w:val="40"/>
          <w:lang w:val="en-US"/>
        </w:rPr>
      </w:pPr>
      <w:r w:rsidRPr="00E12B7A">
        <w:rPr>
          <w:rFonts w:ascii="Arial" w:eastAsia="Calibri" w:hAnsi="Arial" w:cs="Arial"/>
          <w:color w:val="000000"/>
          <w:kern w:val="24"/>
          <w:sz w:val="40"/>
          <w:szCs w:val="40"/>
          <w:lang w:val="en-US"/>
        </w:rPr>
        <w:t>Lloyds Bank PLC is the fourth largest UK and one of the Big Four clearing banks. Lloyds offers a wide range of global banking and financial services through the bank, its subsidiaries and associated companies</w:t>
      </w:r>
    </w:p>
    <w:p w14:paraId="133B07B5" w14:textId="77777777" w:rsidR="004629D1" w:rsidRDefault="004629D1" w:rsidP="004629D1">
      <w:pPr>
        <w:pStyle w:val="NormalWeb"/>
        <w:spacing w:before="115" w:beforeAutospacing="0" w:after="120" w:afterAutospacing="0" w:line="384" w:lineRule="auto"/>
        <w:jc w:val="both"/>
        <w:rPr>
          <w:rFonts w:ascii="Arial" w:eastAsia="Calibri" w:hAnsi="Arial" w:cs="Arial"/>
          <w:color w:val="000000"/>
          <w:kern w:val="24"/>
          <w:sz w:val="48"/>
          <w:szCs w:val="48"/>
          <w:lang w:val="en-US"/>
        </w:rPr>
      </w:pPr>
    </w:p>
    <w:p w14:paraId="4C314343" w14:textId="77777777" w:rsidR="004629D1" w:rsidRDefault="004629D1" w:rsidP="004629D1">
      <w:pPr>
        <w:pStyle w:val="NormalWeb"/>
        <w:spacing w:before="115" w:beforeAutospacing="0" w:after="120" w:afterAutospacing="0" w:line="384" w:lineRule="auto"/>
        <w:jc w:val="both"/>
        <w:rPr>
          <w:rFonts w:ascii="Arial" w:eastAsia="Calibri" w:hAnsi="Arial" w:cs="Arial"/>
          <w:color w:val="000000"/>
          <w:kern w:val="24"/>
          <w:sz w:val="48"/>
          <w:szCs w:val="48"/>
          <w:lang w:val="en-US"/>
        </w:rPr>
      </w:pPr>
    </w:p>
    <w:p w14:paraId="15D88BB0" w14:textId="77777777" w:rsidR="004629D1" w:rsidRDefault="004629D1">
      <w:pPr>
        <w:pStyle w:val="Heading1"/>
        <w:rPr>
          <w:rFonts w:ascii="Arial" w:eastAsia="Arial" w:hAnsi="Arial" w:cs="Arial"/>
          <w:b/>
          <w:color w:val="000000"/>
        </w:rPr>
      </w:pPr>
    </w:p>
    <w:p w14:paraId="2E14E9A0" w14:textId="77777777" w:rsidR="00E12B7A" w:rsidRDefault="00E12B7A" w:rsidP="00E12B7A">
      <w:pPr>
        <w:pStyle w:val="NormalWeb"/>
        <w:spacing w:before="115" w:beforeAutospacing="0" w:after="120" w:afterAutospacing="0" w:line="384" w:lineRule="auto"/>
        <w:jc w:val="both"/>
        <w:rPr>
          <w:rFonts w:ascii="Arial" w:eastAsia="Calibri" w:hAnsi="Arial" w:cs="Arial"/>
          <w:color w:val="000000"/>
          <w:kern w:val="24"/>
          <w:sz w:val="40"/>
          <w:szCs w:val="40"/>
          <w:lang w:val="en-US"/>
        </w:rPr>
      </w:pPr>
    </w:p>
    <w:p w14:paraId="0F2BA2ED" w14:textId="0461916E" w:rsidR="00E12B7A" w:rsidRPr="00E12B7A" w:rsidRDefault="00E12B7A" w:rsidP="00E12B7A">
      <w:pPr>
        <w:pStyle w:val="NormalWeb"/>
        <w:spacing w:before="115" w:beforeAutospacing="0" w:after="120" w:afterAutospacing="0" w:line="384" w:lineRule="auto"/>
        <w:jc w:val="both"/>
        <w:rPr>
          <w:sz w:val="40"/>
          <w:szCs w:val="40"/>
        </w:rPr>
      </w:pPr>
      <w:r w:rsidRPr="00E12B7A">
        <w:rPr>
          <w:rFonts w:ascii="Arial" w:eastAsia="Calibri" w:hAnsi="Arial" w:cs="Arial"/>
          <w:color w:val="000000"/>
          <w:kern w:val="24"/>
          <w:sz w:val="40"/>
          <w:szCs w:val="40"/>
          <w:lang w:val="en-US"/>
        </w:rPr>
        <w:lastRenderedPageBreak/>
        <w:t>The UK has over 2700 branches and is present in over 50 countries across the United States, Canada, Japan, Australia, Brazil and Egypt. It has over 4700 branches in 47 countries. Conservation banking, Lloyds has been increasingly creative since the early 1970s, and has also been the key pioneer in providing new financial technologies and goods across Big Four clearing banks, as well as establishing an international presence.</w:t>
      </w:r>
    </w:p>
    <w:p w14:paraId="6D02C43E" w14:textId="77777777" w:rsidR="00E12B7A" w:rsidRDefault="00E12B7A" w:rsidP="00E12B7A">
      <w:pPr>
        <w:pStyle w:val="NormalWeb"/>
        <w:spacing w:before="115" w:beforeAutospacing="0" w:after="120" w:afterAutospacing="0" w:line="360" w:lineRule="auto"/>
        <w:jc w:val="both"/>
        <w:rPr>
          <w:rFonts w:ascii="Arial" w:eastAsia="Calibri" w:hAnsi="Arial" w:cs="Arial"/>
          <w:color w:val="000000"/>
          <w:kern w:val="24"/>
          <w:sz w:val="40"/>
          <w:szCs w:val="40"/>
          <w:lang w:val="en-US"/>
        </w:rPr>
      </w:pPr>
    </w:p>
    <w:p w14:paraId="1F20571D" w14:textId="77777777" w:rsidR="00E12B7A" w:rsidRDefault="00E12B7A" w:rsidP="00E12B7A">
      <w:pPr>
        <w:pStyle w:val="NormalWeb"/>
        <w:spacing w:before="115" w:beforeAutospacing="0" w:after="120" w:afterAutospacing="0" w:line="360" w:lineRule="auto"/>
        <w:jc w:val="both"/>
        <w:rPr>
          <w:rFonts w:ascii="Arial" w:eastAsia="Calibri" w:hAnsi="Arial" w:cs="Arial"/>
          <w:color w:val="000000"/>
          <w:kern w:val="24"/>
          <w:sz w:val="40"/>
          <w:szCs w:val="40"/>
          <w:lang w:val="en-US"/>
        </w:rPr>
      </w:pPr>
    </w:p>
    <w:p w14:paraId="36B65570" w14:textId="77777777" w:rsidR="00E12B7A" w:rsidRDefault="00E12B7A" w:rsidP="00E12B7A">
      <w:pPr>
        <w:pStyle w:val="NormalWeb"/>
        <w:spacing w:before="115" w:beforeAutospacing="0" w:after="120" w:afterAutospacing="0" w:line="360" w:lineRule="auto"/>
        <w:jc w:val="both"/>
        <w:rPr>
          <w:rFonts w:ascii="Arial" w:eastAsia="Calibri" w:hAnsi="Arial" w:cs="Arial"/>
          <w:color w:val="000000"/>
          <w:kern w:val="24"/>
          <w:sz w:val="40"/>
          <w:szCs w:val="40"/>
          <w:lang w:val="en-US"/>
        </w:rPr>
      </w:pPr>
    </w:p>
    <w:p w14:paraId="5537221B" w14:textId="77777777" w:rsidR="00E12B7A" w:rsidRDefault="00E12B7A" w:rsidP="00E12B7A">
      <w:pPr>
        <w:pStyle w:val="NormalWeb"/>
        <w:spacing w:before="115" w:beforeAutospacing="0" w:after="120" w:afterAutospacing="0" w:line="360" w:lineRule="auto"/>
        <w:jc w:val="both"/>
        <w:rPr>
          <w:rFonts w:ascii="Arial" w:eastAsia="Calibri" w:hAnsi="Arial" w:cs="Arial"/>
          <w:color w:val="000000"/>
          <w:kern w:val="24"/>
          <w:sz w:val="40"/>
          <w:szCs w:val="40"/>
          <w:lang w:val="en-US"/>
        </w:rPr>
      </w:pPr>
    </w:p>
    <w:p w14:paraId="6E00A596" w14:textId="77777777" w:rsidR="00E12B7A" w:rsidRDefault="00E12B7A" w:rsidP="00E12B7A">
      <w:pPr>
        <w:pStyle w:val="NormalWeb"/>
        <w:spacing w:before="115" w:beforeAutospacing="0" w:after="120" w:afterAutospacing="0" w:line="360" w:lineRule="auto"/>
        <w:jc w:val="both"/>
        <w:rPr>
          <w:rFonts w:ascii="Arial" w:eastAsia="Calibri" w:hAnsi="Arial" w:cs="Arial"/>
          <w:color w:val="000000"/>
          <w:kern w:val="24"/>
          <w:sz w:val="40"/>
          <w:szCs w:val="40"/>
          <w:lang w:val="en-US"/>
        </w:rPr>
      </w:pPr>
    </w:p>
    <w:p w14:paraId="29E771F9" w14:textId="77777777" w:rsidR="00E12B7A" w:rsidRDefault="00E12B7A" w:rsidP="00E12B7A">
      <w:pPr>
        <w:pStyle w:val="NormalWeb"/>
        <w:spacing w:before="115" w:beforeAutospacing="0" w:after="120" w:afterAutospacing="0" w:line="360" w:lineRule="auto"/>
        <w:jc w:val="both"/>
        <w:rPr>
          <w:rFonts w:ascii="Arial" w:eastAsia="Calibri" w:hAnsi="Arial" w:cs="Arial"/>
          <w:color w:val="000000"/>
          <w:kern w:val="24"/>
          <w:sz w:val="40"/>
          <w:szCs w:val="40"/>
          <w:lang w:val="en-US"/>
        </w:rPr>
      </w:pPr>
    </w:p>
    <w:p w14:paraId="0105E38E" w14:textId="77777777" w:rsidR="00E12B7A" w:rsidRDefault="00E12B7A" w:rsidP="00E12B7A">
      <w:pPr>
        <w:pStyle w:val="NormalWeb"/>
        <w:spacing w:before="115" w:beforeAutospacing="0" w:after="120" w:afterAutospacing="0" w:line="360" w:lineRule="auto"/>
        <w:jc w:val="both"/>
        <w:rPr>
          <w:rFonts w:ascii="Arial" w:eastAsia="Calibri" w:hAnsi="Arial" w:cs="Arial"/>
          <w:color w:val="000000"/>
          <w:kern w:val="24"/>
          <w:sz w:val="40"/>
          <w:szCs w:val="40"/>
          <w:lang w:val="en-US"/>
        </w:rPr>
      </w:pPr>
    </w:p>
    <w:p w14:paraId="6956C077" w14:textId="2F0C2C22" w:rsidR="00E12B7A" w:rsidRPr="00E12B7A" w:rsidRDefault="00E12B7A" w:rsidP="00E12B7A">
      <w:pPr>
        <w:pStyle w:val="NormalWeb"/>
        <w:spacing w:before="115" w:beforeAutospacing="0" w:after="120" w:afterAutospacing="0" w:line="360" w:lineRule="auto"/>
        <w:jc w:val="both"/>
        <w:rPr>
          <w:sz w:val="40"/>
          <w:szCs w:val="40"/>
        </w:rPr>
      </w:pPr>
      <w:r w:rsidRPr="00E12B7A">
        <w:rPr>
          <w:rFonts w:ascii="Arial" w:eastAsia="Calibri" w:hAnsi="Arial" w:cs="Arial"/>
          <w:color w:val="000000"/>
          <w:kern w:val="24"/>
          <w:sz w:val="40"/>
          <w:szCs w:val="40"/>
          <w:lang w:val="en-US"/>
        </w:rPr>
        <w:lastRenderedPageBreak/>
        <w:t xml:space="preserve">In 1865 Lloyds and Company was incorporated into the Lloyds Banking Company Limited, together with </w:t>
      </w:r>
      <w:proofErr w:type="spellStart"/>
      <w:r w:rsidRPr="00E12B7A">
        <w:rPr>
          <w:rFonts w:ascii="Arial" w:eastAsia="Calibri" w:hAnsi="Arial" w:cs="Arial"/>
          <w:color w:val="000000"/>
          <w:kern w:val="24"/>
          <w:sz w:val="40"/>
          <w:szCs w:val="40"/>
          <w:lang w:val="en-US"/>
        </w:rPr>
        <w:t>Moilliet</w:t>
      </w:r>
      <w:proofErr w:type="spellEnd"/>
      <w:r w:rsidRPr="00E12B7A">
        <w:rPr>
          <w:rFonts w:ascii="Arial" w:eastAsia="Calibri" w:hAnsi="Arial" w:cs="Arial"/>
          <w:color w:val="000000"/>
          <w:kern w:val="24"/>
          <w:sz w:val="40"/>
          <w:szCs w:val="40"/>
          <w:lang w:val="en-US"/>
        </w:rPr>
        <w:t xml:space="preserve"> and Sons. With the increase of equity holding from the Birmingham Bank, the business became injected with fresh talent. Timothy Kenrick, the first President of Lloyds Banking Company, was a unitarian entrepreneur and the director of the Midland Railway Company. Though married to a banking community, he </w:t>
      </w:r>
      <w:proofErr w:type="gramStart"/>
      <w:r w:rsidRPr="00E12B7A">
        <w:rPr>
          <w:rFonts w:ascii="Arial" w:eastAsia="Calibri" w:hAnsi="Arial" w:cs="Arial"/>
          <w:color w:val="000000"/>
          <w:kern w:val="24"/>
          <w:sz w:val="40"/>
          <w:szCs w:val="40"/>
          <w:lang w:val="en-US"/>
        </w:rPr>
        <w:t>didn't</w:t>
      </w:r>
      <w:proofErr w:type="gramEnd"/>
      <w:r w:rsidRPr="00E12B7A">
        <w:rPr>
          <w:rFonts w:ascii="Arial" w:eastAsia="Calibri" w:hAnsi="Arial" w:cs="Arial"/>
          <w:color w:val="000000"/>
          <w:kern w:val="24"/>
          <w:sz w:val="40"/>
          <w:szCs w:val="40"/>
          <w:lang w:val="en-US"/>
        </w:rPr>
        <w:t xml:space="preserve"> have a banker background, but his business ability and his philanthropic efforts were valued in Birmingham. The bank acquired four other banks during Kenrick's tenure as president.</w:t>
      </w:r>
    </w:p>
    <w:p w14:paraId="547BFE4F" w14:textId="77777777" w:rsidR="00E12B7A" w:rsidRDefault="00E12B7A" w:rsidP="00E12B7A">
      <w:pPr>
        <w:pStyle w:val="NormalWeb"/>
        <w:spacing w:before="106" w:beforeAutospacing="0" w:after="120" w:afterAutospacing="0" w:line="360" w:lineRule="auto"/>
        <w:jc w:val="both"/>
        <w:rPr>
          <w:rFonts w:ascii="Arial" w:eastAsia="Calibri" w:hAnsi="Arial" w:cs="Arial"/>
          <w:color w:val="000000"/>
          <w:kern w:val="24"/>
          <w:sz w:val="40"/>
          <w:szCs w:val="40"/>
          <w:lang w:val="en-US"/>
        </w:rPr>
      </w:pPr>
    </w:p>
    <w:p w14:paraId="029215D9" w14:textId="77777777" w:rsidR="00E12B7A" w:rsidRDefault="00E12B7A" w:rsidP="00E12B7A">
      <w:pPr>
        <w:pStyle w:val="NormalWeb"/>
        <w:spacing w:before="106" w:beforeAutospacing="0" w:after="120" w:afterAutospacing="0" w:line="360" w:lineRule="auto"/>
        <w:jc w:val="both"/>
        <w:rPr>
          <w:rFonts w:ascii="Arial" w:eastAsia="Calibri" w:hAnsi="Arial" w:cs="Arial"/>
          <w:color w:val="000000"/>
          <w:kern w:val="24"/>
          <w:sz w:val="40"/>
          <w:szCs w:val="40"/>
          <w:lang w:val="en-US"/>
        </w:rPr>
      </w:pPr>
    </w:p>
    <w:p w14:paraId="38DBAAF4" w14:textId="77777777" w:rsidR="00E12B7A" w:rsidRDefault="00E12B7A" w:rsidP="00E12B7A">
      <w:pPr>
        <w:pStyle w:val="NormalWeb"/>
        <w:spacing w:before="106" w:beforeAutospacing="0" w:after="120" w:afterAutospacing="0" w:line="360" w:lineRule="auto"/>
        <w:jc w:val="both"/>
        <w:rPr>
          <w:rFonts w:ascii="Arial" w:eastAsia="Calibri" w:hAnsi="Arial" w:cs="Arial"/>
          <w:color w:val="000000"/>
          <w:kern w:val="24"/>
          <w:sz w:val="40"/>
          <w:szCs w:val="40"/>
          <w:lang w:val="en-US"/>
        </w:rPr>
      </w:pPr>
    </w:p>
    <w:p w14:paraId="7805C526" w14:textId="77777777" w:rsidR="00E12B7A" w:rsidRDefault="00E12B7A" w:rsidP="00E12B7A">
      <w:pPr>
        <w:pStyle w:val="NormalWeb"/>
        <w:spacing w:before="106" w:beforeAutospacing="0" w:after="120" w:afterAutospacing="0" w:line="360" w:lineRule="auto"/>
        <w:jc w:val="both"/>
        <w:rPr>
          <w:rFonts w:ascii="Arial" w:eastAsia="Calibri" w:hAnsi="Arial" w:cs="Arial"/>
          <w:color w:val="000000"/>
          <w:kern w:val="24"/>
          <w:sz w:val="40"/>
          <w:szCs w:val="40"/>
          <w:lang w:val="en-US"/>
        </w:rPr>
      </w:pPr>
    </w:p>
    <w:p w14:paraId="2D2BE44A" w14:textId="77777777" w:rsidR="00E12B7A" w:rsidRDefault="00E12B7A" w:rsidP="00E12B7A">
      <w:pPr>
        <w:pStyle w:val="NormalWeb"/>
        <w:spacing w:before="106" w:beforeAutospacing="0" w:after="120" w:afterAutospacing="0" w:line="360" w:lineRule="auto"/>
        <w:jc w:val="both"/>
        <w:rPr>
          <w:rFonts w:ascii="Arial" w:eastAsia="Calibri" w:hAnsi="Arial" w:cs="Arial"/>
          <w:color w:val="000000"/>
          <w:kern w:val="24"/>
          <w:sz w:val="40"/>
          <w:szCs w:val="40"/>
          <w:lang w:val="en-US"/>
        </w:rPr>
      </w:pPr>
    </w:p>
    <w:p w14:paraId="7B981B20" w14:textId="77777777" w:rsidR="00E12B7A" w:rsidRDefault="00E12B7A" w:rsidP="00E12B7A">
      <w:pPr>
        <w:pStyle w:val="NormalWeb"/>
        <w:spacing w:before="106" w:beforeAutospacing="0" w:after="120" w:afterAutospacing="0" w:line="360" w:lineRule="auto"/>
        <w:jc w:val="both"/>
        <w:rPr>
          <w:rFonts w:ascii="Arial" w:eastAsia="Calibri" w:hAnsi="Arial" w:cs="Arial"/>
          <w:color w:val="000000"/>
          <w:kern w:val="24"/>
          <w:sz w:val="40"/>
          <w:szCs w:val="40"/>
          <w:lang w:val="en-US"/>
        </w:rPr>
      </w:pPr>
    </w:p>
    <w:p w14:paraId="2653C088" w14:textId="07E1C6E6" w:rsidR="00E12B7A" w:rsidRPr="00E12B7A" w:rsidRDefault="00E12B7A" w:rsidP="00E12B7A">
      <w:pPr>
        <w:pStyle w:val="NormalWeb"/>
        <w:spacing w:before="106" w:beforeAutospacing="0" w:after="120" w:afterAutospacing="0" w:line="360" w:lineRule="auto"/>
        <w:jc w:val="both"/>
        <w:rPr>
          <w:sz w:val="40"/>
          <w:szCs w:val="40"/>
        </w:rPr>
      </w:pPr>
      <w:r w:rsidRPr="00E12B7A">
        <w:rPr>
          <w:rFonts w:ascii="Arial" w:eastAsia="Calibri" w:hAnsi="Arial" w:cs="Arial"/>
          <w:color w:val="000000"/>
          <w:kern w:val="24"/>
          <w:sz w:val="40"/>
          <w:szCs w:val="40"/>
          <w:lang w:val="en-US"/>
        </w:rPr>
        <w:lastRenderedPageBreak/>
        <w:t>Trustee Savings Bank started in 1810 and worked for common citizens as a central savings bank. Just one day a week was available and then one hour later. Customers were forbidden from depositing above £ 20 a year. The bank was designed for the working class like many other early savings banks. Its founding goal was to promote good habits to 'the lower classes.' This would in turn cause them to be hardworking and sober.</w:t>
      </w:r>
    </w:p>
    <w:p w14:paraId="760DE19E" w14:textId="77777777" w:rsidR="00E12B7A" w:rsidRPr="00E12B7A" w:rsidRDefault="00E12B7A" w:rsidP="00E12B7A">
      <w:pPr>
        <w:pStyle w:val="NormalWeb"/>
        <w:spacing w:before="106" w:beforeAutospacing="0" w:after="120" w:afterAutospacing="0" w:line="360" w:lineRule="auto"/>
        <w:jc w:val="both"/>
        <w:rPr>
          <w:sz w:val="40"/>
          <w:szCs w:val="40"/>
        </w:rPr>
      </w:pPr>
      <w:r w:rsidRPr="00E12B7A">
        <w:rPr>
          <w:rFonts w:ascii="Arial" w:eastAsia="Calibri" w:hAnsi="Arial" w:cs="Arial"/>
          <w:color w:val="000000"/>
          <w:kern w:val="24"/>
          <w:sz w:val="40"/>
          <w:szCs w:val="40"/>
          <w:lang w:val="en-US"/>
        </w:rPr>
        <w:t xml:space="preserve">Lloyds Bank and the TSB </w:t>
      </w:r>
      <w:proofErr w:type="spellStart"/>
      <w:r w:rsidRPr="00E12B7A">
        <w:rPr>
          <w:rFonts w:ascii="Arial" w:eastAsia="Calibri" w:hAnsi="Arial" w:cs="Arial"/>
          <w:color w:val="000000"/>
          <w:kern w:val="24"/>
          <w:sz w:val="40"/>
          <w:szCs w:val="40"/>
          <w:lang w:val="en-US"/>
        </w:rPr>
        <w:t>fusioned</w:t>
      </w:r>
      <w:proofErr w:type="spellEnd"/>
      <w:r w:rsidRPr="00E12B7A">
        <w:rPr>
          <w:rFonts w:ascii="Arial" w:eastAsia="Calibri" w:hAnsi="Arial" w:cs="Arial"/>
          <w:color w:val="000000"/>
          <w:kern w:val="24"/>
          <w:sz w:val="40"/>
          <w:szCs w:val="40"/>
          <w:lang w:val="en-US"/>
        </w:rPr>
        <w:t xml:space="preserve"> into the Lloyds TSB Group in 1995. The </w:t>
      </w:r>
      <w:proofErr w:type="spellStart"/>
      <w:r w:rsidRPr="00E12B7A">
        <w:rPr>
          <w:rFonts w:ascii="Arial" w:eastAsia="Calibri" w:hAnsi="Arial" w:cs="Arial"/>
          <w:color w:val="000000"/>
          <w:kern w:val="24"/>
          <w:sz w:val="40"/>
          <w:szCs w:val="40"/>
          <w:lang w:val="en-US"/>
        </w:rPr>
        <w:t>cheltenham</w:t>
      </w:r>
      <w:proofErr w:type="spellEnd"/>
      <w:r w:rsidRPr="00E12B7A">
        <w:rPr>
          <w:rFonts w:ascii="Arial" w:eastAsia="Calibri" w:hAnsi="Arial" w:cs="Arial"/>
          <w:color w:val="000000"/>
          <w:kern w:val="24"/>
          <w:sz w:val="40"/>
          <w:szCs w:val="40"/>
          <w:lang w:val="en-US"/>
        </w:rPr>
        <w:t xml:space="preserve"> and the Gloucester Building Society were owned by Lloyds around this period. This led to the demutualization of the building </w:t>
      </w:r>
      <w:proofErr w:type="gramStart"/>
      <w:r w:rsidRPr="00E12B7A">
        <w:rPr>
          <w:rFonts w:ascii="Arial" w:eastAsia="Calibri" w:hAnsi="Arial" w:cs="Arial"/>
          <w:color w:val="000000"/>
          <w:kern w:val="24"/>
          <w:sz w:val="40"/>
          <w:szCs w:val="40"/>
          <w:lang w:val="en-US"/>
        </w:rPr>
        <w:t>community, and</w:t>
      </w:r>
      <w:proofErr w:type="gramEnd"/>
      <w:r w:rsidRPr="00E12B7A">
        <w:rPr>
          <w:rFonts w:ascii="Arial" w:eastAsia="Calibri" w:hAnsi="Arial" w:cs="Arial"/>
          <w:color w:val="000000"/>
          <w:kern w:val="24"/>
          <w:sz w:val="40"/>
          <w:szCs w:val="40"/>
          <w:lang w:val="en-US"/>
        </w:rPr>
        <w:t xml:space="preserve"> was the first partnership between a bank and a construction firm. Today, Lloyds TSB was one of the top four banks of the United Kingdom.</w:t>
      </w:r>
    </w:p>
    <w:p w14:paraId="01852A02" w14:textId="3E931B57" w:rsidR="004629D1" w:rsidRDefault="00E12B7A">
      <w:pPr>
        <w:pStyle w:val="Heading1"/>
        <w:rPr>
          <w:rFonts w:ascii="Arial" w:eastAsia="Arial" w:hAnsi="Arial" w:cs="Arial"/>
          <w:b/>
          <w:color w:val="000000"/>
        </w:rPr>
      </w:pPr>
      <w:r>
        <w:rPr>
          <w:rFonts w:ascii="Arial" w:eastAsiaTheme="majorEastAsia" w:hAnsi="Arial" w:cs="Arial"/>
          <w:b/>
          <w:bCs/>
          <w:color w:val="000000" w:themeColor="text1"/>
          <w:kern w:val="24"/>
          <w:sz w:val="72"/>
          <w:szCs w:val="72"/>
        </w:rPr>
        <w:lastRenderedPageBreak/>
        <w:t>Challenges before the introduction of modern technology and how to solve challenges with the help of modern technology</w:t>
      </w:r>
    </w:p>
    <w:p w14:paraId="35B0C74E" w14:textId="77777777" w:rsidR="004629D1" w:rsidRDefault="004629D1">
      <w:pPr>
        <w:pStyle w:val="Heading1"/>
        <w:rPr>
          <w:rFonts w:ascii="Arial" w:eastAsia="Arial" w:hAnsi="Arial" w:cs="Arial"/>
          <w:b/>
          <w:color w:val="000000"/>
        </w:rPr>
      </w:pPr>
    </w:p>
    <w:p w14:paraId="38F7CAA0" w14:textId="77777777" w:rsidR="004629D1" w:rsidRDefault="004629D1">
      <w:pPr>
        <w:pStyle w:val="Heading1"/>
        <w:rPr>
          <w:rFonts w:ascii="Arial" w:eastAsia="Arial" w:hAnsi="Arial" w:cs="Arial"/>
          <w:b/>
          <w:color w:val="000000"/>
        </w:rPr>
      </w:pPr>
    </w:p>
    <w:p w14:paraId="510F8555" w14:textId="77777777" w:rsidR="004629D1" w:rsidRDefault="004629D1">
      <w:pPr>
        <w:pStyle w:val="Heading1"/>
        <w:rPr>
          <w:rFonts w:ascii="Arial" w:eastAsia="Arial" w:hAnsi="Arial" w:cs="Arial"/>
          <w:b/>
          <w:color w:val="000000"/>
        </w:rPr>
      </w:pPr>
    </w:p>
    <w:p w14:paraId="62ED1D91" w14:textId="77777777" w:rsidR="00E12B7A" w:rsidRDefault="00E12B7A">
      <w:pPr>
        <w:pStyle w:val="Heading1"/>
        <w:rPr>
          <w:rFonts w:ascii="Arial" w:eastAsia="Arial" w:hAnsi="Arial" w:cs="Arial"/>
          <w:b/>
          <w:color w:val="000000"/>
        </w:rPr>
      </w:pPr>
    </w:p>
    <w:p w14:paraId="78A446F2" w14:textId="77777777" w:rsidR="00E12B7A" w:rsidRDefault="00E12B7A">
      <w:pPr>
        <w:pStyle w:val="Heading1"/>
        <w:rPr>
          <w:rFonts w:ascii="Arial" w:eastAsia="Arial" w:hAnsi="Arial" w:cs="Arial"/>
          <w:b/>
          <w:color w:val="000000"/>
        </w:rPr>
      </w:pPr>
    </w:p>
    <w:p w14:paraId="06B7FAA6" w14:textId="77777777" w:rsidR="00E12B7A" w:rsidRDefault="00E12B7A">
      <w:pPr>
        <w:pStyle w:val="Heading1"/>
        <w:rPr>
          <w:rFonts w:ascii="Arial" w:eastAsia="Arial" w:hAnsi="Arial" w:cs="Arial"/>
          <w:b/>
          <w:color w:val="000000"/>
        </w:rPr>
      </w:pPr>
    </w:p>
    <w:p w14:paraId="2CA29014" w14:textId="77777777" w:rsidR="00E12B7A" w:rsidRDefault="00E12B7A">
      <w:pPr>
        <w:pStyle w:val="Heading1"/>
        <w:rPr>
          <w:rFonts w:ascii="Arial" w:eastAsia="Arial" w:hAnsi="Arial" w:cs="Arial"/>
          <w:b/>
          <w:color w:val="000000"/>
        </w:rPr>
      </w:pPr>
    </w:p>
    <w:p w14:paraId="47EDBA26" w14:textId="77777777" w:rsidR="00E12B7A" w:rsidRDefault="00E12B7A">
      <w:pPr>
        <w:pStyle w:val="Heading1"/>
        <w:rPr>
          <w:rFonts w:ascii="Arial" w:eastAsia="Arial" w:hAnsi="Arial" w:cs="Arial"/>
          <w:b/>
          <w:color w:val="000000"/>
        </w:rPr>
      </w:pPr>
    </w:p>
    <w:p w14:paraId="2DC0446A" w14:textId="77777777" w:rsidR="00E12B7A" w:rsidRDefault="00E12B7A">
      <w:pPr>
        <w:pStyle w:val="Heading1"/>
        <w:rPr>
          <w:rFonts w:ascii="Arial" w:eastAsia="Arial" w:hAnsi="Arial" w:cs="Arial"/>
          <w:b/>
          <w:color w:val="000000"/>
        </w:rPr>
      </w:pPr>
    </w:p>
    <w:p w14:paraId="4F827BB2" w14:textId="77777777" w:rsidR="00E12B7A" w:rsidRDefault="00E12B7A">
      <w:pPr>
        <w:pStyle w:val="Heading1"/>
        <w:rPr>
          <w:rFonts w:ascii="Arial" w:eastAsia="Arial" w:hAnsi="Arial" w:cs="Arial"/>
          <w:b/>
          <w:color w:val="000000"/>
        </w:rPr>
      </w:pPr>
    </w:p>
    <w:p w14:paraId="614A7D60" w14:textId="77777777" w:rsidR="00E12B7A" w:rsidRDefault="00E12B7A">
      <w:pPr>
        <w:pStyle w:val="Heading1"/>
        <w:rPr>
          <w:rFonts w:ascii="Arial" w:eastAsia="Arial" w:hAnsi="Arial" w:cs="Arial"/>
          <w:b/>
          <w:color w:val="000000"/>
        </w:rPr>
      </w:pPr>
    </w:p>
    <w:p w14:paraId="238C3139" w14:textId="77777777" w:rsidR="00E12B7A" w:rsidRDefault="00E12B7A">
      <w:pPr>
        <w:pStyle w:val="Heading1"/>
        <w:rPr>
          <w:rFonts w:ascii="Arial" w:eastAsia="Arial" w:hAnsi="Arial" w:cs="Arial"/>
          <w:b/>
          <w:color w:val="000000"/>
        </w:rPr>
      </w:pPr>
    </w:p>
    <w:p w14:paraId="154F83F0" w14:textId="77777777" w:rsidR="00E12B7A" w:rsidRDefault="00E12B7A">
      <w:pPr>
        <w:pStyle w:val="Heading1"/>
        <w:rPr>
          <w:rFonts w:ascii="Arial" w:eastAsia="Arial" w:hAnsi="Arial" w:cs="Arial"/>
          <w:b/>
          <w:color w:val="000000"/>
        </w:rPr>
      </w:pPr>
    </w:p>
    <w:p w14:paraId="606E915A" w14:textId="1E74FD9F" w:rsidR="00E12B7A" w:rsidRDefault="00E12B7A" w:rsidP="00E12B7A">
      <w:pPr>
        <w:pStyle w:val="Heading1"/>
        <w:jc w:val="center"/>
        <w:rPr>
          <w:rFonts w:ascii="Arial" w:eastAsia="Arial" w:hAnsi="Arial" w:cs="Arial"/>
          <w:b/>
          <w:color w:val="000000"/>
        </w:rPr>
      </w:pPr>
      <w:r>
        <w:rPr>
          <w:rFonts w:ascii="Arial" w:eastAsiaTheme="majorEastAsia" w:hAnsi="Arial" w:cs="Arial"/>
          <w:b/>
          <w:bCs/>
          <w:color w:val="000000" w:themeColor="text1"/>
          <w:kern w:val="24"/>
          <w:sz w:val="72"/>
          <w:szCs w:val="72"/>
        </w:rPr>
        <w:lastRenderedPageBreak/>
        <w:t xml:space="preserve">Challenges of Electronic </w:t>
      </w:r>
      <w:r>
        <w:rPr>
          <w:rFonts w:ascii="Arial" w:eastAsiaTheme="majorEastAsia" w:hAnsi="Arial" w:cs="Arial"/>
          <w:b/>
          <w:bCs/>
          <w:color w:val="000000" w:themeColor="text1"/>
          <w:kern w:val="24"/>
          <w:sz w:val="72"/>
          <w:szCs w:val="72"/>
        </w:rPr>
        <w:t xml:space="preserve">  </w:t>
      </w:r>
      <w:r>
        <w:rPr>
          <w:rFonts w:ascii="Arial" w:eastAsiaTheme="majorEastAsia" w:hAnsi="Arial" w:cs="Arial"/>
          <w:b/>
          <w:bCs/>
          <w:color w:val="000000" w:themeColor="text1"/>
          <w:kern w:val="24"/>
          <w:sz w:val="72"/>
          <w:szCs w:val="72"/>
        </w:rPr>
        <w:t>Payment System</w:t>
      </w:r>
    </w:p>
    <w:p w14:paraId="65A0B5ED" w14:textId="77777777" w:rsidR="00E12B7A" w:rsidRDefault="00E12B7A">
      <w:pPr>
        <w:pStyle w:val="Heading1"/>
        <w:rPr>
          <w:rFonts w:ascii="Arial" w:eastAsia="Arial" w:hAnsi="Arial" w:cs="Arial"/>
          <w:b/>
          <w:color w:val="000000"/>
        </w:rPr>
      </w:pPr>
    </w:p>
    <w:p w14:paraId="1E5A1FEC" w14:textId="77777777" w:rsidR="00E12B7A" w:rsidRDefault="00E12B7A" w:rsidP="00E12B7A">
      <w:pPr>
        <w:pStyle w:val="NormalWeb"/>
        <w:spacing w:before="96" w:beforeAutospacing="0" w:after="120" w:afterAutospacing="0" w:line="360" w:lineRule="auto"/>
        <w:jc w:val="both"/>
      </w:pPr>
      <w:r>
        <w:rPr>
          <w:rFonts w:ascii="Arial" w:eastAsia="Calibri" w:hAnsi="Arial" w:cs="Arial"/>
          <w:color w:val="000000"/>
          <w:kern w:val="24"/>
          <w:sz w:val="40"/>
          <w:szCs w:val="40"/>
          <w:lang w:val="en-US"/>
        </w:rPr>
        <w:t xml:space="preserve">Payments are one of the most complex and destructive banking systems. Payment ecosystem has been transformed by technologies that range from Lloyds Bank, raise consumer preferences and increase competition globally. The quest for frictionless digital payments persists in nearly every traditional payment system. </w:t>
      </w:r>
    </w:p>
    <w:p w14:paraId="02875078" w14:textId="77777777" w:rsidR="00E12B7A" w:rsidRDefault="00E12B7A" w:rsidP="00E12B7A">
      <w:pPr>
        <w:pStyle w:val="NormalWeb"/>
        <w:spacing w:before="96" w:beforeAutospacing="0" w:after="120" w:afterAutospacing="0" w:line="360" w:lineRule="auto"/>
        <w:jc w:val="both"/>
      </w:pPr>
      <w:r>
        <w:rPr>
          <w:rFonts w:ascii="Arial" w:eastAsia="Calibri" w:hAnsi="Arial" w:cs="Arial"/>
          <w:color w:val="000000"/>
          <w:kern w:val="24"/>
          <w:sz w:val="40"/>
          <w:szCs w:val="40"/>
          <w:lang w:val="en-US"/>
        </w:rPr>
        <w:t>In 2019, managing volume-based fee growth in payments is predicted to become even more difficult for card issuers. Cheaper digital technologies and expensive incentive schemes from non-traditional players will discourage card issuers from increasing the fee earns. This is one of 2019's Lloyds bank challenges. They will be cheaper, more effective and more accessible for customers and companies</w:t>
      </w:r>
    </w:p>
    <w:p w14:paraId="2AEE8ED8" w14:textId="48BBA873" w:rsidR="00E12B7A" w:rsidRDefault="00350D7A">
      <w:pPr>
        <w:pStyle w:val="Heading1"/>
        <w:rPr>
          <w:rFonts w:ascii="Arial" w:eastAsia="Arial" w:hAnsi="Arial" w:cs="Arial"/>
          <w:b/>
          <w:color w:val="000000"/>
        </w:rPr>
      </w:pPr>
      <w:r>
        <w:rPr>
          <w:rFonts w:ascii="Arial" w:eastAsiaTheme="majorEastAsia" w:hAnsi="Arial" w:cs="Arial"/>
          <w:b/>
          <w:bCs/>
          <w:color w:val="000000" w:themeColor="text1"/>
          <w:kern w:val="24"/>
          <w:sz w:val="72"/>
          <w:szCs w:val="72"/>
        </w:rPr>
        <w:lastRenderedPageBreak/>
        <w:t xml:space="preserve">                 </w:t>
      </w:r>
      <w:r>
        <w:rPr>
          <w:rFonts w:ascii="Arial" w:eastAsiaTheme="majorEastAsia" w:hAnsi="Arial" w:cs="Arial"/>
          <w:b/>
          <w:bCs/>
          <w:color w:val="000000" w:themeColor="text1"/>
          <w:kern w:val="24"/>
          <w:sz w:val="72"/>
          <w:szCs w:val="72"/>
        </w:rPr>
        <w:t>Solution</w:t>
      </w:r>
    </w:p>
    <w:p w14:paraId="3DAFD1F4" w14:textId="77777777" w:rsidR="00350D7A" w:rsidRDefault="00350D7A" w:rsidP="00350D7A">
      <w:pPr>
        <w:pStyle w:val="NormalWeb"/>
        <w:spacing w:before="96" w:beforeAutospacing="0" w:after="120" w:afterAutospacing="0" w:line="360" w:lineRule="auto"/>
        <w:jc w:val="both"/>
      </w:pPr>
      <w:r>
        <w:rPr>
          <w:rFonts w:ascii="Arial" w:eastAsia="Calibri" w:hAnsi="Arial" w:cs="Arial"/>
          <w:color w:val="000000"/>
          <w:kern w:val="24"/>
          <w:sz w:val="40"/>
          <w:szCs w:val="40"/>
          <w:lang w:val="en-US"/>
        </w:rPr>
        <w:t xml:space="preserve">Quick payment solutions increase trading volume and expand the international reach of the bank. The easiest way to keep and attract consumers is through smart phones in financial services. The payment network improves mobile apps and web goods by incorporating AI, Big </w:t>
      </w:r>
      <w:proofErr w:type="gramStart"/>
      <w:r>
        <w:rPr>
          <w:rFonts w:ascii="Arial" w:eastAsia="Calibri" w:hAnsi="Arial" w:cs="Arial"/>
          <w:color w:val="000000"/>
          <w:kern w:val="24"/>
          <w:sz w:val="40"/>
          <w:szCs w:val="40"/>
          <w:lang w:val="en-US"/>
        </w:rPr>
        <w:t>Data ,</w:t>
      </w:r>
      <w:proofErr w:type="gramEnd"/>
      <w:r>
        <w:rPr>
          <w:rFonts w:ascii="Arial" w:eastAsia="Calibri" w:hAnsi="Arial" w:cs="Arial"/>
          <w:color w:val="000000"/>
          <w:kern w:val="24"/>
          <w:sz w:val="40"/>
          <w:szCs w:val="40"/>
          <w:lang w:val="en-US"/>
        </w:rPr>
        <w:t xml:space="preserve"> IoT and blockchain for enhanced encryption, such as biometrical verification and emerging consumer needs. Note, more than 70 per cent of purchases are made through mobile devices today. 67% of the millennials have no credit card. Smartphones are nowadays sometimes the only way people buy, relax, operate a business or do digital things. Contactless cards are known to be modern standard.</w:t>
      </w:r>
    </w:p>
    <w:p w14:paraId="75E86AA7" w14:textId="1D1663B2" w:rsidR="00E12B7A" w:rsidRDefault="00E12B7A">
      <w:pPr>
        <w:pStyle w:val="Heading1"/>
        <w:rPr>
          <w:rFonts w:ascii="Arial" w:eastAsia="Arial" w:hAnsi="Arial" w:cs="Arial"/>
          <w:b/>
          <w:color w:val="000000"/>
        </w:rPr>
      </w:pPr>
    </w:p>
    <w:p w14:paraId="7EFB6646" w14:textId="0D8F77A1" w:rsidR="00350D7A" w:rsidRDefault="00350D7A" w:rsidP="00350D7A"/>
    <w:p w14:paraId="53ED1A0D" w14:textId="4A0D5843" w:rsidR="00350D7A" w:rsidRDefault="00350D7A" w:rsidP="00350D7A"/>
    <w:p w14:paraId="7CFFDF9F" w14:textId="7F32DC6E" w:rsidR="00350D7A" w:rsidRDefault="00350D7A" w:rsidP="00350D7A"/>
    <w:p w14:paraId="5D3F69F6" w14:textId="64D0E1E6" w:rsidR="00350D7A" w:rsidRDefault="00350D7A" w:rsidP="00350D7A"/>
    <w:p w14:paraId="3C772519" w14:textId="24E6C253" w:rsidR="00350D7A" w:rsidRDefault="00350D7A" w:rsidP="00350D7A">
      <w:pPr>
        <w:jc w:val="center"/>
      </w:pPr>
      <w:r>
        <w:rPr>
          <w:rFonts w:ascii="Arial" w:hAnsi="Arial" w:cs="Arial"/>
          <w:b/>
          <w:bCs/>
          <w:color w:val="000000"/>
          <w:sz w:val="64"/>
          <w:szCs w:val="64"/>
        </w:rPr>
        <w:lastRenderedPageBreak/>
        <w:t>Cyber Security Issue in Lloyds Bank</w:t>
      </w:r>
    </w:p>
    <w:p w14:paraId="6168D4F0" w14:textId="77777777" w:rsidR="00350D7A" w:rsidRDefault="00350D7A" w:rsidP="00350D7A">
      <w:pPr>
        <w:pStyle w:val="NormalWeb"/>
        <w:spacing w:before="96" w:beforeAutospacing="0" w:after="160" w:afterAutospacing="0" w:line="360" w:lineRule="auto"/>
        <w:jc w:val="both"/>
      </w:pPr>
      <w:r>
        <w:rPr>
          <w:rFonts w:ascii="Arial" w:eastAsia="Calibri" w:hAnsi="Arial" w:cs="Arial"/>
          <w:color w:val="000000"/>
          <w:kern w:val="24"/>
          <w:sz w:val="40"/>
          <w:szCs w:val="40"/>
          <w:lang w:val="en-US"/>
        </w:rPr>
        <w:t>The Lloyds Bank are the one industry that for apparent cause is attacked the most by hackers and fraudsters. Lloyds Bank seek a precarious balance between consumer service and fraud detection, while preventive practices may generate conflict. Around $2 million a year is cleaned, but regulators just getting 1%. Fraud and safety issues are a big, costly burden for the Lloyds bank.</w:t>
      </w:r>
    </w:p>
    <w:p w14:paraId="70A1C00B" w14:textId="0DBDF3AD" w:rsidR="00350D7A" w:rsidRDefault="00350D7A" w:rsidP="00350D7A"/>
    <w:p w14:paraId="4B39EA52" w14:textId="07DF27A8" w:rsidR="00350D7A" w:rsidRDefault="00350D7A" w:rsidP="00350D7A"/>
    <w:p w14:paraId="1700FFAC" w14:textId="1C5D2056" w:rsidR="00350D7A" w:rsidRDefault="00350D7A" w:rsidP="00350D7A"/>
    <w:p w14:paraId="3BAE3538" w14:textId="253C851B" w:rsidR="00350D7A" w:rsidRDefault="00350D7A" w:rsidP="00350D7A"/>
    <w:p w14:paraId="1DCB1588" w14:textId="1305C924" w:rsidR="00350D7A" w:rsidRDefault="00350D7A" w:rsidP="00350D7A"/>
    <w:p w14:paraId="60022F89" w14:textId="4EE68338" w:rsidR="00350D7A" w:rsidRDefault="00350D7A" w:rsidP="00350D7A"/>
    <w:p w14:paraId="7C44DD1F" w14:textId="78E3F009" w:rsidR="00350D7A" w:rsidRDefault="00350D7A" w:rsidP="00350D7A"/>
    <w:p w14:paraId="5B7C7A2F" w14:textId="51685316" w:rsidR="00350D7A" w:rsidRDefault="00350D7A" w:rsidP="00350D7A"/>
    <w:p w14:paraId="2A48500E" w14:textId="3333F37E" w:rsidR="00350D7A" w:rsidRDefault="00350D7A" w:rsidP="00350D7A"/>
    <w:p w14:paraId="6B10EA69" w14:textId="02FD9C7C" w:rsidR="00350D7A" w:rsidRDefault="00350D7A" w:rsidP="00350D7A"/>
    <w:p w14:paraId="5668E888" w14:textId="11AD9F0D" w:rsidR="00350D7A" w:rsidRDefault="00350D7A" w:rsidP="00350D7A"/>
    <w:p w14:paraId="4CBB6095" w14:textId="4B750A12" w:rsidR="00350D7A" w:rsidRDefault="00350D7A" w:rsidP="00350D7A"/>
    <w:p w14:paraId="64103B7D" w14:textId="0F62F70C" w:rsidR="00350D7A" w:rsidRDefault="00350D7A" w:rsidP="00350D7A">
      <w:r>
        <w:rPr>
          <w:rFonts w:ascii="Arial" w:eastAsiaTheme="majorEastAsia" w:hAnsi="Arial" w:cs="Arial"/>
          <w:b/>
          <w:bCs/>
          <w:color w:val="000000" w:themeColor="text1"/>
          <w:kern w:val="24"/>
          <w:sz w:val="72"/>
          <w:szCs w:val="72"/>
        </w:rPr>
        <w:lastRenderedPageBreak/>
        <w:t xml:space="preserve">               </w:t>
      </w:r>
      <w:r>
        <w:rPr>
          <w:rFonts w:ascii="Arial" w:eastAsiaTheme="majorEastAsia" w:hAnsi="Arial" w:cs="Arial"/>
          <w:b/>
          <w:bCs/>
          <w:color w:val="000000" w:themeColor="text1"/>
          <w:kern w:val="24"/>
          <w:sz w:val="72"/>
          <w:szCs w:val="72"/>
        </w:rPr>
        <w:t>Solution</w:t>
      </w:r>
    </w:p>
    <w:p w14:paraId="4CFD23CE" w14:textId="77777777" w:rsidR="00350D7A" w:rsidRDefault="00350D7A" w:rsidP="00350D7A">
      <w:pPr>
        <w:pStyle w:val="NormalWeb"/>
        <w:spacing w:before="96" w:beforeAutospacing="0" w:after="120" w:afterAutospacing="0" w:line="408" w:lineRule="auto"/>
        <w:jc w:val="both"/>
      </w:pPr>
      <w:r>
        <w:rPr>
          <w:rFonts w:ascii="Arial" w:eastAsia="Calibri" w:hAnsi="Arial" w:cs="Arial"/>
          <w:color w:val="000000"/>
          <w:kern w:val="24"/>
          <w:sz w:val="40"/>
          <w:szCs w:val="40"/>
          <w:lang w:val="en-US"/>
        </w:rPr>
        <w:t>Machine learning and predictive analytics are one of the most powerful cyber security solutions for Lloyd Bank. Such techniques can identify network intruders, secure user approval, determine the cyber protection of an organization, and anticipate hacking. Some of the protection and privacy problems will be tackled with greater effectiveness by biometric technology. Biometrics may lead to preventing fraud and money laundering. Furthermore, users find quick authentication based on the iris and fingertips that checks the keys, pins and passwords more useful than they require. For cyber defense, Blockchain technology is also a major troubleshooter.</w:t>
      </w:r>
    </w:p>
    <w:p w14:paraId="3A47F6E7" w14:textId="77777777" w:rsidR="00350D7A" w:rsidRDefault="00350D7A" w:rsidP="00350D7A"/>
    <w:p w14:paraId="33D09B09" w14:textId="77777777" w:rsidR="00350D7A" w:rsidRPr="00350D7A" w:rsidRDefault="00350D7A" w:rsidP="00350D7A"/>
    <w:p w14:paraId="6D73C90A" w14:textId="2EFFB726" w:rsidR="00350D7A" w:rsidRDefault="00350D7A" w:rsidP="00350D7A">
      <w:pPr>
        <w:pStyle w:val="Heading1"/>
        <w:jc w:val="center"/>
        <w:rPr>
          <w:rFonts w:ascii="Arial" w:hAnsi="Arial" w:cs="Arial"/>
          <w:b/>
          <w:bCs/>
          <w:color w:val="000000"/>
          <w:kern w:val="24"/>
          <w:sz w:val="72"/>
          <w:szCs w:val="72"/>
        </w:rPr>
      </w:pPr>
      <w:r>
        <w:rPr>
          <w:rFonts w:ascii="Arial" w:hAnsi="Arial" w:cs="Arial"/>
          <w:b/>
          <w:bCs/>
          <w:color w:val="000000"/>
          <w:kern w:val="24"/>
          <w:sz w:val="72"/>
          <w:szCs w:val="72"/>
        </w:rPr>
        <w:lastRenderedPageBreak/>
        <w:t>The Low-Cost Customer Oriented Services for Lloyds bank</w:t>
      </w:r>
    </w:p>
    <w:p w14:paraId="2321F137" w14:textId="682F9E99" w:rsidR="00350D7A" w:rsidRDefault="00350D7A" w:rsidP="00350D7A"/>
    <w:p w14:paraId="7BF61B46" w14:textId="77777777" w:rsidR="00350D7A" w:rsidRDefault="00350D7A" w:rsidP="00350D7A">
      <w:pPr>
        <w:pStyle w:val="NormalWeb"/>
        <w:spacing w:before="96" w:beforeAutospacing="0" w:after="160" w:afterAutospacing="0" w:line="360" w:lineRule="auto"/>
        <w:ind w:left="446"/>
        <w:jc w:val="both"/>
      </w:pPr>
      <w:r>
        <w:rPr>
          <w:rFonts w:ascii="Arial" w:eastAsia="Calibri" w:hAnsi="Arial" w:cs="Arial"/>
          <w:color w:val="000000"/>
          <w:kern w:val="24"/>
          <w:sz w:val="40"/>
          <w:szCs w:val="40"/>
          <w:lang w:val="en-US"/>
        </w:rPr>
        <w:t xml:space="preserve">Customer-friendly facilities are a necessity. Mobile apps, and online banking systems will save time for consumers. But it needs to raise money for banks as well. Several staff and administrators lead to higher costs. A quicker way to connect with consumers is also a problem to </w:t>
      </w:r>
      <w:proofErr w:type="gramStart"/>
      <w:r>
        <w:rPr>
          <w:rFonts w:ascii="Arial" w:eastAsia="Calibri" w:hAnsi="Arial" w:cs="Arial"/>
          <w:color w:val="000000"/>
          <w:kern w:val="24"/>
          <w:sz w:val="40"/>
          <w:szCs w:val="40"/>
          <w:lang w:val="en-US"/>
        </w:rPr>
        <w:t>solve:</w:t>
      </w:r>
      <w:proofErr w:type="gramEnd"/>
      <w:r>
        <w:rPr>
          <w:rFonts w:ascii="Arial" w:eastAsia="Calibri" w:hAnsi="Arial" w:cs="Arial"/>
          <w:color w:val="000000"/>
          <w:kern w:val="24"/>
          <w:sz w:val="40"/>
          <w:szCs w:val="40"/>
          <w:lang w:val="en-US"/>
        </w:rPr>
        <w:t xml:space="preserve"> email, telephone and texting are not effective.</w:t>
      </w:r>
    </w:p>
    <w:p w14:paraId="05E448B3" w14:textId="2B8133C2" w:rsidR="00350D7A" w:rsidRDefault="00350D7A" w:rsidP="00350D7A"/>
    <w:p w14:paraId="16AB5F8A" w14:textId="477CDE3D" w:rsidR="00350D7A" w:rsidRDefault="00350D7A" w:rsidP="00350D7A"/>
    <w:p w14:paraId="1C66B157" w14:textId="2AAE0EA7" w:rsidR="00350D7A" w:rsidRDefault="00350D7A" w:rsidP="00350D7A"/>
    <w:p w14:paraId="7274F169" w14:textId="0B5E33B2" w:rsidR="00350D7A" w:rsidRDefault="00350D7A" w:rsidP="00350D7A"/>
    <w:p w14:paraId="37F1F288" w14:textId="77777777" w:rsidR="00350D7A" w:rsidRPr="00350D7A" w:rsidRDefault="00350D7A" w:rsidP="00350D7A"/>
    <w:p w14:paraId="35CC6245" w14:textId="77777777" w:rsidR="00350D7A" w:rsidRDefault="00350D7A" w:rsidP="00350D7A">
      <w:pPr>
        <w:pStyle w:val="Heading1"/>
        <w:jc w:val="center"/>
        <w:rPr>
          <w:rFonts w:ascii="Arial" w:eastAsiaTheme="majorEastAsia" w:hAnsi="Arial" w:cs="Arial"/>
          <w:b/>
          <w:bCs/>
          <w:color w:val="000000" w:themeColor="text1"/>
          <w:kern w:val="24"/>
          <w:sz w:val="72"/>
          <w:szCs w:val="72"/>
        </w:rPr>
      </w:pPr>
    </w:p>
    <w:p w14:paraId="74F2A198" w14:textId="50F72ED4" w:rsidR="00350D7A" w:rsidRDefault="00350D7A" w:rsidP="00350D7A">
      <w:pPr>
        <w:pStyle w:val="Heading1"/>
        <w:jc w:val="center"/>
        <w:rPr>
          <w:rFonts w:ascii="Arial" w:eastAsia="Arial" w:hAnsi="Arial" w:cs="Arial"/>
          <w:b/>
          <w:color w:val="000000"/>
        </w:rPr>
      </w:pPr>
      <w:r>
        <w:rPr>
          <w:rFonts w:ascii="Arial" w:eastAsiaTheme="majorEastAsia" w:hAnsi="Arial" w:cs="Arial"/>
          <w:b/>
          <w:bCs/>
          <w:color w:val="000000" w:themeColor="text1"/>
          <w:kern w:val="24"/>
          <w:sz w:val="72"/>
          <w:szCs w:val="72"/>
        </w:rPr>
        <w:t>Solution</w:t>
      </w:r>
    </w:p>
    <w:p w14:paraId="2D2DCBFB" w14:textId="77777777" w:rsidR="00350D7A" w:rsidRDefault="00350D7A" w:rsidP="00350D7A">
      <w:pPr>
        <w:pStyle w:val="NormalWeb"/>
        <w:spacing w:before="106" w:beforeAutospacing="0" w:after="120" w:afterAutospacing="0" w:line="384" w:lineRule="auto"/>
        <w:jc w:val="both"/>
      </w:pPr>
      <w:r>
        <w:rPr>
          <w:rFonts w:ascii="Arial" w:eastAsia="Calibri" w:hAnsi="Arial" w:cs="Arial"/>
          <w:color w:val="000000"/>
          <w:kern w:val="24"/>
          <w:sz w:val="44"/>
          <w:szCs w:val="44"/>
          <w:lang w:val="en-US"/>
        </w:rPr>
        <w:t>Chatbot technology provides an integrated, easy-to-use, launch and maintenance program which ensures a reduction in customer service, an increase in loyalty, and an improvement in bank opinion. Integrating chatbots into customer service networks is about rising customer satisfaction, reducing response time and reducing operating costs. The Bot helps in locating, sending and receiving money, locking and unlocking debit cards and many others.</w:t>
      </w:r>
    </w:p>
    <w:p w14:paraId="44E865EF" w14:textId="77777777" w:rsidR="00350D7A" w:rsidRDefault="00350D7A" w:rsidP="00350D7A">
      <w:pPr>
        <w:pStyle w:val="NormalWeb"/>
        <w:spacing w:before="115" w:beforeAutospacing="0" w:after="160" w:afterAutospacing="0" w:line="360" w:lineRule="auto"/>
        <w:ind w:left="446"/>
        <w:jc w:val="both"/>
      </w:pPr>
      <w:r>
        <w:rPr>
          <w:rFonts w:ascii="Arial" w:eastAsia="Calibri" w:hAnsi="Arial" w:cs="Arial"/>
          <w:color w:val="000000"/>
          <w:kern w:val="24"/>
          <w:sz w:val="48"/>
          <w:szCs w:val="48"/>
          <w:lang w:val="en-US"/>
        </w:rPr>
        <w:t xml:space="preserve">In addition to the issues already mentioned above, experts find other financial challenges that hinder the bank </w:t>
      </w:r>
      <w:r>
        <w:rPr>
          <w:rFonts w:ascii="Arial" w:eastAsia="Calibri" w:hAnsi="Arial" w:cs="Arial"/>
          <w:color w:val="000000"/>
          <w:kern w:val="24"/>
          <w:sz w:val="48"/>
          <w:szCs w:val="48"/>
          <w:lang w:val="en-US"/>
        </w:rPr>
        <w:lastRenderedPageBreak/>
        <w:t>growth. The dynamic transition of emerging technology in the financial industry is one of the big challenges. The biggest obstacles for the financial services sector are the issues of implementing the new innovations and strategies.</w:t>
      </w:r>
    </w:p>
    <w:p w14:paraId="229B5FA3" w14:textId="77777777" w:rsidR="00350D7A" w:rsidRDefault="00350D7A" w:rsidP="00350D7A">
      <w:pPr>
        <w:pStyle w:val="NormalWeb"/>
        <w:spacing w:before="115" w:beforeAutospacing="0" w:after="160" w:afterAutospacing="0" w:line="360" w:lineRule="auto"/>
        <w:ind w:left="446"/>
        <w:jc w:val="both"/>
      </w:pPr>
      <w:r>
        <w:rPr>
          <w:rFonts w:ascii="Arial" w:eastAsia="Calibri" w:hAnsi="Arial" w:cs="Arial"/>
          <w:color w:val="000000"/>
          <w:kern w:val="24"/>
          <w:sz w:val="48"/>
          <w:szCs w:val="48"/>
          <w:lang w:val="en-US"/>
        </w:rPr>
        <w:t xml:space="preserve">Another approach to the protection issue is cloud computing. Reliable data storage and connectivity are also critical both for the efficiency of the whole system and for consumer engagement. Storage platforms provide flexible storage arrangements and an assurance that not every bank will provide security.  </w:t>
      </w:r>
    </w:p>
    <w:p w14:paraId="54C805D0" w14:textId="0666E393" w:rsidR="00350D7A" w:rsidRDefault="00350D7A" w:rsidP="00350D7A">
      <w:pPr>
        <w:pStyle w:val="Heading1"/>
        <w:jc w:val="center"/>
        <w:rPr>
          <w:rFonts w:ascii="Arial" w:eastAsiaTheme="majorEastAsia" w:hAnsi="Arial" w:cs="Arial"/>
          <w:b/>
          <w:bCs/>
          <w:color w:val="000000" w:themeColor="text1"/>
          <w:kern w:val="24"/>
          <w:sz w:val="72"/>
          <w:szCs w:val="72"/>
        </w:rPr>
      </w:pPr>
      <w:r>
        <w:rPr>
          <w:rFonts w:ascii="Arial" w:eastAsiaTheme="majorEastAsia" w:hAnsi="Arial" w:cs="Arial"/>
          <w:b/>
          <w:bCs/>
          <w:color w:val="000000" w:themeColor="text1"/>
          <w:kern w:val="24"/>
          <w:sz w:val="72"/>
          <w:szCs w:val="72"/>
        </w:rPr>
        <w:lastRenderedPageBreak/>
        <w:t>Impact of Technology</w:t>
      </w:r>
    </w:p>
    <w:p w14:paraId="34354463" w14:textId="7A8D5677" w:rsidR="00350D7A" w:rsidRDefault="00350D7A" w:rsidP="00350D7A"/>
    <w:p w14:paraId="783EC163" w14:textId="77777777" w:rsidR="00350D7A" w:rsidRDefault="00350D7A" w:rsidP="00350D7A">
      <w:pPr>
        <w:pStyle w:val="NormalWeb"/>
        <w:spacing w:before="106" w:beforeAutospacing="0" w:after="160" w:afterAutospacing="0" w:line="360" w:lineRule="auto"/>
        <w:jc w:val="both"/>
      </w:pPr>
      <w:r>
        <w:rPr>
          <w:rFonts w:ascii="Arial" w:eastAsia="Calibri" w:hAnsi="Arial" w:cs="Arial"/>
          <w:color w:val="000000"/>
          <w:kern w:val="24"/>
          <w:sz w:val="44"/>
          <w:szCs w:val="44"/>
          <w:lang w:val="en-US"/>
        </w:rPr>
        <w:t>According to the most recent financial study from the Lloyds Banking Group, infrastructure investment represents approximately 16 percent of running expenses in North America, 14 percent in the United Kingdom and 13 percent in Europe.</w:t>
      </w:r>
    </w:p>
    <w:p w14:paraId="1A8DFCD6" w14:textId="77777777" w:rsidR="00350D7A" w:rsidRDefault="00350D7A" w:rsidP="00350D7A">
      <w:pPr>
        <w:pStyle w:val="NormalWeb"/>
        <w:spacing w:before="106" w:beforeAutospacing="0" w:after="160" w:afterAutospacing="0" w:line="360" w:lineRule="auto"/>
        <w:jc w:val="both"/>
      </w:pPr>
      <w:r>
        <w:rPr>
          <w:rFonts w:ascii="Arial" w:eastAsia="Calibri" w:hAnsi="Arial" w:cs="Arial"/>
          <w:color w:val="000000"/>
          <w:kern w:val="24"/>
          <w:sz w:val="44"/>
          <w:szCs w:val="44"/>
          <w:lang w:val="en-US"/>
        </w:rPr>
        <w:t>In comparison, the bank 's spending hits the 19% Limit, which shows its robust digital approach. More than 75% of the budget is spent on the growth and upgrade of current capabilities.</w:t>
      </w:r>
    </w:p>
    <w:p w14:paraId="5429599C" w14:textId="77777777" w:rsidR="00350D7A" w:rsidRDefault="00350D7A" w:rsidP="00350D7A">
      <w:pPr>
        <w:pStyle w:val="NormalWeb"/>
        <w:spacing w:before="106" w:beforeAutospacing="0" w:after="160" w:afterAutospacing="0" w:line="360" w:lineRule="auto"/>
        <w:jc w:val="both"/>
      </w:pPr>
      <w:r>
        <w:rPr>
          <w:rFonts w:ascii="Arial" w:eastAsia="Calibri" w:hAnsi="Arial" w:cs="Arial"/>
          <w:color w:val="000000"/>
          <w:kern w:val="24"/>
          <w:sz w:val="44"/>
          <w:szCs w:val="44"/>
          <w:lang w:val="en-US"/>
        </w:rPr>
        <w:t>The organization believes the new technologies aim to boost productivity and to enable substantial changes in the consumer experience in the financial services industry.</w:t>
      </w:r>
    </w:p>
    <w:p w14:paraId="1B3AFE88" w14:textId="77777777" w:rsidR="00350D7A" w:rsidRPr="00350D7A" w:rsidRDefault="00350D7A" w:rsidP="00350D7A"/>
    <w:p w14:paraId="577C17E8" w14:textId="77777777" w:rsidR="00350D7A" w:rsidRDefault="00350D7A" w:rsidP="00350D7A">
      <w:pPr>
        <w:pStyle w:val="NormalWeb"/>
        <w:spacing w:before="115" w:beforeAutospacing="0" w:after="120" w:afterAutospacing="0" w:line="360" w:lineRule="auto"/>
        <w:jc w:val="both"/>
      </w:pPr>
      <w:r>
        <w:rPr>
          <w:rFonts w:ascii="Arial" w:eastAsia="Calibri" w:hAnsi="Arial" w:cs="Arial"/>
          <w:color w:val="000000"/>
          <w:kern w:val="24"/>
          <w:sz w:val="48"/>
          <w:szCs w:val="48"/>
          <w:lang w:val="en-US"/>
        </w:rPr>
        <w:lastRenderedPageBreak/>
        <w:t>Through its own analysis of consumer trends, the bank focuses on internet. The study compared data on consumer behavior over five years since 2014 and found that the demand for new banks and doubles in home insurance and loan applications across digital platforms nearly tripled in 2019.</w:t>
      </w:r>
    </w:p>
    <w:p w14:paraId="4EADFD9E" w14:textId="77777777" w:rsidR="00350D7A" w:rsidRDefault="00350D7A" w:rsidP="00350D7A">
      <w:pPr>
        <w:pStyle w:val="NormalWeb"/>
        <w:spacing w:before="115" w:beforeAutospacing="0" w:after="120" w:afterAutospacing="0" w:line="360" w:lineRule="auto"/>
        <w:jc w:val="both"/>
      </w:pPr>
      <w:r>
        <w:rPr>
          <w:rFonts w:ascii="Arial" w:eastAsia="Calibri" w:hAnsi="Arial" w:cs="Arial"/>
          <w:color w:val="000000"/>
          <w:kern w:val="24"/>
          <w:sz w:val="48"/>
          <w:szCs w:val="48"/>
          <w:lang w:val="en-US"/>
        </w:rPr>
        <w:t>The bank claims that the internet platform is currently the most popular, with 73% of goods online originating. With 15.4 million customers, 11.7 million of them still use their smartphone app, the company holds the title of "Greatest financial firm" in the UK</w:t>
      </w:r>
    </w:p>
    <w:p w14:paraId="79B7A90B" w14:textId="515F9488" w:rsidR="00350D7A" w:rsidRDefault="00350D7A">
      <w:pPr>
        <w:pStyle w:val="Heading1"/>
        <w:rPr>
          <w:rFonts w:ascii="Arial" w:eastAsia="Arial" w:hAnsi="Arial" w:cs="Arial"/>
          <w:b/>
          <w:color w:val="000000"/>
        </w:rPr>
      </w:pPr>
    </w:p>
    <w:p w14:paraId="5AD1FD98" w14:textId="44FAA867" w:rsidR="00350D7A" w:rsidRDefault="00350D7A" w:rsidP="00350D7A"/>
    <w:p w14:paraId="5F1B5EBE" w14:textId="380E8B5F" w:rsidR="00350D7A" w:rsidRDefault="00350D7A" w:rsidP="00350D7A"/>
    <w:p w14:paraId="21058804" w14:textId="6C3FC663" w:rsidR="00350D7A" w:rsidRDefault="00350D7A" w:rsidP="00350D7A"/>
    <w:p w14:paraId="215CB20D" w14:textId="77777777" w:rsidR="00350D7A" w:rsidRDefault="00350D7A" w:rsidP="00350D7A">
      <w:pPr>
        <w:pStyle w:val="NormalWeb"/>
        <w:spacing w:before="115" w:beforeAutospacing="0" w:after="120" w:afterAutospacing="0" w:line="360" w:lineRule="auto"/>
        <w:jc w:val="both"/>
      </w:pPr>
      <w:r>
        <w:rPr>
          <w:rFonts w:ascii="Arial" w:eastAsia="Calibri" w:hAnsi="Arial" w:cs="Arial"/>
          <w:b/>
          <w:bCs/>
          <w:color w:val="000000"/>
          <w:kern w:val="24"/>
          <w:sz w:val="48"/>
          <w:szCs w:val="48"/>
          <w:lang w:val="en-US"/>
        </w:rPr>
        <w:lastRenderedPageBreak/>
        <w:t>Based on its awareness of consumers' evolving needs and the rising competition, the company has identified four new succeeding strategic priorities</w:t>
      </w:r>
    </w:p>
    <w:p w14:paraId="65AAA1FF" w14:textId="7C275524" w:rsidR="00350D7A" w:rsidRDefault="00350D7A" w:rsidP="00350D7A"/>
    <w:p w14:paraId="4CB3184F" w14:textId="77777777" w:rsidR="00350D7A" w:rsidRDefault="00350D7A" w:rsidP="00350D7A">
      <w:pPr>
        <w:pStyle w:val="ListParagraph"/>
        <w:numPr>
          <w:ilvl w:val="0"/>
          <w:numId w:val="2"/>
        </w:numPr>
        <w:spacing w:line="256" w:lineRule="auto"/>
        <w:jc w:val="both"/>
        <w:rPr>
          <w:color w:val="688727"/>
          <w:sz w:val="58"/>
        </w:rPr>
      </w:pPr>
      <w:r>
        <w:rPr>
          <w:rFonts w:ascii="Arial" w:eastAsia="Calibri" w:hAnsi="Arial" w:cs="Arial"/>
          <w:color w:val="000000" w:themeColor="text1"/>
          <w:kern w:val="24"/>
          <w:sz w:val="40"/>
          <w:szCs w:val="40"/>
          <w:lang w:val="en-US"/>
        </w:rPr>
        <w:t>Achieve leading consumers with the latest goods and services.</w:t>
      </w:r>
    </w:p>
    <w:p w14:paraId="0DB8677E" w14:textId="77777777" w:rsidR="00350D7A" w:rsidRDefault="00350D7A" w:rsidP="00350D7A">
      <w:pPr>
        <w:pStyle w:val="ListParagraph"/>
        <w:numPr>
          <w:ilvl w:val="0"/>
          <w:numId w:val="2"/>
        </w:numPr>
        <w:spacing w:line="256" w:lineRule="auto"/>
        <w:jc w:val="both"/>
        <w:rPr>
          <w:color w:val="688727"/>
          <w:sz w:val="58"/>
        </w:rPr>
      </w:pPr>
      <w:r>
        <w:rPr>
          <w:rFonts w:ascii="Arial" w:eastAsia="Calibri" w:hAnsi="Arial" w:cs="Arial"/>
          <w:color w:val="000000" w:themeColor="text1"/>
          <w:kern w:val="24"/>
          <w:sz w:val="40"/>
          <w:szCs w:val="40"/>
          <w:lang w:val="en-US"/>
        </w:rPr>
        <w:t>Digitizing the digital technologies community to improve productivity and ease access and transaction</w:t>
      </w:r>
    </w:p>
    <w:p w14:paraId="7667099D" w14:textId="77777777" w:rsidR="00350D7A" w:rsidRDefault="00350D7A" w:rsidP="00350D7A">
      <w:pPr>
        <w:pStyle w:val="ListParagraph"/>
        <w:numPr>
          <w:ilvl w:val="0"/>
          <w:numId w:val="2"/>
        </w:numPr>
        <w:spacing w:line="256" w:lineRule="auto"/>
        <w:jc w:val="both"/>
        <w:rPr>
          <w:color w:val="688727"/>
          <w:sz w:val="58"/>
        </w:rPr>
      </w:pPr>
      <w:r>
        <w:rPr>
          <w:rFonts w:ascii="Arial" w:eastAsia="Calibri" w:hAnsi="Arial" w:cs="Arial"/>
          <w:color w:val="000000" w:themeColor="text1"/>
          <w:kern w:val="24"/>
          <w:sz w:val="40"/>
          <w:szCs w:val="40"/>
          <w:lang w:val="en-US"/>
        </w:rPr>
        <w:t>To leverage community ability to improve customer ties and expand in target sectors.</w:t>
      </w:r>
    </w:p>
    <w:p w14:paraId="69E8B8C1" w14:textId="77777777" w:rsidR="00350D7A" w:rsidRDefault="00350D7A" w:rsidP="00350D7A">
      <w:pPr>
        <w:pStyle w:val="ListParagraph"/>
        <w:numPr>
          <w:ilvl w:val="0"/>
          <w:numId w:val="2"/>
        </w:numPr>
        <w:spacing w:line="256" w:lineRule="auto"/>
        <w:jc w:val="both"/>
        <w:rPr>
          <w:color w:val="688727"/>
          <w:sz w:val="58"/>
        </w:rPr>
      </w:pPr>
      <w:r>
        <w:rPr>
          <w:rFonts w:ascii="Arial" w:eastAsia="Calibri" w:hAnsi="Arial" w:cs="Arial"/>
          <w:color w:val="000000" w:themeColor="text1"/>
          <w:kern w:val="24"/>
          <w:sz w:val="40"/>
          <w:szCs w:val="40"/>
          <w:lang w:val="en-US"/>
        </w:rPr>
        <w:t>Transform research by development in capabilities and procedures and improvements in scalable activities</w:t>
      </w:r>
    </w:p>
    <w:p w14:paraId="0BFA3DAB" w14:textId="77777777" w:rsidR="00350D7A" w:rsidRDefault="00350D7A" w:rsidP="00350D7A"/>
    <w:p w14:paraId="0167935E" w14:textId="7D8D35DE" w:rsidR="00350D7A" w:rsidRDefault="00350D7A" w:rsidP="00350D7A"/>
    <w:p w14:paraId="2D5872BF" w14:textId="3536DA63" w:rsidR="00350D7A" w:rsidRDefault="00350D7A" w:rsidP="00350D7A"/>
    <w:p w14:paraId="1464C901" w14:textId="797FF850" w:rsidR="00350D7A" w:rsidRDefault="00350D7A" w:rsidP="00350D7A"/>
    <w:p w14:paraId="3D6603CF" w14:textId="0DACE1A9" w:rsidR="00350D7A" w:rsidRDefault="00350D7A" w:rsidP="00350D7A"/>
    <w:p w14:paraId="3C59D27B" w14:textId="77777777" w:rsidR="00350D7A" w:rsidRPr="00350D7A" w:rsidRDefault="00350D7A" w:rsidP="00350D7A"/>
    <w:p w14:paraId="1F89E641" w14:textId="0D82651F" w:rsidR="00350D7A" w:rsidRDefault="00350D7A" w:rsidP="00350D7A">
      <w:pPr>
        <w:pStyle w:val="Heading1"/>
        <w:jc w:val="center"/>
        <w:rPr>
          <w:rFonts w:ascii="Arial" w:eastAsiaTheme="majorEastAsia" w:hAnsi="Arial" w:cs="Arial"/>
          <w:b/>
          <w:bCs/>
          <w:color w:val="000000" w:themeColor="text1"/>
          <w:kern w:val="24"/>
          <w:sz w:val="72"/>
          <w:szCs w:val="72"/>
        </w:rPr>
      </w:pPr>
      <w:r w:rsidRPr="00350D7A">
        <w:rPr>
          <w:rFonts w:ascii="Arial" w:eastAsiaTheme="majorEastAsia" w:hAnsi="Arial" w:cs="Arial"/>
          <w:b/>
          <w:bCs/>
          <w:color w:val="000000" w:themeColor="text1"/>
          <w:kern w:val="24"/>
          <w:sz w:val="72"/>
          <w:szCs w:val="72"/>
        </w:rPr>
        <w:lastRenderedPageBreak/>
        <w:t>Adoption of technologies can provide next-generation experience</w:t>
      </w:r>
    </w:p>
    <w:p w14:paraId="5E6DFD4C" w14:textId="3C9B3ECD" w:rsidR="00350D7A" w:rsidRDefault="00350D7A" w:rsidP="00350D7A"/>
    <w:p w14:paraId="638EF442" w14:textId="77777777" w:rsidR="00350D7A" w:rsidRPr="00350D7A" w:rsidRDefault="00350D7A" w:rsidP="00350D7A">
      <w:pPr>
        <w:spacing w:before="96" w:after="120" w:line="360" w:lineRule="auto"/>
        <w:jc w:val="both"/>
        <w:rPr>
          <w:rFonts w:ascii="Times New Roman" w:eastAsia="Times New Roman" w:hAnsi="Times New Roman" w:cs="Times New Roman"/>
          <w:sz w:val="24"/>
          <w:szCs w:val="24"/>
          <w:lang w:val="en-GB"/>
        </w:rPr>
      </w:pPr>
      <w:r w:rsidRPr="00350D7A">
        <w:rPr>
          <w:rFonts w:ascii="Arial" w:hAnsi="Arial" w:cs="Arial"/>
          <w:color w:val="000000"/>
          <w:kern w:val="24"/>
          <w:sz w:val="40"/>
          <w:szCs w:val="40"/>
        </w:rPr>
        <w:t xml:space="preserve">Their ambitious disruptive technological strategy enabled the business </w:t>
      </w:r>
      <w:proofErr w:type="gramStart"/>
      <w:r w:rsidRPr="00350D7A">
        <w:rPr>
          <w:rFonts w:ascii="Arial" w:hAnsi="Arial" w:cs="Arial"/>
          <w:color w:val="000000"/>
          <w:kern w:val="24"/>
          <w:sz w:val="40"/>
          <w:szCs w:val="40"/>
        </w:rPr>
        <w:t>leverage</w:t>
      </w:r>
      <w:proofErr w:type="gramEnd"/>
      <w:r w:rsidRPr="00350D7A">
        <w:rPr>
          <w:rFonts w:ascii="Arial" w:hAnsi="Arial" w:cs="Arial"/>
          <w:color w:val="000000"/>
          <w:kern w:val="24"/>
          <w:sz w:val="40"/>
          <w:szCs w:val="40"/>
        </w:rPr>
        <w:t xml:space="preserve"> the energy of increasingly emerging innovations like artificial intelligence to produce major organizational advantages and consumer returns.</w:t>
      </w:r>
    </w:p>
    <w:p w14:paraId="7E3D79A4" w14:textId="77777777" w:rsidR="00350D7A" w:rsidRPr="00350D7A" w:rsidRDefault="00350D7A" w:rsidP="00350D7A">
      <w:pPr>
        <w:spacing w:before="96" w:after="120" w:line="360" w:lineRule="auto"/>
        <w:jc w:val="both"/>
        <w:rPr>
          <w:rFonts w:ascii="Times New Roman" w:eastAsia="Times New Roman" w:hAnsi="Times New Roman" w:cs="Times New Roman"/>
          <w:sz w:val="24"/>
          <w:szCs w:val="24"/>
          <w:lang w:val="en-GB"/>
        </w:rPr>
      </w:pPr>
      <w:r w:rsidRPr="00350D7A">
        <w:rPr>
          <w:rFonts w:ascii="Arial" w:hAnsi="Arial" w:cs="Arial"/>
          <w:color w:val="000000"/>
          <w:kern w:val="24"/>
          <w:sz w:val="40"/>
          <w:szCs w:val="40"/>
        </w:rPr>
        <w:t>The yearly report emphasized that the company's willingness to extend the usage of machine learning enabled them to deploy virtual staff, who held up to 5,000 customer discussions a day in 2019. The outcome was more than 10 points of consumer service.</w:t>
      </w:r>
    </w:p>
    <w:p w14:paraId="2AC5116B" w14:textId="1770777A" w:rsidR="00350D7A" w:rsidRDefault="00350D7A" w:rsidP="00350D7A"/>
    <w:p w14:paraId="50A43034" w14:textId="45DA0D29" w:rsidR="00350D7A" w:rsidRDefault="00350D7A" w:rsidP="00350D7A"/>
    <w:p w14:paraId="5937C8AB" w14:textId="4C1A1BBE" w:rsidR="00350D7A" w:rsidRDefault="00350D7A" w:rsidP="00350D7A"/>
    <w:p w14:paraId="20A716C6" w14:textId="77777777" w:rsidR="00350D7A" w:rsidRPr="00350D7A" w:rsidRDefault="00350D7A" w:rsidP="00350D7A"/>
    <w:p w14:paraId="50987AE4" w14:textId="77777777" w:rsidR="00BF0E8B" w:rsidRPr="00BF0E8B" w:rsidRDefault="00BF0E8B" w:rsidP="00BF0E8B">
      <w:pPr>
        <w:spacing w:before="115" w:after="120" w:line="360" w:lineRule="auto"/>
        <w:jc w:val="both"/>
        <w:rPr>
          <w:rFonts w:ascii="Times New Roman" w:eastAsia="Times New Roman" w:hAnsi="Times New Roman" w:cs="Times New Roman"/>
          <w:sz w:val="24"/>
          <w:szCs w:val="24"/>
          <w:lang w:val="en-GB"/>
        </w:rPr>
      </w:pPr>
      <w:r w:rsidRPr="00BF0E8B">
        <w:rPr>
          <w:rFonts w:ascii="Arial" w:hAnsi="Arial" w:cs="Arial"/>
          <w:color w:val="000000"/>
          <w:kern w:val="24"/>
          <w:sz w:val="48"/>
          <w:szCs w:val="48"/>
        </w:rPr>
        <w:lastRenderedPageBreak/>
        <w:t>The organization has recently agreed to include almost 5 million hours of training to assist employees to build core competencies and to prepare them for exploiting technology which will enable the bank to become a pioneer in data analytics.</w:t>
      </w:r>
    </w:p>
    <w:p w14:paraId="04AF63EF" w14:textId="77777777" w:rsidR="00BF0E8B" w:rsidRPr="00BF0E8B" w:rsidRDefault="00BF0E8B" w:rsidP="00BF0E8B">
      <w:pPr>
        <w:spacing w:before="115" w:after="120" w:line="360" w:lineRule="auto"/>
        <w:jc w:val="both"/>
        <w:rPr>
          <w:rFonts w:ascii="Times New Roman" w:eastAsia="Times New Roman" w:hAnsi="Times New Roman" w:cs="Times New Roman"/>
          <w:sz w:val="24"/>
          <w:szCs w:val="24"/>
          <w:lang w:val="en-GB"/>
        </w:rPr>
      </w:pPr>
      <w:r w:rsidRPr="00BF0E8B">
        <w:rPr>
          <w:rFonts w:ascii="Arial" w:hAnsi="Arial" w:cs="Arial"/>
          <w:color w:val="000000"/>
          <w:kern w:val="24"/>
          <w:sz w:val="48"/>
          <w:szCs w:val="48"/>
        </w:rPr>
        <w:t>By the end of the day, the bank continues to have all the correct moves as it comes to turbocharging the drive to digital which has now rendered it the UK's biggest digital bank which will eventually enable it reach a wider audience whilst maintaining its consumer loyalty.</w:t>
      </w:r>
    </w:p>
    <w:p w14:paraId="313C1494" w14:textId="77777777" w:rsidR="00350D7A" w:rsidRDefault="00350D7A">
      <w:pPr>
        <w:pStyle w:val="Heading1"/>
        <w:rPr>
          <w:rFonts w:ascii="Arial" w:eastAsia="Arial" w:hAnsi="Arial" w:cs="Arial"/>
          <w:b/>
          <w:color w:val="000000"/>
        </w:rPr>
      </w:pPr>
    </w:p>
    <w:p w14:paraId="148A5C84" w14:textId="77777777" w:rsidR="00350D7A" w:rsidRDefault="00350D7A">
      <w:pPr>
        <w:pStyle w:val="Heading1"/>
        <w:rPr>
          <w:rFonts w:ascii="Arial" w:eastAsia="Arial" w:hAnsi="Arial" w:cs="Arial"/>
          <w:b/>
          <w:color w:val="000000"/>
        </w:rPr>
      </w:pPr>
    </w:p>
    <w:p w14:paraId="337ACFF8" w14:textId="77777777" w:rsidR="00350D7A" w:rsidRDefault="00350D7A">
      <w:pPr>
        <w:pStyle w:val="Heading1"/>
        <w:rPr>
          <w:rFonts w:ascii="Arial" w:eastAsia="Arial" w:hAnsi="Arial" w:cs="Arial"/>
          <w:b/>
          <w:color w:val="000000"/>
        </w:rPr>
      </w:pPr>
    </w:p>
    <w:p w14:paraId="6ED9AE55" w14:textId="77777777" w:rsidR="00350D7A" w:rsidRDefault="00350D7A">
      <w:pPr>
        <w:pStyle w:val="Heading1"/>
        <w:rPr>
          <w:rFonts w:ascii="Arial" w:eastAsia="Arial" w:hAnsi="Arial" w:cs="Arial"/>
          <w:b/>
          <w:color w:val="000000"/>
        </w:rPr>
      </w:pPr>
    </w:p>
    <w:p w14:paraId="52DD80B9" w14:textId="77777777" w:rsidR="00350D7A" w:rsidRDefault="00350D7A">
      <w:pPr>
        <w:pStyle w:val="Heading1"/>
        <w:rPr>
          <w:rFonts w:ascii="Arial" w:eastAsia="Arial" w:hAnsi="Arial" w:cs="Arial"/>
          <w:b/>
          <w:color w:val="000000"/>
        </w:rPr>
      </w:pPr>
    </w:p>
    <w:p w14:paraId="14FC3110" w14:textId="77777777" w:rsidR="00350D7A" w:rsidRDefault="00350D7A">
      <w:pPr>
        <w:pStyle w:val="Heading1"/>
        <w:rPr>
          <w:rFonts w:ascii="Arial" w:eastAsia="Arial" w:hAnsi="Arial" w:cs="Arial"/>
          <w:b/>
          <w:color w:val="000000"/>
        </w:rPr>
      </w:pPr>
    </w:p>
    <w:p w14:paraId="00000001" w14:textId="16A00C15" w:rsidR="00EF286D" w:rsidRDefault="00382F68">
      <w:pPr>
        <w:pStyle w:val="Heading1"/>
      </w:pPr>
      <w:r>
        <w:rPr>
          <w:rFonts w:ascii="Arial" w:eastAsia="Arial" w:hAnsi="Arial" w:cs="Arial"/>
          <w:b/>
          <w:color w:val="000000"/>
        </w:rPr>
        <w:t>References</w:t>
      </w:r>
    </w:p>
    <w:p w14:paraId="00000002" w14:textId="77777777" w:rsidR="00EF286D" w:rsidRDefault="00382F68">
      <w:pPr>
        <w:numPr>
          <w:ilvl w:val="0"/>
          <w:numId w:val="1"/>
        </w:numPr>
        <w:pBdr>
          <w:top w:val="nil"/>
          <w:left w:val="nil"/>
          <w:bottom w:val="nil"/>
          <w:right w:val="nil"/>
          <w:between w:val="nil"/>
        </w:pBdr>
        <w:spacing w:after="0"/>
        <w:rPr>
          <w:color w:val="000000"/>
          <w:sz w:val="20"/>
          <w:szCs w:val="20"/>
          <w:highlight w:val="white"/>
        </w:rPr>
      </w:pPr>
      <w:proofErr w:type="spellStart"/>
      <w:r>
        <w:rPr>
          <w:rFonts w:ascii="Open Sans" w:eastAsia="Open Sans" w:hAnsi="Open Sans" w:cs="Open Sans"/>
          <w:color w:val="000000"/>
          <w:sz w:val="20"/>
          <w:szCs w:val="20"/>
          <w:highlight w:val="white"/>
        </w:rPr>
        <w:t>Pressnell</w:t>
      </w:r>
      <w:proofErr w:type="spellEnd"/>
      <w:r>
        <w:rPr>
          <w:rFonts w:ascii="Open Sans" w:eastAsia="Open Sans" w:hAnsi="Open Sans" w:cs="Open Sans"/>
          <w:color w:val="000000"/>
          <w:sz w:val="20"/>
          <w:szCs w:val="20"/>
          <w:highlight w:val="white"/>
        </w:rPr>
        <w:t>, L. and Winton, J., 1984. Lloyds Bank, 1918-1969. </w:t>
      </w:r>
      <w:r>
        <w:rPr>
          <w:rFonts w:ascii="Open Sans" w:eastAsia="Open Sans" w:hAnsi="Open Sans" w:cs="Open Sans"/>
          <w:i/>
          <w:color w:val="000000"/>
          <w:sz w:val="20"/>
          <w:szCs w:val="20"/>
          <w:highlight w:val="white"/>
        </w:rPr>
        <w:t>The Economic History Review</w:t>
      </w:r>
      <w:r>
        <w:rPr>
          <w:rFonts w:ascii="Open Sans" w:eastAsia="Open Sans" w:hAnsi="Open Sans" w:cs="Open Sans"/>
          <w:color w:val="000000"/>
          <w:sz w:val="20"/>
          <w:szCs w:val="20"/>
          <w:highlight w:val="white"/>
        </w:rPr>
        <w:t>, 37(2), p.291.</w:t>
      </w:r>
    </w:p>
    <w:p w14:paraId="00000003" w14:textId="77777777" w:rsidR="00EF286D" w:rsidRDefault="00382F68">
      <w:pPr>
        <w:numPr>
          <w:ilvl w:val="0"/>
          <w:numId w:val="1"/>
        </w:numPr>
        <w:pBdr>
          <w:top w:val="nil"/>
          <w:left w:val="nil"/>
          <w:bottom w:val="nil"/>
          <w:right w:val="nil"/>
          <w:between w:val="nil"/>
        </w:pBdr>
        <w:spacing w:after="0"/>
        <w:rPr>
          <w:color w:val="000000"/>
          <w:sz w:val="20"/>
          <w:szCs w:val="20"/>
          <w:highlight w:val="white"/>
        </w:rPr>
      </w:pPr>
      <w:r>
        <w:rPr>
          <w:rFonts w:ascii="Open Sans" w:eastAsia="Open Sans" w:hAnsi="Open Sans" w:cs="Open Sans"/>
          <w:color w:val="000000"/>
          <w:sz w:val="20"/>
          <w:szCs w:val="20"/>
          <w:highlight w:val="white"/>
        </w:rPr>
        <w:t>Lloydsbankinggroup.com. 2020. </w:t>
      </w:r>
      <w:r>
        <w:rPr>
          <w:rFonts w:ascii="Open Sans" w:eastAsia="Open Sans" w:hAnsi="Open Sans" w:cs="Open Sans"/>
          <w:i/>
          <w:color w:val="000000"/>
          <w:sz w:val="20"/>
          <w:szCs w:val="20"/>
          <w:highlight w:val="white"/>
        </w:rPr>
        <w:t>Our Archives - Lloyds Banking Group Plc</w:t>
      </w:r>
      <w:r>
        <w:rPr>
          <w:rFonts w:ascii="Open Sans" w:eastAsia="Open Sans" w:hAnsi="Open Sans" w:cs="Open Sans"/>
          <w:color w:val="000000"/>
          <w:sz w:val="20"/>
          <w:szCs w:val="20"/>
          <w:highlight w:val="white"/>
        </w:rPr>
        <w:t>. [online] Available at: &lt;https://www.lloydsbankinggroup.com/our-group/our-heritage/our-archives/&gt; [Accessed 06 August 2020].</w:t>
      </w:r>
    </w:p>
    <w:p w14:paraId="00000004" w14:textId="77777777" w:rsidR="00EF286D" w:rsidRDefault="00382F68">
      <w:pPr>
        <w:numPr>
          <w:ilvl w:val="0"/>
          <w:numId w:val="1"/>
        </w:numPr>
        <w:pBdr>
          <w:top w:val="nil"/>
          <w:left w:val="nil"/>
          <w:bottom w:val="nil"/>
          <w:right w:val="nil"/>
          <w:between w:val="nil"/>
        </w:pBdr>
        <w:spacing w:after="0"/>
        <w:rPr>
          <w:color w:val="000000"/>
          <w:sz w:val="20"/>
          <w:szCs w:val="20"/>
          <w:highlight w:val="white"/>
        </w:rPr>
      </w:pPr>
      <w:r>
        <w:rPr>
          <w:rFonts w:ascii="Open Sans" w:eastAsia="Open Sans" w:hAnsi="Open Sans" w:cs="Open Sans"/>
          <w:color w:val="000000"/>
          <w:sz w:val="20"/>
          <w:szCs w:val="20"/>
          <w:highlight w:val="white"/>
        </w:rPr>
        <w:t xml:space="preserve">Booker, J., 1989. Branch Records of Lloyds Bank: The Analysis of a </w:t>
      </w:r>
      <w:proofErr w:type="gramStart"/>
      <w:r>
        <w:rPr>
          <w:rFonts w:ascii="Open Sans" w:eastAsia="Open Sans" w:hAnsi="Open Sans" w:cs="Open Sans"/>
          <w:color w:val="000000"/>
          <w:sz w:val="20"/>
          <w:szCs w:val="20"/>
          <w:highlight w:val="white"/>
        </w:rPr>
        <w:t>Life</w:t>
      </w:r>
      <w:r>
        <w:rPr>
          <w:rFonts w:ascii="Cambria Math" w:eastAsia="Cambria Math" w:hAnsi="Cambria Math" w:cs="Cambria Math"/>
          <w:color w:val="000000"/>
          <w:sz w:val="20"/>
          <w:szCs w:val="20"/>
          <w:highlight w:val="white"/>
        </w:rPr>
        <w:t>‐</w:t>
      </w:r>
      <w:r>
        <w:rPr>
          <w:rFonts w:ascii="Open Sans" w:eastAsia="Open Sans" w:hAnsi="Open Sans" w:cs="Open Sans"/>
          <w:color w:val="000000"/>
          <w:sz w:val="20"/>
          <w:szCs w:val="20"/>
          <w:highlight w:val="white"/>
        </w:rPr>
        <w:t>Cycle</w:t>
      </w:r>
      <w:proofErr w:type="gramEnd"/>
      <w:r>
        <w:rPr>
          <w:rFonts w:ascii="Open Sans" w:eastAsia="Open Sans" w:hAnsi="Open Sans" w:cs="Open Sans"/>
          <w:color w:val="000000"/>
          <w:sz w:val="20"/>
          <w:szCs w:val="20"/>
          <w:highlight w:val="white"/>
        </w:rPr>
        <w:t>. </w:t>
      </w:r>
      <w:r>
        <w:rPr>
          <w:rFonts w:ascii="Open Sans" w:eastAsia="Open Sans" w:hAnsi="Open Sans" w:cs="Open Sans"/>
          <w:i/>
          <w:color w:val="000000"/>
          <w:sz w:val="20"/>
          <w:szCs w:val="20"/>
          <w:highlight w:val="white"/>
        </w:rPr>
        <w:t>Records Management Journal</w:t>
      </w:r>
      <w:r>
        <w:rPr>
          <w:rFonts w:ascii="Open Sans" w:eastAsia="Open Sans" w:hAnsi="Open Sans" w:cs="Open Sans"/>
          <w:color w:val="000000"/>
          <w:sz w:val="20"/>
          <w:szCs w:val="20"/>
          <w:highlight w:val="white"/>
        </w:rPr>
        <w:t>, 1(4), pp.142-154.</w:t>
      </w:r>
    </w:p>
    <w:p w14:paraId="00000005" w14:textId="77777777" w:rsidR="00EF286D" w:rsidRDefault="00382F68">
      <w:pPr>
        <w:numPr>
          <w:ilvl w:val="0"/>
          <w:numId w:val="1"/>
        </w:numPr>
        <w:pBdr>
          <w:top w:val="nil"/>
          <w:left w:val="nil"/>
          <w:bottom w:val="nil"/>
          <w:right w:val="nil"/>
          <w:between w:val="nil"/>
        </w:pBdr>
        <w:spacing w:after="0"/>
        <w:rPr>
          <w:color w:val="000000"/>
          <w:sz w:val="20"/>
          <w:szCs w:val="20"/>
          <w:highlight w:val="white"/>
        </w:rPr>
      </w:pPr>
      <w:r>
        <w:rPr>
          <w:rFonts w:ascii="Open Sans" w:eastAsia="Open Sans" w:hAnsi="Open Sans" w:cs="Open Sans"/>
          <w:color w:val="000000"/>
          <w:sz w:val="20"/>
          <w:szCs w:val="20"/>
          <w:highlight w:val="white"/>
        </w:rPr>
        <w:t>Banki</w:t>
      </w:r>
      <w:r>
        <w:rPr>
          <w:rFonts w:ascii="Open Sans" w:eastAsia="Open Sans" w:hAnsi="Open Sans" w:cs="Open Sans"/>
          <w:color w:val="000000"/>
          <w:sz w:val="20"/>
          <w:szCs w:val="20"/>
          <w:highlight w:val="white"/>
        </w:rPr>
        <w:t>ng, P., Banking, I., Finder, B., on, L., services, P., accounts, C., cards, C. and accounts, S., 2020. </w:t>
      </w:r>
      <w:r>
        <w:rPr>
          <w:rFonts w:ascii="Open Sans" w:eastAsia="Open Sans" w:hAnsi="Open Sans" w:cs="Open Sans"/>
          <w:i/>
          <w:color w:val="000000"/>
          <w:sz w:val="20"/>
          <w:szCs w:val="20"/>
          <w:highlight w:val="white"/>
        </w:rPr>
        <w:t>Personal</w:t>
      </w:r>
      <w:r>
        <w:rPr>
          <w:rFonts w:ascii="Open Sans" w:eastAsia="Open Sans" w:hAnsi="Open Sans" w:cs="Open Sans"/>
          <w:color w:val="000000"/>
          <w:sz w:val="20"/>
          <w:szCs w:val="20"/>
          <w:highlight w:val="white"/>
        </w:rPr>
        <w:t>. [online] Lloydsbank.com. Available at: &lt;https://www.lloydsbank.com/&gt; [Accessed 07 August 2020].</w:t>
      </w:r>
    </w:p>
    <w:p w14:paraId="00000006" w14:textId="77777777" w:rsidR="00EF286D" w:rsidRDefault="00382F68">
      <w:pPr>
        <w:numPr>
          <w:ilvl w:val="0"/>
          <w:numId w:val="1"/>
        </w:numPr>
        <w:pBdr>
          <w:top w:val="nil"/>
          <w:left w:val="nil"/>
          <w:bottom w:val="nil"/>
          <w:right w:val="nil"/>
          <w:between w:val="nil"/>
        </w:pBdr>
        <w:spacing w:after="0"/>
        <w:rPr>
          <w:color w:val="000000"/>
          <w:sz w:val="20"/>
          <w:szCs w:val="20"/>
          <w:highlight w:val="white"/>
        </w:rPr>
      </w:pPr>
      <w:r>
        <w:rPr>
          <w:rFonts w:ascii="Open Sans" w:eastAsia="Open Sans" w:hAnsi="Open Sans" w:cs="Open Sans"/>
          <w:color w:val="000000"/>
          <w:sz w:val="20"/>
          <w:szCs w:val="20"/>
          <w:highlight w:val="white"/>
        </w:rPr>
        <w:t>Banking, P., Banking, I., Finder, B., on, L., s</w:t>
      </w:r>
      <w:r>
        <w:rPr>
          <w:rFonts w:ascii="Open Sans" w:eastAsia="Open Sans" w:hAnsi="Open Sans" w:cs="Open Sans"/>
          <w:color w:val="000000"/>
          <w:sz w:val="20"/>
          <w:szCs w:val="20"/>
          <w:highlight w:val="white"/>
        </w:rPr>
        <w:t>ervices, P., accounts, C., cards, C. and accounts, S., 2020. </w:t>
      </w:r>
      <w:r>
        <w:rPr>
          <w:rFonts w:ascii="Open Sans" w:eastAsia="Open Sans" w:hAnsi="Open Sans" w:cs="Open Sans"/>
          <w:i/>
          <w:color w:val="000000"/>
          <w:sz w:val="20"/>
          <w:szCs w:val="20"/>
          <w:highlight w:val="white"/>
        </w:rPr>
        <w:t xml:space="preserve">Who We </w:t>
      </w:r>
      <w:proofErr w:type="gramStart"/>
      <w:r>
        <w:rPr>
          <w:rFonts w:ascii="Open Sans" w:eastAsia="Open Sans" w:hAnsi="Open Sans" w:cs="Open Sans"/>
          <w:i/>
          <w:color w:val="000000"/>
          <w:sz w:val="20"/>
          <w:szCs w:val="20"/>
          <w:highlight w:val="white"/>
        </w:rPr>
        <w:t>Are</w:t>
      </w:r>
      <w:r>
        <w:rPr>
          <w:rFonts w:ascii="Open Sans" w:eastAsia="Open Sans" w:hAnsi="Open Sans" w:cs="Open Sans"/>
          <w:color w:val="000000"/>
          <w:sz w:val="20"/>
          <w:szCs w:val="20"/>
          <w:highlight w:val="white"/>
        </w:rPr>
        <w:t>.</w:t>
      </w:r>
      <w:proofErr w:type="gramEnd"/>
      <w:r>
        <w:rPr>
          <w:rFonts w:ascii="Open Sans" w:eastAsia="Open Sans" w:hAnsi="Open Sans" w:cs="Open Sans"/>
          <w:color w:val="000000"/>
          <w:sz w:val="20"/>
          <w:szCs w:val="20"/>
          <w:highlight w:val="white"/>
        </w:rPr>
        <w:t xml:space="preserve"> [online] Lloydsbank.com. Available at: &lt;https://www.lloydsbank.com/banking-with-us/who-we-are.html&gt; [Accessed 07 August 2020].</w:t>
      </w:r>
    </w:p>
    <w:p w14:paraId="00000007" w14:textId="77777777" w:rsidR="00EF286D" w:rsidRDefault="00382F68">
      <w:pPr>
        <w:numPr>
          <w:ilvl w:val="0"/>
          <w:numId w:val="1"/>
        </w:numPr>
        <w:pBdr>
          <w:top w:val="nil"/>
          <w:left w:val="nil"/>
          <w:bottom w:val="nil"/>
          <w:right w:val="nil"/>
          <w:between w:val="nil"/>
        </w:pBdr>
      </w:pPr>
      <w:r>
        <w:rPr>
          <w:rFonts w:ascii="Open Sans" w:eastAsia="Open Sans" w:hAnsi="Open Sans" w:cs="Open Sans"/>
          <w:color w:val="000000"/>
          <w:sz w:val="20"/>
          <w:szCs w:val="20"/>
          <w:highlight w:val="white"/>
        </w:rPr>
        <w:t>Investments.lloydsbank.com. 2020. </w:t>
      </w:r>
      <w:r>
        <w:rPr>
          <w:rFonts w:ascii="Open Sans" w:eastAsia="Open Sans" w:hAnsi="Open Sans" w:cs="Open Sans"/>
          <w:i/>
          <w:color w:val="000000"/>
          <w:sz w:val="20"/>
          <w:szCs w:val="20"/>
          <w:highlight w:val="white"/>
        </w:rPr>
        <w:t xml:space="preserve">Bank Of </w:t>
      </w:r>
      <w:proofErr w:type="spellStart"/>
      <w:proofErr w:type="gramStart"/>
      <w:r>
        <w:rPr>
          <w:rFonts w:ascii="Open Sans" w:eastAsia="Open Sans" w:hAnsi="Open Sans" w:cs="Open Sans"/>
          <w:i/>
          <w:color w:val="000000"/>
          <w:sz w:val="20"/>
          <w:szCs w:val="20"/>
          <w:highlight w:val="white"/>
        </w:rPr>
        <w:t>Scotland,There</w:t>
      </w:r>
      <w:r>
        <w:rPr>
          <w:rFonts w:ascii="Open Sans" w:eastAsia="Open Sans" w:hAnsi="Open Sans" w:cs="Open Sans"/>
          <w:i/>
          <w:color w:val="000000"/>
          <w:sz w:val="20"/>
          <w:szCs w:val="20"/>
          <w:highlight w:val="white"/>
        </w:rPr>
        <w:t>'s</w:t>
      </w:r>
      <w:proofErr w:type="spellEnd"/>
      <w:proofErr w:type="gramEnd"/>
      <w:r>
        <w:rPr>
          <w:rFonts w:ascii="Open Sans" w:eastAsia="Open Sans" w:hAnsi="Open Sans" w:cs="Open Sans"/>
          <w:i/>
          <w:color w:val="000000"/>
          <w:sz w:val="20"/>
          <w:szCs w:val="20"/>
          <w:highlight w:val="white"/>
        </w:rPr>
        <w:t xml:space="preserve"> More To The US Than Tech Stocks</w:t>
      </w:r>
      <w:r>
        <w:rPr>
          <w:rFonts w:ascii="Open Sans" w:eastAsia="Open Sans" w:hAnsi="Open Sans" w:cs="Open Sans"/>
          <w:color w:val="000000"/>
          <w:sz w:val="20"/>
          <w:szCs w:val="20"/>
          <w:highlight w:val="white"/>
        </w:rPr>
        <w:t>. [online] Available at: &lt;https://www.investments.lloydsbank.com/get-inspired/news/article/204788&gt; [Accessed 09 August 2020].</w:t>
      </w:r>
    </w:p>
    <w:p w14:paraId="00000008" w14:textId="77777777" w:rsidR="00EF286D" w:rsidRDefault="00EF286D"/>
    <w:sectPr w:rsidR="00EF286D" w:rsidSect="00BF0E8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3DA3F" w14:textId="77777777" w:rsidR="00382F68" w:rsidRDefault="00382F68" w:rsidP="0097426C">
      <w:pPr>
        <w:spacing w:after="0" w:line="240" w:lineRule="auto"/>
      </w:pPr>
      <w:r>
        <w:separator/>
      </w:r>
    </w:p>
  </w:endnote>
  <w:endnote w:type="continuationSeparator" w:id="0">
    <w:p w14:paraId="34B338A5" w14:textId="77777777" w:rsidR="00382F68" w:rsidRDefault="00382F68" w:rsidP="00974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Open Sans">
    <w:altName w:val="Segoe U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E3073" w14:textId="77777777" w:rsidR="0097426C" w:rsidRDefault="009742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0145741"/>
      <w:docPartObj>
        <w:docPartGallery w:val="Page Numbers (Bottom of Page)"/>
        <w:docPartUnique/>
      </w:docPartObj>
    </w:sdtPr>
    <w:sdtEndPr>
      <w:rPr>
        <w:noProof/>
      </w:rPr>
    </w:sdtEndPr>
    <w:sdtContent>
      <w:p w14:paraId="466E544B" w14:textId="756DCF2D" w:rsidR="0097426C" w:rsidRDefault="009742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3BDC99" w14:textId="77777777" w:rsidR="0097426C" w:rsidRDefault="009742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F1F16" w14:textId="77777777" w:rsidR="0097426C" w:rsidRDefault="009742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05BA9" w14:textId="77777777" w:rsidR="00382F68" w:rsidRDefault="00382F68" w:rsidP="0097426C">
      <w:pPr>
        <w:spacing w:after="0" w:line="240" w:lineRule="auto"/>
      </w:pPr>
      <w:r>
        <w:separator/>
      </w:r>
    </w:p>
  </w:footnote>
  <w:footnote w:type="continuationSeparator" w:id="0">
    <w:p w14:paraId="75CF3D43" w14:textId="77777777" w:rsidR="00382F68" w:rsidRDefault="00382F68" w:rsidP="009742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93CB3" w14:textId="77777777" w:rsidR="0097426C" w:rsidRDefault="009742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468E4" w14:textId="77777777" w:rsidR="0097426C" w:rsidRDefault="009742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AF876" w14:textId="77777777" w:rsidR="0097426C" w:rsidRDefault="009742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DD0BE9"/>
    <w:multiLevelType w:val="hybridMultilevel"/>
    <w:tmpl w:val="3782F73A"/>
    <w:lvl w:ilvl="0" w:tplc="289EB602">
      <w:start w:val="1"/>
      <w:numFmt w:val="bullet"/>
      <w:lvlText w:val=""/>
      <w:lvlJc w:val="left"/>
      <w:pPr>
        <w:tabs>
          <w:tab w:val="num" w:pos="720"/>
        </w:tabs>
        <w:ind w:left="720" w:hanging="360"/>
      </w:pPr>
      <w:rPr>
        <w:rFonts w:ascii="Symbol" w:hAnsi="Symbol" w:hint="default"/>
      </w:rPr>
    </w:lvl>
    <w:lvl w:ilvl="1" w:tplc="0CEABF08" w:tentative="1">
      <w:start w:val="1"/>
      <w:numFmt w:val="bullet"/>
      <w:lvlText w:val=""/>
      <w:lvlJc w:val="left"/>
      <w:pPr>
        <w:tabs>
          <w:tab w:val="num" w:pos="1440"/>
        </w:tabs>
        <w:ind w:left="1440" w:hanging="360"/>
      </w:pPr>
      <w:rPr>
        <w:rFonts w:ascii="Symbol" w:hAnsi="Symbol" w:hint="default"/>
      </w:rPr>
    </w:lvl>
    <w:lvl w:ilvl="2" w:tplc="3C5AD55A" w:tentative="1">
      <w:start w:val="1"/>
      <w:numFmt w:val="bullet"/>
      <w:lvlText w:val=""/>
      <w:lvlJc w:val="left"/>
      <w:pPr>
        <w:tabs>
          <w:tab w:val="num" w:pos="2160"/>
        </w:tabs>
        <w:ind w:left="2160" w:hanging="360"/>
      </w:pPr>
      <w:rPr>
        <w:rFonts w:ascii="Symbol" w:hAnsi="Symbol" w:hint="default"/>
      </w:rPr>
    </w:lvl>
    <w:lvl w:ilvl="3" w:tplc="720221DE" w:tentative="1">
      <w:start w:val="1"/>
      <w:numFmt w:val="bullet"/>
      <w:lvlText w:val=""/>
      <w:lvlJc w:val="left"/>
      <w:pPr>
        <w:tabs>
          <w:tab w:val="num" w:pos="2880"/>
        </w:tabs>
        <w:ind w:left="2880" w:hanging="360"/>
      </w:pPr>
      <w:rPr>
        <w:rFonts w:ascii="Symbol" w:hAnsi="Symbol" w:hint="default"/>
      </w:rPr>
    </w:lvl>
    <w:lvl w:ilvl="4" w:tplc="B29A2E1A" w:tentative="1">
      <w:start w:val="1"/>
      <w:numFmt w:val="bullet"/>
      <w:lvlText w:val=""/>
      <w:lvlJc w:val="left"/>
      <w:pPr>
        <w:tabs>
          <w:tab w:val="num" w:pos="3600"/>
        </w:tabs>
        <w:ind w:left="3600" w:hanging="360"/>
      </w:pPr>
      <w:rPr>
        <w:rFonts w:ascii="Symbol" w:hAnsi="Symbol" w:hint="default"/>
      </w:rPr>
    </w:lvl>
    <w:lvl w:ilvl="5" w:tplc="E56CF9A4" w:tentative="1">
      <w:start w:val="1"/>
      <w:numFmt w:val="bullet"/>
      <w:lvlText w:val=""/>
      <w:lvlJc w:val="left"/>
      <w:pPr>
        <w:tabs>
          <w:tab w:val="num" w:pos="4320"/>
        </w:tabs>
        <w:ind w:left="4320" w:hanging="360"/>
      </w:pPr>
      <w:rPr>
        <w:rFonts w:ascii="Symbol" w:hAnsi="Symbol" w:hint="default"/>
      </w:rPr>
    </w:lvl>
    <w:lvl w:ilvl="6" w:tplc="90E66810" w:tentative="1">
      <w:start w:val="1"/>
      <w:numFmt w:val="bullet"/>
      <w:lvlText w:val=""/>
      <w:lvlJc w:val="left"/>
      <w:pPr>
        <w:tabs>
          <w:tab w:val="num" w:pos="5040"/>
        </w:tabs>
        <w:ind w:left="5040" w:hanging="360"/>
      </w:pPr>
      <w:rPr>
        <w:rFonts w:ascii="Symbol" w:hAnsi="Symbol" w:hint="default"/>
      </w:rPr>
    </w:lvl>
    <w:lvl w:ilvl="7" w:tplc="B7E448AC" w:tentative="1">
      <w:start w:val="1"/>
      <w:numFmt w:val="bullet"/>
      <w:lvlText w:val=""/>
      <w:lvlJc w:val="left"/>
      <w:pPr>
        <w:tabs>
          <w:tab w:val="num" w:pos="5760"/>
        </w:tabs>
        <w:ind w:left="5760" w:hanging="360"/>
      </w:pPr>
      <w:rPr>
        <w:rFonts w:ascii="Symbol" w:hAnsi="Symbol" w:hint="default"/>
      </w:rPr>
    </w:lvl>
    <w:lvl w:ilvl="8" w:tplc="63563C4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BBF0485"/>
    <w:multiLevelType w:val="multilevel"/>
    <w:tmpl w:val="1F9855E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86D"/>
    <w:rsid w:val="00350D7A"/>
    <w:rsid w:val="00382F68"/>
    <w:rsid w:val="004629D1"/>
    <w:rsid w:val="0097426C"/>
    <w:rsid w:val="00BF0E8B"/>
    <w:rsid w:val="00E12B7A"/>
    <w:rsid w:val="00EF2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561B5A"/>
  <w15:docId w15:val="{4C7991B3-C592-477F-ACB5-D1A5C4B0B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4629D1"/>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350D7A"/>
    <w:pPr>
      <w:spacing w:after="0" w:line="240" w:lineRule="auto"/>
      <w:ind w:left="720"/>
      <w:contextualSpacing/>
    </w:pPr>
    <w:rPr>
      <w:rFonts w:ascii="Times New Roman" w:eastAsia="Times New Roman" w:hAnsi="Times New Roman" w:cs="Times New Roman"/>
      <w:sz w:val="24"/>
      <w:szCs w:val="24"/>
      <w:lang w:val="en-GB"/>
    </w:rPr>
  </w:style>
  <w:style w:type="character" w:styleId="LineNumber">
    <w:name w:val="line number"/>
    <w:basedOn w:val="DefaultParagraphFont"/>
    <w:uiPriority w:val="99"/>
    <w:semiHidden/>
    <w:unhideWhenUsed/>
    <w:rsid w:val="00BF0E8B"/>
  </w:style>
  <w:style w:type="paragraph" w:styleId="Header">
    <w:name w:val="header"/>
    <w:basedOn w:val="Normal"/>
    <w:link w:val="HeaderChar"/>
    <w:uiPriority w:val="99"/>
    <w:unhideWhenUsed/>
    <w:rsid w:val="009742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26C"/>
  </w:style>
  <w:style w:type="paragraph" w:styleId="Footer">
    <w:name w:val="footer"/>
    <w:basedOn w:val="Normal"/>
    <w:link w:val="FooterChar"/>
    <w:uiPriority w:val="99"/>
    <w:unhideWhenUsed/>
    <w:rsid w:val="009742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07869">
      <w:bodyDiv w:val="1"/>
      <w:marLeft w:val="0"/>
      <w:marRight w:val="0"/>
      <w:marTop w:val="0"/>
      <w:marBottom w:val="0"/>
      <w:divBdr>
        <w:top w:val="none" w:sz="0" w:space="0" w:color="auto"/>
        <w:left w:val="none" w:sz="0" w:space="0" w:color="auto"/>
        <w:bottom w:val="none" w:sz="0" w:space="0" w:color="auto"/>
        <w:right w:val="none" w:sz="0" w:space="0" w:color="auto"/>
      </w:divBdr>
    </w:div>
    <w:div w:id="149372423">
      <w:bodyDiv w:val="1"/>
      <w:marLeft w:val="0"/>
      <w:marRight w:val="0"/>
      <w:marTop w:val="0"/>
      <w:marBottom w:val="0"/>
      <w:divBdr>
        <w:top w:val="none" w:sz="0" w:space="0" w:color="auto"/>
        <w:left w:val="none" w:sz="0" w:space="0" w:color="auto"/>
        <w:bottom w:val="none" w:sz="0" w:space="0" w:color="auto"/>
        <w:right w:val="none" w:sz="0" w:space="0" w:color="auto"/>
      </w:divBdr>
    </w:div>
    <w:div w:id="216163152">
      <w:bodyDiv w:val="1"/>
      <w:marLeft w:val="0"/>
      <w:marRight w:val="0"/>
      <w:marTop w:val="0"/>
      <w:marBottom w:val="0"/>
      <w:divBdr>
        <w:top w:val="none" w:sz="0" w:space="0" w:color="auto"/>
        <w:left w:val="none" w:sz="0" w:space="0" w:color="auto"/>
        <w:bottom w:val="none" w:sz="0" w:space="0" w:color="auto"/>
        <w:right w:val="none" w:sz="0" w:space="0" w:color="auto"/>
      </w:divBdr>
    </w:div>
    <w:div w:id="218633732">
      <w:bodyDiv w:val="1"/>
      <w:marLeft w:val="0"/>
      <w:marRight w:val="0"/>
      <w:marTop w:val="0"/>
      <w:marBottom w:val="0"/>
      <w:divBdr>
        <w:top w:val="none" w:sz="0" w:space="0" w:color="auto"/>
        <w:left w:val="none" w:sz="0" w:space="0" w:color="auto"/>
        <w:bottom w:val="none" w:sz="0" w:space="0" w:color="auto"/>
        <w:right w:val="none" w:sz="0" w:space="0" w:color="auto"/>
      </w:divBdr>
    </w:div>
    <w:div w:id="348721569">
      <w:bodyDiv w:val="1"/>
      <w:marLeft w:val="0"/>
      <w:marRight w:val="0"/>
      <w:marTop w:val="0"/>
      <w:marBottom w:val="0"/>
      <w:divBdr>
        <w:top w:val="none" w:sz="0" w:space="0" w:color="auto"/>
        <w:left w:val="none" w:sz="0" w:space="0" w:color="auto"/>
        <w:bottom w:val="none" w:sz="0" w:space="0" w:color="auto"/>
        <w:right w:val="none" w:sz="0" w:space="0" w:color="auto"/>
      </w:divBdr>
      <w:divsChild>
        <w:div w:id="61683176">
          <w:marLeft w:val="547"/>
          <w:marRight w:val="0"/>
          <w:marTop w:val="96"/>
          <w:marBottom w:val="120"/>
          <w:divBdr>
            <w:top w:val="none" w:sz="0" w:space="0" w:color="auto"/>
            <w:left w:val="none" w:sz="0" w:space="0" w:color="auto"/>
            <w:bottom w:val="none" w:sz="0" w:space="0" w:color="auto"/>
            <w:right w:val="none" w:sz="0" w:space="0" w:color="auto"/>
          </w:divBdr>
        </w:div>
        <w:div w:id="1989438314">
          <w:marLeft w:val="547"/>
          <w:marRight w:val="0"/>
          <w:marTop w:val="96"/>
          <w:marBottom w:val="120"/>
          <w:divBdr>
            <w:top w:val="none" w:sz="0" w:space="0" w:color="auto"/>
            <w:left w:val="none" w:sz="0" w:space="0" w:color="auto"/>
            <w:bottom w:val="none" w:sz="0" w:space="0" w:color="auto"/>
            <w:right w:val="none" w:sz="0" w:space="0" w:color="auto"/>
          </w:divBdr>
        </w:div>
        <w:div w:id="848982258">
          <w:marLeft w:val="547"/>
          <w:marRight w:val="0"/>
          <w:marTop w:val="96"/>
          <w:marBottom w:val="120"/>
          <w:divBdr>
            <w:top w:val="none" w:sz="0" w:space="0" w:color="auto"/>
            <w:left w:val="none" w:sz="0" w:space="0" w:color="auto"/>
            <w:bottom w:val="none" w:sz="0" w:space="0" w:color="auto"/>
            <w:right w:val="none" w:sz="0" w:space="0" w:color="auto"/>
          </w:divBdr>
        </w:div>
        <w:div w:id="1347902421">
          <w:marLeft w:val="547"/>
          <w:marRight w:val="0"/>
          <w:marTop w:val="96"/>
          <w:marBottom w:val="160"/>
          <w:divBdr>
            <w:top w:val="none" w:sz="0" w:space="0" w:color="auto"/>
            <w:left w:val="none" w:sz="0" w:space="0" w:color="auto"/>
            <w:bottom w:val="none" w:sz="0" w:space="0" w:color="auto"/>
            <w:right w:val="none" w:sz="0" w:space="0" w:color="auto"/>
          </w:divBdr>
        </w:div>
      </w:divsChild>
    </w:div>
    <w:div w:id="482817015">
      <w:bodyDiv w:val="1"/>
      <w:marLeft w:val="0"/>
      <w:marRight w:val="0"/>
      <w:marTop w:val="0"/>
      <w:marBottom w:val="0"/>
      <w:divBdr>
        <w:top w:val="none" w:sz="0" w:space="0" w:color="auto"/>
        <w:left w:val="none" w:sz="0" w:space="0" w:color="auto"/>
        <w:bottom w:val="none" w:sz="0" w:space="0" w:color="auto"/>
        <w:right w:val="none" w:sz="0" w:space="0" w:color="auto"/>
      </w:divBdr>
    </w:div>
    <w:div w:id="591931513">
      <w:bodyDiv w:val="1"/>
      <w:marLeft w:val="0"/>
      <w:marRight w:val="0"/>
      <w:marTop w:val="0"/>
      <w:marBottom w:val="0"/>
      <w:divBdr>
        <w:top w:val="none" w:sz="0" w:space="0" w:color="auto"/>
        <w:left w:val="none" w:sz="0" w:space="0" w:color="auto"/>
        <w:bottom w:val="none" w:sz="0" w:space="0" w:color="auto"/>
        <w:right w:val="none" w:sz="0" w:space="0" w:color="auto"/>
      </w:divBdr>
    </w:div>
    <w:div w:id="1021202700">
      <w:bodyDiv w:val="1"/>
      <w:marLeft w:val="0"/>
      <w:marRight w:val="0"/>
      <w:marTop w:val="0"/>
      <w:marBottom w:val="0"/>
      <w:divBdr>
        <w:top w:val="none" w:sz="0" w:space="0" w:color="auto"/>
        <w:left w:val="none" w:sz="0" w:space="0" w:color="auto"/>
        <w:bottom w:val="none" w:sz="0" w:space="0" w:color="auto"/>
        <w:right w:val="none" w:sz="0" w:space="0" w:color="auto"/>
      </w:divBdr>
    </w:div>
    <w:div w:id="1048915011">
      <w:bodyDiv w:val="1"/>
      <w:marLeft w:val="0"/>
      <w:marRight w:val="0"/>
      <w:marTop w:val="0"/>
      <w:marBottom w:val="0"/>
      <w:divBdr>
        <w:top w:val="none" w:sz="0" w:space="0" w:color="auto"/>
        <w:left w:val="none" w:sz="0" w:space="0" w:color="auto"/>
        <w:bottom w:val="none" w:sz="0" w:space="0" w:color="auto"/>
        <w:right w:val="none" w:sz="0" w:space="0" w:color="auto"/>
      </w:divBdr>
    </w:div>
    <w:div w:id="1096318597">
      <w:bodyDiv w:val="1"/>
      <w:marLeft w:val="0"/>
      <w:marRight w:val="0"/>
      <w:marTop w:val="0"/>
      <w:marBottom w:val="0"/>
      <w:divBdr>
        <w:top w:val="none" w:sz="0" w:space="0" w:color="auto"/>
        <w:left w:val="none" w:sz="0" w:space="0" w:color="auto"/>
        <w:bottom w:val="none" w:sz="0" w:space="0" w:color="auto"/>
        <w:right w:val="none" w:sz="0" w:space="0" w:color="auto"/>
      </w:divBdr>
    </w:div>
    <w:div w:id="1132092173">
      <w:bodyDiv w:val="1"/>
      <w:marLeft w:val="0"/>
      <w:marRight w:val="0"/>
      <w:marTop w:val="0"/>
      <w:marBottom w:val="0"/>
      <w:divBdr>
        <w:top w:val="none" w:sz="0" w:space="0" w:color="auto"/>
        <w:left w:val="none" w:sz="0" w:space="0" w:color="auto"/>
        <w:bottom w:val="none" w:sz="0" w:space="0" w:color="auto"/>
        <w:right w:val="none" w:sz="0" w:space="0" w:color="auto"/>
      </w:divBdr>
    </w:div>
    <w:div w:id="1220632051">
      <w:bodyDiv w:val="1"/>
      <w:marLeft w:val="0"/>
      <w:marRight w:val="0"/>
      <w:marTop w:val="0"/>
      <w:marBottom w:val="0"/>
      <w:divBdr>
        <w:top w:val="none" w:sz="0" w:space="0" w:color="auto"/>
        <w:left w:val="none" w:sz="0" w:space="0" w:color="auto"/>
        <w:bottom w:val="none" w:sz="0" w:space="0" w:color="auto"/>
        <w:right w:val="none" w:sz="0" w:space="0" w:color="auto"/>
      </w:divBdr>
    </w:div>
    <w:div w:id="1648589735">
      <w:bodyDiv w:val="1"/>
      <w:marLeft w:val="0"/>
      <w:marRight w:val="0"/>
      <w:marTop w:val="0"/>
      <w:marBottom w:val="0"/>
      <w:divBdr>
        <w:top w:val="none" w:sz="0" w:space="0" w:color="auto"/>
        <w:left w:val="none" w:sz="0" w:space="0" w:color="auto"/>
        <w:bottom w:val="none" w:sz="0" w:space="0" w:color="auto"/>
        <w:right w:val="none" w:sz="0" w:space="0" w:color="auto"/>
      </w:divBdr>
    </w:div>
    <w:div w:id="1738747414">
      <w:bodyDiv w:val="1"/>
      <w:marLeft w:val="0"/>
      <w:marRight w:val="0"/>
      <w:marTop w:val="0"/>
      <w:marBottom w:val="0"/>
      <w:divBdr>
        <w:top w:val="none" w:sz="0" w:space="0" w:color="auto"/>
        <w:left w:val="none" w:sz="0" w:space="0" w:color="auto"/>
        <w:bottom w:val="none" w:sz="0" w:space="0" w:color="auto"/>
        <w:right w:val="none" w:sz="0" w:space="0" w:color="auto"/>
      </w:divBdr>
    </w:div>
    <w:div w:id="1741712761">
      <w:bodyDiv w:val="1"/>
      <w:marLeft w:val="0"/>
      <w:marRight w:val="0"/>
      <w:marTop w:val="0"/>
      <w:marBottom w:val="0"/>
      <w:divBdr>
        <w:top w:val="none" w:sz="0" w:space="0" w:color="auto"/>
        <w:left w:val="none" w:sz="0" w:space="0" w:color="auto"/>
        <w:bottom w:val="none" w:sz="0" w:space="0" w:color="auto"/>
        <w:right w:val="none" w:sz="0" w:space="0" w:color="auto"/>
      </w:divBdr>
    </w:div>
    <w:div w:id="1748991410">
      <w:bodyDiv w:val="1"/>
      <w:marLeft w:val="0"/>
      <w:marRight w:val="0"/>
      <w:marTop w:val="0"/>
      <w:marBottom w:val="0"/>
      <w:divBdr>
        <w:top w:val="none" w:sz="0" w:space="0" w:color="auto"/>
        <w:left w:val="none" w:sz="0" w:space="0" w:color="auto"/>
        <w:bottom w:val="none" w:sz="0" w:space="0" w:color="auto"/>
        <w:right w:val="none" w:sz="0" w:space="0" w:color="auto"/>
      </w:divBdr>
    </w:div>
    <w:div w:id="1786653054">
      <w:bodyDiv w:val="1"/>
      <w:marLeft w:val="0"/>
      <w:marRight w:val="0"/>
      <w:marTop w:val="0"/>
      <w:marBottom w:val="0"/>
      <w:divBdr>
        <w:top w:val="none" w:sz="0" w:space="0" w:color="auto"/>
        <w:left w:val="none" w:sz="0" w:space="0" w:color="auto"/>
        <w:bottom w:val="none" w:sz="0" w:space="0" w:color="auto"/>
        <w:right w:val="none" w:sz="0" w:space="0" w:color="auto"/>
      </w:divBdr>
    </w:div>
    <w:div w:id="1917934245">
      <w:bodyDiv w:val="1"/>
      <w:marLeft w:val="0"/>
      <w:marRight w:val="0"/>
      <w:marTop w:val="0"/>
      <w:marBottom w:val="0"/>
      <w:divBdr>
        <w:top w:val="none" w:sz="0" w:space="0" w:color="auto"/>
        <w:left w:val="none" w:sz="0" w:space="0" w:color="auto"/>
        <w:bottom w:val="none" w:sz="0" w:space="0" w:color="auto"/>
        <w:right w:val="none" w:sz="0" w:space="0" w:color="auto"/>
      </w:divBdr>
    </w:div>
    <w:div w:id="1971548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3E3A-80A8-4588-8AAE-68BEA6079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21</Pages>
  <Words>1594</Words>
  <Characters>9087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Maria</cp:lastModifiedBy>
  <cp:revision>2</cp:revision>
  <dcterms:created xsi:type="dcterms:W3CDTF">2020-09-03T18:49:00Z</dcterms:created>
  <dcterms:modified xsi:type="dcterms:W3CDTF">2020-09-03T20:17:00Z</dcterms:modified>
</cp:coreProperties>
</file>