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6FD392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34310">
        <w:rPr>
          <w:rFonts w:asciiTheme="minorBidi" w:hAnsiTheme="minorBidi"/>
          <w:sz w:val="28"/>
          <w:szCs w:val="28"/>
        </w:rPr>
        <w:t>Nasreen Begum</w:t>
      </w:r>
    </w:p>
    <w:p w14:paraId="485B6F49" w14:textId="2C2A730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34310">
        <w:rPr>
          <w:rFonts w:asciiTheme="minorBidi" w:hAnsiTheme="minorBidi"/>
          <w:sz w:val="28"/>
          <w:szCs w:val="28"/>
        </w:rPr>
        <w:t>2008171</w:t>
      </w:r>
    </w:p>
    <w:p w14:paraId="3C1E7A20" w14:textId="0CE728D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A2691">
        <w:rPr>
          <w:rFonts w:asciiTheme="minorBidi" w:hAnsiTheme="minorBidi"/>
          <w:sz w:val="28"/>
          <w:szCs w:val="28"/>
        </w:rPr>
        <w:t>LCHS4001_LON</w:t>
      </w:r>
    </w:p>
    <w:p w14:paraId="4EEB2DA3" w14:textId="5880320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A2691">
        <w:rPr>
          <w:rFonts w:asciiTheme="minorBidi" w:hAnsiTheme="minorBidi"/>
          <w:sz w:val="28"/>
          <w:szCs w:val="28"/>
        </w:rPr>
        <w:t>Academic and Employability skills</w:t>
      </w:r>
    </w:p>
    <w:p w14:paraId="112342CB" w14:textId="4FF04C8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A2691">
        <w:rPr>
          <w:rFonts w:asciiTheme="minorBidi" w:hAnsiTheme="minorBidi"/>
          <w:sz w:val="28"/>
          <w:szCs w:val="28"/>
        </w:rPr>
        <w:t>Natalia Dozie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61F292F3" w14:textId="77777777" w:rsidR="001A2691" w:rsidRDefault="001A2691" w:rsidP="00ED5964">
      <w:pPr>
        <w:jc w:val="both"/>
        <w:rPr>
          <w:rFonts w:asciiTheme="minorBidi" w:hAnsiTheme="minorBidi"/>
          <w:sz w:val="28"/>
          <w:szCs w:val="28"/>
        </w:rPr>
      </w:pPr>
    </w:p>
    <w:p w14:paraId="072506E1" w14:textId="2569ABDA"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p w14:paraId="776BE301" w14:textId="77777777" w:rsidR="00A34310" w:rsidRPr="00A34310" w:rsidRDefault="00A34310" w:rsidP="00A34310">
      <w:pPr>
        <w:jc w:val="both"/>
        <w:rPr>
          <w:rFonts w:asciiTheme="minorHAnsi" w:hAnsiTheme="minorHAnsi" w:cstheme="minorHAnsi"/>
          <w:b/>
          <w:bCs/>
          <w:sz w:val="28"/>
          <w:szCs w:val="28"/>
        </w:rPr>
      </w:pPr>
      <w:r w:rsidRPr="00A34310">
        <w:rPr>
          <w:rFonts w:asciiTheme="minorHAnsi" w:hAnsiTheme="minorHAnsi" w:cstheme="minorHAnsi"/>
          <w:b/>
          <w:bCs/>
          <w:sz w:val="28"/>
          <w:szCs w:val="28"/>
        </w:rPr>
        <w:lastRenderedPageBreak/>
        <w:t>Table of Contents</w:t>
      </w:r>
    </w:p>
    <w:p w14:paraId="00F09FBE" w14:textId="77777777" w:rsidR="00A34310" w:rsidRPr="00A34310" w:rsidRDefault="00A34310" w:rsidP="00A34310">
      <w:pPr>
        <w:jc w:val="both"/>
        <w:rPr>
          <w:rFonts w:asciiTheme="minorHAnsi" w:hAnsiTheme="minorHAnsi" w:cstheme="minorHAnsi"/>
          <w:sz w:val="28"/>
          <w:szCs w:val="28"/>
        </w:rPr>
      </w:pPr>
    </w:p>
    <w:p w14:paraId="2A2CF199"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1.1 Introduction ............................................................................. 2</w:t>
      </w:r>
    </w:p>
    <w:p w14:paraId="193D4F8E"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2 Mental Health Care Worker in the Health and Social Care Field .......... 2</w:t>
      </w:r>
    </w:p>
    <w:p w14:paraId="6021B8D0"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2.1 Description of the Mental Health Care Worker in Health and Social Care ............................................................................. 2</w:t>
      </w:r>
    </w:p>
    <w:p w14:paraId="08BBEAEE"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2.2 Explanation of Most Significant Skills Needed for a Mental Health Care Worker ............................................................................. 3</w:t>
      </w:r>
    </w:p>
    <w:p w14:paraId="2C3062B6"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3 Strategies for Skill Improvement for the Mental Health Care Worker .... 4</w:t>
      </w:r>
    </w:p>
    <w:p w14:paraId="5747A713"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3.1 Three Strategies to Improve the Skills for the Mental Health Care Worker ............................................................................. 4</w:t>
      </w:r>
    </w:p>
    <w:p w14:paraId="72E15E43"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4 Conclusion ............................................................................. 5</w:t>
      </w:r>
    </w:p>
    <w:p w14:paraId="4AEA32CA" w14:textId="77777777" w:rsidR="00A34310" w:rsidRPr="00A34310" w:rsidRDefault="00A34310" w:rsidP="00A34310">
      <w:pPr>
        <w:jc w:val="both"/>
        <w:rPr>
          <w:rFonts w:asciiTheme="minorBidi" w:hAnsiTheme="minorBidi"/>
          <w:b/>
          <w:bCs/>
          <w:sz w:val="28"/>
          <w:szCs w:val="28"/>
        </w:rPr>
      </w:pPr>
      <w:r w:rsidRPr="00A34310">
        <w:rPr>
          <w:rFonts w:asciiTheme="minorHAnsi" w:hAnsiTheme="minorHAnsi" w:cstheme="minorHAnsi"/>
          <w:sz w:val="28"/>
          <w:szCs w:val="28"/>
        </w:rPr>
        <w:t>5 Reference List .............................................................................</w:t>
      </w:r>
      <w:r w:rsidRPr="00A34310">
        <w:rPr>
          <w:rFonts w:asciiTheme="minorBidi" w:hAnsiTheme="minorBidi"/>
          <w:b/>
          <w:bCs/>
          <w:sz w:val="28"/>
          <w:szCs w:val="28"/>
        </w:rPr>
        <w:t xml:space="preserve"> 6</w:t>
      </w:r>
    </w:p>
    <w:p w14:paraId="15AB525E" w14:textId="77777777" w:rsidR="00A34310" w:rsidRPr="00A34310" w:rsidRDefault="00A34310" w:rsidP="00A34310">
      <w:pPr>
        <w:jc w:val="both"/>
        <w:rPr>
          <w:rFonts w:asciiTheme="minorBidi" w:hAnsiTheme="minorBidi"/>
          <w:b/>
          <w:bCs/>
          <w:sz w:val="28"/>
          <w:szCs w:val="28"/>
        </w:rPr>
      </w:pPr>
    </w:p>
    <w:p w14:paraId="68839199" w14:textId="77777777" w:rsidR="00A34310" w:rsidRPr="00A34310" w:rsidRDefault="00A34310" w:rsidP="00A34310">
      <w:pPr>
        <w:jc w:val="both"/>
        <w:rPr>
          <w:rFonts w:asciiTheme="minorHAnsi" w:hAnsiTheme="minorHAnsi" w:cstheme="minorHAnsi"/>
          <w:b/>
          <w:bCs/>
          <w:sz w:val="28"/>
          <w:szCs w:val="28"/>
        </w:rPr>
      </w:pPr>
      <w:r w:rsidRPr="00A34310">
        <w:rPr>
          <w:rFonts w:asciiTheme="minorHAnsi" w:hAnsiTheme="minorHAnsi" w:cstheme="minorHAnsi"/>
          <w:b/>
          <w:bCs/>
          <w:sz w:val="28"/>
          <w:szCs w:val="28"/>
        </w:rPr>
        <w:t>1.1 Introduction</w:t>
      </w:r>
    </w:p>
    <w:p w14:paraId="1A75964B" w14:textId="77777777" w:rsidR="00A34310" w:rsidRPr="00A34310" w:rsidRDefault="00A34310" w:rsidP="00A34310">
      <w:pPr>
        <w:jc w:val="both"/>
        <w:rPr>
          <w:rFonts w:asciiTheme="minorHAnsi" w:hAnsiTheme="minorHAnsi" w:cstheme="minorHAnsi"/>
          <w:sz w:val="28"/>
          <w:szCs w:val="28"/>
        </w:rPr>
      </w:pPr>
    </w:p>
    <w:p w14:paraId="2C136A74"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Roles within health and social care are central to ensuring individuals receive safe, effective, and compassionate support across the United Kingdom. Mental health services are particularly vital given the rising prevalence of mental health conditions and increased public awareness of wellbeing. Mental Health Care Workers provide day-to-day practical and emotional support to individuals experiencing mental health difficulties, assisting with daily routines, engagement with treatment, and coping strategies. This report explores the role of the Mental Health Care Worker within the UK system, examining key responsibilities, essential skills, and strategies for skill development. It concludes by emphasising the critical contribution of skilled Mental Health Care Workers in delivering high-quality, person-centred care.</w:t>
      </w:r>
    </w:p>
    <w:p w14:paraId="7FE7A83F" w14:textId="77777777" w:rsidR="00A34310" w:rsidRPr="00A34310" w:rsidRDefault="00A34310" w:rsidP="00A34310">
      <w:pPr>
        <w:jc w:val="both"/>
        <w:rPr>
          <w:rFonts w:asciiTheme="minorHAnsi" w:hAnsiTheme="minorHAnsi" w:cstheme="minorHAnsi"/>
          <w:sz w:val="28"/>
          <w:szCs w:val="28"/>
        </w:rPr>
      </w:pPr>
    </w:p>
    <w:p w14:paraId="752E7D5B" w14:textId="77777777" w:rsidR="00A34310" w:rsidRPr="00A34310" w:rsidRDefault="00A34310" w:rsidP="00A34310">
      <w:pPr>
        <w:jc w:val="both"/>
        <w:rPr>
          <w:rFonts w:asciiTheme="minorHAnsi" w:hAnsiTheme="minorHAnsi" w:cstheme="minorHAnsi"/>
          <w:b/>
          <w:bCs/>
          <w:sz w:val="28"/>
          <w:szCs w:val="28"/>
        </w:rPr>
      </w:pPr>
      <w:r w:rsidRPr="00A34310">
        <w:rPr>
          <w:rFonts w:asciiTheme="minorHAnsi" w:hAnsiTheme="minorHAnsi" w:cstheme="minorHAnsi"/>
          <w:b/>
          <w:bCs/>
          <w:sz w:val="28"/>
          <w:szCs w:val="28"/>
        </w:rPr>
        <w:t>2 Mental Health Care Worker in the Health and Social Care Field</w:t>
      </w:r>
    </w:p>
    <w:p w14:paraId="138C11A9" w14:textId="77777777" w:rsidR="00A34310" w:rsidRPr="00A34310" w:rsidRDefault="00A34310" w:rsidP="00A34310">
      <w:pPr>
        <w:jc w:val="both"/>
        <w:rPr>
          <w:rFonts w:asciiTheme="minorHAnsi" w:hAnsiTheme="minorHAnsi" w:cstheme="minorHAnsi"/>
          <w:b/>
          <w:bCs/>
          <w:sz w:val="28"/>
          <w:szCs w:val="28"/>
        </w:rPr>
      </w:pPr>
      <w:r w:rsidRPr="00A34310">
        <w:rPr>
          <w:rFonts w:asciiTheme="minorHAnsi" w:hAnsiTheme="minorHAnsi" w:cstheme="minorHAnsi"/>
          <w:b/>
          <w:bCs/>
          <w:sz w:val="28"/>
          <w:szCs w:val="28"/>
        </w:rPr>
        <w:t>2.1 Description of the Mental Health Care Worker in Health and Social Care</w:t>
      </w:r>
    </w:p>
    <w:p w14:paraId="7F8E2EC6" w14:textId="77777777" w:rsidR="00A34310" w:rsidRPr="00A34310" w:rsidRDefault="00A34310" w:rsidP="00A34310">
      <w:pPr>
        <w:jc w:val="both"/>
        <w:rPr>
          <w:rFonts w:asciiTheme="minorHAnsi" w:hAnsiTheme="minorHAnsi" w:cstheme="minorHAnsi"/>
          <w:sz w:val="28"/>
          <w:szCs w:val="28"/>
        </w:rPr>
      </w:pPr>
    </w:p>
    <w:p w14:paraId="0CA54C7B"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Mental Health Care Workers are vital within UK health and social care services, operating in NHS hospitals, community mental health teams, supported living services, and residential care environments. The role primarily supports individuals with mental health conditions such as anxiety, depression, bipolar disorder, and schizophrenia. Workers assist service users with daily living activities, monitor emotional wellbeing, encourage engagement with treatment plans, and promote independence and dignity (NHS England, 2023).</w:t>
      </w:r>
    </w:p>
    <w:p w14:paraId="3C73C98D" w14:textId="77777777" w:rsidR="00A34310" w:rsidRPr="00A34310" w:rsidRDefault="00A34310" w:rsidP="00A34310">
      <w:pPr>
        <w:jc w:val="both"/>
        <w:rPr>
          <w:rFonts w:asciiTheme="minorHAnsi" w:hAnsiTheme="minorHAnsi" w:cstheme="minorHAnsi"/>
          <w:sz w:val="28"/>
          <w:szCs w:val="28"/>
        </w:rPr>
      </w:pPr>
    </w:p>
    <w:p w14:paraId="4107E8E9"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The significance of this role lies in providing continuous support for individuals who may be vulnerable or experiencing emotional distress. Duties include observing changes in behaviour, supporting medication routines, assisting with day-to-day tasks, and encouraging positive coping strategies. Collaboration with nurses, social workers, and other professionals ensures that observations inform care planning effectively. Strong communication, emotional awareness, and composure in challenging situations are essential for this role. Safeguarding responsibilities are particularly critical when supporting individuals at risk (Rethink Mental Illness, 2023).</w:t>
      </w:r>
    </w:p>
    <w:p w14:paraId="677EFF72" w14:textId="77777777" w:rsidR="00A34310" w:rsidRPr="00A34310" w:rsidRDefault="00A34310" w:rsidP="00A34310">
      <w:pPr>
        <w:jc w:val="both"/>
        <w:rPr>
          <w:rFonts w:asciiTheme="minorHAnsi" w:hAnsiTheme="minorHAnsi" w:cstheme="minorHAnsi"/>
          <w:sz w:val="28"/>
          <w:szCs w:val="28"/>
        </w:rPr>
      </w:pPr>
    </w:p>
    <w:p w14:paraId="0E1A993A" w14:textId="77777777" w:rsidR="00A34310" w:rsidRPr="00A34310" w:rsidRDefault="00A34310" w:rsidP="00A34310">
      <w:pPr>
        <w:jc w:val="both"/>
        <w:rPr>
          <w:rFonts w:asciiTheme="minorHAnsi" w:hAnsiTheme="minorHAnsi" w:cstheme="minorHAnsi"/>
          <w:b/>
          <w:bCs/>
          <w:sz w:val="28"/>
          <w:szCs w:val="28"/>
        </w:rPr>
      </w:pPr>
      <w:r w:rsidRPr="00A34310">
        <w:rPr>
          <w:rFonts w:asciiTheme="minorHAnsi" w:hAnsiTheme="minorHAnsi" w:cstheme="minorHAnsi"/>
          <w:sz w:val="28"/>
          <w:szCs w:val="28"/>
        </w:rPr>
        <w:t>2</w:t>
      </w:r>
      <w:r w:rsidRPr="00A34310">
        <w:rPr>
          <w:rFonts w:asciiTheme="minorHAnsi" w:hAnsiTheme="minorHAnsi" w:cstheme="minorHAnsi"/>
          <w:b/>
          <w:bCs/>
          <w:sz w:val="28"/>
          <w:szCs w:val="28"/>
        </w:rPr>
        <w:t>.2 Explanation of Most Significant Skills Needed for a Mental Health Care Worker</w:t>
      </w:r>
    </w:p>
    <w:p w14:paraId="2D74ED42" w14:textId="77777777" w:rsidR="00A34310" w:rsidRPr="00A34310" w:rsidRDefault="00A34310" w:rsidP="00A34310">
      <w:pPr>
        <w:jc w:val="both"/>
        <w:rPr>
          <w:rFonts w:asciiTheme="minorHAnsi" w:hAnsiTheme="minorHAnsi" w:cstheme="minorHAnsi"/>
          <w:sz w:val="28"/>
          <w:szCs w:val="28"/>
        </w:rPr>
      </w:pPr>
    </w:p>
    <w:p w14:paraId="79BED6BD"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Effective communication is crucial for Mental Health Care Workers as it fosters trust and ensures clear understanding between worker and service user. Communicating clearly and respectfully allows workers to explain care processes and respond appropriately to individual needs. For instance, using a calm tone and simple language when supporting someone experiencing anxiety can reduce distress and encourage cooperation. Research highlights that proficient communication enhances engagement and outcomes within UK mental health services (Lowther-Payne et al., 2023).</w:t>
      </w:r>
    </w:p>
    <w:p w14:paraId="294101BB" w14:textId="77777777" w:rsidR="00A34310" w:rsidRPr="00A34310" w:rsidRDefault="00A34310" w:rsidP="00A34310">
      <w:pPr>
        <w:jc w:val="both"/>
        <w:rPr>
          <w:rFonts w:asciiTheme="minorHAnsi" w:hAnsiTheme="minorHAnsi" w:cstheme="minorHAnsi"/>
          <w:sz w:val="28"/>
          <w:szCs w:val="28"/>
        </w:rPr>
      </w:pPr>
    </w:p>
    <w:p w14:paraId="3DEC1A28"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 xml:space="preserve">Empathy is equally essential, enabling Mental Health Care Workers to understand and respond to service users’ emotional experiences. Demonstrating empathy can reduce stigma and help individuals feel valued and supported. For </w:t>
      </w:r>
      <w:r w:rsidRPr="00A34310">
        <w:rPr>
          <w:rFonts w:asciiTheme="minorHAnsi" w:hAnsiTheme="minorHAnsi" w:cstheme="minorHAnsi"/>
          <w:sz w:val="28"/>
          <w:szCs w:val="28"/>
        </w:rPr>
        <w:lastRenderedPageBreak/>
        <w:t>example, recognising the impact of a mental health relapse can reassure service users and promote continued participation in treatment. Evidence indicates that empathetic approaches improve satisfaction, trust, and engagement in mental health care (Mind, 2022).</w:t>
      </w:r>
    </w:p>
    <w:p w14:paraId="25B4455A" w14:textId="77777777" w:rsidR="00A34310" w:rsidRPr="00A34310" w:rsidRDefault="00A34310" w:rsidP="00A34310">
      <w:pPr>
        <w:jc w:val="both"/>
        <w:rPr>
          <w:rFonts w:asciiTheme="minorHAnsi" w:hAnsiTheme="minorHAnsi" w:cstheme="minorHAnsi"/>
          <w:sz w:val="28"/>
          <w:szCs w:val="28"/>
        </w:rPr>
      </w:pPr>
    </w:p>
    <w:p w14:paraId="0FD558DA"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Emotional resilience is also a key skill due to the demanding nature of mental health work. Workers frequently support individuals during crises, self-harm episodes, or severe distress. Resilience allows them to manage stress, maintain professional conduct, and provide consistent support. Remaining composed during a crisis enables safe decision-making and effective collaboration with clinical teams. Studies suggest that emotionally resilient practitioners are better able to deliver high-quality care and prevent burnout (Lombardo et al., 2023).</w:t>
      </w:r>
    </w:p>
    <w:p w14:paraId="06BE5DCB" w14:textId="77777777" w:rsidR="00A34310" w:rsidRPr="00A34310" w:rsidRDefault="00A34310" w:rsidP="00A34310">
      <w:pPr>
        <w:jc w:val="both"/>
        <w:rPr>
          <w:rFonts w:asciiTheme="minorHAnsi" w:hAnsiTheme="minorHAnsi" w:cstheme="minorHAnsi"/>
          <w:sz w:val="28"/>
          <w:szCs w:val="28"/>
        </w:rPr>
      </w:pPr>
    </w:p>
    <w:p w14:paraId="5020E9DF"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When these skills are underdeveloped, the quality of care can be affected. Poor communication can lead to misunderstandings, limited empathy can reduce engagement, and low resilience increases the risk of burnout, compromising safety and effectiveness. This emphasises the need for ongoing professional development for Mental Health Care Workers (</w:t>
      </w:r>
      <w:proofErr w:type="spellStart"/>
      <w:r w:rsidRPr="00A34310">
        <w:rPr>
          <w:rFonts w:asciiTheme="minorHAnsi" w:hAnsiTheme="minorHAnsi" w:cstheme="minorHAnsi"/>
          <w:sz w:val="28"/>
          <w:szCs w:val="28"/>
        </w:rPr>
        <w:t>BJPsych</w:t>
      </w:r>
      <w:proofErr w:type="spellEnd"/>
      <w:r w:rsidRPr="00A34310">
        <w:rPr>
          <w:rFonts w:asciiTheme="minorHAnsi" w:hAnsiTheme="minorHAnsi" w:cstheme="minorHAnsi"/>
          <w:sz w:val="28"/>
          <w:szCs w:val="28"/>
        </w:rPr>
        <w:t xml:space="preserve"> Bulletin, 2023).</w:t>
      </w:r>
    </w:p>
    <w:p w14:paraId="77C8312C" w14:textId="77777777" w:rsidR="00A34310" w:rsidRPr="00A34310" w:rsidRDefault="00A34310" w:rsidP="00A34310">
      <w:pPr>
        <w:jc w:val="both"/>
        <w:rPr>
          <w:rFonts w:asciiTheme="minorHAnsi" w:hAnsiTheme="minorHAnsi" w:cstheme="minorHAnsi"/>
          <w:sz w:val="28"/>
          <w:szCs w:val="28"/>
        </w:rPr>
      </w:pPr>
    </w:p>
    <w:p w14:paraId="5613565A" w14:textId="77777777" w:rsidR="00A34310" w:rsidRPr="00A34310" w:rsidRDefault="00A34310" w:rsidP="00A34310">
      <w:pPr>
        <w:jc w:val="both"/>
        <w:rPr>
          <w:rFonts w:asciiTheme="minorHAnsi" w:hAnsiTheme="minorHAnsi" w:cstheme="minorHAnsi"/>
          <w:b/>
          <w:bCs/>
          <w:sz w:val="28"/>
          <w:szCs w:val="28"/>
        </w:rPr>
      </w:pPr>
      <w:r w:rsidRPr="00A34310">
        <w:rPr>
          <w:rFonts w:asciiTheme="minorHAnsi" w:hAnsiTheme="minorHAnsi" w:cstheme="minorHAnsi"/>
          <w:b/>
          <w:bCs/>
          <w:sz w:val="28"/>
          <w:szCs w:val="28"/>
        </w:rPr>
        <w:t>3 Strategies for Skill Improvement for the Mental Health Care Worker</w:t>
      </w:r>
    </w:p>
    <w:p w14:paraId="3EE48DCB" w14:textId="77777777" w:rsidR="00A34310" w:rsidRPr="00A34310" w:rsidRDefault="00A34310" w:rsidP="00A34310">
      <w:pPr>
        <w:jc w:val="both"/>
        <w:rPr>
          <w:rFonts w:asciiTheme="minorHAnsi" w:hAnsiTheme="minorHAnsi" w:cstheme="minorHAnsi"/>
          <w:b/>
          <w:bCs/>
          <w:sz w:val="28"/>
          <w:szCs w:val="28"/>
        </w:rPr>
      </w:pPr>
      <w:r w:rsidRPr="00A34310">
        <w:rPr>
          <w:rFonts w:asciiTheme="minorHAnsi" w:hAnsiTheme="minorHAnsi" w:cstheme="minorHAnsi"/>
          <w:b/>
          <w:bCs/>
          <w:sz w:val="28"/>
          <w:szCs w:val="28"/>
        </w:rPr>
        <w:t>3.1 Three Strategies to Improve the Skills for the Mental Health Care Worker</w:t>
      </w:r>
    </w:p>
    <w:p w14:paraId="61206914" w14:textId="77777777" w:rsidR="00A34310" w:rsidRPr="00A34310" w:rsidRDefault="00A34310" w:rsidP="00A34310">
      <w:pPr>
        <w:jc w:val="both"/>
        <w:rPr>
          <w:rFonts w:asciiTheme="minorHAnsi" w:hAnsiTheme="minorHAnsi" w:cstheme="minorHAnsi"/>
          <w:sz w:val="28"/>
          <w:szCs w:val="28"/>
        </w:rPr>
      </w:pPr>
    </w:p>
    <w:p w14:paraId="336C1748"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Communication can be enhanced through structured training in therapeutic communication and de-escalation techniques. NHS programmes offer practical scenarios and feedback, allowing workers to refine communication approaches for service users in distress. Evidence indicates that targeted communication training increases confidence and efficacy in mental health care settings (NHS England, 2023).</w:t>
      </w:r>
    </w:p>
    <w:p w14:paraId="54C5F807" w14:textId="77777777" w:rsidR="00A34310" w:rsidRPr="00A34310" w:rsidRDefault="00A34310" w:rsidP="00A34310">
      <w:pPr>
        <w:jc w:val="both"/>
        <w:rPr>
          <w:rFonts w:asciiTheme="minorHAnsi" w:hAnsiTheme="minorHAnsi" w:cstheme="minorHAnsi"/>
          <w:sz w:val="28"/>
          <w:szCs w:val="28"/>
        </w:rPr>
      </w:pPr>
    </w:p>
    <w:p w14:paraId="49C8FA56"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 xml:space="preserve">Empathy can be developed through reflective practice and supervision. Reflective practice encourages workers to evaluate their responses and consider alternative approaches, while supervision provides guidance in managing challenging situations. Discussing difficult interactions during supervision helps </w:t>
      </w:r>
      <w:r w:rsidRPr="00A34310">
        <w:rPr>
          <w:rFonts w:asciiTheme="minorHAnsi" w:hAnsiTheme="minorHAnsi" w:cstheme="minorHAnsi"/>
          <w:sz w:val="28"/>
          <w:szCs w:val="28"/>
        </w:rPr>
        <w:lastRenderedPageBreak/>
        <w:t>workers identify emotional cues and improve responses. Research confirms that reflective practice effectively strengthens empathetic skills in mental health care (Mind, 2022).</w:t>
      </w:r>
    </w:p>
    <w:p w14:paraId="3E388E42" w14:textId="77777777" w:rsidR="00A34310" w:rsidRPr="00A34310" w:rsidRDefault="00A34310" w:rsidP="00A34310">
      <w:pPr>
        <w:jc w:val="both"/>
        <w:rPr>
          <w:rFonts w:asciiTheme="minorHAnsi" w:hAnsiTheme="minorHAnsi" w:cstheme="minorHAnsi"/>
          <w:sz w:val="28"/>
          <w:szCs w:val="28"/>
        </w:rPr>
      </w:pPr>
    </w:p>
    <w:p w14:paraId="1AB64BBA"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Emotional resilience can be fostered through wellbeing initiatives and peer support. Access to staff wellbeing services, stress management workshops, and peer networks helps workers cope with emotional pressures. Organisations prioritising staff wellbeing report lower levels of burnout and higher retention rates. Studies demonstrate that resilience-building interventions contribute to sustainable performance and emotional wellbeing in mental health settings (Lombardo et al., 2023).</w:t>
      </w:r>
    </w:p>
    <w:p w14:paraId="5E83D890" w14:textId="77777777" w:rsidR="00A34310" w:rsidRPr="00A34310" w:rsidRDefault="00A34310" w:rsidP="00A34310">
      <w:pPr>
        <w:jc w:val="both"/>
        <w:rPr>
          <w:rFonts w:asciiTheme="minorHAnsi" w:hAnsiTheme="minorHAnsi" w:cstheme="minorHAnsi"/>
          <w:sz w:val="28"/>
          <w:szCs w:val="28"/>
        </w:rPr>
      </w:pPr>
    </w:p>
    <w:p w14:paraId="0317FCC9" w14:textId="77777777" w:rsidR="00A34310" w:rsidRPr="00A34310" w:rsidRDefault="00A34310" w:rsidP="00A34310">
      <w:pPr>
        <w:jc w:val="both"/>
        <w:rPr>
          <w:rFonts w:asciiTheme="minorHAnsi" w:hAnsiTheme="minorHAnsi" w:cstheme="minorHAnsi"/>
          <w:b/>
          <w:bCs/>
          <w:sz w:val="28"/>
          <w:szCs w:val="28"/>
        </w:rPr>
      </w:pPr>
      <w:r w:rsidRPr="00A34310">
        <w:rPr>
          <w:rFonts w:asciiTheme="minorHAnsi" w:hAnsiTheme="minorHAnsi" w:cstheme="minorHAnsi"/>
          <w:b/>
          <w:bCs/>
          <w:sz w:val="28"/>
          <w:szCs w:val="28"/>
        </w:rPr>
        <w:t>4 Conclusion</w:t>
      </w:r>
    </w:p>
    <w:p w14:paraId="4A4950C8" w14:textId="77777777" w:rsidR="00A34310" w:rsidRPr="00A34310" w:rsidRDefault="00A34310" w:rsidP="00A34310">
      <w:pPr>
        <w:jc w:val="both"/>
        <w:rPr>
          <w:rFonts w:asciiTheme="minorHAnsi" w:hAnsiTheme="minorHAnsi" w:cstheme="minorHAnsi"/>
          <w:sz w:val="28"/>
          <w:szCs w:val="28"/>
        </w:rPr>
      </w:pPr>
    </w:p>
    <w:p w14:paraId="79ACF779"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Mental Health Care Workers are central to supporting individuals experiencing mental health difficulties across the UK. This report has outlined the responsibilities of the role, the essential skills required, and strategies for skill development. Communication, empathy, and emotional resilience are vital for providing safe and effective care. Strengthening these skills through targeted training, reflective supervision, and wellbeing initiatives enhances service quality and user outcomes. Continued investment in skilled Mental Health Care Workers is crucial for effective, person-centred mental health provision.</w:t>
      </w:r>
    </w:p>
    <w:p w14:paraId="7B9EE699" w14:textId="77777777" w:rsidR="00A34310" w:rsidRPr="00A34310" w:rsidRDefault="00A34310" w:rsidP="00A34310">
      <w:pPr>
        <w:jc w:val="both"/>
        <w:rPr>
          <w:rFonts w:asciiTheme="minorHAnsi" w:hAnsiTheme="minorHAnsi" w:cstheme="minorHAnsi"/>
          <w:sz w:val="28"/>
          <w:szCs w:val="28"/>
        </w:rPr>
      </w:pPr>
    </w:p>
    <w:p w14:paraId="1A016F59" w14:textId="77777777" w:rsidR="00A34310" w:rsidRPr="00A34310" w:rsidRDefault="00A34310" w:rsidP="00A34310">
      <w:pPr>
        <w:jc w:val="both"/>
        <w:rPr>
          <w:rFonts w:asciiTheme="minorHAnsi" w:hAnsiTheme="minorHAnsi" w:cstheme="minorHAnsi"/>
          <w:b/>
          <w:bCs/>
          <w:sz w:val="28"/>
          <w:szCs w:val="28"/>
        </w:rPr>
      </w:pPr>
      <w:r w:rsidRPr="00A34310">
        <w:rPr>
          <w:rFonts w:asciiTheme="minorHAnsi" w:hAnsiTheme="minorHAnsi" w:cstheme="minorHAnsi"/>
          <w:b/>
          <w:bCs/>
          <w:sz w:val="28"/>
          <w:szCs w:val="28"/>
        </w:rPr>
        <w:t>5 Reference List</w:t>
      </w:r>
    </w:p>
    <w:p w14:paraId="1FB358B7" w14:textId="77777777" w:rsidR="00A34310" w:rsidRPr="00A34310" w:rsidRDefault="00A34310" w:rsidP="00A34310">
      <w:pPr>
        <w:jc w:val="both"/>
        <w:rPr>
          <w:rFonts w:asciiTheme="minorHAnsi" w:hAnsiTheme="minorHAnsi" w:cstheme="minorHAnsi"/>
          <w:sz w:val="28"/>
          <w:szCs w:val="28"/>
        </w:rPr>
      </w:pPr>
      <w:proofErr w:type="spellStart"/>
      <w:r w:rsidRPr="00A34310">
        <w:rPr>
          <w:rFonts w:asciiTheme="minorHAnsi" w:hAnsiTheme="minorHAnsi" w:cstheme="minorHAnsi"/>
          <w:sz w:val="28"/>
          <w:szCs w:val="28"/>
        </w:rPr>
        <w:t>BJPsych</w:t>
      </w:r>
      <w:proofErr w:type="spellEnd"/>
      <w:r w:rsidRPr="00A34310">
        <w:rPr>
          <w:rFonts w:asciiTheme="minorHAnsi" w:hAnsiTheme="minorHAnsi" w:cstheme="minorHAnsi"/>
          <w:sz w:val="28"/>
          <w:szCs w:val="28"/>
        </w:rPr>
        <w:t xml:space="preserve"> Bulletin (2023) ‘How can we overcome health inequalities in psychiatry?’, </w:t>
      </w:r>
      <w:proofErr w:type="spellStart"/>
      <w:r w:rsidRPr="00A34310">
        <w:rPr>
          <w:rFonts w:asciiTheme="minorHAnsi" w:hAnsiTheme="minorHAnsi" w:cstheme="minorHAnsi"/>
          <w:sz w:val="28"/>
          <w:szCs w:val="28"/>
        </w:rPr>
        <w:t>BJPsych</w:t>
      </w:r>
      <w:proofErr w:type="spellEnd"/>
      <w:r w:rsidRPr="00A34310">
        <w:rPr>
          <w:rFonts w:asciiTheme="minorHAnsi" w:hAnsiTheme="minorHAnsi" w:cstheme="minorHAnsi"/>
          <w:sz w:val="28"/>
          <w:szCs w:val="28"/>
        </w:rPr>
        <w:t xml:space="preserve"> Bulletin, 47(4), pp. 228–230.</w:t>
      </w:r>
    </w:p>
    <w:p w14:paraId="60F8E5BE"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 xml:space="preserve">Lombardo, C., Guo, L., Solomon, S., </w:t>
      </w:r>
      <w:proofErr w:type="spellStart"/>
      <w:r w:rsidRPr="00A34310">
        <w:rPr>
          <w:rFonts w:asciiTheme="minorHAnsi" w:hAnsiTheme="minorHAnsi" w:cstheme="minorHAnsi"/>
          <w:sz w:val="28"/>
          <w:szCs w:val="28"/>
        </w:rPr>
        <w:t>Crepaz</w:t>
      </w:r>
      <w:proofErr w:type="spellEnd"/>
      <w:r w:rsidRPr="00A34310">
        <w:rPr>
          <w:rFonts w:asciiTheme="minorHAnsi" w:hAnsiTheme="minorHAnsi" w:cstheme="minorHAnsi"/>
          <w:sz w:val="28"/>
          <w:szCs w:val="28"/>
        </w:rPr>
        <w:t xml:space="preserve">-Keay, D., McDaid, S., Thorpe, L., Martin, S., John, A., Morton, A., Davidson, G., </w:t>
      </w:r>
      <w:proofErr w:type="spellStart"/>
      <w:r w:rsidRPr="00A34310">
        <w:rPr>
          <w:rFonts w:asciiTheme="minorHAnsi" w:hAnsiTheme="minorHAnsi" w:cstheme="minorHAnsi"/>
          <w:sz w:val="28"/>
          <w:szCs w:val="28"/>
        </w:rPr>
        <w:t>Kousoulis</w:t>
      </w:r>
      <w:proofErr w:type="spellEnd"/>
      <w:r w:rsidRPr="00A34310">
        <w:rPr>
          <w:rFonts w:asciiTheme="minorHAnsi" w:hAnsiTheme="minorHAnsi" w:cstheme="minorHAnsi"/>
          <w:sz w:val="28"/>
          <w:szCs w:val="28"/>
        </w:rPr>
        <w:t>, A.A. and Van Bortel, T. (2023) ‘Inequalities and mental health during the Coronavirus pandemic in the UK: a mixed-methods exploration’, BMC Public Health, 23, 1830.</w:t>
      </w:r>
    </w:p>
    <w:p w14:paraId="5EEA1824"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Lowther-Payne, H.J., Ushakova, A., Beckwith, A., Liberty, C., Edge, R. and Lobban, F. (2023) ‘Understanding inequalities in access to adult mental health services in the UK: a systematic mapping review’, BMC Health Services Research, 23, 1042.</w:t>
      </w:r>
    </w:p>
    <w:p w14:paraId="681EE051"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lastRenderedPageBreak/>
        <w:t>Mind (2022) The state of mental health in England. London: Mind.</w:t>
      </w:r>
    </w:p>
    <w:p w14:paraId="56A6F0BC" w14:textId="77777777" w:rsidR="00A34310"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NHS England (2023) Mental health implementation plan 2023–2024. London: NHS England.</w:t>
      </w:r>
    </w:p>
    <w:p w14:paraId="1D0F2D59" w14:textId="18D7968F" w:rsidR="004552CE" w:rsidRPr="00A34310" w:rsidRDefault="00A34310" w:rsidP="00A34310">
      <w:pPr>
        <w:jc w:val="both"/>
        <w:rPr>
          <w:rFonts w:asciiTheme="minorHAnsi" w:hAnsiTheme="minorHAnsi" w:cstheme="minorHAnsi"/>
          <w:sz w:val="28"/>
          <w:szCs w:val="28"/>
        </w:rPr>
      </w:pPr>
      <w:r w:rsidRPr="00A34310">
        <w:rPr>
          <w:rFonts w:asciiTheme="minorHAnsi" w:hAnsiTheme="minorHAnsi" w:cstheme="minorHAnsi"/>
          <w:sz w:val="28"/>
          <w:szCs w:val="28"/>
        </w:rPr>
        <w:t>Rethink Mental Illness (2023) The lived experience of mental health services in the UK. London: Rethink Mental Illness.</w:t>
      </w:r>
    </w:p>
    <w:sectPr w:rsidR="004552CE" w:rsidRPr="00A34310"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7A1D3" w14:textId="77777777" w:rsidR="00CB4BAF" w:rsidRDefault="00CB4BAF" w:rsidP="003C7C97">
      <w:pPr>
        <w:spacing w:after="0" w:line="240" w:lineRule="auto"/>
      </w:pPr>
      <w:r>
        <w:separator/>
      </w:r>
    </w:p>
  </w:endnote>
  <w:endnote w:type="continuationSeparator" w:id="0">
    <w:p w14:paraId="43A030A8" w14:textId="77777777" w:rsidR="00CB4BAF" w:rsidRDefault="00CB4BA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249D66" w14:textId="77777777" w:rsidR="00CB4BAF" w:rsidRDefault="00CB4BAF" w:rsidP="003C7C97">
      <w:pPr>
        <w:spacing w:after="0" w:line="240" w:lineRule="auto"/>
      </w:pPr>
      <w:r>
        <w:separator/>
      </w:r>
    </w:p>
  </w:footnote>
  <w:footnote w:type="continuationSeparator" w:id="0">
    <w:p w14:paraId="27D49323" w14:textId="77777777" w:rsidR="00CB4BAF" w:rsidRDefault="00CB4BAF"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17F0AA08"/>
    <w:lvl w:ilvl="0" w:tplc="A26C80C0">
      <w:start w:val="1"/>
      <w:numFmt w:val="bullet"/>
      <w:lvlText w:val=""/>
      <w:lvlJc w:val="left"/>
      <w:pPr>
        <w:ind w:left="720" w:hanging="360"/>
      </w:pPr>
      <w:rPr>
        <w:rFonts w:ascii="Symbol" w:hAnsi="Symbol" w:hint="default"/>
      </w:rPr>
    </w:lvl>
    <w:lvl w:ilvl="1" w:tplc="E9620886">
      <w:start w:val="1"/>
      <w:numFmt w:val="bullet"/>
      <w:lvlText w:val="o"/>
      <w:lvlJc w:val="left"/>
      <w:pPr>
        <w:ind w:left="1440" w:hanging="360"/>
      </w:pPr>
      <w:rPr>
        <w:rFonts w:ascii="Courier New" w:hAnsi="Courier New" w:hint="default"/>
      </w:rPr>
    </w:lvl>
    <w:lvl w:ilvl="2" w:tplc="425C4E88">
      <w:start w:val="1"/>
      <w:numFmt w:val="bullet"/>
      <w:lvlText w:val=""/>
      <w:lvlJc w:val="left"/>
      <w:pPr>
        <w:ind w:left="2160" w:hanging="360"/>
      </w:pPr>
      <w:rPr>
        <w:rFonts w:ascii="Wingdings" w:hAnsi="Wingdings" w:hint="default"/>
      </w:rPr>
    </w:lvl>
    <w:lvl w:ilvl="3" w:tplc="18EC5BA6">
      <w:start w:val="1"/>
      <w:numFmt w:val="bullet"/>
      <w:lvlText w:val=""/>
      <w:lvlJc w:val="left"/>
      <w:pPr>
        <w:ind w:left="2880" w:hanging="360"/>
      </w:pPr>
      <w:rPr>
        <w:rFonts w:ascii="Symbol" w:hAnsi="Symbol" w:hint="default"/>
      </w:rPr>
    </w:lvl>
    <w:lvl w:ilvl="4" w:tplc="7DB63898">
      <w:start w:val="1"/>
      <w:numFmt w:val="bullet"/>
      <w:lvlText w:val="o"/>
      <w:lvlJc w:val="left"/>
      <w:pPr>
        <w:ind w:left="3600" w:hanging="360"/>
      </w:pPr>
      <w:rPr>
        <w:rFonts w:ascii="Courier New" w:hAnsi="Courier New" w:hint="default"/>
      </w:rPr>
    </w:lvl>
    <w:lvl w:ilvl="5" w:tplc="93A0E506">
      <w:start w:val="1"/>
      <w:numFmt w:val="bullet"/>
      <w:lvlText w:val=""/>
      <w:lvlJc w:val="left"/>
      <w:pPr>
        <w:ind w:left="4320" w:hanging="360"/>
      </w:pPr>
      <w:rPr>
        <w:rFonts w:ascii="Wingdings" w:hAnsi="Wingdings" w:hint="default"/>
      </w:rPr>
    </w:lvl>
    <w:lvl w:ilvl="6" w:tplc="D75ED430">
      <w:start w:val="1"/>
      <w:numFmt w:val="bullet"/>
      <w:lvlText w:val=""/>
      <w:lvlJc w:val="left"/>
      <w:pPr>
        <w:ind w:left="5040" w:hanging="360"/>
      </w:pPr>
      <w:rPr>
        <w:rFonts w:ascii="Symbol" w:hAnsi="Symbol" w:hint="default"/>
      </w:rPr>
    </w:lvl>
    <w:lvl w:ilvl="7" w:tplc="ED9635AE">
      <w:start w:val="1"/>
      <w:numFmt w:val="bullet"/>
      <w:lvlText w:val="o"/>
      <w:lvlJc w:val="left"/>
      <w:pPr>
        <w:ind w:left="5760" w:hanging="360"/>
      </w:pPr>
      <w:rPr>
        <w:rFonts w:ascii="Courier New" w:hAnsi="Courier New" w:hint="default"/>
      </w:rPr>
    </w:lvl>
    <w:lvl w:ilvl="8" w:tplc="C4DE10A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6B8EA476"/>
    <w:lvl w:ilvl="0" w:tplc="CD8AB2E0">
      <w:start w:val="1"/>
      <w:numFmt w:val="bullet"/>
      <w:lvlText w:val=""/>
      <w:lvlJc w:val="left"/>
      <w:pPr>
        <w:ind w:left="720" w:hanging="360"/>
      </w:pPr>
      <w:rPr>
        <w:rFonts w:ascii="Symbol" w:hAnsi="Symbol" w:hint="default"/>
      </w:rPr>
    </w:lvl>
    <w:lvl w:ilvl="1" w:tplc="C1069FE6">
      <w:start w:val="1"/>
      <w:numFmt w:val="bullet"/>
      <w:lvlText w:val="o"/>
      <w:lvlJc w:val="left"/>
      <w:pPr>
        <w:ind w:left="1440" w:hanging="360"/>
      </w:pPr>
      <w:rPr>
        <w:rFonts w:ascii="Courier New" w:hAnsi="Courier New" w:hint="default"/>
      </w:rPr>
    </w:lvl>
    <w:lvl w:ilvl="2" w:tplc="CE40FE2A">
      <w:start w:val="1"/>
      <w:numFmt w:val="bullet"/>
      <w:lvlText w:val=""/>
      <w:lvlJc w:val="left"/>
      <w:pPr>
        <w:ind w:left="2160" w:hanging="360"/>
      </w:pPr>
      <w:rPr>
        <w:rFonts w:ascii="Wingdings" w:hAnsi="Wingdings" w:hint="default"/>
      </w:rPr>
    </w:lvl>
    <w:lvl w:ilvl="3" w:tplc="58D092E8">
      <w:start w:val="1"/>
      <w:numFmt w:val="bullet"/>
      <w:lvlText w:val=""/>
      <w:lvlJc w:val="left"/>
      <w:pPr>
        <w:ind w:left="2880" w:hanging="360"/>
      </w:pPr>
      <w:rPr>
        <w:rFonts w:ascii="Symbol" w:hAnsi="Symbol" w:hint="default"/>
      </w:rPr>
    </w:lvl>
    <w:lvl w:ilvl="4" w:tplc="63DC7934">
      <w:start w:val="1"/>
      <w:numFmt w:val="bullet"/>
      <w:lvlText w:val="o"/>
      <w:lvlJc w:val="left"/>
      <w:pPr>
        <w:ind w:left="3600" w:hanging="360"/>
      </w:pPr>
      <w:rPr>
        <w:rFonts w:ascii="Courier New" w:hAnsi="Courier New" w:hint="default"/>
      </w:rPr>
    </w:lvl>
    <w:lvl w:ilvl="5" w:tplc="3F4838C4">
      <w:start w:val="1"/>
      <w:numFmt w:val="bullet"/>
      <w:lvlText w:val=""/>
      <w:lvlJc w:val="left"/>
      <w:pPr>
        <w:ind w:left="4320" w:hanging="360"/>
      </w:pPr>
      <w:rPr>
        <w:rFonts w:ascii="Wingdings" w:hAnsi="Wingdings" w:hint="default"/>
      </w:rPr>
    </w:lvl>
    <w:lvl w:ilvl="6" w:tplc="13D64048">
      <w:start w:val="1"/>
      <w:numFmt w:val="bullet"/>
      <w:lvlText w:val=""/>
      <w:lvlJc w:val="left"/>
      <w:pPr>
        <w:ind w:left="5040" w:hanging="360"/>
      </w:pPr>
      <w:rPr>
        <w:rFonts w:ascii="Symbol" w:hAnsi="Symbol" w:hint="default"/>
      </w:rPr>
    </w:lvl>
    <w:lvl w:ilvl="7" w:tplc="78C48710">
      <w:start w:val="1"/>
      <w:numFmt w:val="bullet"/>
      <w:lvlText w:val="o"/>
      <w:lvlJc w:val="left"/>
      <w:pPr>
        <w:ind w:left="5760" w:hanging="360"/>
      </w:pPr>
      <w:rPr>
        <w:rFonts w:ascii="Courier New" w:hAnsi="Courier New" w:hint="default"/>
      </w:rPr>
    </w:lvl>
    <w:lvl w:ilvl="8" w:tplc="0E10CB6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243454FC"/>
    <w:lvl w:ilvl="0" w:tplc="9A58B540">
      <w:start w:val="1"/>
      <w:numFmt w:val="bullet"/>
      <w:lvlText w:val=""/>
      <w:lvlJc w:val="left"/>
      <w:pPr>
        <w:ind w:left="720" w:hanging="360"/>
      </w:pPr>
      <w:rPr>
        <w:rFonts w:ascii="Symbol" w:hAnsi="Symbol" w:hint="default"/>
      </w:rPr>
    </w:lvl>
    <w:lvl w:ilvl="1" w:tplc="D624D9CE">
      <w:start w:val="1"/>
      <w:numFmt w:val="bullet"/>
      <w:lvlText w:val="o"/>
      <w:lvlJc w:val="left"/>
      <w:pPr>
        <w:ind w:left="1440" w:hanging="360"/>
      </w:pPr>
      <w:rPr>
        <w:rFonts w:ascii="Courier New" w:hAnsi="Courier New" w:hint="default"/>
      </w:rPr>
    </w:lvl>
    <w:lvl w:ilvl="2" w:tplc="4D8A26E8">
      <w:start w:val="1"/>
      <w:numFmt w:val="bullet"/>
      <w:lvlText w:val=""/>
      <w:lvlJc w:val="left"/>
      <w:pPr>
        <w:ind w:left="2160" w:hanging="360"/>
      </w:pPr>
      <w:rPr>
        <w:rFonts w:ascii="Wingdings" w:hAnsi="Wingdings" w:hint="default"/>
      </w:rPr>
    </w:lvl>
    <w:lvl w:ilvl="3" w:tplc="01461FAA">
      <w:start w:val="1"/>
      <w:numFmt w:val="bullet"/>
      <w:lvlText w:val=""/>
      <w:lvlJc w:val="left"/>
      <w:pPr>
        <w:ind w:left="2880" w:hanging="360"/>
      </w:pPr>
      <w:rPr>
        <w:rFonts w:ascii="Symbol" w:hAnsi="Symbol" w:hint="default"/>
      </w:rPr>
    </w:lvl>
    <w:lvl w:ilvl="4" w:tplc="022A7618">
      <w:start w:val="1"/>
      <w:numFmt w:val="bullet"/>
      <w:lvlText w:val="o"/>
      <w:lvlJc w:val="left"/>
      <w:pPr>
        <w:ind w:left="3600" w:hanging="360"/>
      </w:pPr>
      <w:rPr>
        <w:rFonts w:ascii="Courier New" w:hAnsi="Courier New" w:hint="default"/>
      </w:rPr>
    </w:lvl>
    <w:lvl w:ilvl="5" w:tplc="D226A906">
      <w:start w:val="1"/>
      <w:numFmt w:val="bullet"/>
      <w:lvlText w:val=""/>
      <w:lvlJc w:val="left"/>
      <w:pPr>
        <w:ind w:left="4320" w:hanging="360"/>
      </w:pPr>
      <w:rPr>
        <w:rFonts w:ascii="Wingdings" w:hAnsi="Wingdings" w:hint="default"/>
      </w:rPr>
    </w:lvl>
    <w:lvl w:ilvl="6" w:tplc="E99CA66E">
      <w:start w:val="1"/>
      <w:numFmt w:val="bullet"/>
      <w:lvlText w:val=""/>
      <w:lvlJc w:val="left"/>
      <w:pPr>
        <w:ind w:left="5040" w:hanging="360"/>
      </w:pPr>
      <w:rPr>
        <w:rFonts w:ascii="Symbol" w:hAnsi="Symbol" w:hint="default"/>
      </w:rPr>
    </w:lvl>
    <w:lvl w:ilvl="7" w:tplc="3B4A11C0">
      <w:start w:val="1"/>
      <w:numFmt w:val="bullet"/>
      <w:lvlText w:val="o"/>
      <w:lvlJc w:val="left"/>
      <w:pPr>
        <w:ind w:left="5760" w:hanging="360"/>
      </w:pPr>
      <w:rPr>
        <w:rFonts w:ascii="Courier New" w:hAnsi="Courier New" w:hint="default"/>
      </w:rPr>
    </w:lvl>
    <w:lvl w:ilvl="8" w:tplc="6EE48B8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7768590E"/>
    <w:lvl w:ilvl="0" w:tplc="C8505A3C">
      <w:start w:val="1"/>
      <w:numFmt w:val="bullet"/>
      <w:lvlText w:val=""/>
      <w:lvlJc w:val="left"/>
      <w:pPr>
        <w:ind w:left="720" w:hanging="360"/>
      </w:pPr>
      <w:rPr>
        <w:rFonts w:ascii="Symbol" w:hAnsi="Symbol" w:hint="default"/>
      </w:rPr>
    </w:lvl>
    <w:lvl w:ilvl="1" w:tplc="1F9623A4">
      <w:start w:val="1"/>
      <w:numFmt w:val="bullet"/>
      <w:lvlText w:val="o"/>
      <w:lvlJc w:val="left"/>
      <w:pPr>
        <w:ind w:left="1440" w:hanging="360"/>
      </w:pPr>
      <w:rPr>
        <w:rFonts w:ascii="Courier New" w:hAnsi="Courier New" w:hint="default"/>
      </w:rPr>
    </w:lvl>
    <w:lvl w:ilvl="2" w:tplc="A9885862">
      <w:start w:val="1"/>
      <w:numFmt w:val="bullet"/>
      <w:lvlText w:val=""/>
      <w:lvlJc w:val="left"/>
      <w:pPr>
        <w:ind w:left="2160" w:hanging="360"/>
      </w:pPr>
      <w:rPr>
        <w:rFonts w:ascii="Wingdings" w:hAnsi="Wingdings" w:hint="default"/>
      </w:rPr>
    </w:lvl>
    <w:lvl w:ilvl="3" w:tplc="1C58C1EA">
      <w:start w:val="1"/>
      <w:numFmt w:val="bullet"/>
      <w:lvlText w:val=""/>
      <w:lvlJc w:val="left"/>
      <w:pPr>
        <w:ind w:left="2880" w:hanging="360"/>
      </w:pPr>
      <w:rPr>
        <w:rFonts w:ascii="Symbol" w:hAnsi="Symbol" w:hint="default"/>
      </w:rPr>
    </w:lvl>
    <w:lvl w:ilvl="4" w:tplc="EAD2208E">
      <w:start w:val="1"/>
      <w:numFmt w:val="bullet"/>
      <w:lvlText w:val="o"/>
      <w:lvlJc w:val="left"/>
      <w:pPr>
        <w:ind w:left="3600" w:hanging="360"/>
      </w:pPr>
      <w:rPr>
        <w:rFonts w:ascii="Courier New" w:hAnsi="Courier New" w:hint="default"/>
      </w:rPr>
    </w:lvl>
    <w:lvl w:ilvl="5" w:tplc="5768A630">
      <w:start w:val="1"/>
      <w:numFmt w:val="bullet"/>
      <w:lvlText w:val=""/>
      <w:lvlJc w:val="left"/>
      <w:pPr>
        <w:ind w:left="4320" w:hanging="360"/>
      </w:pPr>
      <w:rPr>
        <w:rFonts w:ascii="Wingdings" w:hAnsi="Wingdings" w:hint="default"/>
      </w:rPr>
    </w:lvl>
    <w:lvl w:ilvl="6" w:tplc="04F8E460">
      <w:start w:val="1"/>
      <w:numFmt w:val="bullet"/>
      <w:lvlText w:val=""/>
      <w:lvlJc w:val="left"/>
      <w:pPr>
        <w:ind w:left="5040" w:hanging="360"/>
      </w:pPr>
      <w:rPr>
        <w:rFonts w:ascii="Symbol" w:hAnsi="Symbol" w:hint="default"/>
      </w:rPr>
    </w:lvl>
    <w:lvl w:ilvl="7" w:tplc="D10A2532">
      <w:start w:val="1"/>
      <w:numFmt w:val="bullet"/>
      <w:lvlText w:val="o"/>
      <w:lvlJc w:val="left"/>
      <w:pPr>
        <w:ind w:left="5760" w:hanging="360"/>
      </w:pPr>
      <w:rPr>
        <w:rFonts w:ascii="Courier New" w:hAnsi="Courier New" w:hint="default"/>
      </w:rPr>
    </w:lvl>
    <w:lvl w:ilvl="8" w:tplc="36223FE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013A6F40"/>
    <w:lvl w:ilvl="0" w:tplc="459605A4">
      <w:start w:val="1"/>
      <w:numFmt w:val="bullet"/>
      <w:lvlText w:val=""/>
      <w:lvlJc w:val="left"/>
      <w:pPr>
        <w:ind w:left="720" w:hanging="360"/>
      </w:pPr>
      <w:rPr>
        <w:rFonts w:ascii="Symbol" w:hAnsi="Symbol" w:hint="default"/>
      </w:rPr>
    </w:lvl>
    <w:lvl w:ilvl="1" w:tplc="E0583942">
      <w:start w:val="1"/>
      <w:numFmt w:val="bullet"/>
      <w:lvlText w:val="o"/>
      <w:lvlJc w:val="left"/>
      <w:pPr>
        <w:ind w:left="1440" w:hanging="360"/>
      </w:pPr>
      <w:rPr>
        <w:rFonts w:ascii="Courier New" w:hAnsi="Courier New" w:hint="default"/>
      </w:rPr>
    </w:lvl>
    <w:lvl w:ilvl="2" w:tplc="E7BA82F8">
      <w:start w:val="1"/>
      <w:numFmt w:val="bullet"/>
      <w:lvlText w:val=""/>
      <w:lvlJc w:val="left"/>
      <w:pPr>
        <w:ind w:left="2160" w:hanging="360"/>
      </w:pPr>
      <w:rPr>
        <w:rFonts w:ascii="Wingdings" w:hAnsi="Wingdings" w:hint="default"/>
      </w:rPr>
    </w:lvl>
    <w:lvl w:ilvl="3" w:tplc="06DCA090">
      <w:start w:val="1"/>
      <w:numFmt w:val="bullet"/>
      <w:lvlText w:val=""/>
      <w:lvlJc w:val="left"/>
      <w:pPr>
        <w:ind w:left="2880" w:hanging="360"/>
      </w:pPr>
      <w:rPr>
        <w:rFonts w:ascii="Symbol" w:hAnsi="Symbol" w:hint="default"/>
      </w:rPr>
    </w:lvl>
    <w:lvl w:ilvl="4" w:tplc="46A23828">
      <w:start w:val="1"/>
      <w:numFmt w:val="bullet"/>
      <w:lvlText w:val="o"/>
      <w:lvlJc w:val="left"/>
      <w:pPr>
        <w:ind w:left="3600" w:hanging="360"/>
      </w:pPr>
      <w:rPr>
        <w:rFonts w:ascii="Courier New" w:hAnsi="Courier New" w:hint="default"/>
      </w:rPr>
    </w:lvl>
    <w:lvl w:ilvl="5" w:tplc="D79CFFAA">
      <w:start w:val="1"/>
      <w:numFmt w:val="bullet"/>
      <w:lvlText w:val=""/>
      <w:lvlJc w:val="left"/>
      <w:pPr>
        <w:ind w:left="4320" w:hanging="360"/>
      </w:pPr>
      <w:rPr>
        <w:rFonts w:ascii="Wingdings" w:hAnsi="Wingdings" w:hint="default"/>
      </w:rPr>
    </w:lvl>
    <w:lvl w:ilvl="6" w:tplc="EB06D2E4">
      <w:start w:val="1"/>
      <w:numFmt w:val="bullet"/>
      <w:lvlText w:val=""/>
      <w:lvlJc w:val="left"/>
      <w:pPr>
        <w:ind w:left="5040" w:hanging="360"/>
      </w:pPr>
      <w:rPr>
        <w:rFonts w:ascii="Symbol" w:hAnsi="Symbol" w:hint="default"/>
      </w:rPr>
    </w:lvl>
    <w:lvl w:ilvl="7" w:tplc="18C0CD40">
      <w:start w:val="1"/>
      <w:numFmt w:val="bullet"/>
      <w:lvlText w:val="o"/>
      <w:lvlJc w:val="left"/>
      <w:pPr>
        <w:ind w:left="5760" w:hanging="360"/>
      </w:pPr>
      <w:rPr>
        <w:rFonts w:ascii="Courier New" w:hAnsi="Courier New" w:hint="default"/>
      </w:rPr>
    </w:lvl>
    <w:lvl w:ilvl="8" w:tplc="CAB4E20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1C1CDCB2"/>
    <w:lvl w:ilvl="0" w:tplc="2558F8B6">
      <w:start w:val="1"/>
      <w:numFmt w:val="bullet"/>
      <w:lvlText w:val=""/>
      <w:lvlJc w:val="left"/>
      <w:pPr>
        <w:ind w:left="720" w:hanging="360"/>
      </w:pPr>
      <w:rPr>
        <w:rFonts w:ascii="Symbol" w:hAnsi="Symbol" w:hint="default"/>
      </w:rPr>
    </w:lvl>
    <w:lvl w:ilvl="1" w:tplc="1A8A9F86">
      <w:start w:val="1"/>
      <w:numFmt w:val="bullet"/>
      <w:lvlText w:val="o"/>
      <w:lvlJc w:val="left"/>
      <w:pPr>
        <w:ind w:left="1440" w:hanging="360"/>
      </w:pPr>
      <w:rPr>
        <w:rFonts w:ascii="Courier New" w:hAnsi="Courier New" w:hint="default"/>
      </w:rPr>
    </w:lvl>
    <w:lvl w:ilvl="2" w:tplc="5E80E956">
      <w:start w:val="1"/>
      <w:numFmt w:val="bullet"/>
      <w:lvlText w:val=""/>
      <w:lvlJc w:val="left"/>
      <w:pPr>
        <w:ind w:left="2160" w:hanging="360"/>
      </w:pPr>
      <w:rPr>
        <w:rFonts w:ascii="Wingdings" w:hAnsi="Wingdings" w:hint="default"/>
      </w:rPr>
    </w:lvl>
    <w:lvl w:ilvl="3" w:tplc="1480F5BC">
      <w:start w:val="1"/>
      <w:numFmt w:val="bullet"/>
      <w:lvlText w:val=""/>
      <w:lvlJc w:val="left"/>
      <w:pPr>
        <w:ind w:left="2880" w:hanging="360"/>
      </w:pPr>
      <w:rPr>
        <w:rFonts w:ascii="Symbol" w:hAnsi="Symbol" w:hint="default"/>
      </w:rPr>
    </w:lvl>
    <w:lvl w:ilvl="4" w:tplc="AE4A0396">
      <w:start w:val="1"/>
      <w:numFmt w:val="bullet"/>
      <w:lvlText w:val="o"/>
      <w:lvlJc w:val="left"/>
      <w:pPr>
        <w:ind w:left="3600" w:hanging="360"/>
      </w:pPr>
      <w:rPr>
        <w:rFonts w:ascii="Courier New" w:hAnsi="Courier New" w:hint="default"/>
      </w:rPr>
    </w:lvl>
    <w:lvl w:ilvl="5" w:tplc="EA72AB18">
      <w:start w:val="1"/>
      <w:numFmt w:val="bullet"/>
      <w:lvlText w:val=""/>
      <w:lvlJc w:val="left"/>
      <w:pPr>
        <w:ind w:left="4320" w:hanging="360"/>
      </w:pPr>
      <w:rPr>
        <w:rFonts w:ascii="Wingdings" w:hAnsi="Wingdings" w:hint="default"/>
      </w:rPr>
    </w:lvl>
    <w:lvl w:ilvl="6" w:tplc="5E683A9E">
      <w:start w:val="1"/>
      <w:numFmt w:val="bullet"/>
      <w:lvlText w:val=""/>
      <w:lvlJc w:val="left"/>
      <w:pPr>
        <w:ind w:left="5040" w:hanging="360"/>
      </w:pPr>
      <w:rPr>
        <w:rFonts w:ascii="Symbol" w:hAnsi="Symbol" w:hint="default"/>
      </w:rPr>
    </w:lvl>
    <w:lvl w:ilvl="7" w:tplc="27FC77F0">
      <w:start w:val="1"/>
      <w:numFmt w:val="bullet"/>
      <w:lvlText w:val="o"/>
      <w:lvlJc w:val="left"/>
      <w:pPr>
        <w:ind w:left="5760" w:hanging="360"/>
      </w:pPr>
      <w:rPr>
        <w:rFonts w:ascii="Courier New" w:hAnsi="Courier New" w:hint="default"/>
      </w:rPr>
    </w:lvl>
    <w:lvl w:ilvl="8" w:tplc="BD3E88CC">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2039516">
    <w:abstractNumId w:val="11"/>
  </w:num>
  <w:num w:numId="2" w16cid:durableId="1197961076">
    <w:abstractNumId w:val="12"/>
  </w:num>
  <w:num w:numId="3" w16cid:durableId="1656491553">
    <w:abstractNumId w:val="1"/>
  </w:num>
  <w:num w:numId="4" w16cid:durableId="1249997719">
    <w:abstractNumId w:val="3"/>
  </w:num>
  <w:num w:numId="5" w16cid:durableId="1148519930">
    <w:abstractNumId w:val="15"/>
  </w:num>
  <w:num w:numId="6" w16cid:durableId="300307004">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A2691"/>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C75AF"/>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34310"/>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B4BAF"/>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1257</Words>
  <Characters>7169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Nasreen Begum (2008171)</cp:lastModifiedBy>
  <cp:revision>2</cp:revision>
  <dcterms:created xsi:type="dcterms:W3CDTF">2025-12-19T12:30:00Z</dcterms:created>
  <dcterms:modified xsi:type="dcterms:W3CDTF">2025-12-19T12:30:00Z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