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64D03" w14:textId="04BB8955" w:rsidR="00CB3F9A" w:rsidRPr="00DF3E36" w:rsidRDefault="00CB3F9A" w:rsidP="009C2610">
      <w:pPr>
        <w:pStyle w:val="Heading2"/>
      </w:pPr>
      <w:r w:rsidRPr="00DF3E36">
        <w:t>Introduction</w:t>
      </w:r>
    </w:p>
    <w:p w14:paraId="5A691AF0" w14:textId="6A4F5BBC" w:rsidR="006076FB" w:rsidRPr="00DF3E36" w:rsidRDefault="006076FB" w:rsidP="006076FB">
      <w:r w:rsidRPr="00DF3E36">
        <w:t xml:space="preserve">The figure of Arthur occupies a </w:t>
      </w:r>
      <w:r w:rsidR="009A0FBE" w:rsidRPr="00DF3E36">
        <w:t>unique</w:t>
      </w:r>
      <w:r w:rsidRPr="00DF3E36">
        <w:t xml:space="preserve"> position in medieval Welsh literature, combining legend, history, politics and cultural identity. Long before he became the chivalric monarch of continental romance, Arthur appeared in Welsh prose and poetry as a heroic leader whose attributes oscillate between the historically grounded and the supernatural. One of the earliest and most revealing portrayals </w:t>
      </w:r>
      <w:r w:rsidR="00B00123" w:rsidRPr="00DF3E36">
        <w:t>of Arthur</w:t>
      </w:r>
      <w:r w:rsidRPr="00DF3E36">
        <w:t xml:space="preserve"> occurs in </w:t>
      </w:r>
      <w:r w:rsidRPr="00DF3E36">
        <w:rPr>
          <w:i/>
          <w:iCs/>
        </w:rPr>
        <w:t xml:space="preserve">Culhwch </w:t>
      </w:r>
      <w:r w:rsidR="00A27DCF" w:rsidRPr="00DF3E36">
        <w:rPr>
          <w:i/>
          <w:iCs/>
        </w:rPr>
        <w:t>and</w:t>
      </w:r>
      <w:r w:rsidRPr="00DF3E36">
        <w:rPr>
          <w:i/>
          <w:iCs/>
        </w:rPr>
        <w:t xml:space="preserve"> Olwen</w:t>
      </w:r>
      <w:r w:rsidRPr="00DF3E36">
        <w:t xml:space="preserve">, where Arthur </w:t>
      </w:r>
      <w:r w:rsidR="00671DB1" w:rsidRPr="00DF3E36">
        <w:t xml:space="preserve">appears </w:t>
      </w:r>
      <w:r w:rsidRPr="00DF3E36">
        <w:t xml:space="preserve">as </w:t>
      </w:r>
      <w:r w:rsidR="002949EB" w:rsidRPr="00DF3E36">
        <w:t>a</w:t>
      </w:r>
      <w:r w:rsidRPr="00DF3E36">
        <w:t xml:space="preserve"> charismati</w:t>
      </w:r>
      <w:r w:rsidR="00671DB1" w:rsidRPr="00DF3E36">
        <w:t>c</w:t>
      </w:r>
      <w:r w:rsidRPr="00DF3E36">
        <w:t xml:space="preserve"> and powerful leader at the centre of a heroic quest narrative. In this tale, Arthur functions simultaneously as mediator, judge, warrior and supernatural patron, presiding over a vast heroic </w:t>
      </w:r>
      <w:r w:rsidR="00B00123" w:rsidRPr="00DF3E36">
        <w:t>retinue</w:t>
      </w:r>
      <w:r w:rsidRPr="00DF3E36">
        <w:t xml:space="preserve"> whose cohesion depends upon his authority.</w:t>
      </w:r>
      <w:r w:rsidR="00157D4F" w:rsidRPr="00DF3E36">
        <w:t xml:space="preserve"> </w:t>
      </w:r>
    </w:p>
    <w:p w14:paraId="0D3B504B" w14:textId="0DB94098" w:rsidR="006076FB" w:rsidRPr="00DF3E36" w:rsidRDefault="006076FB" w:rsidP="006076FB">
      <w:r w:rsidRPr="00DF3E36">
        <w:t xml:space="preserve">This essay examines Arthur’s depiction in </w:t>
      </w:r>
      <w:r w:rsidRPr="00DF3E36">
        <w:rPr>
          <w:i/>
          <w:iCs/>
        </w:rPr>
        <w:t>Culhwch and Olwen</w:t>
      </w:r>
      <w:r w:rsidRPr="00DF3E36">
        <w:t xml:space="preserve"> within the broader context of medieval Welsh literary tradition and society. Scholars </w:t>
      </w:r>
      <w:r w:rsidR="00B00123" w:rsidRPr="00DF3E36">
        <w:t>assert</w:t>
      </w:r>
      <w:r w:rsidRPr="00DF3E36">
        <w:t xml:space="preserve"> that Arthur in the Welsh tradition is neither</w:t>
      </w:r>
      <w:r w:rsidR="00833962" w:rsidRPr="00DF3E36">
        <w:t xml:space="preserve"> </w:t>
      </w:r>
      <w:r w:rsidR="00CB3F9A" w:rsidRPr="00DF3E36">
        <w:t xml:space="preserve">the </w:t>
      </w:r>
      <w:r w:rsidRPr="00DF3E36">
        <w:t>straightforward survival of a historical figure nor a purely folkloric invention, but a hybrid whose meaning developed through long processes of cultural negotiation.</w:t>
      </w:r>
      <w:r w:rsidR="00185946" w:rsidRPr="00DF3E36">
        <w:rPr>
          <w:rStyle w:val="FootnoteReference"/>
        </w:rPr>
        <w:footnoteReference w:id="1"/>
      </w:r>
      <w:r w:rsidRPr="00DF3E36">
        <w:t xml:space="preserve"> </w:t>
      </w:r>
      <w:r w:rsidRPr="00DF3E36">
        <w:rPr>
          <w:i/>
          <w:iCs/>
        </w:rPr>
        <w:t>Culhwch and Olwen</w:t>
      </w:r>
      <w:r w:rsidRPr="00DF3E36">
        <w:t xml:space="preserve"> provides a particularly clear example of this process. Arthur’s court is a space where heroic action and supernatural power coexist and where personal loyalty and kinship form the foundation of political authority. </w:t>
      </w:r>
    </w:p>
    <w:p w14:paraId="0D48DCBB" w14:textId="77777777" w:rsidR="00CB3F9A" w:rsidRPr="00DF3E36" w:rsidRDefault="00CB3F9A" w:rsidP="00CB3F9A">
      <w:r w:rsidRPr="00DF3E36">
        <w:t xml:space="preserve">By analysing narrative strategy, comparative tradition and social and legal context, this essay approaches Arthur as a literary construct through which medieval Welsh values, anxieties and ideals of leadership are expressed. Rather than seeking a historical Arthur, it treats </w:t>
      </w:r>
      <w:r w:rsidRPr="00DF3E36">
        <w:rPr>
          <w:i/>
          <w:iCs/>
        </w:rPr>
        <w:t>Culhwch and Olwen</w:t>
      </w:r>
      <w:r w:rsidRPr="00DF3E36">
        <w:t xml:space="preserve"> as a text that exhibits the imaginative and cultural richness of Welsh Arthurian tradition.</w:t>
      </w:r>
    </w:p>
    <w:p w14:paraId="1A592CE2" w14:textId="014C0342" w:rsidR="00CB3F9A" w:rsidRPr="00DF3E36" w:rsidRDefault="0072082D" w:rsidP="009C2610">
      <w:pPr>
        <w:pStyle w:val="Heading2"/>
      </w:pPr>
      <w:r w:rsidRPr="00DF3E36">
        <w:t>Historical Context</w:t>
      </w:r>
    </w:p>
    <w:p w14:paraId="6BD3BC3C" w14:textId="2FE2A275" w:rsidR="00CB3F9A" w:rsidRPr="00DF3E36" w:rsidRDefault="00CB3F9A" w:rsidP="00CB3F9A">
      <w:r w:rsidRPr="00DF3E36">
        <w:t xml:space="preserve">Understanding Arthur’s portrayal in </w:t>
      </w:r>
      <w:r w:rsidRPr="00DF3E36">
        <w:rPr>
          <w:i/>
          <w:iCs/>
        </w:rPr>
        <w:t>Culhwch and Olwen</w:t>
      </w:r>
      <w:r w:rsidRPr="00DF3E36">
        <w:t xml:space="preserve"> requires attention to the tale’s manuscript context and the historical environment in which its narrative traditions developed. Although the earliest surviving versions appear in the Fourteenth-century </w:t>
      </w:r>
      <w:r w:rsidRPr="00DF3E36">
        <w:rPr>
          <w:i/>
          <w:iCs/>
        </w:rPr>
        <w:t>White Book of Rhydderch</w:t>
      </w:r>
      <w:r w:rsidRPr="00DF3E36">
        <w:t xml:space="preserve"> and </w:t>
      </w:r>
      <w:r w:rsidRPr="00DF3E36">
        <w:rPr>
          <w:i/>
          <w:iCs/>
        </w:rPr>
        <w:t>Red Book of Hergest</w:t>
      </w:r>
      <w:r w:rsidRPr="00DF3E36">
        <w:t xml:space="preserve">, scholars widely agree that the core of the tale is significantly older. These manuscripts were compiled during a period of political upheaval following Edward I’s conquest of Wales in 1282, when Welsh cultural identity faced sustained external pressure. The preservation of native prose narratives during this period has often been interpreted as a deliberate effort to preserve Welsh tradition through writing. The inclusion of </w:t>
      </w:r>
      <w:r w:rsidRPr="00DF3E36">
        <w:rPr>
          <w:i/>
          <w:iCs/>
        </w:rPr>
        <w:t>Culhwch and Olwen</w:t>
      </w:r>
      <w:r w:rsidRPr="00DF3E36">
        <w:t xml:space="preserve"> alongside </w:t>
      </w:r>
      <w:r w:rsidR="00A27DCF" w:rsidRPr="00DF3E36">
        <w:t>S</w:t>
      </w:r>
      <w:r w:rsidRPr="00DF3E36">
        <w:t xml:space="preserve">aints’ Lives, </w:t>
      </w:r>
      <w:r w:rsidRPr="00DF3E36">
        <w:lastRenderedPageBreak/>
        <w:t xml:space="preserve">triads and the </w:t>
      </w:r>
      <w:r w:rsidRPr="00DF3E36">
        <w:rPr>
          <w:i/>
          <w:iCs/>
        </w:rPr>
        <w:t>Mabinogi</w:t>
      </w:r>
      <w:r w:rsidRPr="00DF3E36">
        <w:t xml:space="preserve"> draw attention to its perceived cultural importance and distinctly Welsh character.</w:t>
      </w:r>
      <w:r w:rsidR="00185946" w:rsidRPr="00DF3E36">
        <w:rPr>
          <w:rStyle w:val="FootnoteReference"/>
        </w:rPr>
        <w:footnoteReference w:id="2"/>
      </w:r>
    </w:p>
    <w:p w14:paraId="7543F608" w14:textId="6A5EC606" w:rsidR="00CB3F9A" w:rsidRPr="00DF3E36" w:rsidRDefault="00CB3F9A" w:rsidP="00CB3F9A">
      <w:r w:rsidRPr="00DF3E36">
        <w:t>The narrative seems to have preserved material that likely dates to the Eleventh through to the Twelfth centuries</w:t>
      </w:r>
      <w:r w:rsidR="004B3752" w:rsidRPr="00DF3E36">
        <w:t>,</w:t>
      </w:r>
      <w:r w:rsidR="008A38EE" w:rsidRPr="00DF3E36">
        <w:rPr>
          <w:rStyle w:val="FootnoteReference"/>
        </w:rPr>
        <w:footnoteReference w:id="3"/>
      </w:r>
      <w:r w:rsidR="004B3752" w:rsidRPr="00DF3E36">
        <w:t xml:space="preserve"> during a time of significant political struggle in Britain following the Norman invasion</w:t>
      </w:r>
      <w:r w:rsidRPr="00DF3E36">
        <w:t>. It situates the story within a period of political fragmentation and external pressure in Wales</w:t>
      </w:r>
      <w:r w:rsidR="00F15D4C" w:rsidRPr="00DF3E36">
        <w:t>, w</w:t>
      </w:r>
      <w:r w:rsidR="004B3752" w:rsidRPr="00DF3E36">
        <w:t>here there was an increased necessity to increase Welsh nationalistic zeal</w:t>
      </w:r>
      <w:r w:rsidR="0081250B" w:rsidRPr="00DF3E36">
        <w:t>.</w:t>
      </w:r>
      <w:r w:rsidR="004B3752" w:rsidRPr="00DF3E36">
        <w:t xml:space="preserve"> </w:t>
      </w:r>
      <w:r w:rsidR="0081250B" w:rsidRPr="00DF3E36">
        <w:t xml:space="preserve">Arthur’s depiction as a pan-Welsh heroic leader may reflect contemporary concerns with cultural coherence and identity, </w:t>
      </w:r>
      <w:r w:rsidR="004B3752" w:rsidRPr="00DF3E36">
        <w:t xml:space="preserve">whilst also incorporating Anglo-Norman influence, with figures such as </w:t>
      </w:r>
      <w:proofErr w:type="spellStart"/>
      <w:r w:rsidR="004B3752" w:rsidRPr="00DF3E36">
        <w:t>Gwilenhin</w:t>
      </w:r>
      <w:proofErr w:type="spellEnd"/>
      <w:r w:rsidR="004B3752" w:rsidRPr="00DF3E36">
        <w:t>,</w:t>
      </w:r>
      <w:r w:rsidR="00DF3E36">
        <w:rPr>
          <w:rStyle w:val="FootnoteReference"/>
        </w:rPr>
        <w:footnoteReference w:id="4"/>
      </w:r>
      <w:r w:rsidR="004B3752" w:rsidRPr="00DF3E36">
        <w:t xml:space="preserve"> which Padel suggests may be William I.</w:t>
      </w:r>
      <w:r w:rsidR="00A02F50" w:rsidRPr="00DF3E36">
        <w:rPr>
          <w:rStyle w:val="FootnoteReference"/>
        </w:rPr>
        <w:footnoteReference w:id="5"/>
      </w:r>
      <w:r w:rsidRPr="00DF3E36">
        <w:t xml:space="preserve"> </w:t>
      </w:r>
    </w:p>
    <w:p w14:paraId="57DBFD0B" w14:textId="0D4F1504" w:rsidR="00AA328A" w:rsidRPr="00DF3E36" w:rsidRDefault="00AA328A" w:rsidP="00AA328A">
      <w:r w:rsidRPr="00DF3E36">
        <w:t>Linguistic evidence supports the tale’s antiquity. Sarah Sheehan’s analysis of the extensive catalogue of Arthur’s companions demonstrates that many names and attributes derive from an early stratum of Welsh legend,</w:t>
      </w:r>
      <w:r w:rsidR="00404D20" w:rsidRPr="00DF3E36">
        <w:rPr>
          <w:rStyle w:val="FootnoteReference"/>
        </w:rPr>
        <w:footnoteReference w:id="6"/>
      </w:r>
      <w:r w:rsidRPr="00DF3E36">
        <w:t xml:space="preserve"> This suggests that the Arthur of </w:t>
      </w:r>
      <w:r w:rsidRPr="00DF3E36">
        <w:rPr>
          <w:i/>
          <w:iCs/>
        </w:rPr>
        <w:t>Culhwch and Olwen</w:t>
      </w:r>
      <w:r w:rsidRPr="00DF3E36">
        <w:t xml:space="preserve"> emerges from Indigenous heroic tradition rather than from later continental romance.</w:t>
      </w:r>
    </w:p>
    <w:p w14:paraId="13C2E0F0" w14:textId="6A082254" w:rsidR="00AA328A" w:rsidRPr="00DF3E36" w:rsidRDefault="00AA328A" w:rsidP="00AA328A">
      <w:r w:rsidRPr="00DF3E36">
        <w:t xml:space="preserve">Early historical sources reinforce this interpretation. The </w:t>
      </w:r>
      <w:r w:rsidRPr="00DF3E36">
        <w:rPr>
          <w:i/>
          <w:iCs/>
        </w:rPr>
        <w:t>Historia Brittonum</w:t>
      </w:r>
      <w:r w:rsidRPr="00DF3E36">
        <w:t xml:space="preserve"> depicts Arthur as a </w:t>
      </w:r>
      <w:r w:rsidRPr="00DF3E36">
        <w:rPr>
          <w:i/>
          <w:iCs/>
        </w:rPr>
        <w:t>dux bellorum</w:t>
      </w:r>
      <w:r w:rsidR="00A02F50" w:rsidRPr="00DF3E36">
        <w:rPr>
          <w:rStyle w:val="FootnoteReference"/>
          <w:i/>
          <w:iCs/>
        </w:rPr>
        <w:footnoteReference w:id="7"/>
      </w:r>
      <w:r w:rsidRPr="00DF3E36">
        <w:t xml:space="preserve">, a figure of exceptional martial. While the text is complex and historically problematic, scholars agree that it reflects the circulation of an established heroic figure by the ninth century. This image aligns closely with Arthur’s portrayal in </w:t>
      </w:r>
      <w:r w:rsidRPr="00DF3E36">
        <w:rPr>
          <w:i/>
          <w:iCs/>
        </w:rPr>
        <w:t>Culhwch and Olwen</w:t>
      </w:r>
      <w:r w:rsidRPr="00DF3E36">
        <w:t>, where he leads warriors against monstrous foes and navigates a world infused with the supernatural.</w:t>
      </w:r>
      <w:r w:rsidR="00404D20" w:rsidRPr="00DF3E36">
        <w:rPr>
          <w:rStyle w:val="FootnoteReference"/>
        </w:rPr>
        <w:footnoteReference w:id="8"/>
      </w:r>
    </w:p>
    <w:p w14:paraId="39C507D1" w14:textId="7A380643" w:rsidR="009C2610" w:rsidRPr="00DF3E36" w:rsidRDefault="001D7990" w:rsidP="001D7990">
      <w:pPr>
        <w:pStyle w:val="Heading2"/>
      </w:pPr>
      <w:r w:rsidRPr="00DF3E36">
        <w:t>Legal Context</w:t>
      </w:r>
    </w:p>
    <w:p w14:paraId="3B1C3FAB" w14:textId="2CA341FB" w:rsidR="00932F78" w:rsidRPr="00DF3E36" w:rsidRDefault="00AA328A" w:rsidP="001D7990">
      <w:r w:rsidRPr="00DF3E36">
        <w:rPr>
          <w:i/>
          <w:iCs/>
        </w:rPr>
        <w:t>Cyfraith Hywel</w:t>
      </w:r>
      <w:r w:rsidRPr="00DF3E36">
        <w:t>, the codification of Welsh law</w:t>
      </w:r>
      <w:r w:rsidR="00833962" w:rsidRPr="00DF3E36">
        <w:t>,</w:t>
      </w:r>
      <w:r w:rsidRPr="00DF3E36">
        <w:t xml:space="preserve"> </w:t>
      </w:r>
      <w:r w:rsidR="00932F78" w:rsidRPr="00DF3E36">
        <w:t xml:space="preserve">was </w:t>
      </w:r>
      <w:r w:rsidRPr="00DF3E36">
        <w:t>attributed to Hywel Dda</w:t>
      </w:r>
      <w:r w:rsidR="00932F78" w:rsidRPr="00DF3E36">
        <w:t>, a</w:t>
      </w:r>
      <w:r w:rsidR="00935523" w:rsidRPr="00DF3E36">
        <w:t xml:space="preserve"> Tenth Century King of </w:t>
      </w:r>
      <w:proofErr w:type="spellStart"/>
      <w:r w:rsidR="00935523" w:rsidRPr="00DF3E36">
        <w:t>Seisyllwg</w:t>
      </w:r>
      <w:proofErr w:type="spellEnd"/>
      <w:r w:rsidRPr="00DF3E36">
        <w:t xml:space="preserve">, </w:t>
      </w:r>
      <w:r w:rsidR="00935523" w:rsidRPr="00DF3E36">
        <w:t xml:space="preserve">who, in his lifetime, also became the ruler of Gwynedd and Powis. This feat gave him the status of de facto King of all the Welsh. This may have influenced his decision to codify his laws across his holdings, both increasing his authority and creating unity through </w:t>
      </w:r>
      <w:r w:rsidR="00833962" w:rsidRPr="00DF3E36">
        <w:t>policy.</w:t>
      </w:r>
      <w:r w:rsidR="00A02F50" w:rsidRPr="00DF3E36">
        <w:rPr>
          <w:rStyle w:val="FootnoteReference"/>
        </w:rPr>
        <w:footnoteReference w:id="9"/>
      </w:r>
    </w:p>
    <w:p w14:paraId="6199A8F1" w14:textId="73ECA1B0" w:rsidR="001D7990" w:rsidRPr="00DF3E36" w:rsidRDefault="00932F78" w:rsidP="001D7990">
      <w:r w:rsidRPr="00DF3E36">
        <w:lastRenderedPageBreak/>
        <w:t xml:space="preserve">The Law code </w:t>
      </w:r>
      <w:r w:rsidR="00AA328A" w:rsidRPr="00DF3E36">
        <w:t>emphasised kinship obligations, communal responsibility and the central role of the ruler’s court as a site of judgement and hospitality.</w:t>
      </w:r>
      <w:r w:rsidR="00A02F50" w:rsidRPr="00DF3E36">
        <w:rPr>
          <w:rStyle w:val="FootnoteReference"/>
        </w:rPr>
        <w:footnoteReference w:id="10"/>
      </w:r>
      <w:r w:rsidR="00AA328A" w:rsidRPr="00DF3E36">
        <w:t xml:space="preserve"> </w:t>
      </w:r>
      <w:r w:rsidR="00675E8B" w:rsidRPr="00DF3E36">
        <w:t xml:space="preserve"> </w:t>
      </w:r>
      <w:r w:rsidR="001D7990" w:rsidRPr="00DF3E36">
        <w:t>It gave heavy expectations on fair mediation due to its declaration that a successfully appealed judgement would require the judge to be punished with financial penalties or removal from future positions of judgement</w:t>
      </w:r>
      <w:r w:rsidR="00833962" w:rsidRPr="00DF3E36">
        <w:t>.</w:t>
      </w:r>
      <w:r w:rsidR="00A02F50" w:rsidRPr="00DF3E36">
        <w:rPr>
          <w:rStyle w:val="FootnoteReference"/>
        </w:rPr>
        <w:footnoteReference w:id="11"/>
      </w:r>
      <w:r w:rsidR="00833962" w:rsidRPr="00DF3E36">
        <w:t xml:space="preserve"> </w:t>
      </w:r>
    </w:p>
    <w:p w14:paraId="3114444B" w14:textId="642A8E55" w:rsidR="00AA328A" w:rsidRPr="00DF3E36" w:rsidRDefault="0072082D" w:rsidP="00AA328A">
      <w:r w:rsidRPr="00DF3E36">
        <w:t xml:space="preserve">The </w:t>
      </w:r>
      <w:r w:rsidRPr="00DF3E36">
        <w:rPr>
          <w:i/>
          <w:iCs/>
        </w:rPr>
        <w:t>Cyfraith Hywel</w:t>
      </w:r>
      <w:r w:rsidRPr="00DF3E36">
        <w:t xml:space="preserve"> places kinship at the centre of political and social organisation. This legal ethos is enacted narratively when Culhwch appeals to his kinship with Arthur, obliging the king to act on his behalf. When</w:t>
      </w:r>
      <w:r w:rsidR="001D7990" w:rsidRPr="00DF3E36">
        <w:t xml:space="preserve"> </w:t>
      </w:r>
      <w:r w:rsidR="00675E8B" w:rsidRPr="00DF3E36">
        <w:t xml:space="preserve">Culhwch appeals to Arthur through kinship, </w:t>
      </w:r>
      <w:r w:rsidR="001D7990" w:rsidRPr="00DF3E36">
        <w:t xml:space="preserve">he identifies </w:t>
      </w:r>
      <w:r w:rsidR="00675E8B" w:rsidRPr="00DF3E36">
        <w:t>himself as Arthur’s cousin through his mother. Upon hearing this information, Arthur states “True it is. Thou art then my first cousin. Name what thou wilt, and thou shalt have it, whatever thy mouth and thy tongue shall name”.</w:t>
      </w:r>
      <w:r w:rsidR="00334B81" w:rsidRPr="00DF3E36">
        <w:rPr>
          <w:rStyle w:val="FootnoteReference"/>
        </w:rPr>
        <w:footnoteReference w:id="12"/>
      </w:r>
      <w:r w:rsidR="00675E8B" w:rsidRPr="00DF3E36">
        <w:t xml:space="preserve"> </w:t>
      </w:r>
      <w:r w:rsidR="00A94146" w:rsidRPr="00DF3E36">
        <w:t xml:space="preserve"> </w:t>
      </w:r>
      <w:r w:rsidR="0081250B" w:rsidRPr="00DF3E36">
        <w:t>R</w:t>
      </w:r>
      <w:r w:rsidR="00A94146" w:rsidRPr="00DF3E36">
        <w:t xml:space="preserve">ulers were expected to protect kin, adjudicate disputes and uphold the honour of their household. </w:t>
      </w:r>
      <w:r w:rsidR="00AA328A" w:rsidRPr="00DF3E36">
        <w:t>Arthur’s willingness to assist Culhwch on the basis of kinship fits with these principles</w:t>
      </w:r>
      <w:r w:rsidR="00185946" w:rsidRPr="00DF3E36">
        <w:t xml:space="preserve">, and demonstrates a form of kingship grounded in ethical responsibility. </w:t>
      </w:r>
      <w:r w:rsidR="00AA328A" w:rsidRPr="00DF3E36">
        <w:t>His court becomes the narrative’s organising centre, mirroring the legal and symbolic importance of the court in Welsh society. The gathering of heroes from across Wales suggests an ideal of unity under charismatic leadership, particularly resonant during periods of political fragmentation.</w:t>
      </w:r>
    </w:p>
    <w:p w14:paraId="49D84EFE" w14:textId="30DCDE52" w:rsidR="00A94146" w:rsidRPr="00DF3E36" w:rsidRDefault="00A94146" w:rsidP="00A94146">
      <w:r w:rsidRPr="00DF3E36">
        <w:t xml:space="preserve">Arthur’s portrayal in </w:t>
      </w:r>
      <w:r w:rsidRPr="00DF3E36">
        <w:rPr>
          <w:i/>
          <w:iCs/>
        </w:rPr>
        <w:t>Culhwch and Olwen</w:t>
      </w:r>
      <w:r w:rsidRPr="00DF3E36">
        <w:t xml:space="preserve"> is deeply embedded in the social and legal structures of medieval Wales, particularly the principles articulated in </w:t>
      </w:r>
      <w:r w:rsidRPr="00DF3E36">
        <w:rPr>
          <w:i/>
          <w:iCs/>
        </w:rPr>
        <w:t>Cyfraith Hywel</w:t>
      </w:r>
      <w:r w:rsidRPr="00DF3E36">
        <w:t>. Unlike later continental depictions of Arthur as a distant or ceremonial monarch, the Welsh Arthur operates within a culturally evident system of kinship, honour and legal obligation. Examining these frameworks reveals how the narrative and social norms meet to shape his identity.</w:t>
      </w:r>
      <w:r w:rsidR="00334B81" w:rsidRPr="00DF3E36">
        <w:rPr>
          <w:rStyle w:val="FootnoteReference"/>
        </w:rPr>
        <w:footnoteReference w:id="13"/>
      </w:r>
    </w:p>
    <w:p w14:paraId="49AA2610" w14:textId="740C848D" w:rsidR="00A43C53" w:rsidRPr="00DF3E36" w:rsidRDefault="00A43C53" w:rsidP="00A43C53">
      <w:r w:rsidRPr="00DF3E36">
        <w:t>Arthur’s role as mediator and guarantor of justice further reflects Welsh legal expectations. He is repeatedly described as one who will not refuse requests unless they violate reason or honour, positioning him as a just arbiter within the heroic and mythological framework of the tale.</w:t>
      </w:r>
      <w:r w:rsidR="00007E19" w:rsidRPr="00DF3E36">
        <w:rPr>
          <w:rStyle w:val="FootnoteReference"/>
        </w:rPr>
        <w:footnoteReference w:id="14"/>
      </w:r>
      <w:r w:rsidRPr="00DF3E36">
        <w:t xml:space="preserve"> This mirrors the legal role of the ruler in </w:t>
      </w:r>
      <w:r w:rsidRPr="00DF3E36">
        <w:rPr>
          <w:i/>
          <w:iCs/>
        </w:rPr>
        <w:t>Cyfraith Hywel</w:t>
      </w:r>
      <w:r w:rsidRPr="00DF3E36">
        <w:t>, where leadership involved mediation, judgement and the enforcement of obligations, particularly among kin.</w:t>
      </w:r>
      <w:r w:rsidR="00363B5B" w:rsidRPr="00DF3E36">
        <w:rPr>
          <w:rStyle w:val="FootnoteReference"/>
        </w:rPr>
        <w:footnoteReference w:id="15"/>
      </w:r>
      <w:r w:rsidRPr="00DF3E36">
        <w:t xml:space="preserve"> As Huw Pryce has shown, legal, religious and narrative traditions often intersect in medieval Wales and Arthur exemplifies this fusion </w:t>
      </w:r>
      <w:r w:rsidRPr="00DF3E36">
        <w:lastRenderedPageBreak/>
        <w:t>of moral influence and practical leadership</w:t>
      </w:r>
      <w:r w:rsidR="00CE34B8" w:rsidRPr="00DF3E36">
        <w:t xml:space="preserve"> through acts such as protection of the members of his court.</w:t>
      </w:r>
      <w:r w:rsidR="00404D20" w:rsidRPr="00DF3E36">
        <w:rPr>
          <w:rStyle w:val="FootnoteReference"/>
        </w:rPr>
        <w:footnoteReference w:id="16"/>
      </w:r>
    </w:p>
    <w:p w14:paraId="1F8321F6" w14:textId="29E863FB" w:rsidR="00A43C53" w:rsidRPr="00DF3E36" w:rsidRDefault="00A43C53" w:rsidP="00A43C53">
      <w:r w:rsidRPr="00DF3E36">
        <w:t xml:space="preserve">Gender and marriage are also integral to this framework. The quest to marry Olwen reflects the legal and social importance of marriage as a means of consolidating kinship and social stability. Arthur’s facilitation of this process demonstrates his responsibility to regulate and legitimise familial alliances. His negotiation with </w:t>
      </w:r>
      <w:proofErr w:type="spellStart"/>
      <w:r w:rsidR="000B27BD" w:rsidRPr="00DF3E36">
        <w:t>Glini</w:t>
      </w:r>
      <w:proofErr w:type="spellEnd"/>
      <w:r w:rsidRPr="00DF3E36">
        <w:t xml:space="preserve"> balances martial power with diplomacy and fair judgement, illustrating how masculine leadership in Welsh tradition is expressed through courage, negotiation and social awareness rather than brute force alone.</w:t>
      </w:r>
      <w:r w:rsidR="00404D20" w:rsidRPr="00DF3E36">
        <w:rPr>
          <w:rStyle w:val="FootnoteReference"/>
        </w:rPr>
        <w:footnoteReference w:id="17"/>
      </w:r>
    </w:p>
    <w:p w14:paraId="04BA8E4C" w14:textId="67578D0C" w:rsidR="00A43C53" w:rsidRPr="00DF3E36" w:rsidRDefault="00A43C53" w:rsidP="00A43C53">
      <w:r w:rsidRPr="00DF3E36">
        <w:t>Arthur’s court depicts a unique societal hierarchy, reflecting legal concepts of obligation, loyalty and reputation. His companions are bound to him through ties of fealty and their abilities, whether martial or supernatural, are mobilised in service of collective goals.</w:t>
      </w:r>
      <w:r w:rsidR="00007E19" w:rsidRPr="00DF3E36">
        <w:rPr>
          <w:rStyle w:val="FootnoteReference"/>
        </w:rPr>
        <w:footnoteReference w:id="18"/>
      </w:r>
      <w:r w:rsidRPr="00DF3E36">
        <w:t xml:space="preserve"> This structure mirrors Welsh legal expectations that a ruler coordinates dependents effectively while maintaining mutual honour. Arthur’s authority thus emerges as inherently interpersonal, dependent on cooperation and loyalty rather than domination.</w:t>
      </w:r>
      <w:r w:rsidR="00ED155A" w:rsidRPr="00DF3E36">
        <w:t xml:space="preserve"> This also fits with the Welsh view that “A person’s rank was generally determined not by their job but the social status of their kin.”</w:t>
      </w:r>
      <w:r w:rsidR="00363B5B" w:rsidRPr="00DF3E36">
        <w:rPr>
          <w:rStyle w:val="FootnoteReference"/>
        </w:rPr>
        <w:footnoteReference w:id="19"/>
      </w:r>
    </w:p>
    <w:p w14:paraId="03F1A85E" w14:textId="24B52926" w:rsidR="00A43C53" w:rsidRPr="00DF3E36" w:rsidRDefault="00A43C53" w:rsidP="00A43C53">
      <w:r w:rsidRPr="00DF3E36">
        <w:t>Supernatural elements further reinforce this model of kingship. Arthur’s companions are portrayed as extensions of his duty and encounters with monstrous or otherworldly figures test his capacity to command communal action</w:t>
      </w:r>
      <w:r w:rsidR="000B27BD" w:rsidRPr="00DF3E36">
        <w:t>, such as invoking his retinue to aid Culhwch on his tasks.</w:t>
      </w:r>
      <w:r w:rsidR="00007E19" w:rsidRPr="00DF3E36">
        <w:rPr>
          <w:rStyle w:val="FootnoteReference"/>
        </w:rPr>
        <w:footnoteReference w:id="20"/>
      </w:r>
      <w:r w:rsidRPr="00DF3E36">
        <w:t xml:space="preserve"> These occurrences integrate mythic wonder with legal and ethical principles, presenting a vision of leadership that unites moral and social aspects of his role, constructing Arthur as a well-rounded legitimate ruler.</w:t>
      </w:r>
    </w:p>
    <w:p w14:paraId="68D4DECF" w14:textId="77777777" w:rsidR="00A43C53" w:rsidRPr="00DF3E36" w:rsidRDefault="00A43C53" w:rsidP="00A43C53">
      <w:r w:rsidRPr="00DF3E36">
        <w:rPr>
          <w:i/>
          <w:iCs/>
        </w:rPr>
        <w:t>Culhwch and Olwen</w:t>
      </w:r>
      <w:r w:rsidRPr="00DF3E36">
        <w:t xml:space="preserve"> merges multiple Arthurian concepts such as heroic leadership, mythic status and social obligation, into a uniquely Welsh portrayal. Arthur emerges as a personal leader. This is achieved through demonstrating a level of kinship, legal custom and oral tradition throughout. This characterisation preserves early heroic ideals while articulating values meaningful to medieval Welsh audiences, affirming Arthur’s enduring cultural and literary significance.</w:t>
      </w:r>
    </w:p>
    <w:p w14:paraId="176D966F" w14:textId="18AFC61F" w:rsidR="009C2610" w:rsidRPr="00DF3E36" w:rsidRDefault="009C2610" w:rsidP="009C2610">
      <w:pPr>
        <w:pStyle w:val="Heading2"/>
      </w:pPr>
      <w:r w:rsidRPr="00DF3E36">
        <w:t>Arthur’s Court</w:t>
      </w:r>
      <w:r w:rsidR="001D7990" w:rsidRPr="00DF3E36">
        <w:t xml:space="preserve"> and Companions</w:t>
      </w:r>
    </w:p>
    <w:p w14:paraId="40DCB80F" w14:textId="2DE4A8D0" w:rsidR="001D7990" w:rsidRPr="00DF3E36" w:rsidRDefault="001D7990" w:rsidP="001D7990">
      <w:r w:rsidRPr="00DF3E36">
        <w:t xml:space="preserve">Arthur’s court in </w:t>
      </w:r>
      <w:r w:rsidRPr="00DF3E36">
        <w:rPr>
          <w:i/>
          <w:iCs/>
        </w:rPr>
        <w:t>Culhwch and Olwen</w:t>
      </w:r>
      <w:r w:rsidRPr="00DF3E36">
        <w:t xml:space="preserve"> is one of the most memorable elements of the narrative, functioning as a narrative device and as a symbol of status and a vessel for exhibiting virtues. Unlike the formal, ceremonial courts of later continental romance, </w:t>
      </w:r>
      <w:r w:rsidRPr="00DF3E36">
        <w:lastRenderedPageBreak/>
        <w:t>this court is portrayed as an often-chaotic space in which human and supernatural figures freely intermingle.</w:t>
      </w:r>
      <w:r w:rsidR="0014572A" w:rsidRPr="00DF3E36">
        <w:rPr>
          <w:rStyle w:val="FootnoteReference"/>
        </w:rPr>
        <w:footnoteReference w:id="21"/>
      </w:r>
      <w:r w:rsidRPr="00DF3E36">
        <w:t xml:space="preserve"> Its character reflects a model of leadership grounded in charisma, obligation and heroic centrality rather than bureaucratic or institutional order, underscoring Arthur’s role as the narrative’s organising force.</w:t>
      </w:r>
    </w:p>
    <w:p w14:paraId="6E8DEF1D" w14:textId="2A021316" w:rsidR="001D7990" w:rsidRPr="00DF3E36" w:rsidRDefault="001D7990" w:rsidP="001D7990">
      <w:r w:rsidRPr="00DF3E36">
        <w:t>Located at Celliwig, traditionally associated with Arthurian legend and often interpreted as fringing into a supernatural world, the court occupies the space between the mundane and the mythic. In this sense, it operates as a junction where the heroic world and the supernatural intersect. The diversity of figures assembled there, from warriors and hunters to magical beings,</w:t>
      </w:r>
      <w:r w:rsidR="0014572A" w:rsidRPr="00DF3E36">
        <w:rPr>
          <w:rStyle w:val="FootnoteReference"/>
        </w:rPr>
        <w:footnoteReference w:id="22"/>
      </w:r>
      <w:r w:rsidRPr="00DF3E36">
        <w:t xml:space="preserve"> demonstrates Arthur’s magnetic persona and his capacity to integrate multiplicity into a coherent social hierarchy. The court thus embodies an ideal of kingship defined by abundance, inclusivity and generative power.</w:t>
      </w:r>
    </w:p>
    <w:p w14:paraId="561B194E" w14:textId="2FF98FFE" w:rsidR="001D7990" w:rsidRPr="00DF3E36" w:rsidRDefault="001D7990" w:rsidP="001D7990">
      <w:r w:rsidRPr="00DF3E36">
        <w:t xml:space="preserve">Arthur’s status is further articulated through his companions, whose presence can be seen as a measure of his prestige. The catalogue of warriors is not a narrative digression but a structured display of power and social reach. </w:t>
      </w:r>
      <w:r w:rsidR="00ED155A" w:rsidRPr="00DF3E36">
        <w:t>Arthur</w:t>
      </w:r>
      <w:r w:rsidR="000B27BD" w:rsidRPr="00DF3E36">
        <w:t>’</w:t>
      </w:r>
      <w:r w:rsidR="00ED155A" w:rsidRPr="00DF3E36">
        <w:t>s retinue</w:t>
      </w:r>
      <w:r w:rsidR="00ED155A" w:rsidRPr="00DF3E36">
        <w:rPr>
          <w:rStyle w:val="CommentReference"/>
          <w:sz w:val="24"/>
          <w:szCs w:val="24"/>
        </w:rPr>
        <w:t xml:space="preserve"> po</w:t>
      </w:r>
      <w:r w:rsidRPr="00DF3E36">
        <w:t>ssess extraordinary abilities that extend Arthur’s influence across martial and supernatural realms.</w:t>
      </w:r>
      <w:r w:rsidR="0014572A" w:rsidRPr="00DF3E36">
        <w:rPr>
          <w:rStyle w:val="FootnoteReference"/>
        </w:rPr>
        <w:footnoteReference w:id="23"/>
      </w:r>
      <w:r w:rsidRPr="00DF3E36">
        <w:t xml:space="preserve"> In Welsh heroic tradition, the renown of a king is inseparable from that of his war-band and the scale and quality of Arthur’s retinue elevate him from individual hero to a focal point of social and cosmic order.</w:t>
      </w:r>
      <w:r w:rsidR="00363B5B" w:rsidRPr="00DF3E36">
        <w:rPr>
          <w:rStyle w:val="FootnoteReference"/>
        </w:rPr>
        <w:footnoteReference w:id="24"/>
      </w:r>
    </w:p>
    <w:p w14:paraId="4679BA8C" w14:textId="6366EC70" w:rsidR="001D7990" w:rsidRPr="00DF3E36" w:rsidRDefault="001D7990" w:rsidP="001D7990">
      <w:r w:rsidRPr="00DF3E36">
        <w:t>The narrative’s extensive sequence of warriors, reminiscent of triadic tradition, reinforces Arthur’s authority by demonstrating his capacity to attract, organise and command exceptional figures</w:t>
      </w:r>
      <w:r w:rsidR="00363B5B" w:rsidRPr="00DF3E36">
        <w:t xml:space="preserve">, including other </w:t>
      </w:r>
      <w:r w:rsidRPr="00DF3E36">
        <w:t>kings.</w:t>
      </w:r>
      <w:r w:rsidR="00363B5B" w:rsidRPr="00DF3E36">
        <w:rPr>
          <w:rStyle w:val="FootnoteReference"/>
        </w:rPr>
        <w:footnoteReference w:id="25"/>
      </w:r>
      <w:r w:rsidRPr="00DF3E36">
        <w:t xml:space="preserve">  </w:t>
      </w:r>
    </w:p>
    <w:p w14:paraId="68A6A338" w14:textId="01E45427" w:rsidR="001D7990" w:rsidRPr="00DF3E36" w:rsidRDefault="001D7990" w:rsidP="001D7990">
      <w:r w:rsidRPr="00DF3E36">
        <w:t>The interactions between Arthur and his companions emphasise leadership. His reputation is portrayed less in personal feats than in his ability to coordinate and deploy strategic talent. This is particularly evident in the quests undertaken to secure Olwen, where Arthur strategically mobilises his retinue to overcome challenges beyond individual human capacity.</w:t>
      </w:r>
      <w:r w:rsidR="0014572A" w:rsidRPr="00DF3E36">
        <w:rPr>
          <w:rStyle w:val="FootnoteReference"/>
        </w:rPr>
        <w:footnoteReference w:id="26"/>
      </w:r>
      <w:r w:rsidRPr="00DF3E36">
        <w:t xml:space="preserve"> Through this coordination, the court becomes a space where unified individuals and their intentions are organised and legitimised.</w:t>
      </w:r>
    </w:p>
    <w:p w14:paraId="5BD08C09" w14:textId="5655CAB7" w:rsidR="001D7990" w:rsidRPr="00DF3E36" w:rsidRDefault="001D7990" w:rsidP="001D7990">
      <w:r w:rsidRPr="00DF3E36">
        <w:t>Despite its exuberance, the court is also a vessel of social regulation. Obligations are acknowledged, disputes mediated and heroic action sanctioned according to standards of honour. Arthur’s response to Culhwch’s request exemplifies this role,</w:t>
      </w:r>
      <w:r w:rsidR="0014572A" w:rsidRPr="00DF3E36">
        <w:rPr>
          <w:rStyle w:val="FootnoteReference"/>
        </w:rPr>
        <w:footnoteReference w:id="27"/>
      </w:r>
      <w:r w:rsidRPr="00DF3E36">
        <w:t xml:space="preserve"> aligning the court’s activities with the ethical expectations of Welsh law, as reflected in </w:t>
      </w:r>
      <w:r w:rsidRPr="00DF3E36">
        <w:rPr>
          <w:i/>
          <w:iCs/>
        </w:rPr>
        <w:lastRenderedPageBreak/>
        <w:t>Cyfraith Hywel</w:t>
      </w:r>
      <w:r w:rsidRPr="00DF3E36">
        <w:t>.</w:t>
      </w:r>
      <w:r w:rsidR="00363B5B" w:rsidRPr="00DF3E36">
        <w:rPr>
          <w:rStyle w:val="FootnoteReference"/>
        </w:rPr>
        <w:footnoteReference w:id="28"/>
      </w:r>
      <w:r w:rsidRPr="00DF3E36">
        <w:t xml:space="preserve"> Heroism is thus inseparable from moral responsibility and social order.</w:t>
      </w:r>
    </w:p>
    <w:p w14:paraId="6A99164D" w14:textId="52D0B119" w:rsidR="001D7990" w:rsidRPr="00DF3E36" w:rsidRDefault="001D7990" w:rsidP="001D7990">
      <w:r w:rsidRPr="00DF3E36">
        <w:t>Supernatural elements permeate the court and its activities,</w:t>
      </w:r>
      <w:r w:rsidR="00562FAA" w:rsidRPr="00DF3E36">
        <w:t xml:space="preserve"> </w:t>
      </w:r>
      <w:r w:rsidRPr="00DF3E36">
        <w:t>notably in episodes such as the hunt for Twrch Trwyth.</w:t>
      </w:r>
      <w:r w:rsidR="0014572A" w:rsidRPr="00DF3E36">
        <w:rPr>
          <w:rStyle w:val="FootnoteReference"/>
        </w:rPr>
        <w:footnoteReference w:id="29"/>
      </w:r>
      <w:r w:rsidRPr="00DF3E36">
        <w:t xml:space="preserve"> These encounters situate Arthur as a mediator between human and otherworldly realms, reinforcing his liminal authority. Humour and playfulness further characterise the court, humanising Arthur and contributing to the tale’s lively tone. This informality contrasts with later austere portrayals and aligns with oral storytelling traditions that prized wit, exaggeration and audience engagement.</w:t>
      </w:r>
    </w:p>
    <w:p w14:paraId="0DF96A6F" w14:textId="77777777" w:rsidR="001D7990" w:rsidRPr="00DF3E36" w:rsidRDefault="001D7990" w:rsidP="001D7990">
      <w:r w:rsidRPr="00DF3E36">
        <w:t xml:space="preserve">Arthur’s court serves as the symbolic and narrative centre of </w:t>
      </w:r>
      <w:r w:rsidRPr="00DF3E36">
        <w:rPr>
          <w:i/>
          <w:iCs/>
        </w:rPr>
        <w:t>Culhwch and Olwen</w:t>
      </w:r>
      <w:r w:rsidRPr="00DF3E36">
        <w:t>. It anchors the episodic structure of the tale and articulates a distinctly Welsh vision of heroic ideals. Through leadership, heroism and mythic integration, the court affirms Arthur’s role as a cultural symbol and guarantor of narrative and social coherence.</w:t>
      </w:r>
    </w:p>
    <w:p w14:paraId="1C3E68C2" w14:textId="46299695" w:rsidR="009C2610" w:rsidRPr="00DF3E36" w:rsidRDefault="001D7990" w:rsidP="001D7990">
      <w:pPr>
        <w:pStyle w:val="Heading2"/>
      </w:pPr>
      <w:r w:rsidRPr="00DF3E36">
        <w:t>The Quest</w:t>
      </w:r>
    </w:p>
    <w:p w14:paraId="100D6BDB" w14:textId="10EB9C1E" w:rsidR="001D7990" w:rsidRPr="00DF3E36" w:rsidRDefault="001D7990" w:rsidP="001D7990">
      <w:r w:rsidRPr="00DF3E36">
        <w:t xml:space="preserve">In </w:t>
      </w:r>
      <w:r w:rsidRPr="00DF3E36">
        <w:rPr>
          <w:i/>
          <w:iCs/>
        </w:rPr>
        <w:t>Culhwch and Olwen</w:t>
      </w:r>
      <w:r w:rsidRPr="00DF3E36">
        <w:t>, the quest structure provides the narrative framework through which these heroic ideals are articulated. Although the tale centres on Culhwch’s pursuit of Olwen, Arthur remains pivotal throughout as enabler, coordinator, and guarantor of success.</w:t>
      </w:r>
      <w:r w:rsidR="0014572A" w:rsidRPr="00DF3E36">
        <w:rPr>
          <w:rStyle w:val="FootnoteReference"/>
        </w:rPr>
        <w:footnoteReference w:id="30"/>
      </w:r>
      <w:r w:rsidRPr="00DF3E36">
        <w:t xml:space="preserve"> Unlike later Arthurian romance, where Arthur often stands apart from individual knightly exploits, here his authority structures the quests themselves and ensures narrative coherence.</w:t>
      </w:r>
      <w:r w:rsidR="00404D20" w:rsidRPr="00DF3E36">
        <w:rPr>
          <w:rStyle w:val="FootnoteReference"/>
        </w:rPr>
        <w:footnoteReference w:id="31"/>
      </w:r>
    </w:p>
    <w:p w14:paraId="6DEF6CA6" w14:textId="1941E846" w:rsidR="001D7990" w:rsidRPr="00DF3E36" w:rsidRDefault="001D7990" w:rsidP="001D7990">
      <w:r w:rsidRPr="00DF3E36">
        <w:t>The narrative begins with Culhwch invoking kinship with Arthur, appealing to a culturally embedded system of familial obligation rooted in Welsh law and heroic custom. Arthur’s immediate acceptance reflects the expectation that rulers act in accordance with honour and kinship duty, principles central to medieval Welsh kingship. By mobilising his retinue in response, Arthur transforms social obligation into collective heroic action, enacting leadership grounded in responsibility rather than institutional command.</w:t>
      </w:r>
      <w:r w:rsidR="00363B5B" w:rsidRPr="00DF3E36">
        <w:rPr>
          <w:rStyle w:val="FootnoteReference"/>
        </w:rPr>
        <w:footnoteReference w:id="32"/>
      </w:r>
    </w:p>
    <w:p w14:paraId="15281012" w14:textId="51E278FC" w:rsidR="001D7990" w:rsidRPr="00DF3E36" w:rsidRDefault="001D7990" w:rsidP="001D7990">
      <w:r w:rsidRPr="00DF3E36">
        <w:t>The quests are episodic, digressive and frequently supernatural, involving the recovery of magical objects, encounters with monstrous figures and seemingly impossible tasks.</w:t>
      </w:r>
      <w:r w:rsidR="0014572A" w:rsidRPr="00DF3E36">
        <w:rPr>
          <w:rStyle w:val="FootnoteReference"/>
        </w:rPr>
        <w:footnoteReference w:id="33"/>
      </w:r>
      <w:r w:rsidR="00562FAA" w:rsidRPr="00DF3E36">
        <w:t xml:space="preserve"> </w:t>
      </w:r>
      <w:r w:rsidRPr="00DF3E36">
        <w:t>Arthur does not perform these feats alone; instead, he coordinates the specialised abilities of his companions. Figures such as Cai, Bedwyr and Gwalchmei exemplify combined efforts of heroism, their extraordinary skills operating as extensions of Arthur’s authority.</w:t>
      </w:r>
      <w:r w:rsidR="0014572A" w:rsidRPr="00DF3E36">
        <w:rPr>
          <w:rStyle w:val="FootnoteReference"/>
        </w:rPr>
        <w:footnoteReference w:id="34"/>
      </w:r>
      <w:r w:rsidRPr="00DF3E36">
        <w:t xml:space="preserve"> This emphasis on coordinated action reflects a Welsh </w:t>
      </w:r>
      <w:r w:rsidRPr="00DF3E36">
        <w:lastRenderedPageBreak/>
        <w:t xml:space="preserve">heroic ideal in which leadership depends on the effective organisation of loyal and capable followers, as </w:t>
      </w:r>
      <w:r w:rsidR="00932F78" w:rsidRPr="00DF3E36">
        <w:t>described</w:t>
      </w:r>
      <w:r w:rsidRPr="00DF3E36">
        <w:t xml:space="preserve"> in </w:t>
      </w:r>
      <w:r w:rsidRPr="00DF3E36">
        <w:rPr>
          <w:i/>
          <w:iCs/>
        </w:rPr>
        <w:t>Cyfraith Hywel</w:t>
      </w:r>
      <w:r w:rsidRPr="00DF3E36">
        <w:t>.</w:t>
      </w:r>
      <w:r w:rsidR="00363B5B" w:rsidRPr="00DF3E36">
        <w:rPr>
          <w:rStyle w:val="FootnoteReference"/>
        </w:rPr>
        <w:footnoteReference w:id="35"/>
      </w:r>
    </w:p>
    <w:p w14:paraId="11CDA6CE" w14:textId="485B16E1" w:rsidR="001D7990" w:rsidRPr="00DF3E36" w:rsidRDefault="001D7990" w:rsidP="001D7990">
      <w:r w:rsidRPr="00DF3E36">
        <w:t>Arthur’s role as arbiter of ethical norms is central to the quest structure. Culhwch’s request obliges Arthur to act according to principles of generosity, loyalty and justice. His authority is evaluated not by ceremonial power but by his adherence to social and moral expectations. This model contrasts with later continental romances that prioritise individual prowess and chivalric codes, presenting instead a vision of heroism that is inherently social and morally mediated.</w:t>
      </w:r>
      <w:r w:rsidR="00404D20" w:rsidRPr="00DF3E36">
        <w:rPr>
          <w:rStyle w:val="FootnoteReference"/>
        </w:rPr>
        <w:footnoteReference w:id="36"/>
      </w:r>
    </w:p>
    <w:p w14:paraId="600C4AE2" w14:textId="544C9D7B" w:rsidR="001D7990" w:rsidRPr="00DF3E36" w:rsidRDefault="001D7990" w:rsidP="001D7990">
      <w:r w:rsidRPr="00DF3E36">
        <w:t>Humour, exaggeration, and the grotesque further shape the quest episodes, reinforcing Arthur’s approachability and charisma. The episodic structure accommodates playful digression alongside heroic spectacle, presenting a leader who commands awe while remaining socially accessible. This tonal flexibility distinguishes the Welsh Arthur from later, more idealised portrayals and reflects the oral storytelling traditions that underpin the narrative.</w:t>
      </w:r>
      <w:r w:rsidR="00363B5B" w:rsidRPr="00DF3E36">
        <w:rPr>
          <w:rStyle w:val="FootnoteReference"/>
        </w:rPr>
        <w:footnoteReference w:id="37"/>
      </w:r>
    </w:p>
    <w:p w14:paraId="1F827A27" w14:textId="4FA84B33" w:rsidR="001D7990" w:rsidRPr="00DF3E36" w:rsidRDefault="001D7990" w:rsidP="001D7990">
      <w:r w:rsidRPr="00DF3E36">
        <w:t>Supernatural elements such as the hunt for Twrch Trwyth situate Arthur within a liminal, mythically charged landscape. His kingship extends across human and otherworldly realms, integrating martial action, magic and ethical responsibility. By orchestrating quests that blend these elements, Arthur exemplifies a holistic model of leadership that unites social order with mythic authority.</w:t>
      </w:r>
      <w:r w:rsidR="00363B5B" w:rsidRPr="00DF3E36">
        <w:rPr>
          <w:rStyle w:val="FootnoteReference"/>
        </w:rPr>
        <w:footnoteReference w:id="38"/>
      </w:r>
    </w:p>
    <w:p w14:paraId="64F2106B" w14:textId="75AE8742" w:rsidR="001D7990" w:rsidRPr="00DF3E36" w:rsidRDefault="001D7990" w:rsidP="009C2610">
      <w:r w:rsidRPr="00DF3E36">
        <w:t xml:space="preserve">The quest structure of </w:t>
      </w:r>
      <w:r w:rsidRPr="00DF3E36">
        <w:rPr>
          <w:i/>
          <w:iCs/>
        </w:rPr>
        <w:t>Culhwch and Olwen</w:t>
      </w:r>
      <w:r w:rsidRPr="00DF3E36">
        <w:t xml:space="preserve"> positions Arthur as the central mediator of heroic action. Though not the primary actor in each feat, he provides structural continuity and collective coordination. Through this role, the tale presents heroism as relational, communal and culturally grounded, with Arthur embodying the values, legal expectations and mythic imagination of medieval Welsh society.</w:t>
      </w:r>
    </w:p>
    <w:p w14:paraId="210C0CA9" w14:textId="3C6DE160" w:rsidR="00CB3F9A" w:rsidRPr="00DF3E36" w:rsidRDefault="00CB3F9A" w:rsidP="009C2610">
      <w:pPr>
        <w:pStyle w:val="Heading2"/>
      </w:pPr>
      <w:r w:rsidRPr="00DF3E36">
        <w:t xml:space="preserve">Arthur’s </w:t>
      </w:r>
      <w:r w:rsidR="0014572A" w:rsidRPr="00DF3E36">
        <w:t>Qualities</w:t>
      </w:r>
    </w:p>
    <w:p w14:paraId="682598F5" w14:textId="0EFF96CD" w:rsidR="00AA328A" w:rsidRPr="00DF3E36" w:rsidRDefault="00AA328A" w:rsidP="00AA328A">
      <w:r w:rsidRPr="00DF3E36">
        <w:t xml:space="preserve">Arthur occupies a unique place in medieval Welsh literature, where legend, history and cultural identity converge. In </w:t>
      </w:r>
      <w:r w:rsidRPr="00DF3E36">
        <w:rPr>
          <w:i/>
          <w:iCs/>
        </w:rPr>
        <w:t>Culhwch and Olwen</w:t>
      </w:r>
      <w:r w:rsidRPr="00DF3E36">
        <w:t>, he appears as an authoritative figure at the centre of a heroic quest, long before the ceremonial, courtly monarch of later continental romance.</w:t>
      </w:r>
      <w:r w:rsidR="002359BD" w:rsidRPr="00DF3E36">
        <w:t xml:space="preserve"> </w:t>
      </w:r>
      <w:r w:rsidR="00675E8B" w:rsidRPr="00DF3E36">
        <w:t xml:space="preserve">Arthur </w:t>
      </w:r>
      <w:r w:rsidRPr="00DF3E36">
        <w:t>reflects a culturally grounded model of Welsh kingship, in which authority is derived from obligation, generosity and ethical responsibility rather than formal institutions.</w:t>
      </w:r>
    </w:p>
    <w:p w14:paraId="6963581F" w14:textId="3F3BA00A" w:rsidR="00675E8B" w:rsidRPr="00DF3E36" w:rsidRDefault="00675E8B" w:rsidP="00675E8B">
      <w:r w:rsidRPr="00DF3E36">
        <w:t xml:space="preserve">Arthur’s leadership is expressed strongly through both individual feats and through his coordination of his men. He orchestrates the completion of the hundred tasks set by </w:t>
      </w:r>
      <w:r w:rsidRPr="00DF3E36">
        <w:lastRenderedPageBreak/>
        <w:t>Ysbaddaden and the hunt for the otherworldly boar, Twrch Trwyth, relying on the specialised abilities of companions. As the text observes,  “And Arthur fell upon him, and the champions of Britain along with him.”.</w:t>
      </w:r>
      <w:r w:rsidR="00363B5B" w:rsidRPr="00DF3E36">
        <w:rPr>
          <w:rStyle w:val="FootnoteReference"/>
        </w:rPr>
        <w:footnoteReference w:id="39"/>
      </w:r>
      <w:r w:rsidRPr="00DF3E36">
        <w:t xml:space="preserve"> The narrative emphasises the fame and effectiveness of his household, reflecting an early Welsh heroic ethos in which a leader’s prestige is inseparable from that of his retinue . His court at Celliwig functions as both a social and mythic centre, where human warriors, supernatural beings and magical figures coexist. Through this dynamic court, Arthur exercises authority by integrating diverse individuals into a coherent social hierarchy and mediating between human, heroic and supernatural realms.</w:t>
      </w:r>
      <w:r w:rsidR="0014572A" w:rsidRPr="00DF3E36">
        <w:rPr>
          <w:rStyle w:val="FootnoteReference"/>
        </w:rPr>
        <w:footnoteReference w:id="40"/>
      </w:r>
    </w:p>
    <w:p w14:paraId="555C04F4" w14:textId="0DBE3739" w:rsidR="00675E8B" w:rsidRPr="00DF3E36" w:rsidRDefault="00675E8B" w:rsidP="00675E8B">
      <w:r w:rsidRPr="00DF3E36">
        <w:t>Arthur’s character exhibits generosity, responsibility and adherence to social norms. When Culhwch appeals for aid, Arthur immediately mobilises his warriors, even attending to personal requests. Before knowing the identity and affiliation with Culhwch, Arthur states ”Though shalt have it gladly, name what thou wilt” to which Culhwch replies  “I will. I would have my hair trimmed”.</w:t>
      </w:r>
      <w:r w:rsidR="00363B5B" w:rsidRPr="00DF3E36">
        <w:rPr>
          <w:rStyle w:val="FootnoteReference"/>
        </w:rPr>
        <w:footnoteReference w:id="41"/>
      </w:r>
      <w:r w:rsidRPr="00DF3E36">
        <w:t xml:space="preserve"> His promise not to refuse reasonable requests reflects the principles of Cyfraith Hywel, in which rulers are expected to protect kin, maintain honour and adjudicate disputes. The narrative demonstrates this when Arthur negotiates with </w:t>
      </w:r>
      <w:proofErr w:type="spellStart"/>
      <w:r w:rsidRPr="00DF3E36">
        <w:t>Glini</w:t>
      </w:r>
      <w:proofErr w:type="spellEnd"/>
      <w:r w:rsidRPr="00DF3E36">
        <w:t xml:space="preserve"> on his outer wall: “Not to thy hurt have I come hither”,</w:t>
      </w:r>
      <w:r w:rsidR="00363B5B" w:rsidRPr="00DF3E36">
        <w:rPr>
          <w:rStyle w:val="FootnoteReference"/>
        </w:rPr>
        <w:footnoteReference w:id="42"/>
      </w:r>
      <w:r w:rsidRPr="00DF3E36">
        <w:t xml:space="preserve"> further emphasising restraint and diplomacy. Throughout this story, whilst orchestrating and overseeing Culhwch’s quest and facilitating marriage to Olwen, humour, playfulness and episodic digressions further characterise Arthur, aligning him with oral storytelling traditions in which wit and exaggeration enhance audience engagement.</w:t>
      </w:r>
      <w:r w:rsidR="00007E19" w:rsidRPr="00DF3E36">
        <w:rPr>
          <w:rStyle w:val="FootnoteReference"/>
        </w:rPr>
        <w:footnoteReference w:id="43"/>
      </w:r>
    </w:p>
    <w:p w14:paraId="14D87490" w14:textId="77777777" w:rsidR="00A94146" w:rsidRPr="00DF3E36" w:rsidRDefault="00A94146" w:rsidP="00A94146">
      <w:r w:rsidRPr="00DF3E36">
        <w:rPr>
          <w:i/>
          <w:iCs/>
        </w:rPr>
        <w:t>Culhwch and Olwen</w:t>
      </w:r>
      <w:r w:rsidRPr="00DF3E36">
        <w:t xml:space="preserve"> also presents Arthur as a figure of integration. His character appears rational and humble, yet powerful and noble. He functions as a cultural symbol, asserting cohesion and heroic values within a politically and socially fragmented Wales. His portrayal preserves the imaginative richness of Welsh Arthurian tradition while articulating enduring ideals of leadership, kinship and morality. A subtle suggestion of imperial influence can be noted particularly when following Twrch Trwyth to Ireland as stated:</w:t>
      </w:r>
    </w:p>
    <w:p w14:paraId="4EFC7B86" w14:textId="5D0A6668" w:rsidR="00A94146" w:rsidRPr="00DF3E36" w:rsidRDefault="00A94146" w:rsidP="00363B5B">
      <w:pPr>
        <w:ind w:left="720"/>
        <w:rPr>
          <w:i/>
          <w:iCs/>
        </w:rPr>
      </w:pPr>
      <w:r w:rsidRPr="00DF3E36">
        <w:rPr>
          <w:i/>
          <w:iCs/>
        </w:rPr>
        <w:t xml:space="preserve">“And then Arthur gathered together what warriors there were in the Island </w:t>
      </w:r>
      <w:r w:rsidR="002359BD" w:rsidRPr="00DF3E36">
        <w:rPr>
          <w:i/>
          <w:iCs/>
        </w:rPr>
        <w:t>of Britain</w:t>
      </w:r>
      <w:r w:rsidRPr="00DF3E36">
        <w:rPr>
          <w:i/>
          <w:iCs/>
        </w:rPr>
        <w:t xml:space="preserve"> and its three adjacent islands, and what there were in France, and Brittany and Normandy and the Summer Country”</w:t>
      </w:r>
      <w:r w:rsidR="00363B5B" w:rsidRPr="00DF3E36">
        <w:rPr>
          <w:rStyle w:val="FootnoteReference"/>
        </w:rPr>
        <w:footnoteReference w:id="44"/>
      </w:r>
    </w:p>
    <w:p w14:paraId="7A29FD1F" w14:textId="4E691590" w:rsidR="00A94146" w:rsidRPr="00DF3E36" w:rsidRDefault="00A94146" w:rsidP="009C2610">
      <w:pPr>
        <w:pStyle w:val="Heading2"/>
      </w:pPr>
      <w:r w:rsidRPr="00DF3E36">
        <w:lastRenderedPageBreak/>
        <w:t xml:space="preserve">Arthur’s </w:t>
      </w:r>
      <w:r w:rsidR="009C2610" w:rsidRPr="00DF3E36">
        <w:t>P</w:t>
      </w:r>
      <w:r w:rsidRPr="00DF3E36">
        <w:t xml:space="preserve">ortrayal in </w:t>
      </w:r>
      <w:r w:rsidR="009C2610" w:rsidRPr="00DF3E36">
        <w:t>O</w:t>
      </w:r>
      <w:r w:rsidRPr="00DF3E36">
        <w:t xml:space="preserve">ther </w:t>
      </w:r>
      <w:r w:rsidR="009C2610" w:rsidRPr="00DF3E36">
        <w:t>S</w:t>
      </w:r>
      <w:r w:rsidRPr="00DF3E36">
        <w:t>ources</w:t>
      </w:r>
    </w:p>
    <w:p w14:paraId="471B9AE5" w14:textId="77777777" w:rsidR="00A94146" w:rsidRPr="00DF3E36" w:rsidRDefault="00A94146" w:rsidP="00A94146">
      <w:r w:rsidRPr="00DF3E36">
        <w:t xml:space="preserve">To appreciate fully Arthur’s portrayal in </w:t>
      </w:r>
      <w:r w:rsidRPr="00DF3E36">
        <w:rPr>
          <w:i/>
          <w:iCs/>
        </w:rPr>
        <w:t>Culhwch and Olwen</w:t>
      </w:r>
      <w:r w:rsidRPr="00DF3E36">
        <w:t xml:space="preserve">, it is necessary to situate him within the wider corpus of medieval Welsh literature. Across historical, poetic and narrative sources, Arthur appears in multiple forms, reflecting shifting cultural, political and literary priorities. Comparison with these traditions highlights both the distinctiveness of </w:t>
      </w:r>
      <w:r w:rsidRPr="00DF3E36">
        <w:rPr>
          <w:i/>
          <w:iCs/>
        </w:rPr>
        <w:t>Culhwch and Olwen</w:t>
      </w:r>
      <w:r w:rsidRPr="00DF3E36">
        <w:t xml:space="preserve"> and the evolving construction of Arthurian identity in Wales.</w:t>
      </w:r>
    </w:p>
    <w:p w14:paraId="548E5D67" w14:textId="6CDFADDE" w:rsidR="00A94146" w:rsidRPr="00DF3E36" w:rsidRDefault="00A94146" w:rsidP="00A94146">
      <w:r w:rsidRPr="00DF3E36">
        <w:t xml:space="preserve">One of the earliest references to Arthur appears in the </w:t>
      </w:r>
      <w:r w:rsidRPr="00DF3E36">
        <w:rPr>
          <w:i/>
          <w:iCs/>
        </w:rPr>
        <w:t>Historia Brittonum</w:t>
      </w:r>
      <w:r w:rsidRPr="00DF3E36">
        <w:t xml:space="preserve">, where he is depicted as a </w:t>
      </w:r>
      <w:r w:rsidRPr="00DF3E36">
        <w:rPr>
          <w:i/>
          <w:iCs/>
        </w:rPr>
        <w:t>dux bellorum</w:t>
      </w:r>
      <w:r w:rsidRPr="00DF3E36">
        <w:t>, a military commander whose authority derives from battlefield success, particularly at Mount Badon.</w:t>
      </w:r>
      <w:r w:rsidR="002359BD" w:rsidRPr="00DF3E36">
        <w:rPr>
          <w:rStyle w:val="FootnoteReference"/>
        </w:rPr>
        <w:footnoteReference w:id="45"/>
      </w:r>
      <w:r w:rsidRPr="00DF3E36">
        <w:t xml:space="preserve"> </w:t>
      </w:r>
      <w:r w:rsidR="00A05DD2" w:rsidRPr="00DF3E36">
        <w:t>The mythical nature of the text portrays</w:t>
      </w:r>
      <w:r w:rsidRPr="00DF3E36">
        <w:t xml:space="preserve"> Arthur as a figure of martial leadership rather than social or mythic mediation. This contrasts sharply with </w:t>
      </w:r>
      <w:r w:rsidRPr="00DF3E36">
        <w:rPr>
          <w:i/>
          <w:iCs/>
        </w:rPr>
        <w:t>Culhwch and Olwen</w:t>
      </w:r>
      <w:r w:rsidRPr="00DF3E36">
        <w:t>, where Arthur operates in a mythologically saturated environment, directing quests that involve supernatural beings and symbolic challenges rather than strictly historical conflicts.</w:t>
      </w:r>
    </w:p>
    <w:p w14:paraId="42E7CC80" w14:textId="0FC36EEB" w:rsidR="00A94146" w:rsidRPr="00DF3E36" w:rsidRDefault="00A94146" w:rsidP="00A94146">
      <w:r w:rsidRPr="00DF3E36">
        <w:t xml:space="preserve">Welsh poetry further demonstrates the flexibility of Arthur’s character. In </w:t>
      </w:r>
      <w:r w:rsidRPr="00DF3E36">
        <w:rPr>
          <w:i/>
          <w:iCs/>
        </w:rPr>
        <w:t>Preiddeu Annwn</w:t>
      </w:r>
      <w:r w:rsidRPr="00DF3E36">
        <w:t>, Arthur leads a raid into the Otherworld, embodying liminality and supernatural authority.</w:t>
      </w:r>
      <w:r w:rsidR="00007E19" w:rsidRPr="00DF3E36">
        <w:rPr>
          <w:rStyle w:val="FootnoteReference"/>
        </w:rPr>
        <w:footnoteReference w:id="46"/>
      </w:r>
      <w:r w:rsidRPr="00DF3E36">
        <w:t xml:space="preserve"> This portrayal closely parallels </w:t>
      </w:r>
      <w:r w:rsidRPr="00DF3E36">
        <w:rPr>
          <w:i/>
          <w:iCs/>
        </w:rPr>
        <w:t>Culhwch and Olwen</w:t>
      </w:r>
      <w:r w:rsidRPr="00DF3E36">
        <w:t>, where Arthur mediates between human and otherworldly realms.</w:t>
      </w:r>
      <w:r w:rsidR="0014572A" w:rsidRPr="00DF3E36">
        <w:rPr>
          <w:rStyle w:val="FootnoteReference"/>
        </w:rPr>
        <w:footnoteReference w:id="47"/>
      </w:r>
      <w:r w:rsidR="00A05DD2" w:rsidRPr="00DF3E36">
        <w:t xml:space="preserve"> </w:t>
      </w:r>
    </w:p>
    <w:p w14:paraId="73BC693A" w14:textId="1829F117" w:rsidR="00A94146" w:rsidRPr="00DF3E36" w:rsidRDefault="00A94146" w:rsidP="00A94146">
      <w:r w:rsidRPr="00DF3E36">
        <w:t xml:space="preserve">The Four Branches of the </w:t>
      </w:r>
      <w:r w:rsidRPr="00DF3E36">
        <w:rPr>
          <w:i/>
          <w:iCs/>
        </w:rPr>
        <w:t>Mabinogi</w:t>
      </w:r>
      <w:r w:rsidRPr="00DF3E36">
        <w:t xml:space="preserve"> offer another point of contrast. Kings such as Bran and Math are morally complex and vulnerable to error, with their actions often producing unintended consequences.</w:t>
      </w:r>
      <w:r w:rsidR="00007E19" w:rsidRPr="00DF3E36">
        <w:rPr>
          <w:rStyle w:val="FootnoteReference"/>
        </w:rPr>
        <w:footnoteReference w:id="48"/>
      </w:r>
      <w:r w:rsidRPr="00DF3E36">
        <w:t xml:space="preserve"> Arthur in </w:t>
      </w:r>
      <w:r w:rsidRPr="00DF3E36">
        <w:rPr>
          <w:i/>
          <w:iCs/>
        </w:rPr>
        <w:t>Culhwch and Olwen</w:t>
      </w:r>
      <w:r w:rsidRPr="00DF3E36">
        <w:t>, however, differs markedly: he is consistently competent, generous and decisive. His authority is stable, suggesting that Welsh authors employed different models of kingship depending on narrative purpose. Arthur represents an idealised, relatable form of leadership, while the Four Branches focus more on addressing the costs and limitations of rule.</w:t>
      </w:r>
    </w:p>
    <w:p w14:paraId="7AFC54AA" w14:textId="40A999CD" w:rsidR="00A94146" w:rsidRPr="00DF3E36" w:rsidRDefault="00A94146" w:rsidP="00A94146">
      <w:r w:rsidRPr="00DF3E36">
        <w:t xml:space="preserve">As Roberts observes, Arthur </w:t>
      </w:r>
      <w:r w:rsidR="00A05DD2" w:rsidRPr="00DF3E36">
        <w:t xml:space="preserve">demonstrates </w:t>
      </w:r>
      <w:r w:rsidRPr="00DF3E36">
        <w:t>adaptability: he can lend heroic authority without dominating the narrative.</w:t>
      </w:r>
      <w:r w:rsidR="002359BD" w:rsidRPr="00DF3E36">
        <w:rPr>
          <w:rStyle w:val="FootnoteReference"/>
        </w:rPr>
        <w:footnoteReference w:id="49"/>
      </w:r>
      <w:r w:rsidRPr="00DF3E36">
        <w:t xml:space="preserve"> </w:t>
      </w:r>
      <w:r w:rsidRPr="00DF3E36">
        <w:rPr>
          <w:i/>
          <w:iCs/>
        </w:rPr>
        <w:t>Culhwch and Olwen</w:t>
      </w:r>
      <w:r w:rsidRPr="00DF3E36">
        <w:t xml:space="preserve"> reflects a similar balance. Although Arthur is central to organising processes, he does not complete the quest himself, allowing Culhwch to remain the protagonist while preserving Arthur’s narrative supremacy as facilitator and guarantor.</w:t>
      </w:r>
    </w:p>
    <w:p w14:paraId="63CF39E4" w14:textId="6E72DA9F" w:rsidR="00675E8B" w:rsidRPr="00DF3E36" w:rsidRDefault="00A94146" w:rsidP="00E6120D">
      <w:r w:rsidRPr="00DF3E36">
        <w:lastRenderedPageBreak/>
        <w:t xml:space="preserve">Later texts such as </w:t>
      </w:r>
      <w:r w:rsidRPr="00DF3E36">
        <w:rPr>
          <w:i/>
          <w:iCs/>
        </w:rPr>
        <w:t>The Dream of Rhonabwy</w:t>
      </w:r>
      <w:r w:rsidRPr="00DF3E36">
        <w:t xml:space="preserve"> present a nostalgic, ceremonial Arthur, distant from action and embedded in reflection rather than heroic immediacy. In contrast, </w:t>
      </w:r>
      <w:r w:rsidRPr="00DF3E36">
        <w:rPr>
          <w:i/>
          <w:iCs/>
        </w:rPr>
        <w:t>Culhwch and Olwen</w:t>
      </w:r>
      <w:r w:rsidRPr="00DF3E36">
        <w:t xml:space="preserve"> celebrates an earlier and more adaptive conception of heroism by emphasising vitality, humour and supernatural engagement.</w:t>
      </w:r>
      <w:r w:rsidR="00007E19" w:rsidRPr="00DF3E36">
        <w:rPr>
          <w:rStyle w:val="FootnoteReference"/>
        </w:rPr>
        <w:footnoteReference w:id="50"/>
      </w:r>
    </w:p>
    <w:p w14:paraId="2435EC26" w14:textId="505FDDCC" w:rsidR="009C2610" w:rsidRPr="00DF3E36" w:rsidRDefault="002E04EA" w:rsidP="009C2610">
      <w:pPr>
        <w:pStyle w:val="Heading2"/>
      </w:pPr>
      <w:r w:rsidRPr="00DF3E36">
        <w:t>Conclusion</w:t>
      </w:r>
    </w:p>
    <w:p w14:paraId="4AEDD537" w14:textId="724B0BF0" w:rsidR="00FD27AE" w:rsidRPr="00DF3E36" w:rsidRDefault="00FD27AE" w:rsidP="00FD27AE">
      <w:r w:rsidRPr="00DF3E36">
        <w:t xml:space="preserve">The portrayal of King Arthur in </w:t>
      </w:r>
      <w:r w:rsidRPr="00DF3E36">
        <w:rPr>
          <w:i/>
          <w:iCs/>
        </w:rPr>
        <w:t>Culhwch and Olwen</w:t>
      </w:r>
      <w:r w:rsidRPr="00DF3E36">
        <w:t xml:space="preserve"> represents one of the most culturally resonant depictions within medieval Welsh literature. Unlike the moralised, courtly kings of later continental romance, this Arthur embodies an older model of kingship rooted in kinship</w:t>
      </w:r>
      <w:r w:rsidR="00DE52A5" w:rsidRPr="00DF3E36">
        <w:t>,</w:t>
      </w:r>
      <w:r w:rsidRPr="00DF3E36">
        <w:t xml:space="preserve"> heroism and mythic power. He </w:t>
      </w:r>
      <w:r w:rsidR="00BC3B8A" w:rsidRPr="00DF3E36">
        <w:t>is</w:t>
      </w:r>
      <w:r w:rsidRPr="00DF3E36">
        <w:t xml:space="preserve"> not merely</w:t>
      </w:r>
      <w:r w:rsidR="00BC3B8A" w:rsidRPr="00DF3E36">
        <w:t xml:space="preserve"> portrayed</w:t>
      </w:r>
      <w:r w:rsidRPr="00DF3E36">
        <w:t xml:space="preserve"> as a narrative focal point but as a cultural symbol who mediates between human and supernatural realms and provides a framework for the enactment </w:t>
      </w:r>
      <w:r w:rsidR="009A0FBE" w:rsidRPr="00DF3E36">
        <w:t>of cultural expectations</w:t>
      </w:r>
    </w:p>
    <w:p w14:paraId="21196C62" w14:textId="3F801193" w:rsidR="00FD27AE" w:rsidRPr="00DF3E36" w:rsidRDefault="00FD27AE" w:rsidP="00FD27AE">
      <w:r w:rsidRPr="00DF3E36">
        <w:t xml:space="preserve">From the outset, Arthur’s authority is established through kinship obligation. Culhwch’s appeal activates a culturally intelligible system of relational responsibility, compelling Arthur to mobilise his retinue and facilitate the quest. This model reflects the ethical and legal expectations of medieval Welsh society, as </w:t>
      </w:r>
      <w:r w:rsidR="00F15D4C" w:rsidRPr="00DF3E36">
        <w:t>stated</w:t>
      </w:r>
      <w:r w:rsidRPr="00DF3E36">
        <w:t xml:space="preserve"> in </w:t>
      </w:r>
      <w:r w:rsidRPr="00DF3E36">
        <w:rPr>
          <w:i/>
          <w:iCs/>
        </w:rPr>
        <w:t>Cyfraith Hywel</w:t>
      </w:r>
      <w:r w:rsidRPr="00DF3E36">
        <w:t>, where rulers were bound by honour, kinship and social obligation rather than institutional hierarchy. Arthur’s leadership is thus relational and collaborative, grounded in trust, loyalty and the coordination of exceptional individuals rather than feudal command.</w:t>
      </w:r>
      <w:r w:rsidR="00DB4396" w:rsidRPr="00DF3E36">
        <w:t xml:space="preserve"> </w:t>
      </w:r>
    </w:p>
    <w:p w14:paraId="675FB76D" w14:textId="0F1EA21B" w:rsidR="00FD27AE" w:rsidRPr="00DF3E36" w:rsidRDefault="00FD27AE" w:rsidP="00FD27AE">
      <w:r w:rsidRPr="00DF3E36">
        <w:t xml:space="preserve">Arthur’s court at Celliwig </w:t>
      </w:r>
      <w:r w:rsidR="00BC3B8A" w:rsidRPr="00DF3E36">
        <w:t>is used</w:t>
      </w:r>
      <w:r w:rsidRPr="00DF3E36">
        <w:t xml:space="preserve"> as a social and mythological nexus in which human, heroic and supernatural realms intersect. The extraordinary abilities of his companions, hunters, shape-shifters, warriors and magicians, reflect the breadth of Arthur’s authority and the nature of heroism in the tale. The court’s lively atmosphere, marked by humour, digression and spectacle, presents a model of leadership that balances authority with approachability and grandeur with vitality. Arthur emerges as a heroic ideal encompassing martial prowess, stewardship and social coordination.</w:t>
      </w:r>
    </w:p>
    <w:p w14:paraId="5E0CC9E8" w14:textId="1B210D60" w:rsidR="00FD27AE" w:rsidRPr="00DF3E36" w:rsidRDefault="00FD27AE" w:rsidP="00FD27AE">
      <w:r w:rsidRPr="00DF3E36">
        <w:t xml:space="preserve">The episodic quest structure further underscores Arthur’s cultural role. While Culhwch undertakes the physical challenges, Arthur orchestrates </w:t>
      </w:r>
      <w:r w:rsidR="00DE52A5" w:rsidRPr="00DF3E36">
        <w:t>collaborative</w:t>
      </w:r>
      <w:r w:rsidRPr="00DF3E36">
        <w:t xml:space="preserve"> action, mediates ethical concerns and ensures adherence to social norms. Each task highlights values central to medieval Welsh society, courage, ingenuity, loyalty and moral responsibility, while reinforcing Arthur’s </w:t>
      </w:r>
      <w:r w:rsidR="00BC3B8A" w:rsidRPr="00DF3E36">
        <w:t>position</w:t>
      </w:r>
      <w:r w:rsidRPr="00DF3E36">
        <w:t xml:space="preserve"> as both narrative anchor and cultural exemplar. His authority lies not in direct action alone but in his capacity to enable, coordinate and legitimise heroic endeavour.</w:t>
      </w:r>
    </w:p>
    <w:p w14:paraId="2BAAA60B" w14:textId="0179C7FB" w:rsidR="00FD27AE" w:rsidRPr="00DF3E36" w:rsidRDefault="00FD27AE" w:rsidP="00FD27AE">
      <w:r w:rsidRPr="00DF3E36">
        <w:t xml:space="preserve">Comparative analysis emphasises the distinctiveness of this portrayal. Earlier sources such as </w:t>
      </w:r>
      <w:r w:rsidRPr="00DF3E36">
        <w:rPr>
          <w:i/>
          <w:iCs/>
        </w:rPr>
        <w:t>Historia Brittonum</w:t>
      </w:r>
      <w:r w:rsidRPr="00DF3E36">
        <w:t xml:space="preserve"> foreground Arthur as a military commander, while poems like </w:t>
      </w:r>
      <w:r w:rsidRPr="00DF3E36">
        <w:rPr>
          <w:i/>
          <w:iCs/>
        </w:rPr>
        <w:t>Preiddeu Annwn</w:t>
      </w:r>
      <w:r w:rsidRPr="00DF3E36">
        <w:t xml:space="preserve"> and </w:t>
      </w:r>
      <w:r w:rsidRPr="00DF3E36">
        <w:rPr>
          <w:i/>
          <w:iCs/>
        </w:rPr>
        <w:t>Pa Gur</w:t>
      </w:r>
      <w:r w:rsidRPr="00DF3E36">
        <w:t xml:space="preserve"> emphasise liminality or individual companions. Later texts, such as </w:t>
      </w:r>
      <w:r w:rsidRPr="00DF3E36">
        <w:rPr>
          <w:i/>
          <w:iCs/>
        </w:rPr>
        <w:t>The Dream of Rhonabwy</w:t>
      </w:r>
      <w:r w:rsidRPr="00DF3E36">
        <w:t xml:space="preserve">, present a distant and ceremonial Arthur. </w:t>
      </w:r>
      <w:r w:rsidRPr="00DF3E36">
        <w:rPr>
          <w:i/>
          <w:iCs/>
        </w:rPr>
        <w:lastRenderedPageBreak/>
        <w:t>Culhwch and Olwen</w:t>
      </w:r>
      <w:r w:rsidRPr="00DF3E36">
        <w:t xml:space="preserve">, by contrast, </w:t>
      </w:r>
      <w:r w:rsidR="002949EB" w:rsidRPr="00DF3E36">
        <w:t>merges</w:t>
      </w:r>
      <w:r w:rsidRPr="00DF3E36">
        <w:t xml:space="preserve"> these traditions into a mythologically integrated figure whose authority operates across social and supernatural spheres.</w:t>
      </w:r>
    </w:p>
    <w:p w14:paraId="4CB0C8E4" w14:textId="3043D356" w:rsidR="00FD27AE" w:rsidRPr="00DF3E36" w:rsidRDefault="00FD27AE" w:rsidP="00FD27AE">
      <w:r w:rsidRPr="00DF3E36">
        <w:t xml:space="preserve">The tale’s oral storytelling techniques, catalogues, humour, exaggeration and digression, further humanise Arthur and reinforce his cultural accessibility. Composed during a period of political consolidation and external pressure in Wales, the narrative asserts a </w:t>
      </w:r>
      <w:r w:rsidR="009A0FBE" w:rsidRPr="00DF3E36">
        <w:t xml:space="preserve">characteristically </w:t>
      </w:r>
      <w:r w:rsidRPr="00DF3E36">
        <w:t xml:space="preserve">Welsh identity. Arthur functions as a symbol of continuity and resistance, embodying native sovereignty and cultural memory while remaining grounded in </w:t>
      </w:r>
      <w:r w:rsidR="00DE52A5" w:rsidRPr="00DF3E36">
        <w:t>moral</w:t>
      </w:r>
      <w:r w:rsidRPr="00DF3E36">
        <w:t xml:space="preserve"> and social norms.</w:t>
      </w:r>
    </w:p>
    <w:p w14:paraId="3517A4F3" w14:textId="350F44D6" w:rsidR="00FD27AE" w:rsidRPr="00DF3E36" w:rsidRDefault="003E70B1" w:rsidP="00FD27AE">
      <w:r w:rsidRPr="00DF3E36">
        <w:t>The</w:t>
      </w:r>
      <w:r w:rsidR="00FD27AE" w:rsidRPr="00DF3E36">
        <w:t xml:space="preserve"> Arthur of </w:t>
      </w:r>
      <w:r w:rsidR="00FD27AE" w:rsidRPr="00DF3E36">
        <w:rPr>
          <w:i/>
          <w:iCs/>
        </w:rPr>
        <w:t>Culhwch and Olwen</w:t>
      </w:r>
      <w:r w:rsidR="00FD27AE" w:rsidRPr="00DF3E36">
        <w:t xml:space="preserve"> is a figure of integration, uniting mythic inheritance with contemporary social ideals and </w:t>
      </w:r>
      <w:r w:rsidR="00DE52A5" w:rsidRPr="00DF3E36">
        <w:t>group fortitude</w:t>
      </w:r>
      <w:r w:rsidR="00FD27AE" w:rsidRPr="00DF3E36">
        <w:t>. He is not merely a legendary king or historical commander but a liminal mediator whose authority spans human, social and supernatural realms. This portrayal offers a vivid and enduring vision of heroic leadership and remains one of the most compelling expressions of Arthurian tradition in medieval Welsh literature.</w:t>
      </w:r>
    </w:p>
    <w:p w14:paraId="0DEF20CD" w14:textId="77777777" w:rsidR="002359BD" w:rsidRPr="00DF3E36" w:rsidRDefault="002359BD" w:rsidP="00FD27AE"/>
    <w:p w14:paraId="049CF3DD" w14:textId="77777777" w:rsidR="00EE2299" w:rsidRPr="00DF3E36" w:rsidRDefault="00EE2299" w:rsidP="0014572A">
      <w:pPr>
        <w:pStyle w:val="Heading1"/>
      </w:pPr>
      <w:r w:rsidRPr="00DF3E36">
        <w:t>Bibliography</w:t>
      </w:r>
    </w:p>
    <w:p w14:paraId="129D8557" w14:textId="77777777" w:rsidR="00DF3E36" w:rsidRPr="00DF3E36" w:rsidRDefault="00DF3E36" w:rsidP="00DF3E36">
      <w:pPr>
        <w:ind w:left="720" w:hanging="720"/>
      </w:pPr>
      <w:r w:rsidRPr="00DF3E36">
        <w:t>Adderley, Mark, ‘Singing to the Silent Sentinel: ‘</w:t>
      </w:r>
      <w:proofErr w:type="spellStart"/>
      <w:r w:rsidRPr="00DF3E36">
        <w:t>Preddeu</w:t>
      </w:r>
      <w:proofErr w:type="spellEnd"/>
      <w:r w:rsidRPr="00DF3E36">
        <w:t xml:space="preserve"> Annwn’ and the Oral Tradition’, </w:t>
      </w:r>
      <w:r w:rsidRPr="00DF3E36">
        <w:rPr>
          <w:i/>
          <w:iCs/>
        </w:rPr>
        <w:t>The Review of English Studies</w:t>
      </w:r>
      <w:r w:rsidRPr="00DF3E36">
        <w:t>, 60.244 (2009) 175-93 &lt;http://www.jstor.org/stable/40267537&gt; [Accessed 16 December 2025]</w:t>
      </w:r>
    </w:p>
    <w:p w14:paraId="211B9E4E" w14:textId="77777777" w:rsidR="00DF3E36" w:rsidRPr="00DF3E36" w:rsidRDefault="00DF3E36" w:rsidP="00DF3E36">
      <w:pPr>
        <w:ind w:left="720" w:hanging="720"/>
      </w:pPr>
      <w:r w:rsidRPr="00DF3E36">
        <w:t xml:space="preserve">Bromwich, Rachel and others, </w:t>
      </w:r>
      <w:r w:rsidRPr="00DF3E36">
        <w:rPr>
          <w:i/>
          <w:iCs/>
        </w:rPr>
        <w:t xml:space="preserve">Arthur in the Celtic Languages: The Arthurian Legend in Celtic Literatures </w:t>
      </w:r>
      <w:r w:rsidRPr="00DF3E36">
        <w:t>(Cardiff: University of Wales Press, 2019)</w:t>
      </w:r>
    </w:p>
    <w:p w14:paraId="5EDFF2A1" w14:textId="77777777" w:rsidR="00DF3E36" w:rsidRPr="00DF3E36" w:rsidRDefault="00DF3E36" w:rsidP="00DF3E36">
      <w:pPr>
        <w:ind w:left="720" w:hanging="720"/>
      </w:pPr>
      <w:r w:rsidRPr="00DF3E36">
        <w:t xml:space="preserve">Cartwright, Jane, </w:t>
      </w:r>
      <w:r w:rsidRPr="00DF3E36">
        <w:rPr>
          <w:i/>
          <w:iCs/>
        </w:rPr>
        <w:t>The Laws of Hywel Dda</w:t>
      </w:r>
      <w:r w:rsidRPr="00DF3E36">
        <w:t xml:space="preserve"> [PowerPoint] </w:t>
      </w:r>
      <w:r w:rsidRPr="00DF3E36">
        <w:rPr>
          <w:i/>
          <w:iCs/>
        </w:rPr>
        <w:t>HPCS5019:Medieval Prose in Wales</w:t>
      </w:r>
      <w:r w:rsidRPr="00DF3E36">
        <w:t>. (The University of Wales, 2025)</w:t>
      </w:r>
    </w:p>
    <w:p w14:paraId="196C3A14" w14:textId="77777777" w:rsidR="001E0E84" w:rsidRPr="00DF3E36" w:rsidRDefault="001E0E84" w:rsidP="00DF3E36">
      <w:pPr>
        <w:ind w:left="720" w:hanging="720"/>
      </w:pPr>
      <w:r w:rsidRPr="00DF3E36">
        <w:t xml:space="preserve">Charles-Edwards, Thomas, ‘The Arthur of History’, in </w:t>
      </w:r>
      <w:r w:rsidRPr="00DF3E36">
        <w:rPr>
          <w:i/>
          <w:iCs/>
        </w:rPr>
        <w:t>The Arthur of the Welsh</w:t>
      </w:r>
      <w:r w:rsidRPr="00DF3E36">
        <w:t xml:space="preserve"> (Cardiff: University of Wales Press, 1991)</w:t>
      </w:r>
    </w:p>
    <w:p w14:paraId="6A17C147" w14:textId="77777777" w:rsidR="00DF3E36" w:rsidRPr="00DF3E36" w:rsidRDefault="00DF3E36" w:rsidP="00DF3E36">
      <w:pPr>
        <w:ind w:left="720" w:hanging="720"/>
      </w:pPr>
      <w:r w:rsidRPr="00DF3E36">
        <w:t xml:space="preserve">Charles-Edwards, Thomas and others, </w:t>
      </w:r>
      <w:r w:rsidRPr="00DF3E36">
        <w:rPr>
          <w:i/>
          <w:iCs/>
        </w:rPr>
        <w:t>The Welsh King and his Court</w:t>
      </w:r>
      <w:r w:rsidRPr="00DF3E36">
        <w:t xml:space="preserve"> (Cardiff: University of Wales Press, 2000)</w:t>
      </w:r>
    </w:p>
    <w:p w14:paraId="67FCDF30" w14:textId="77777777" w:rsidR="001E0E84" w:rsidRPr="00DF3E36" w:rsidRDefault="001E0E84" w:rsidP="00DF3E36">
      <w:pPr>
        <w:ind w:left="720" w:hanging="720"/>
      </w:pPr>
      <w:r w:rsidRPr="00DF3E36">
        <w:t xml:space="preserve">Dumville, D. N., ‘”Nennius” and the </w:t>
      </w:r>
      <w:r w:rsidRPr="00DF3E36">
        <w:rPr>
          <w:i/>
          <w:iCs/>
        </w:rPr>
        <w:t>Historia Brittonum</w:t>
      </w:r>
      <w:r w:rsidRPr="00DF3E36">
        <w:t xml:space="preserve">’, </w:t>
      </w:r>
      <w:r w:rsidRPr="00DF3E36">
        <w:rPr>
          <w:i/>
          <w:iCs/>
        </w:rPr>
        <w:t>Studia Celtica</w:t>
      </w:r>
      <w:r w:rsidRPr="00DF3E36">
        <w:t>, 10-11 (1975-76), 78-95</w:t>
      </w:r>
    </w:p>
    <w:p w14:paraId="6B0B310A" w14:textId="77777777" w:rsidR="001E0E84" w:rsidRPr="00DF3E36" w:rsidRDefault="001E0E84" w:rsidP="00DF3E36">
      <w:pPr>
        <w:ind w:left="720" w:hanging="720"/>
      </w:pPr>
      <w:r w:rsidRPr="00DF3E36">
        <w:t xml:space="preserve">Dumville, D. N., ‘Celtic-Latin Texts in Northern England, c. 1150-c. 1250’, </w:t>
      </w:r>
      <w:r w:rsidRPr="00DF3E36">
        <w:rPr>
          <w:i/>
          <w:iCs/>
        </w:rPr>
        <w:t>Studia Celtica</w:t>
      </w:r>
      <w:r w:rsidRPr="00DF3E36">
        <w:t>, 12 (1977), 19-49</w:t>
      </w:r>
    </w:p>
    <w:p w14:paraId="534A7BFC" w14:textId="77777777" w:rsidR="00DF3E36" w:rsidRPr="00DF3E36" w:rsidRDefault="00DF3E36" w:rsidP="00DF3E36">
      <w:pPr>
        <w:ind w:left="720" w:hanging="720"/>
      </w:pPr>
      <w:r w:rsidRPr="00DF3E36">
        <w:t xml:space="preserve">Geoffrey of Monmouth, </w:t>
      </w:r>
      <w:r w:rsidRPr="00DF3E36">
        <w:rPr>
          <w:i/>
          <w:iCs/>
        </w:rPr>
        <w:t>History of the Kings of Britain</w:t>
      </w:r>
      <w:r w:rsidRPr="00DF3E36">
        <w:t>, trans. by Lewis Thorpe (London: Penguin Group, 1966)</w:t>
      </w:r>
    </w:p>
    <w:p w14:paraId="6C53B123" w14:textId="77777777" w:rsidR="00DF3E36" w:rsidRPr="00DF3E36" w:rsidRDefault="00DF3E36" w:rsidP="00DF3E36">
      <w:pPr>
        <w:ind w:left="720" w:hanging="720"/>
      </w:pPr>
      <w:r w:rsidRPr="00DF3E36">
        <w:t xml:space="preserve">Gregory, Donald, </w:t>
      </w:r>
      <w:r w:rsidRPr="00DF3E36">
        <w:rPr>
          <w:i/>
          <w:iCs/>
        </w:rPr>
        <w:t>Wales Before 1066</w:t>
      </w:r>
      <w:r w:rsidRPr="00DF3E36">
        <w:t xml:space="preserve"> (Llanrwst: </w:t>
      </w:r>
      <w:proofErr w:type="spellStart"/>
      <w:r w:rsidRPr="00DF3E36">
        <w:t>Gwasg</w:t>
      </w:r>
      <w:proofErr w:type="spellEnd"/>
      <w:r w:rsidRPr="00DF3E36">
        <w:t xml:space="preserve"> Carreg Gwalch, 2018) </w:t>
      </w:r>
    </w:p>
    <w:p w14:paraId="27654F76" w14:textId="77777777" w:rsidR="001E0E84" w:rsidRPr="00DF3E36" w:rsidRDefault="001E0E84" w:rsidP="00DF3E36">
      <w:pPr>
        <w:ind w:left="720" w:hanging="720"/>
      </w:pPr>
      <w:r w:rsidRPr="00DF3E36">
        <w:lastRenderedPageBreak/>
        <w:t xml:space="preserve">Haycock, Marged, ‘”Preiddeu Annwn” and the Figure of Taliesin’, </w:t>
      </w:r>
      <w:r w:rsidRPr="00DF3E36">
        <w:rPr>
          <w:i/>
          <w:iCs/>
        </w:rPr>
        <w:t>Studia Celtica</w:t>
      </w:r>
      <w:r w:rsidRPr="00DF3E36">
        <w:t>, 18-19 (1983-84), 60-77</w:t>
      </w:r>
    </w:p>
    <w:p w14:paraId="130068DA" w14:textId="77777777" w:rsidR="00DF3E36" w:rsidRPr="00DF3E36" w:rsidRDefault="00DF3E36" w:rsidP="00DF3E36">
      <w:pPr>
        <w:ind w:left="720" w:hanging="720"/>
      </w:pPr>
      <w:r w:rsidRPr="00DF3E36">
        <w:t xml:space="preserve">Jenner, Greg, </w:t>
      </w:r>
      <w:r w:rsidRPr="00DF3E36">
        <w:rPr>
          <w:i/>
          <w:iCs/>
        </w:rPr>
        <w:t>Legends of King Arthur: from medieval literature to modern myth</w:t>
      </w:r>
      <w:r w:rsidRPr="00DF3E36">
        <w:t xml:space="preserve"> [podcast], Spotify, You’re Dead to Me, 6 June 2025 &lt;https://open.spotify.com/episode/1aQGBdRdBCYNjREXNFSzTs&gt; [Accessed 10 December 2025]</w:t>
      </w:r>
    </w:p>
    <w:p w14:paraId="7EC97F62" w14:textId="77777777" w:rsidR="00DF3E36" w:rsidRPr="00DF3E36" w:rsidRDefault="00DF3E36" w:rsidP="00DF3E36">
      <w:pPr>
        <w:ind w:left="720" w:hanging="720"/>
      </w:pPr>
      <w:r w:rsidRPr="00DF3E36">
        <w:t xml:space="preserve">Malory, Thomas, </w:t>
      </w:r>
      <w:r w:rsidRPr="00DF3E36">
        <w:rPr>
          <w:i/>
          <w:iCs/>
        </w:rPr>
        <w:t>Tales of King Arthur</w:t>
      </w:r>
      <w:r w:rsidRPr="00DF3E36">
        <w:t>, trans. by Michael Senior (London: William Collins Sons and Co. Ltd., 1980)</w:t>
      </w:r>
    </w:p>
    <w:p w14:paraId="282B8869" w14:textId="77777777" w:rsidR="00DF3E36" w:rsidRPr="00DF3E36" w:rsidRDefault="00DF3E36" w:rsidP="00DF3E36">
      <w:pPr>
        <w:ind w:left="720" w:hanging="720"/>
      </w:pPr>
      <w:r w:rsidRPr="00DF3E36">
        <w:t xml:space="preserve">Nennius, </w:t>
      </w:r>
      <w:r w:rsidRPr="00DF3E36">
        <w:rPr>
          <w:i/>
          <w:iCs/>
        </w:rPr>
        <w:t>Historia Brittonum</w:t>
      </w:r>
      <w:r w:rsidRPr="00DF3E36">
        <w:t>, trans. by J. A. Giles (Project Gutenberg, 2006), &lt;https://www.gutenberg.org/files/1972/1972-h/1972-h.htm&gt; [Accessed 16 December 2025]</w:t>
      </w:r>
    </w:p>
    <w:p w14:paraId="00D2D356" w14:textId="77777777" w:rsidR="00DF3E36" w:rsidRPr="00DF3E36" w:rsidRDefault="00DF3E36" w:rsidP="00DF3E36">
      <w:pPr>
        <w:ind w:left="720" w:hanging="720"/>
      </w:pPr>
      <w:r w:rsidRPr="00DF3E36">
        <w:t xml:space="preserve">Owen, Morfydd E. and others, </w:t>
      </w:r>
      <w:r w:rsidRPr="00DF3E36">
        <w:rPr>
          <w:i/>
          <w:iCs/>
        </w:rPr>
        <w:t>The Welsh Law of Women</w:t>
      </w:r>
      <w:r w:rsidRPr="00DF3E36">
        <w:t xml:space="preserve"> (Cardiff: University of Wales Press, 1980)</w:t>
      </w:r>
    </w:p>
    <w:p w14:paraId="4AB7D9B6" w14:textId="77777777" w:rsidR="00DF3E36" w:rsidRPr="00DF3E36" w:rsidRDefault="00DF3E36" w:rsidP="00DF3E36">
      <w:pPr>
        <w:ind w:left="720" w:hanging="720"/>
      </w:pPr>
      <w:r w:rsidRPr="00DF3E36">
        <w:t xml:space="preserve">Padel, O. J., </w:t>
      </w:r>
      <w:r w:rsidRPr="00DF3E36">
        <w:rPr>
          <w:i/>
          <w:iCs/>
        </w:rPr>
        <w:t>Arthur in Medieval Welsh Literature</w:t>
      </w:r>
      <w:r w:rsidRPr="00DF3E36">
        <w:t>, 2</w:t>
      </w:r>
      <w:r w:rsidRPr="00DF3E36">
        <w:rPr>
          <w:vertAlign w:val="superscript"/>
        </w:rPr>
        <w:t>nd</w:t>
      </w:r>
      <w:r w:rsidRPr="00DF3E36">
        <w:t xml:space="preserve"> edn. (Cardiff: University of Wales Press, 2013)</w:t>
      </w:r>
    </w:p>
    <w:p w14:paraId="5E64AB46" w14:textId="77777777" w:rsidR="00DF3E36" w:rsidRPr="00DF3E36" w:rsidRDefault="00DF3E36" w:rsidP="00DF3E36">
      <w:pPr>
        <w:ind w:left="720" w:hanging="720"/>
      </w:pPr>
      <w:r w:rsidRPr="00DF3E36">
        <w:t xml:space="preserve">Padel, O.J., ‘The Nature of Arthur’, </w:t>
      </w:r>
      <w:r w:rsidRPr="00DF3E36">
        <w:rPr>
          <w:i/>
          <w:iCs/>
        </w:rPr>
        <w:t>Cambrian Medieval Celtic Studies</w:t>
      </w:r>
      <w:r w:rsidRPr="00DF3E36">
        <w:t>, 27 (1994) 1-31</w:t>
      </w:r>
    </w:p>
    <w:p w14:paraId="41720E95" w14:textId="77777777" w:rsidR="00DF3E36" w:rsidRPr="00DF3E36" w:rsidRDefault="00DF3E36" w:rsidP="00DF3E36">
      <w:pPr>
        <w:ind w:left="720" w:hanging="720"/>
      </w:pPr>
      <w:r w:rsidRPr="00DF3E36">
        <w:t xml:space="preserve">Piquemal, Catherine, ‘’Culhwch and Olwen’: A Structured Portrayal of Arthur?’, </w:t>
      </w:r>
      <w:r w:rsidRPr="00DF3E36">
        <w:rPr>
          <w:i/>
          <w:iCs/>
        </w:rPr>
        <w:t>Arthuriana</w:t>
      </w:r>
      <w:r w:rsidRPr="00DF3E36">
        <w:t>, 10.3 (2000), 7-26 &lt;http://www.jstor.org/stable/27869561&gt; [Accessed 16 December 2025]</w:t>
      </w:r>
    </w:p>
    <w:p w14:paraId="54CC5643" w14:textId="77777777" w:rsidR="00DF3E36" w:rsidRPr="00DF3E36" w:rsidRDefault="00DF3E36" w:rsidP="00DF3E36">
      <w:pPr>
        <w:ind w:left="720" w:hanging="720"/>
      </w:pPr>
      <w:r w:rsidRPr="00DF3E36">
        <w:t xml:space="preserve">Pryce, Huw, </w:t>
      </w:r>
      <w:r w:rsidRPr="00DF3E36">
        <w:rPr>
          <w:i/>
          <w:iCs/>
        </w:rPr>
        <w:t>Native Law and the Church in Medieval Wales</w:t>
      </w:r>
      <w:r w:rsidRPr="00DF3E36">
        <w:t xml:space="preserve"> (Oxford: Oxford University Press, 1993)</w:t>
      </w:r>
    </w:p>
    <w:p w14:paraId="285A19E1" w14:textId="77777777" w:rsidR="00DF3E36" w:rsidRPr="00DF3E36" w:rsidRDefault="00DF3E36" w:rsidP="00DF3E36">
      <w:pPr>
        <w:ind w:left="720" w:hanging="720"/>
      </w:pPr>
      <w:r w:rsidRPr="00DF3E36">
        <w:t xml:space="preserve">Roberts, B. F., ‘Culhwch ac Olwen, the Triads, Saints’ Lives’, in </w:t>
      </w:r>
      <w:r w:rsidRPr="00DF3E36">
        <w:rPr>
          <w:i/>
          <w:iCs/>
        </w:rPr>
        <w:t>The Arthur of the Welsh: the Arthurian Legend in Medieval Welsh Literature</w:t>
      </w:r>
      <w:r w:rsidRPr="00DF3E36">
        <w:t xml:space="preserve"> (Cardiff: University of Wales Press, 1991)</w:t>
      </w:r>
    </w:p>
    <w:p w14:paraId="7C4B4531" w14:textId="77777777" w:rsidR="00DF3E36" w:rsidRPr="00DF3E36" w:rsidRDefault="00DF3E36" w:rsidP="00DF3E36">
      <w:pPr>
        <w:ind w:left="720" w:hanging="720"/>
      </w:pPr>
      <w:r w:rsidRPr="00DF3E36">
        <w:t xml:space="preserve">Roberts, Sara Elin, </w:t>
      </w:r>
      <w:r w:rsidRPr="00DF3E36">
        <w:rPr>
          <w:i/>
          <w:iCs/>
        </w:rPr>
        <w:t>Cyfraith Hywel</w:t>
      </w:r>
      <w:r w:rsidRPr="00DF3E36">
        <w:t xml:space="preserve"> &lt;https://www.cyfraith-hywel.org.uk/&gt; [Accessed 16 December 2025]</w:t>
      </w:r>
    </w:p>
    <w:p w14:paraId="1993221D" w14:textId="77777777" w:rsidR="00DF3E36" w:rsidRPr="00DF3E36" w:rsidRDefault="00DF3E36" w:rsidP="00DF3E36">
      <w:pPr>
        <w:ind w:left="720" w:hanging="720"/>
      </w:pPr>
      <w:r w:rsidRPr="00DF3E36">
        <w:t xml:space="preserve">Sheehan, Sarah, ‘Giants, Boar-Hunts and Barbering: Masculinity in Culhwch Ac Olwen.’, </w:t>
      </w:r>
      <w:r w:rsidRPr="00DF3E36">
        <w:rPr>
          <w:i/>
          <w:iCs/>
        </w:rPr>
        <w:t>Arthuriana</w:t>
      </w:r>
      <w:r w:rsidRPr="00DF3E36">
        <w:t xml:space="preserve">, 15.3 (2005) 3-25 </w:t>
      </w:r>
    </w:p>
    <w:p w14:paraId="74A61B09" w14:textId="77777777" w:rsidR="001E0E84" w:rsidRPr="00DF3E36" w:rsidRDefault="001E0E84" w:rsidP="00DF3E36">
      <w:pPr>
        <w:ind w:left="720" w:hanging="720"/>
      </w:pPr>
      <w:r w:rsidRPr="00DF3E36">
        <w:rPr>
          <w:i/>
          <w:iCs/>
        </w:rPr>
        <w:t>The Law of Hywel Dda</w:t>
      </w:r>
      <w:r w:rsidRPr="00DF3E36">
        <w:t>, trans. by Dafydd Jenkins (Llandysul: Gomer Press, 1986)</w:t>
      </w:r>
    </w:p>
    <w:p w14:paraId="4388FA0C" w14:textId="77777777" w:rsidR="00DF3E36" w:rsidRDefault="00DF3E36" w:rsidP="00DF3E36">
      <w:pPr>
        <w:ind w:left="720" w:hanging="720"/>
      </w:pPr>
      <w:r w:rsidRPr="00DF3E36">
        <w:rPr>
          <w:i/>
          <w:iCs/>
        </w:rPr>
        <w:t>The Mabinogion</w:t>
      </w:r>
      <w:r w:rsidRPr="00DF3E36">
        <w:t>, trans. by Gwyn Jones and Thomas Jones (London: Everyman’s Library, 1949)</w:t>
      </w:r>
      <w:r>
        <w:t xml:space="preserve"> </w:t>
      </w:r>
    </w:p>
    <w:p w14:paraId="6538EF63" w14:textId="77777777" w:rsidR="00DF3E36" w:rsidRDefault="00DF3E36" w:rsidP="001E0E84"/>
    <w:p w14:paraId="3E83A29F" w14:textId="77777777" w:rsidR="00B1628A" w:rsidRPr="0014572A" w:rsidRDefault="00B1628A" w:rsidP="00EE2299"/>
    <w:sectPr w:rsidR="00B1628A" w:rsidRPr="0014572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87CAD" w14:textId="77777777" w:rsidR="00AD6ADB" w:rsidRDefault="00AD6ADB" w:rsidP="00185946">
      <w:pPr>
        <w:spacing w:after="0" w:line="240" w:lineRule="auto"/>
      </w:pPr>
      <w:r>
        <w:separator/>
      </w:r>
    </w:p>
  </w:endnote>
  <w:endnote w:type="continuationSeparator" w:id="0">
    <w:p w14:paraId="19E0CC6D" w14:textId="77777777" w:rsidR="00AD6ADB" w:rsidRDefault="00AD6ADB" w:rsidP="00185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2CD397" w14:textId="77777777" w:rsidR="0066377D" w:rsidRDefault="006637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A9F8C" w14:textId="77777777" w:rsidR="0066377D" w:rsidRDefault="006637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2B0FE" w14:textId="77777777" w:rsidR="0066377D" w:rsidRDefault="00663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BA727" w14:textId="77777777" w:rsidR="00AD6ADB" w:rsidRDefault="00AD6ADB" w:rsidP="00185946">
      <w:pPr>
        <w:spacing w:after="0" w:line="240" w:lineRule="auto"/>
      </w:pPr>
      <w:r>
        <w:separator/>
      </w:r>
    </w:p>
  </w:footnote>
  <w:footnote w:type="continuationSeparator" w:id="0">
    <w:p w14:paraId="26A82471" w14:textId="77777777" w:rsidR="00AD6ADB" w:rsidRDefault="00AD6ADB" w:rsidP="00185946">
      <w:pPr>
        <w:spacing w:after="0" w:line="240" w:lineRule="auto"/>
      </w:pPr>
      <w:r>
        <w:continuationSeparator/>
      </w:r>
    </w:p>
  </w:footnote>
  <w:footnote w:id="1">
    <w:p w14:paraId="600B3828" w14:textId="4C841C30" w:rsidR="00185946" w:rsidRPr="00185946" w:rsidRDefault="00185946">
      <w:pPr>
        <w:pStyle w:val="FootnoteText"/>
      </w:pPr>
      <w:r>
        <w:rPr>
          <w:rStyle w:val="FootnoteReference"/>
        </w:rPr>
        <w:footnoteRef/>
      </w:r>
      <w:r>
        <w:t xml:space="preserve"> </w:t>
      </w:r>
      <w:bookmarkStart w:id="0" w:name="_Hlk216821187"/>
      <w:r>
        <w:t xml:space="preserve">O. J. Padel, </w:t>
      </w:r>
      <w:r>
        <w:rPr>
          <w:i/>
          <w:iCs/>
        </w:rPr>
        <w:t>Arthur in Medieval Welsh Literature</w:t>
      </w:r>
      <w:r>
        <w:t>, 2</w:t>
      </w:r>
      <w:r w:rsidRPr="00185946">
        <w:rPr>
          <w:vertAlign w:val="superscript"/>
        </w:rPr>
        <w:t>nd</w:t>
      </w:r>
      <w:r>
        <w:t xml:space="preserve"> edn. (Cardiff: University of Wales Press, 2013), pp. 1-2.</w:t>
      </w:r>
      <w:bookmarkEnd w:id="0"/>
    </w:p>
  </w:footnote>
  <w:footnote w:id="2">
    <w:p w14:paraId="693F894B" w14:textId="71907FB8" w:rsidR="00185946" w:rsidRPr="00185946" w:rsidRDefault="00185946">
      <w:pPr>
        <w:pStyle w:val="FootnoteText"/>
      </w:pPr>
      <w:r>
        <w:rPr>
          <w:rStyle w:val="FootnoteReference"/>
        </w:rPr>
        <w:footnoteRef/>
      </w:r>
      <w:r>
        <w:t xml:space="preserve"> O. J. Padel, </w:t>
      </w:r>
      <w:r>
        <w:rPr>
          <w:i/>
          <w:iCs/>
        </w:rPr>
        <w:t>Arthur in Medieval Welsh Literature</w:t>
      </w:r>
      <w:r>
        <w:t xml:space="preserve">, </w:t>
      </w:r>
      <w:r w:rsidR="00A27DCF">
        <w:t>pp. 11-25</w:t>
      </w:r>
      <w:r w:rsidR="00A02F50">
        <w:t>.</w:t>
      </w:r>
    </w:p>
  </w:footnote>
  <w:footnote w:id="3">
    <w:p w14:paraId="19341DD3" w14:textId="0945BEDF" w:rsidR="008A38EE" w:rsidRPr="00404D20" w:rsidRDefault="008A38EE">
      <w:pPr>
        <w:pStyle w:val="FootnoteText"/>
      </w:pPr>
      <w:r>
        <w:rPr>
          <w:rStyle w:val="FootnoteReference"/>
        </w:rPr>
        <w:footnoteRef/>
      </w:r>
      <w:r>
        <w:t xml:space="preserve"> </w:t>
      </w:r>
      <w:bookmarkStart w:id="1" w:name="_Hlk216821194"/>
      <w:r>
        <w:t>Catherine Piquemal, ‘’Culhwch and Olwen’: A Structured Portrayal of Arthur?’</w:t>
      </w:r>
      <w:r w:rsidR="00404D20">
        <w:t xml:space="preserve">, </w:t>
      </w:r>
      <w:r w:rsidR="00404D20">
        <w:rPr>
          <w:i/>
          <w:iCs/>
        </w:rPr>
        <w:t>Arthuriana</w:t>
      </w:r>
      <w:r w:rsidR="00404D20">
        <w:t>, 10.3 (2000), 7-26 &lt;</w:t>
      </w:r>
      <w:r w:rsidR="00404D20" w:rsidRPr="00404D20">
        <w:t>http://www.jstor.org/stable/27869561</w:t>
      </w:r>
      <w:r w:rsidR="00404D20">
        <w:t>&gt; [Accessed 16 December 2025].</w:t>
      </w:r>
      <w:bookmarkEnd w:id="1"/>
    </w:p>
  </w:footnote>
  <w:footnote w:id="4">
    <w:p w14:paraId="50DFCB04" w14:textId="616A17C0" w:rsidR="00DF3E36" w:rsidRDefault="00DF3E36">
      <w:pPr>
        <w:pStyle w:val="FootnoteText"/>
      </w:pPr>
      <w:r>
        <w:rPr>
          <w:rStyle w:val="FootnoteReference"/>
        </w:rPr>
        <w:footnoteRef/>
      </w:r>
      <w:r>
        <w:t xml:space="preserve"> </w:t>
      </w:r>
      <w:r>
        <w:rPr>
          <w:i/>
          <w:iCs/>
        </w:rPr>
        <w:t>The Mabinogion</w:t>
      </w:r>
      <w:r>
        <w:t>, trans. by Gwyn Jones and Thomas Jones (London: Everyman’s Library, 1949)</w:t>
      </w:r>
      <w:r>
        <w:t>,</w:t>
      </w:r>
      <w:r>
        <w:t xml:space="preserve"> p.</w:t>
      </w:r>
      <w:r>
        <w:t>106</w:t>
      </w:r>
      <w:r>
        <w:t>.</w:t>
      </w:r>
    </w:p>
  </w:footnote>
  <w:footnote w:id="5">
    <w:p w14:paraId="168DC813" w14:textId="7BEAEE3E" w:rsidR="00A02F50" w:rsidRDefault="00A02F50">
      <w:pPr>
        <w:pStyle w:val="FootnoteText"/>
      </w:pPr>
      <w:r>
        <w:rPr>
          <w:rStyle w:val="FootnoteReference"/>
        </w:rPr>
        <w:footnoteRef/>
      </w:r>
      <w:r>
        <w:t xml:space="preserve"> </w:t>
      </w:r>
      <w:r w:rsidR="00404D20">
        <w:t xml:space="preserve">O. J. Padel, </w:t>
      </w:r>
      <w:r w:rsidR="00404D20">
        <w:rPr>
          <w:i/>
          <w:iCs/>
        </w:rPr>
        <w:t>Arthur in Medieval Welsh Literature</w:t>
      </w:r>
      <w:r w:rsidR="00404D20">
        <w:t>, pp. 11-25.</w:t>
      </w:r>
    </w:p>
  </w:footnote>
  <w:footnote w:id="6">
    <w:p w14:paraId="2DE5E709" w14:textId="40D5ED94" w:rsidR="00404D20" w:rsidRPr="00404D20" w:rsidRDefault="00404D20">
      <w:pPr>
        <w:pStyle w:val="FootnoteText"/>
      </w:pPr>
      <w:r>
        <w:rPr>
          <w:rStyle w:val="FootnoteReference"/>
        </w:rPr>
        <w:footnoteRef/>
      </w:r>
      <w:r>
        <w:t xml:space="preserve"> </w:t>
      </w:r>
      <w:bookmarkStart w:id="2" w:name="_Hlk216821200"/>
      <w:r>
        <w:t xml:space="preserve">Sarah Sheehan, ‘Giants, Boar-Hunts and Barbering: Masculinity in Culhwch Ac Olwen.’, </w:t>
      </w:r>
      <w:r>
        <w:rPr>
          <w:i/>
          <w:iCs/>
        </w:rPr>
        <w:t>Arthuriana</w:t>
      </w:r>
      <w:r>
        <w:t>, 15.3 (2005) 3-25 (pp.11-12).</w:t>
      </w:r>
      <w:bookmarkEnd w:id="2"/>
    </w:p>
  </w:footnote>
  <w:footnote w:id="7">
    <w:p w14:paraId="18813459" w14:textId="5386AC53" w:rsidR="00A02F50" w:rsidRPr="00A02F50" w:rsidRDefault="00A02F50">
      <w:pPr>
        <w:pStyle w:val="FootnoteText"/>
      </w:pPr>
      <w:r>
        <w:rPr>
          <w:rStyle w:val="FootnoteReference"/>
        </w:rPr>
        <w:footnoteRef/>
      </w:r>
      <w:r>
        <w:t xml:space="preserve"> </w:t>
      </w:r>
      <w:bookmarkStart w:id="3" w:name="_Hlk216821214"/>
      <w:r>
        <w:t xml:space="preserve">Nennius, </w:t>
      </w:r>
      <w:r>
        <w:rPr>
          <w:i/>
          <w:iCs/>
        </w:rPr>
        <w:t>Historia Brittonum</w:t>
      </w:r>
      <w:r>
        <w:t>, trans. by J. A. Giles (Project Gutenberg, 2006),</w:t>
      </w:r>
      <w:r w:rsidR="001E0E84">
        <w:t xml:space="preserve"> </w:t>
      </w:r>
      <w:r>
        <w:t>&lt;</w:t>
      </w:r>
      <w:r w:rsidRPr="00A02F50">
        <w:t>https://www.gutenberg.org/files/1972/1972-h/1972-h.htm</w:t>
      </w:r>
      <w:r>
        <w:t>&gt; [Accessed 16 December 2025].</w:t>
      </w:r>
      <w:bookmarkEnd w:id="3"/>
    </w:p>
  </w:footnote>
  <w:footnote w:id="8">
    <w:p w14:paraId="5519D478" w14:textId="7A7EB2CD" w:rsidR="00404D20" w:rsidRDefault="00404D20">
      <w:pPr>
        <w:pStyle w:val="FootnoteText"/>
      </w:pPr>
      <w:r>
        <w:rPr>
          <w:rStyle w:val="FootnoteReference"/>
        </w:rPr>
        <w:footnoteRef/>
      </w:r>
      <w:r>
        <w:t xml:space="preserve"> </w:t>
      </w:r>
      <w:r>
        <w:t xml:space="preserve">O. J. Padel, </w:t>
      </w:r>
      <w:r>
        <w:rPr>
          <w:i/>
          <w:iCs/>
        </w:rPr>
        <w:t>Arthur in Medieval Welsh Literature</w:t>
      </w:r>
      <w:r>
        <w:t>, pp. 11-25.</w:t>
      </w:r>
    </w:p>
  </w:footnote>
  <w:footnote w:id="9">
    <w:p w14:paraId="0E26FEAC" w14:textId="665DD33F" w:rsidR="00A02F50" w:rsidRPr="00A02F50" w:rsidRDefault="00A02F50">
      <w:pPr>
        <w:pStyle w:val="FootnoteText"/>
      </w:pPr>
      <w:r>
        <w:rPr>
          <w:rStyle w:val="FootnoteReference"/>
        </w:rPr>
        <w:footnoteRef/>
      </w:r>
      <w:r>
        <w:t xml:space="preserve"> </w:t>
      </w:r>
      <w:bookmarkStart w:id="4" w:name="_Hlk216821219"/>
      <w:r>
        <w:t xml:space="preserve">Donald Gregory, </w:t>
      </w:r>
      <w:r>
        <w:rPr>
          <w:i/>
          <w:iCs/>
        </w:rPr>
        <w:t>Wales Before 1066</w:t>
      </w:r>
      <w:r>
        <w:t xml:space="preserve"> (Llanrwst: </w:t>
      </w:r>
      <w:proofErr w:type="spellStart"/>
      <w:r>
        <w:t>Gwasg</w:t>
      </w:r>
      <w:proofErr w:type="spellEnd"/>
      <w:r>
        <w:t xml:space="preserve"> Carreg Gwalch, 2018) pp. 115-119. </w:t>
      </w:r>
      <w:bookmarkEnd w:id="4"/>
    </w:p>
  </w:footnote>
  <w:footnote w:id="10">
    <w:p w14:paraId="54DFC506" w14:textId="775ADD67" w:rsidR="00A02F50" w:rsidRDefault="00A02F50">
      <w:pPr>
        <w:pStyle w:val="FootnoteText"/>
      </w:pPr>
      <w:r>
        <w:rPr>
          <w:rStyle w:val="FootnoteReference"/>
        </w:rPr>
        <w:footnoteRef/>
      </w:r>
      <w:r>
        <w:t xml:space="preserve"> Ibid. </w:t>
      </w:r>
    </w:p>
  </w:footnote>
  <w:footnote w:id="11">
    <w:p w14:paraId="5803E515" w14:textId="1A4A531D" w:rsidR="00A02F50" w:rsidRDefault="00A02F50">
      <w:pPr>
        <w:pStyle w:val="FootnoteText"/>
      </w:pPr>
      <w:r>
        <w:rPr>
          <w:rStyle w:val="FootnoteReference"/>
        </w:rPr>
        <w:footnoteRef/>
      </w:r>
      <w:r>
        <w:t xml:space="preserve"> </w:t>
      </w:r>
      <w:bookmarkStart w:id="5" w:name="_Hlk216821225"/>
      <w:r w:rsidR="00334B81">
        <w:t>Jane Cartwright</w:t>
      </w:r>
      <w:r w:rsidRPr="00A02F50">
        <w:t xml:space="preserve">, </w:t>
      </w:r>
      <w:r w:rsidR="00334B81">
        <w:rPr>
          <w:i/>
          <w:iCs/>
        </w:rPr>
        <w:t>The Laws of Hywel Dda</w:t>
      </w:r>
      <w:r w:rsidRPr="00A02F50">
        <w:t xml:space="preserve"> [PowerPoint] </w:t>
      </w:r>
      <w:r w:rsidR="00334B81">
        <w:rPr>
          <w:i/>
          <w:iCs/>
        </w:rPr>
        <w:t>HPCS5019</w:t>
      </w:r>
      <w:r w:rsidRPr="00A02F50">
        <w:rPr>
          <w:i/>
          <w:iCs/>
        </w:rPr>
        <w:t>:</w:t>
      </w:r>
      <w:r w:rsidR="00334B81">
        <w:rPr>
          <w:i/>
          <w:iCs/>
        </w:rPr>
        <w:t>Medieval Prose in Wales</w:t>
      </w:r>
      <w:r w:rsidRPr="00A02F50">
        <w:t>. (</w:t>
      </w:r>
      <w:r w:rsidR="00334B81">
        <w:t>The University of Wales</w:t>
      </w:r>
      <w:r w:rsidRPr="00A02F50">
        <w:t>,</w:t>
      </w:r>
      <w:r w:rsidR="00334B81">
        <w:t xml:space="preserve"> 2025</w:t>
      </w:r>
      <w:r w:rsidRPr="00A02F50">
        <w:t>).</w:t>
      </w:r>
      <w:bookmarkEnd w:id="5"/>
    </w:p>
  </w:footnote>
  <w:footnote w:id="12">
    <w:p w14:paraId="4FA33615" w14:textId="6ECD9F6D" w:rsidR="00334B81" w:rsidRPr="00334B81" w:rsidRDefault="00334B81">
      <w:pPr>
        <w:pStyle w:val="FootnoteText"/>
      </w:pPr>
      <w:r>
        <w:rPr>
          <w:rStyle w:val="FootnoteReference"/>
        </w:rPr>
        <w:footnoteRef/>
      </w:r>
      <w:r>
        <w:t xml:space="preserve"> </w:t>
      </w:r>
      <w:bookmarkStart w:id="6" w:name="_Hlk216821229"/>
      <w:r w:rsidR="00DF3E36">
        <w:rPr>
          <w:i/>
          <w:iCs/>
        </w:rPr>
        <w:t>The Mabinogion</w:t>
      </w:r>
      <w:r w:rsidR="00DF3E36">
        <w:t>, trans. by Gwyn Jones and Thomas Jones</w:t>
      </w:r>
      <w:r w:rsidR="00DF3E36">
        <w:t xml:space="preserve">, </w:t>
      </w:r>
      <w:r w:rsidR="00DF3E36">
        <w:t>p.89.</w:t>
      </w:r>
      <w:bookmarkEnd w:id="6"/>
    </w:p>
  </w:footnote>
  <w:footnote w:id="13">
    <w:p w14:paraId="2449CF06" w14:textId="357DFCF1" w:rsidR="00334B81" w:rsidRPr="00363B5B" w:rsidRDefault="00334B81">
      <w:pPr>
        <w:pStyle w:val="FootnoteText"/>
      </w:pPr>
      <w:r>
        <w:rPr>
          <w:rStyle w:val="FootnoteReference"/>
        </w:rPr>
        <w:footnoteRef/>
      </w:r>
      <w:r>
        <w:t xml:space="preserve"> </w:t>
      </w:r>
      <w:bookmarkStart w:id="7" w:name="_Hlk216821235"/>
      <w:r w:rsidR="00363B5B">
        <w:t xml:space="preserve">Sara Elin Roberts, </w:t>
      </w:r>
      <w:r w:rsidR="00363B5B">
        <w:rPr>
          <w:i/>
          <w:iCs/>
        </w:rPr>
        <w:t>Cyfraith Hywel</w:t>
      </w:r>
      <w:r w:rsidR="00363B5B">
        <w:t xml:space="preserve"> &lt;</w:t>
      </w:r>
      <w:r w:rsidR="00363B5B" w:rsidRPr="00363B5B">
        <w:t>https://www.cyfraith-hywel.org.uk/</w:t>
      </w:r>
      <w:r w:rsidR="00363B5B">
        <w:t>&gt; [Accessed 16 December 2025].</w:t>
      </w:r>
      <w:bookmarkEnd w:id="7"/>
    </w:p>
  </w:footnote>
  <w:footnote w:id="14">
    <w:p w14:paraId="1F4616DA" w14:textId="1FCB22ED" w:rsidR="00007E19" w:rsidRDefault="00007E19">
      <w:pPr>
        <w:pStyle w:val="FootnoteText"/>
      </w:pPr>
      <w:r>
        <w:rPr>
          <w:rStyle w:val="FootnoteReference"/>
        </w:rPr>
        <w:footnoteRef/>
      </w:r>
      <w:r>
        <w:t xml:space="preserve"> </w:t>
      </w:r>
      <w:r>
        <w:rPr>
          <w:i/>
          <w:iCs/>
        </w:rPr>
        <w:t>The Mabinogion</w:t>
      </w:r>
      <w:r>
        <w:t>, trans. by Gwyn Jones and Thomas Jones</w:t>
      </w:r>
      <w:r>
        <w:t>, pp. 89-120.</w:t>
      </w:r>
    </w:p>
  </w:footnote>
  <w:footnote w:id="15">
    <w:p w14:paraId="464D1319" w14:textId="224FB821" w:rsidR="00363B5B" w:rsidRPr="00007E19" w:rsidRDefault="00363B5B">
      <w:pPr>
        <w:pStyle w:val="FootnoteText"/>
      </w:pPr>
      <w:r>
        <w:rPr>
          <w:rStyle w:val="FootnoteReference"/>
        </w:rPr>
        <w:footnoteRef/>
      </w:r>
      <w:r>
        <w:t xml:space="preserve"> </w:t>
      </w:r>
      <w:r w:rsidR="00007E19">
        <w:t xml:space="preserve">Sara Elin Roberts, </w:t>
      </w:r>
      <w:r w:rsidR="00007E19">
        <w:rPr>
          <w:i/>
          <w:iCs/>
        </w:rPr>
        <w:t>Cyfraith Hywel</w:t>
      </w:r>
      <w:r w:rsidR="00007E19">
        <w:t>.</w:t>
      </w:r>
    </w:p>
  </w:footnote>
  <w:footnote w:id="16">
    <w:p w14:paraId="7CFFCFCC" w14:textId="0248476A" w:rsidR="00404D20" w:rsidRPr="00404D20" w:rsidRDefault="00404D20">
      <w:pPr>
        <w:pStyle w:val="FootnoteText"/>
      </w:pPr>
      <w:r>
        <w:rPr>
          <w:rStyle w:val="FootnoteReference"/>
        </w:rPr>
        <w:footnoteRef/>
      </w:r>
      <w:r>
        <w:t xml:space="preserve"> </w:t>
      </w:r>
      <w:bookmarkStart w:id="8" w:name="_Hlk216821240"/>
      <w:r>
        <w:t xml:space="preserve">Huw Pryce, </w:t>
      </w:r>
      <w:r w:rsidRPr="00404D20">
        <w:rPr>
          <w:i/>
          <w:iCs/>
        </w:rPr>
        <w:t>Native Law and the Church in Medieval Wales</w:t>
      </w:r>
      <w:r>
        <w:t xml:space="preserve"> (Oxford: Oxford University Press, 1993), pp. 165-168.</w:t>
      </w:r>
      <w:bookmarkEnd w:id="8"/>
    </w:p>
  </w:footnote>
  <w:footnote w:id="17">
    <w:p w14:paraId="5350700C" w14:textId="16E5298A" w:rsidR="00404D20" w:rsidRDefault="00404D20">
      <w:pPr>
        <w:pStyle w:val="FootnoteText"/>
      </w:pPr>
      <w:r>
        <w:rPr>
          <w:rStyle w:val="FootnoteReference"/>
        </w:rPr>
        <w:footnoteRef/>
      </w:r>
      <w:r>
        <w:t xml:space="preserve"> </w:t>
      </w:r>
      <w:r>
        <w:rPr>
          <w:i/>
          <w:iCs/>
        </w:rPr>
        <w:t>The Mabinogion</w:t>
      </w:r>
      <w:r>
        <w:t>, trans. by Gwyn Jones and Thomas Jones</w:t>
      </w:r>
      <w:r>
        <w:t xml:space="preserve">, p. 109. </w:t>
      </w:r>
    </w:p>
  </w:footnote>
  <w:footnote w:id="18">
    <w:p w14:paraId="24CAF501" w14:textId="623FAE0A" w:rsidR="00007E19" w:rsidRDefault="00007E19">
      <w:pPr>
        <w:pStyle w:val="FootnoteText"/>
      </w:pPr>
      <w:r>
        <w:rPr>
          <w:rStyle w:val="FootnoteReference"/>
        </w:rPr>
        <w:footnoteRef/>
      </w:r>
      <w:r>
        <w:t xml:space="preserve"> </w:t>
      </w:r>
      <w:r w:rsidR="0014572A">
        <w:t>Ibid</w:t>
      </w:r>
      <w:r>
        <w:t>,</w:t>
      </w:r>
      <w:r>
        <w:t xml:space="preserve"> pp. 96-120.</w:t>
      </w:r>
    </w:p>
  </w:footnote>
  <w:footnote w:id="19">
    <w:p w14:paraId="48988316" w14:textId="675DEF56" w:rsidR="00363B5B" w:rsidRPr="00363B5B" w:rsidRDefault="00363B5B">
      <w:pPr>
        <w:pStyle w:val="FootnoteText"/>
      </w:pPr>
      <w:r>
        <w:rPr>
          <w:rStyle w:val="FootnoteReference"/>
        </w:rPr>
        <w:footnoteRef/>
      </w:r>
      <w:r>
        <w:t xml:space="preserve"> Jane Cartwright</w:t>
      </w:r>
      <w:r w:rsidRPr="00A02F50">
        <w:t xml:space="preserve">, </w:t>
      </w:r>
      <w:r>
        <w:rPr>
          <w:i/>
          <w:iCs/>
        </w:rPr>
        <w:t>The Laws of Hywel Dda</w:t>
      </w:r>
      <w:r>
        <w:t>.</w:t>
      </w:r>
    </w:p>
  </w:footnote>
  <w:footnote w:id="20">
    <w:p w14:paraId="54F85D89" w14:textId="74EC6C33" w:rsidR="00007E19" w:rsidRDefault="00007E19">
      <w:pPr>
        <w:pStyle w:val="FootnoteText"/>
      </w:pPr>
      <w:r>
        <w:rPr>
          <w:rStyle w:val="FootnoteReference"/>
        </w:rPr>
        <w:footnoteRef/>
      </w:r>
      <w:r>
        <w:t xml:space="preserve"> </w:t>
      </w:r>
      <w:r>
        <w:rPr>
          <w:i/>
          <w:iCs/>
        </w:rPr>
        <w:t>The Mabinogion</w:t>
      </w:r>
      <w:r>
        <w:t>,</w:t>
      </w:r>
      <w:r>
        <w:t xml:space="preserve"> pp. 96-120.</w:t>
      </w:r>
    </w:p>
  </w:footnote>
  <w:footnote w:id="21">
    <w:p w14:paraId="382CF0B4" w14:textId="0D621FB5" w:rsidR="0014572A" w:rsidRDefault="0014572A">
      <w:pPr>
        <w:pStyle w:val="FootnoteText"/>
      </w:pPr>
      <w:r>
        <w:rPr>
          <w:rStyle w:val="FootnoteReference"/>
        </w:rPr>
        <w:footnoteRef/>
      </w:r>
      <w:r>
        <w:t xml:space="preserve"> </w:t>
      </w:r>
      <w:r>
        <w:t>Ibid,</w:t>
      </w:r>
      <w:r>
        <w:t xml:space="preserve"> pp. 89-96.</w:t>
      </w:r>
    </w:p>
  </w:footnote>
  <w:footnote w:id="22">
    <w:p w14:paraId="2CA3003F" w14:textId="60DD9713" w:rsidR="0014572A" w:rsidRDefault="0014572A">
      <w:pPr>
        <w:pStyle w:val="FootnoteText"/>
      </w:pPr>
      <w:r>
        <w:rPr>
          <w:rStyle w:val="FootnoteReference"/>
        </w:rPr>
        <w:footnoteRef/>
      </w:r>
      <w:r>
        <w:t xml:space="preserve"> </w:t>
      </w:r>
      <w:r>
        <w:rPr>
          <w:i/>
          <w:iCs/>
        </w:rPr>
        <w:t>The Mabinogion</w:t>
      </w:r>
      <w:r>
        <w:t>, pp.</w:t>
      </w:r>
      <w:r>
        <w:t xml:space="preserve"> 89-96.</w:t>
      </w:r>
    </w:p>
  </w:footnote>
  <w:footnote w:id="23">
    <w:p w14:paraId="1415BFD2" w14:textId="73CFDDFE" w:rsidR="0014572A" w:rsidRDefault="0014572A">
      <w:pPr>
        <w:pStyle w:val="FootnoteText"/>
      </w:pPr>
      <w:r>
        <w:rPr>
          <w:rStyle w:val="FootnoteReference"/>
        </w:rPr>
        <w:footnoteRef/>
      </w:r>
      <w:r>
        <w:t xml:space="preserve"> </w:t>
      </w:r>
      <w:r>
        <w:t>Ibid, pp.</w:t>
      </w:r>
      <w:r>
        <w:t xml:space="preserve"> 89-97.</w:t>
      </w:r>
    </w:p>
  </w:footnote>
  <w:footnote w:id="24">
    <w:p w14:paraId="7A01182A" w14:textId="69647BCF" w:rsidR="00363B5B" w:rsidRPr="00363B5B" w:rsidRDefault="00363B5B">
      <w:pPr>
        <w:pStyle w:val="FootnoteText"/>
      </w:pPr>
      <w:r>
        <w:rPr>
          <w:rStyle w:val="FootnoteReference"/>
        </w:rPr>
        <w:footnoteRef/>
      </w:r>
      <w:r>
        <w:t xml:space="preserve"> Jane Cartwright</w:t>
      </w:r>
      <w:r w:rsidRPr="00A02F50">
        <w:t xml:space="preserve">, </w:t>
      </w:r>
      <w:r>
        <w:rPr>
          <w:i/>
          <w:iCs/>
        </w:rPr>
        <w:t>The Laws of Hywel Dda</w:t>
      </w:r>
      <w:r>
        <w:t>.</w:t>
      </w:r>
    </w:p>
  </w:footnote>
  <w:footnote w:id="25">
    <w:p w14:paraId="31644074" w14:textId="748D1E56" w:rsidR="00363B5B" w:rsidRPr="00363B5B" w:rsidRDefault="00363B5B">
      <w:pPr>
        <w:pStyle w:val="FootnoteText"/>
      </w:pPr>
      <w:r>
        <w:rPr>
          <w:rStyle w:val="FootnoteReference"/>
        </w:rPr>
        <w:footnoteRef/>
      </w:r>
      <w:r>
        <w:t xml:space="preserve"> O. J. Padel, </w:t>
      </w:r>
      <w:r>
        <w:rPr>
          <w:i/>
          <w:iCs/>
        </w:rPr>
        <w:t>Arthur in Medieval Welsh Literature</w:t>
      </w:r>
      <w:r>
        <w:t>, pp. 11-25</w:t>
      </w:r>
      <w:r w:rsidR="00404D20">
        <w:t>.</w:t>
      </w:r>
    </w:p>
  </w:footnote>
  <w:footnote w:id="26">
    <w:p w14:paraId="2F7D0934" w14:textId="1A414DE3" w:rsidR="0014572A" w:rsidRDefault="0014572A">
      <w:pPr>
        <w:pStyle w:val="FootnoteText"/>
      </w:pPr>
      <w:r>
        <w:rPr>
          <w:rStyle w:val="FootnoteReference"/>
        </w:rPr>
        <w:footnoteRef/>
      </w:r>
      <w:r>
        <w:t xml:space="preserve"> </w:t>
      </w:r>
      <w:r>
        <w:rPr>
          <w:i/>
          <w:iCs/>
        </w:rPr>
        <w:t>The Mabinogion</w:t>
      </w:r>
      <w:r>
        <w:t>, pp.</w:t>
      </w:r>
      <w:r>
        <w:t xml:space="preserve"> 108-120.</w:t>
      </w:r>
    </w:p>
  </w:footnote>
  <w:footnote w:id="27">
    <w:p w14:paraId="344EB2BC" w14:textId="586C4EDD" w:rsidR="0014572A" w:rsidRDefault="0014572A">
      <w:pPr>
        <w:pStyle w:val="FootnoteText"/>
      </w:pPr>
      <w:r>
        <w:rPr>
          <w:rStyle w:val="FootnoteReference"/>
        </w:rPr>
        <w:footnoteRef/>
      </w:r>
      <w:r>
        <w:t xml:space="preserve"> </w:t>
      </w:r>
      <w:r>
        <w:t>Ibid, pp.</w:t>
      </w:r>
      <w:r>
        <w:t xml:space="preserve"> 89-90.</w:t>
      </w:r>
    </w:p>
  </w:footnote>
  <w:footnote w:id="28">
    <w:p w14:paraId="622FF4BD" w14:textId="5EFFE004" w:rsidR="00363B5B" w:rsidRPr="00363B5B" w:rsidRDefault="00363B5B">
      <w:pPr>
        <w:pStyle w:val="FootnoteText"/>
      </w:pPr>
      <w:r>
        <w:rPr>
          <w:rStyle w:val="FootnoteReference"/>
        </w:rPr>
        <w:footnoteRef/>
      </w:r>
      <w:r>
        <w:t xml:space="preserve"> Sara Elin Roberts, </w:t>
      </w:r>
      <w:r>
        <w:rPr>
          <w:i/>
          <w:iCs/>
        </w:rPr>
        <w:t>Cyfraith Hywel</w:t>
      </w:r>
      <w:r>
        <w:t>.</w:t>
      </w:r>
    </w:p>
  </w:footnote>
  <w:footnote w:id="29">
    <w:p w14:paraId="2B26F97B" w14:textId="73D6C25F" w:rsidR="0014572A" w:rsidRDefault="0014572A">
      <w:pPr>
        <w:pStyle w:val="FootnoteText"/>
      </w:pPr>
      <w:r>
        <w:rPr>
          <w:rStyle w:val="FootnoteReference"/>
        </w:rPr>
        <w:footnoteRef/>
      </w:r>
      <w:r>
        <w:t xml:space="preserve"> </w:t>
      </w:r>
      <w:r>
        <w:rPr>
          <w:i/>
          <w:iCs/>
        </w:rPr>
        <w:t>The Mabinogion</w:t>
      </w:r>
      <w:r>
        <w:t>, pp.</w:t>
      </w:r>
      <w:r>
        <w:t xml:space="preserve"> 115-120.</w:t>
      </w:r>
    </w:p>
  </w:footnote>
  <w:footnote w:id="30">
    <w:p w14:paraId="39D0EA10" w14:textId="61849B2F" w:rsidR="0014572A" w:rsidRDefault="0014572A">
      <w:pPr>
        <w:pStyle w:val="FootnoteText"/>
      </w:pPr>
      <w:r>
        <w:rPr>
          <w:rStyle w:val="FootnoteReference"/>
        </w:rPr>
        <w:footnoteRef/>
      </w:r>
      <w:r>
        <w:t xml:space="preserve"> </w:t>
      </w:r>
      <w:r>
        <w:t>Ibid, pp.</w:t>
      </w:r>
      <w:r>
        <w:t xml:space="preserve"> 86-121.</w:t>
      </w:r>
    </w:p>
  </w:footnote>
  <w:footnote w:id="31">
    <w:p w14:paraId="2C7A8DB9" w14:textId="3D8592BC" w:rsidR="00404D20" w:rsidRDefault="00404D20">
      <w:pPr>
        <w:pStyle w:val="FootnoteText"/>
      </w:pPr>
      <w:r>
        <w:rPr>
          <w:rStyle w:val="FootnoteReference"/>
        </w:rPr>
        <w:footnoteRef/>
      </w:r>
      <w:r>
        <w:t xml:space="preserve"> </w:t>
      </w:r>
      <w:r>
        <w:t xml:space="preserve">O. J. Padel, </w:t>
      </w:r>
      <w:r>
        <w:rPr>
          <w:i/>
          <w:iCs/>
        </w:rPr>
        <w:t>Arthur in Medieval Welsh Literature</w:t>
      </w:r>
      <w:r>
        <w:t xml:space="preserve">, pp. </w:t>
      </w:r>
      <w:r>
        <w:t>56-71.</w:t>
      </w:r>
    </w:p>
  </w:footnote>
  <w:footnote w:id="32">
    <w:p w14:paraId="107891B6" w14:textId="590E7C1F" w:rsidR="00363B5B" w:rsidRPr="00363B5B" w:rsidRDefault="00363B5B">
      <w:pPr>
        <w:pStyle w:val="FootnoteText"/>
      </w:pPr>
      <w:r>
        <w:rPr>
          <w:rStyle w:val="FootnoteReference"/>
        </w:rPr>
        <w:footnoteRef/>
      </w:r>
      <w:r>
        <w:t xml:space="preserve"> </w:t>
      </w:r>
      <w:r w:rsidR="0014572A">
        <w:rPr>
          <w:i/>
          <w:iCs/>
        </w:rPr>
        <w:t>The Mabinogion</w:t>
      </w:r>
      <w:r w:rsidR="0014572A">
        <w:t>, pp.</w:t>
      </w:r>
      <w:r>
        <w:t xml:space="preserve"> 88-89.</w:t>
      </w:r>
    </w:p>
  </w:footnote>
  <w:footnote w:id="33">
    <w:p w14:paraId="2B2E6A35" w14:textId="04EAA5DC" w:rsidR="0014572A" w:rsidRDefault="0014572A">
      <w:pPr>
        <w:pStyle w:val="FootnoteText"/>
      </w:pPr>
      <w:r>
        <w:rPr>
          <w:rStyle w:val="FootnoteReference"/>
        </w:rPr>
        <w:footnoteRef/>
      </w:r>
      <w:r>
        <w:t xml:space="preserve"> </w:t>
      </w:r>
      <w:r>
        <w:t>Ibid, pp.</w:t>
      </w:r>
      <w:r>
        <w:t xml:space="preserve"> 101-120.</w:t>
      </w:r>
    </w:p>
  </w:footnote>
  <w:footnote w:id="34">
    <w:p w14:paraId="7848481D" w14:textId="7677D755" w:rsidR="0014572A" w:rsidRDefault="0014572A">
      <w:pPr>
        <w:pStyle w:val="FootnoteText"/>
      </w:pPr>
      <w:r>
        <w:rPr>
          <w:rStyle w:val="FootnoteReference"/>
        </w:rPr>
        <w:footnoteRef/>
      </w:r>
      <w:r>
        <w:t xml:space="preserve"> </w:t>
      </w:r>
      <w:r>
        <w:t>Ibid, pp.</w:t>
      </w:r>
      <w:r>
        <w:t xml:space="preserve"> 96-97.</w:t>
      </w:r>
    </w:p>
  </w:footnote>
  <w:footnote w:id="35">
    <w:p w14:paraId="3D732D38" w14:textId="0159277D" w:rsidR="00363B5B" w:rsidRDefault="00363B5B">
      <w:pPr>
        <w:pStyle w:val="FootnoteText"/>
      </w:pPr>
      <w:r>
        <w:rPr>
          <w:rStyle w:val="FootnoteReference"/>
        </w:rPr>
        <w:footnoteRef/>
      </w:r>
      <w:r>
        <w:t xml:space="preserve"> Sara Elin Roberts, </w:t>
      </w:r>
      <w:r>
        <w:rPr>
          <w:i/>
          <w:iCs/>
        </w:rPr>
        <w:t>Cyfraith Hywel</w:t>
      </w:r>
      <w:r>
        <w:t>.</w:t>
      </w:r>
    </w:p>
  </w:footnote>
  <w:footnote w:id="36">
    <w:p w14:paraId="698994BF" w14:textId="7B52E99C" w:rsidR="00404D20" w:rsidRDefault="00404D20">
      <w:pPr>
        <w:pStyle w:val="FootnoteText"/>
      </w:pPr>
      <w:r>
        <w:rPr>
          <w:rStyle w:val="FootnoteReference"/>
        </w:rPr>
        <w:footnoteRef/>
      </w:r>
      <w:r>
        <w:t xml:space="preserve"> </w:t>
      </w:r>
      <w:r>
        <w:t xml:space="preserve">O. J. Padel, </w:t>
      </w:r>
      <w:r>
        <w:rPr>
          <w:i/>
          <w:iCs/>
        </w:rPr>
        <w:t>Arthur in Medieval Welsh Literature</w:t>
      </w:r>
      <w:r>
        <w:t xml:space="preserve">, pp. </w:t>
      </w:r>
      <w:r>
        <w:t>56-71.</w:t>
      </w:r>
    </w:p>
  </w:footnote>
  <w:footnote w:id="37">
    <w:p w14:paraId="1A4264EF" w14:textId="148F4075" w:rsidR="00363B5B" w:rsidRDefault="00363B5B">
      <w:pPr>
        <w:pStyle w:val="FootnoteText"/>
      </w:pPr>
      <w:r>
        <w:rPr>
          <w:rStyle w:val="FootnoteReference"/>
        </w:rPr>
        <w:footnoteRef/>
      </w:r>
      <w:r>
        <w:t xml:space="preserve"> </w:t>
      </w:r>
      <w:r>
        <w:rPr>
          <w:i/>
          <w:iCs/>
        </w:rPr>
        <w:t>The Mabinogion</w:t>
      </w:r>
      <w:r w:rsidR="00007E19">
        <w:t>,</w:t>
      </w:r>
      <w:r>
        <w:t xml:space="preserve"> pp. 88-89.</w:t>
      </w:r>
    </w:p>
  </w:footnote>
  <w:footnote w:id="38">
    <w:p w14:paraId="0659B7C0" w14:textId="5E1E9F9B" w:rsidR="00363B5B" w:rsidRDefault="00363B5B">
      <w:pPr>
        <w:pStyle w:val="FootnoteText"/>
      </w:pPr>
      <w:r>
        <w:rPr>
          <w:rStyle w:val="FootnoteReference"/>
        </w:rPr>
        <w:footnoteRef/>
      </w:r>
      <w:r>
        <w:t xml:space="preserve"> </w:t>
      </w:r>
      <w:r w:rsidR="00007E19">
        <w:t>Ibid,</w:t>
      </w:r>
      <w:r>
        <w:t xml:space="preserve"> pp. 106-121.</w:t>
      </w:r>
    </w:p>
  </w:footnote>
  <w:footnote w:id="39">
    <w:p w14:paraId="39A62447" w14:textId="4C1DC92F" w:rsidR="00363B5B" w:rsidRDefault="00363B5B">
      <w:pPr>
        <w:pStyle w:val="FootnoteText"/>
      </w:pPr>
      <w:r>
        <w:rPr>
          <w:rStyle w:val="FootnoteReference"/>
        </w:rPr>
        <w:footnoteRef/>
      </w:r>
      <w:r>
        <w:t xml:space="preserve"> Ibid, p. 119.</w:t>
      </w:r>
    </w:p>
  </w:footnote>
  <w:footnote w:id="40">
    <w:p w14:paraId="6D7767C9" w14:textId="572DB69C" w:rsidR="0014572A" w:rsidRDefault="0014572A">
      <w:pPr>
        <w:pStyle w:val="FootnoteText"/>
      </w:pPr>
      <w:r>
        <w:rPr>
          <w:rStyle w:val="FootnoteReference"/>
        </w:rPr>
        <w:footnoteRef/>
      </w:r>
      <w:r>
        <w:t xml:space="preserve"> </w:t>
      </w:r>
      <w:r>
        <w:rPr>
          <w:i/>
          <w:iCs/>
        </w:rPr>
        <w:t>The Mabinogion</w:t>
      </w:r>
      <w:r>
        <w:t>, pp.</w:t>
      </w:r>
      <w:r>
        <w:t xml:space="preserve"> 89-96.</w:t>
      </w:r>
    </w:p>
  </w:footnote>
  <w:footnote w:id="41">
    <w:p w14:paraId="499D8427" w14:textId="58EAA75B" w:rsidR="00363B5B" w:rsidRDefault="00363B5B">
      <w:pPr>
        <w:pStyle w:val="FootnoteText"/>
      </w:pPr>
      <w:r>
        <w:rPr>
          <w:rStyle w:val="FootnoteReference"/>
        </w:rPr>
        <w:footnoteRef/>
      </w:r>
      <w:r>
        <w:t xml:space="preserve"> Ibid, p. 89.</w:t>
      </w:r>
    </w:p>
  </w:footnote>
  <w:footnote w:id="42">
    <w:p w14:paraId="1153A6A3" w14:textId="0A44CBD7" w:rsidR="00363B5B" w:rsidRDefault="00363B5B">
      <w:pPr>
        <w:pStyle w:val="FootnoteText"/>
      </w:pPr>
      <w:r>
        <w:rPr>
          <w:rStyle w:val="FootnoteReference"/>
        </w:rPr>
        <w:footnoteRef/>
      </w:r>
      <w:r>
        <w:t xml:space="preserve"> </w:t>
      </w:r>
      <w:r w:rsidR="0014572A">
        <w:t>Ibid</w:t>
      </w:r>
      <w:r w:rsidR="0014572A">
        <w:t xml:space="preserve">, </w:t>
      </w:r>
      <w:r w:rsidRPr="0014572A">
        <w:t>p</w:t>
      </w:r>
      <w:r>
        <w:t>.109.</w:t>
      </w:r>
    </w:p>
  </w:footnote>
  <w:footnote w:id="43">
    <w:p w14:paraId="55593DFA" w14:textId="4C0C34A6" w:rsidR="00007E19" w:rsidRPr="00007E19" w:rsidRDefault="00007E19">
      <w:pPr>
        <w:pStyle w:val="FootnoteText"/>
      </w:pPr>
      <w:r>
        <w:rPr>
          <w:rStyle w:val="FootnoteReference"/>
        </w:rPr>
        <w:footnoteRef/>
      </w:r>
      <w:r>
        <w:t xml:space="preserve"> </w:t>
      </w:r>
      <w:r>
        <w:t xml:space="preserve">Sarah Sheehan, ‘Giants, Boar-Hunts and Barbering: Masculinity in Culhwch Ac Olwen.’, </w:t>
      </w:r>
      <w:r>
        <w:rPr>
          <w:i/>
          <w:iCs/>
        </w:rPr>
        <w:t>Arthuriana</w:t>
      </w:r>
      <w:r>
        <w:t>, p.15.</w:t>
      </w:r>
    </w:p>
  </w:footnote>
  <w:footnote w:id="44">
    <w:p w14:paraId="0D14024F" w14:textId="6E8CDFF2" w:rsidR="00363B5B" w:rsidRDefault="00363B5B">
      <w:pPr>
        <w:pStyle w:val="FootnoteText"/>
      </w:pPr>
      <w:r>
        <w:rPr>
          <w:rStyle w:val="FootnoteReference"/>
        </w:rPr>
        <w:footnoteRef/>
      </w:r>
      <w:r>
        <w:t xml:space="preserve"> </w:t>
      </w:r>
      <w:r w:rsidR="0014572A">
        <w:rPr>
          <w:i/>
          <w:iCs/>
        </w:rPr>
        <w:t>The Mabinogion</w:t>
      </w:r>
      <w:r>
        <w:t>, p. 116</w:t>
      </w:r>
      <w:r w:rsidR="0014572A">
        <w:t>.</w:t>
      </w:r>
    </w:p>
  </w:footnote>
  <w:footnote w:id="45">
    <w:p w14:paraId="03FA70F4" w14:textId="5F3BF822" w:rsidR="002359BD" w:rsidRPr="002359BD" w:rsidRDefault="002359BD">
      <w:pPr>
        <w:pStyle w:val="FootnoteText"/>
      </w:pPr>
      <w:r>
        <w:rPr>
          <w:rStyle w:val="FootnoteReference"/>
        </w:rPr>
        <w:footnoteRef/>
      </w:r>
      <w:r>
        <w:t xml:space="preserve"> Nennius, </w:t>
      </w:r>
      <w:r>
        <w:rPr>
          <w:i/>
          <w:iCs/>
        </w:rPr>
        <w:t>Historia Brittonum</w:t>
      </w:r>
      <w:r>
        <w:t xml:space="preserve">. </w:t>
      </w:r>
    </w:p>
  </w:footnote>
  <w:footnote w:id="46">
    <w:p w14:paraId="13143D5F" w14:textId="45E909CE" w:rsidR="00007E19" w:rsidRPr="00007E19" w:rsidRDefault="00007E19">
      <w:pPr>
        <w:pStyle w:val="FootnoteText"/>
      </w:pPr>
      <w:r>
        <w:rPr>
          <w:rStyle w:val="FootnoteReference"/>
        </w:rPr>
        <w:footnoteRef/>
      </w:r>
      <w:r>
        <w:t xml:space="preserve"> </w:t>
      </w:r>
      <w:bookmarkStart w:id="9" w:name="_Hlk216821262"/>
      <w:r>
        <w:t>Mark Adderley, ‘Singing to the Silent Sentinel: ‘</w:t>
      </w:r>
      <w:proofErr w:type="spellStart"/>
      <w:r>
        <w:t>Preddeu</w:t>
      </w:r>
      <w:proofErr w:type="spellEnd"/>
      <w:r>
        <w:t xml:space="preserve"> Annwn’ and the Oral Tradition’, </w:t>
      </w:r>
      <w:r>
        <w:rPr>
          <w:i/>
          <w:iCs/>
        </w:rPr>
        <w:t>The Review of English Studies</w:t>
      </w:r>
      <w:r>
        <w:t>, 60.244 (2009) 175-93 &lt;</w:t>
      </w:r>
      <w:r w:rsidRPr="00007E19">
        <w:t>http://www.jstor.org/stable/40267537</w:t>
      </w:r>
      <w:r>
        <w:t>&gt; [Accessed 16 December 2025].</w:t>
      </w:r>
      <w:bookmarkEnd w:id="9"/>
    </w:p>
  </w:footnote>
  <w:footnote w:id="47">
    <w:p w14:paraId="5782E498" w14:textId="0D05240F" w:rsidR="0014572A" w:rsidRDefault="0014572A">
      <w:pPr>
        <w:pStyle w:val="FootnoteText"/>
      </w:pPr>
      <w:r>
        <w:rPr>
          <w:rStyle w:val="FootnoteReference"/>
        </w:rPr>
        <w:footnoteRef/>
      </w:r>
      <w:r>
        <w:t xml:space="preserve"> </w:t>
      </w:r>
      <w:r>
        <w:rPr>
          <w:i/>
          <w:iCs/>
        </w:rPr>
        <w:t>The Mabinogion</w:t>
      </w:r>
      <w:r>
        <w:t>, pp.</w:t>
      </w:r>
      <w:r>
        <w:t xml:space="preserve"> 89-96.</w:t>
      </w:r>
    </w:p>
  </w:footnote>
  <w:footnote w:id="48">
    <w:p w14:paraId="1C12BD40" w14:textId="73A36E86" w:rsidR="00007E19" w:rsidRDefault="00007E19">
      <w:pPr>
        <w:pStyle w:val="FootnoteText"/>
      </w:pPr>
      <w:r>
        <w:rPr>
          <w:rStyle w:val="FootnoteReference"/>
        </w:rPr>
        <w:footnoteRef/>
      </w:r>
      <w:r>
        <w:t xml:space="preserve"> </w:t>
      </w:r>
      <w:r w:rsidR="0014572A">
        <w:t>Ibid</w:t>
      </w:r>
      <w:r>
        <w:rPr>
          <w:i/>
          <w:iCs/>
        </w:rPr>
        <w:t>,</w:t>
      </w:r>
      <w:r>
        <w:t xml:space="preserve"> p</w:t>
      </w:r>
      <w:r>
        <w:t>p</w:t>
      </w:r>
      <w:r>
        <w:t>.</w:t>
      </w:r>
      <w:r>
        <w:t xml:space="preserve"> 3-67</w:t>
      </w:r>
      <w:r>
        <w:t>.</w:t>
      </w:r>
    </w:p>
  </w:footnote>
  <w:footnote w:id="49">
    <w:p w14:paraId="2F7082F0" w14:textId="07482D07" w:rsidR="002359BD" w:rsidRPr="002359BD" w:rsidRDefault="002359BD">
      <w:pPr>
        <w:pStyle w:val="FootnoteText"/>
      </w:pPr>
      <w:r>
        <w:rPr>
          <w:rStyle w:val="FootnoteReference"/>
        </w:rPr>
        <w:footnoteRef/>
      </w:r>
      <w:r>
        <w:t xml:space="preserve"> </w:t>
      </w:r>
      <w:bookmarkStart w:id="10" w:name="_Hlk216821268"/>
      <w:r>
        <w:t xml:space="preserve">B. F. Roberts, ‘Culhwch ac Olwen, the Triads, Saints’ Lives’, in </w:t>
      </w:r>
      <w:r>
        <w:rPr>
          <w:i/>
          <w:iCs/>
        </w:rPr>
        <w:t>The Arthur of the Welsh: the Arthurian Legend in Medieval Welsh Literature</w:t>
      </w:r>
      <w:r>
        <w:t xml:space="preserve"> (Cardiff: University of Wales Press, 1991), pp. 73-95.</w:t>
      </w:r>
      <w:bookmarkEnd w:id="10"/>
    </w:p>
  </w:footnote>
  <w:footnote w:id="50">
    <w:p w14:paraId="4739F016" w14:textId="5D786972" w:rsidR="00007E19" w:rsidRDefault="00007E19">
      <w:pPr>
        <w:pStyle w:val="FootnoteText"/>
      </w:pPr>
      <w:r>
        <w:rPr>
          <w:rStyle w:val="FootnoteReference"/>
        </w:rPr>
        <w:footnoteRef/>
      </w:r>
      <w:r>
        <w:t xml:space="preserve"> </w:t>
      </w:r>
      <w:r>
        <w:rPr>
          <w:i/>
          <w:iCs/>
        </w:rPr>
        <w:t>The Mabinogion,</w:t>
      </w:r>
      <w:r>
        <w:t xml:space="preserve"> p</w:t>
      </w:r>
      <w:r>
        <w:t xml:space="preserve">p. 122-135.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797613" w14:textId="77777777" w:rsidR="0066377D" w:rsidRDefault="006637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AD29E" w14:textId="77777777" w:rsidR="0066377D" w:rsidRDefault="0066377D" w:rsidP="0066377D">
    <w:pPr>
      <w:pStyle w:val="Header"/>
    </w:pPr>
    <w:r>
      <w:t>Chris Guy</w:t>
    </w:r>
    <w:r>
      <w:tab/>
    </w:r>
    <w:r w:rsidRPr="00804ED4">
      <w:rPr>
        <w:b/>
        <w:bCs/>
      </w:rPr>
      <w:t>Medieval Prose in Wales (HPCS5019, HPCS6019)</w:t>
    </w:r>
    <w:r>
      <w:rPr>
        <w:b/>
        <w:bCs/>
      </w:rPr>
      <w:t xml:space="preserve">                          </w:t>
    </w:r>
  </w:p>
  <w:p w14:paraId="14E40DC4" w14:textId="77777777" w:rsidR="0066377D" w:rsidRDefault="006637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53B4E" w14:textId="77777777" w:rsidR="0066377D" w:rsidRDefault="006637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30A1E"/>
    <w:multiLevelType w:val="multilevel"/>
    <w:tmpl w:val="C4E65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3E651E"/>
    <w:multiLevelType w:val="multilevel"/>
    <w:tmpl w:val="1040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1962990">
    <w:abstractNumId w:val="0"/>
  </w:num>
  <w:num w:numId="2" w16cid:durableId="929774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AD6"/>
    <w:rsid w:val="00007E19"/>
    <w:rsid w:val="00021C6D"/>
    <w:rsid w:val="000B27BD"/>
    <w:rsid w:val="000E1FC6"/>
    <w:rsid w:val="00104209"/>
    <w:rsid w:val="0014572A"/>
    <w:rsid w:val="00157D4F"/>
    <w:rsid w:val="00180C9A"/>
    <w:rsid w:val="00185946"/>
    <w:rsid w:val="00192F2D"/>
    <w:rsid w:val="001A1E00"/>
    <w:rsid w:val="001D7990"/>
    <w:rsid w:val="001E0E84"/>
    <w:rsid w:val="001E46ED"/>
    <w:rsid w:val="002359BD"/>
    <w:rsid w:val="00247FE7"/>
    <w:rsid w:val="00250E04"/>
    <w:rsid w:val="0026459B"/>
    <w:rsid w:val="00280AD6"/>
    <w:rsid w:val="002949EB"/>
    <w:rsid w:val="002B601A"/>
    <w:rsid w:val="002E04EA"/>
    <w:rsid w:val="003167C9"/>
    <w:rsid w:val="00334B81"/>
    <w:rsid w:val="00363B5B"/>
    <w:rsid w:val="003E70B1"/>
    <w:rsid w:val="003F6164"/>
    <w:rsid w:val="00404D20"/>
    <w:rsid w:val="00483F0A"/>
    <w:rsid w:val="004B3752"/>
    <w:rsid w:val="004C10B5"/>
    <w:rsid w:val="005345E1"/>
    <w:rsid w:val="00562FAA"/>
    <w:rsid w:val="0057232C"/>
    <w:rsid w:val="0059535A"/>
    <w:rsid w:val="005A14B3"/>
    <w:rsid w:val="006076FB"/>
    <w:rsid w:val="00634C6D"/>
    <w:rsid w:val="00641573"/>
    <w:rsid w:val="00641A49"/>
    <w:rsid w:val="006443D1"/>
    <w:rsid w:val="0066377D"/>
    <w:rsid w:val="00671DB1"/>
    <w:rsid w:val="00675E8B"/>
    <w:rsid w:val="0069047C"/>
    <w:rsid w:val="006B7CB6"/>
    <w:rsid w:val="006D46B0"/>
    <w:rsid w:val="0072082D"/>
    <w:rsid w:val="00733521"/>
    <w:rsid w:val="0077714D"/>
    <w:rsid w:val="0081250B"/>
    <w:rsid w:val="00833962"/>
    <w:rsid w:val="00881079"/>
    <w:rsid w:val="00887354"/>
    <w:rsid w:val="008A38EE"/>
    <w:rsid w:val="009302BC"/>
    <w:rsid w:val="00932F78"/>
    <w:rsid w:val="00935523"/>
    <w:rsid w:val="0095407B"/>
    <w:rsid w:val="00954963"/>
    <w:rsid w:val="009A0FBE"/>
    <w:rsid w:val="009C08EE"/>
    <w:rsid w:val="009C2610"/>
    <w:rsid w:val="009D37B8"/>
    <w:rsid w:val="00A02F50"/>
    <w:rsid w:val="00A05DD2"/>
    <w:rsid w:val="00A27DCF"/>
    <w:rsid w:val="00A41D69"/>
    <w:rsid w:val="00A43C53"/>
    <w:rsid w:val="00A94146"/>
    <w:rsid w:val="00AA328A"/>
    <w:rsid w:val="00AC5AAB"/>
    <w:rsid w:val="00AD6ADB"/>
    <w:rsid w:val="00B00123"/>
    <w:rsid w:val="00B1628A"/>
    <w:rsid w:val="00B216F4"/>
    <w:rsid w:val="00B37DD5"/>
    <w:rsid w:val="00B54580"/>
    <w:rsid w:val="00BC3B8A"/>
    <w:rsid w:val="00C441B8"/>
    <w:rsid w:val="00C55923"/>
    <w:rsid w:val="00C87D12"/>
    <w:rsid w:val="00C93B18"/>
    <w:rsid w:val="00CA42E3"/>
    <w:rsid w:val="00CB3F9A"/>
    <w:rsid w:val="00CB5D1C"/>
    <w:rsid w:val="00CE34B8"/>
    <w:rsid w:val="00D17E8D"/>
    <w:rsid w:val="00DB4396"/>
    <w:rsid w:val="00DE52A5"/>
    <w:rsid w:val="00DF3E36"/>
    <w:rsid w:val="00DF7904"/>
    <w:rsid w:val="00E029B0"/>
    <w:rsid w:val="00E6120D"/>
    <w:rsid w:val="00E920DE"/>
    <w:rsid w:val="00ED155A"/>
    <w:rsid w:val="00ED267A"/>
    <w:rsid w:val="00EE1CDC"/>
    <w:rsid w:val="00EE2299"/>
    <w:rsid w:val="00F15D4C"/>
    <w:rsid w:val="00F77AD3"/>
    <w:rsid w:val="00FC177A"/>
    <w:rsid w:val="00FC258F"/>
    <w:rsid w:val="00FD2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1D386"/>
  <w15:chartTrackingRefBased/>
  <w15:docId w15:val="{7FF7E24D-6E35-49EA-B6E2-83DD84EB6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0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A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A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A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A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A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0A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A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A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A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A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A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A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AD6"/>
    <w:rPr>
      <w:rFonts w:eastAsiaTheme="majorEastAsia" w:cstheme="majorBidi"/>
      <w:color w:val="272727" w:themeColor="text1" w:themeTint="D8"/>
    </w:rPr>
  </w:style>
  <w:style w:type="paragraph" w:styleId="Title">
    <w:name w:val="Title"/>
    <w:basedOn w:val="Normal"/>
    <w:next w:val="Normal"/>
    <w:link w:val="TitleChar"/>
    <w:uiPriority w:val="10"/>
    <w:qFormat/>
    <w:rsid w:val="00280A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A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A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A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AD6"/>
    <w:pPr>
      <w:spacing w:before="160"/>
      <w:jc w:val="center"/>
    </w:pPr>
    <w:rPr>
      <w:i/>
      <w:iCs/>
      <w:color w:val="404040" w:themeColor="text1" w:themeTint="BF"/>
    </w:rPr>
  </w:style>
  <w:style w:type="character" w:customStyle="1" w:styleId="QuoteChar">
    <w:name w:val="Quote Char"/>
    <w:basedOn w:val="DefaultParagraphFont"/>
    <w:link w:val="Quote"/>
    <w:uiPriority w:val="29"/>
    <w:rsid w:val="00280AD6"/>
    <w:rPr>
      <w:i/>
      <w:iCs/>
      <w:color w:val="404040" w:themeColor="text1" w:themeTint="BF"/>
    </w:rPr>
  </w:style>
  <w:style w:type="paragraph" w:styleId="ListParagraph">
    <w:name w:val="List Paragraph"/>
    <w:basedOn w:val="Normal"/>
    <w:uiPriority w:val="34"/>
    <w:qFormat/>
    <w:rsid w:val="00280AD6"/>
    <w:pPr>
      <w:ind w:left="720"/>
      <w:contextualSpacing/>
    </w:pPr>
  </w:style>
  <w:style w:type="character" w:styleId="IntenseEmphasis">
    <w:name w:val="Intense Emphasis"/>
    <w:basedOn w:val="DefaultParagraphFont"/>
    <w:uiPriority w:val="21"/>
    <w:qFormat/>
    <w:rsid w:val="00280AD6"/>
    <w:rPr>
      <w:i/>
      <w:iCs/>
      <w:color w:val="0F4761" w:themeColor="accent1" w:themeShade="BF"/>
    </w:rPr>
  </w:style>
  <w:style w:type="paragraph" w:styleId="IntenseQuote">
    <w:name w:val="Intense Quote"/>
    <w:basedOn w:val="Normal"/>
    <w:next w:val="Normal"/>
    <w:link w:val="IntenseQuoteChar"/>
    <w:uiPriority w:val="30"/>
    <w:qFormat/>
    <w:rsid w:val="00280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AD6"/>
    <w:rPr>
      <w:i/>
      <w:iCs/>
      <w:color w:val="0F4761" w:themeColor="accent1" w:themeShade="BF"/>
    </w:rPr>
  </w:style>
  <w:style w:type="character" w:styleId="IntenseReference">
    <w:name w:val="Intense Reference"/>
    <w:basedOn w:val="DefaultParagraphFont"/>
    <w:uiPriority w:val="32"/>
    <w:qFormat/>
    <w:rsid w:val="00280AD6"/>
    <w:rPr>
      <w:b/>
      <w:bCs/>
      <w:smallCaps/>
      <w:color w:val="0F4761" w:themeColor="accent1" w:themeShade="BF"/>
      <w:spacing w:val="5"/>
    </w:rPr>
  </w:style>
  <w:style w:type="character" w:styleId="Hyperlink">
    <w:name w:val="Hyperlink"/>
    <w:basedOn w:val="DefaultParagraphFont"/>
    <w:uiPriority w:val="99"/>
    <w:unhideWhenUsed/>
    <w:rsid w:val="0059535A"/>
    <w:rPr>
      <w:color w:val="467886" w:themeColor="hyperlink"/>
      <w:u w:val="single"/>
    </w:rPr>
  </w:style>
  <w:style w:type="character" w:styleId="UnresolvedMention">
    <w:name w:val="Unresolved Mention"/>
    <w:basedOn w:val="DefaultParagraphFont"/>
    <w:uiPriority w:val="99"/>
    <w:semiHidden/>
    <w:unhideWhenUsed/>
    <w:rsid w:val="0059535A"/>
    <w:rPr>
      <w:color w:val="605E5C"/>
      <w:shd w:val="clear" w:color="auto" w:fill="E1DFDD"/>
    </w:rPr>
  </w:style>
  <w:style w:type="character" w:styleId="CommentReference">
    <w:name w:val="annotation reference"/>
    <w:basedOn w:val="DefaultParagraphFont"/>
    <w:uiPriority w:val="99"/>
    <w:semiHidden/>
    <w:unhideWhenUsed/>
    <w:rsid w:val="0077714D"/>
    <w:rPr>
      <w:sz w:val="16"/>
      <w:szCs w:val="16"/>
    </w:rPr>
  </w:style>
  <w:style w:type="paragraph" w:styleId="CommentText">
    <w:name w:val="annotation text"/>
    <w:basedOn w:val="Normal"/>
    <w:link w:val="CommentTextChar"/>
    <w:uiPriority w:val="99"/>
    <w:unhideWhenUsed/>
    <w:rsid w:val="0077714D"/>
    <w:pPr>
      <w:spacing w:line="240" w:lineRule="auto"/>
    </w:pPr>
    <w:rPr>
      <w:sz w:val="20"/>
      <w:szCs w:val="20"/>
    </w:rPr>
  </w:style>
  <w:style w:type="character" w:customStyle="1" w:styleId="CommentTextChar">
    <w:name w:val="Comment Text Char"/>
    <w:basedOn w:val="DefaultParagraphFont"/>
    <w:link w:val="CommentText"/>
    <w:uiPriority w:val="99"/>
    <w:rsid w:val="0077714D"/>
    <w:rPr>
      <w:sz w:val="20"/>
      <w:szCs w:val="20"/>
    </w:rPr>
  </w:style>
  <w:style w:type="paragraph" w:styleId="CommentSubject">
    <w:name w:val="annotation subject"/>
    <w:basedOn w:val="CommentText"/>
    <w:next w:val="CommentText"/>
    <w:link w:val="CommentSubjectChar"/>
    <w:uiPriority w:val="99"/>
    <w:semiHidden/>
    <w:unhideWhenUsed/>
    <w:rsid w:val="0077714D"/>
    <w:rPr>
      <w:b/>
      <w:bCs/>
    </w:rPr>
  </w:style>
  <w:style w:type="character" w:customStyle="1" w:styleId="CommentSubjectChar">
    <w:name w:val="Comment Subject Char"/>
    <w:basedOn w:val="CommentTextChar"/>
    <w:link w:val="CommentSubject"/>
    <w:uiPriority w:val="99"/>
    <w:semiHidden/>
    <w:rsid w:val="0077714D"/>
    <w:rPr>
      <w:b/>
      <w:bCs/>
      <w:sz w:val="20"/>
      <w:szCs w:val="20"/>
    </w:rPr>
  </w:style>
  <w:style w:type="paragraph" w:styleId="Revision">
    <w:name w:val="Revision"/>
    <w:hidden/>
    <w:uiPriority w:val="99"/>
    <w:semiHidden/>
    <w:rsid w:val="00CB3F9A"/>
    <w:pPr>
      <w:spacing w:after="0" w:line="240" w:lineRule="auto"/>
    </w:pPr>
  </w:style>
  <w:style w:type="paragraph" w:styleId="FootnoteText">
    <w:name w:val="footnote text"/>
    <w:basedOn w:val="Normal"/>
    <w:link w:val="FootnoteTextChar"/>
    <w:uiPriority w:val="99"/>
    <w:semiHidden/>
    <w:unhideWhenUsed/>
    <w:rsid w:val="001859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5946"/>
    <w:rPr>
      <w:sz w:val="20"/>
      <w:szCs w:val="20"/>
    </w:rPr>
  </w:style>
  <w:style w:type="character" w:styleId="FootnoteReference">
    <w:name w:val="footnote reference"/>
    <w:basedOn w:val="DefaultParagraphFont"/>
    <w:uiPriority w:val="99"/>
    <w:semiHidden/>
    <w:unhideWhenUsed/>
    <w:rsid w:val="00185946"/>
    <w:rPr>
      <w:vertAlign w:val="superscript"/>
    </w:rPr>
  </w:style>
  <w:style w:type="character" w:styleId="FollowedHyperlink">
    <w:name w:val="FollowedHyperlink"/>
    <w:basedOn w:val="DefaultParagraphFont"/>
    <w:uiPriority w:val="99"/>
    <w:semiHidden/>
    <w:unhideWhenUsed/>
    <w:rsid w:val="00B1628A"/>
    <w:rPr>
      <w:color w:val="96607D" w:themeColor="followedHyperlink"/>
      <w:u w:val="single"/>
    </w:rPr>
  </w:style>
  <w:style w:type="paragraph" w:styleId="Header">
    <w:name w:val="header"/>
    <w:basedOn w:val="Normal"/>
    <w:link w:val="HeaderChar"/>
    <w:uiPriority w:val="99"/>
    <w:unhideWhenUsed/>
    <w:rsid w:val="00663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77D"/>
  </w:style>
  <w:style w:type="paragraph" w:styleId="Footer">
    <w:name w:val="footer"/>
    <w:basedOn w:val="Normal"/>
    <w:link w:val="FooterChar"/>
    <w:uiPriority w:val="99"/>
    <w:unhideWhenUsed/>
    <w:rsid w:val="006637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A4C9F-BC42-4460-8DF7-3ADAD9FFE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4112</Words>
  <Characters>24471</Characters>
  <Application>Microsoft Office Word</Application>
  <DocSecurity>0</DocSecurity>
  <Lines>382</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2025-12-16T23:59:00Z</dcterms:created>
  <dcterms:modified xsi:type="dcterms:W3CDTF">2025-12-16T23:59:00Z</dcterms:modified>
</cp:coreProperties>
</file>