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91DE5" w14:textId="219960FE" w:rsidR="00C96509" w:rsidRDefault="00C96509" w:rsidP="00041A5A">
      <w:pPr>
        <w:spacing w:line="360" w:lineRule="auto"/>
        <w:jc w:val="center"/>
        <w:rPr>
          <w:rFonts w:ascii="Arial" w:hAnsi="Arial" w:cs="Arial"/>
          <w:b/>
          <w:bCs/>
          <w:sz w:val="28"/>
          <w:szCs w:val="28"/>
        </w:rPr>
      </w:pPr>
      <w:r w:rsidRPr="00C96509">
        <w:rPr>
          <w:rFonts w:ascii="Arial" w:hAnsi="Arial" w:cs="Arial"/>
          <w:b/>
          <w:bCs/>
          <w:noProof/>
          <w:sz w:val="28"/>
          <w:szCs w:val="28"/>
        </w:rPr>
        <w:drawing>
          <wp:inline distT="0" distB="0" distL="0" distR="0" wp14:anchorId="3F7ABC2B" wp14:editId="5DBFC946">
            <wp:extent cx="909955" cy="357505"/>
            <wp:effectExtent l="0" t="0" r="4445" b="4445"/>
            <wp:docPr id="1258585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955" cy="357505"/>
                    </a:xfrm>
                    <a:prstGeom prst="rect">
                      <a:avLst/>
                    </a:prstGeom>
                    <a:noFill/>
                    <a:ln>
                      <a:noFill/>
                    </a:ln>
                  </pic:spPr>
                </pic:pic>
              </a:graphicData>
            </a:graphic>
          </wp:inline>
        </w:drawing>
      </w:r>
    </w:p>
    <w:p w14:paraId="002C99C0" w14:textId="77777777" w:rsidR="00C96509" w:rsidRDefault="00C96509" w:rsidP="00C96509">
      <w:pPr>
        <w:spacing w:line="360" w:lineRule="auto"/>
        <w:rPr>
          <w:rFonts w:ascii="Arial" w:hAnsi="Arial" w:cs="Arial"/>
          <w:b/>
          <w:bCs/>
          <w:sz w:val="28"/>
          <w:szCs w:val="28"/>
        </w:rPr>
      </w:pPr>
    </w:p>
    <w:p w14:paraId="75E38F7F" w14:textId="319A1BE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0EF49DD2"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8D65C8">
        <w:rPr>
          <w:rFonts w:ascii="Arial" w:hAnsi="Arial" w:cs="Arial"/>
          <w:sz w:val="28"/>
          <w:szCs w:val="28"/>
        </w:rPr>
        <w:t>2425634</w:t>
      </w:r>
    </w:p>
    <w:p w14:paraId="01D5D8DB" w14:textId="03ED09ED" w:rsidR="00FF5B70" w:rsidRPr="00AD0E8D" w:rsidRDefault="00FF5B70" w:rsidP="00041A5A">
      <w:pPr>
        <w:spacing w:line="360" w:lineRule="auto"/>
        <w:rPr>
          <w:rFonts w:ascii="Arial" w:hAnsi="Arial" w:cs="Arial"/>
          <w:sz w:val="28"/>
          <w:szCs w:val="28"/>
        </w:rPr>
      </w:pPr>
    </w:p>
    <w:p w14:paraId="37A27DB3" w14:textId="6A644665"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8D65C8">
        <w:rPr>
          <w:rFonts w:ascii="Arial" w:hAnsi="Arial" w:cs="Arial"/>
          <w:sz w:val="28"/>
          <w:szCs w:val="28"/>
        </w:rPr>
        <w:t>Michael Njuguna Muroki</w:t>
      </w:r>
    </w:p>
    <w:p w14:paraId="638A4615" w14:textId="77777777" w:rsidR="00715990" w:rsidRPr="00AD0E8D" w:rsidRDefault="00715990" w:rsidP="00041A5A">
      <w:pPr>
        <w:spacing w:line="360" w:lineRule="auto"/>
        <w:rPr>
          <w:rFonts w:ascii="Arial" w:hAnsi="Arial" w:cs="Arial"/>
          <w:sz w:val="28"/>
          <w:szCs w:val="28"/>
        </w:rPr>
      </w:pPr>
    </w:p>
    <w:p w14:paraId="0B04E018" w14:textId="06188AE5"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8D65C8">
        <w:rPr>
          <w:rFonts w:ascii="Arial" w:hAnsi="Arial" w:cs="Arial"/>
          <w:sz w:val="28"/>
          <w:szCs w:val="28"/>
        </w:rPr>
        <w:t>30</w:t>
      </w:r>
      <w:r w:rsidR="008D65C8" w:rsidRPr="008D65C8">
        <w:rPr>
          <w:rFonts w:ascii="Arial" w:hAnsi="Arial" w:cs="Arial"/>
          <w:sz w:val="28"/>
          <w:szCs w:val="28"/>
          <w:vertAlign w:val="superscript"/>
        </w:rPr>
        <w:t>th</w:t>
      </w:r>
      <w:r w:rsidR="008D65C8">
        <w:rPr>
          <w:rFonts w:ascii="Arial" w:hAnsi="Arial" w:cs="Arial"/>
          <w:sz w:val="28"/>
          <w:szCs w:val="28"/>
        </w:rPr>
        <w:t xml:space="preserve"> October 2026</w:t>
      </w:r>
    </w:p>
    <w:p w14:paraId="19AA26A9" w14:textId="2F99F205" w:rsidR="00FF5B70" w:rsidRPr="00AD0E8D" w:rsidRDefault="00FF5B70" w:rsidP="00041A5A">
      <w:pPr>
        <w:spacing w:line="360" w:lineRule="auto"/>
        <w:rPr>
          <w:rFonts w:ascii="Arial" w:hAnsi="Arial" w:cs="Arial"/>
          <w:sz w:val="28"/>
          <w:szCs w:val="28"/>
        </w:rPr>
      </w:pPr>
    </w:p>
    <w:p w14:paraId="3FE66E60" w14:textId="38569A53"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8D65C8">
        <w:rPr>
          <w:rFonts w:ascii="Arial" w:hAnsi="Arial" w:cs="Arial"/>
          <w:sz w:val="28"/>
          <w:szCs w:val="28"/>
        </w:rPr>
        <w:t xml:space="preserve">Dr. Eleni </w:t>
      </w:r>
      <w:r w:rsidR="008D65C8" w:rsidRPr="008D65C8">
        <w:rPr>
          <w:rFonts w:ascii="Arial" w:hAnsi="Arial" w:cs="Arial"/>
          <w:sz w:val="28"/>
          <w:szCs w:val="28"/>
        </w:rPr>
        <w:t>Koutsogeorgou-Andreou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3026BD18" w14:textId="77777777" w:rsidR="00BB7F99" w:rsidRPr="00A72DB9" w:rsidRDefault="00AD0E8D" w:rsidP="00A72DB9">
      <w:pPr>
        <w:pStyle w:val="Heading2"/>
        <w:rPr>
          <w:rFonts w:ascii="Times New Roman" w:eastAsiaTheme="minorHAnsi" w:hAnsi="Times New Roman" w:cstheme="minorBidi"/>
          <w:i/>
        </w:rPr>
      </w:pPr>
      <w:r w:rsidRPr="00A72DB9">
        <w:rPr>
          <w:b/>
          <w:bCs/>
        </w:rPr>
        <w:t>Topic</w:t>
      </w:r>
      <w:r w:rsidR="00D769F0" w:rsidRPr="00A72DB9">
        <w:t>:</w:t>
      </w:r>
      <w:r w:rsidR="005900DE" w:rsidRPr="00A72DB9">
        <w:rPr>
          <w:rFonts w:ascii="Times New Roman" w:eastAsiaTheme="minorHAnsi" w:hAnsi="Times New Roman" w:cstheme="minorBidi"/>
        </w:rPr>
        <w:t xml:space="preserve"> </w:t>
      </w:r>
    </w:p>
    <w:p w14:paraId="6A13103F" w14:textId="2700F84E" w:rsidR="00380294" w:rsidRPr="00380294" w:rsidRDefault="002D20EE" w:rsidP="00A72DB9">
      <w:pPr>
        <w:pStyle w:val="Heading2"/>
      </w:pPr>
      <w:r w:rsidRPr="007019BC">
        <w:t xml:space="preserve">The secondary research </w:t>
      </w:r>
      <w:r w:rsidR="00323DE2">
        <w:t>report</w:t>
      </w:r>
      <w:r w:rsidRPr="007019BC">
        <w:t xml:space="preserve"> will examine how digital technology enabled social care tools support independence, safety, and care quality for older adults in the UK</w:t>
      </w:r>
      <w:r w:rsidRPr="002D20EE">
        <w:t>.</w:t>
      </w:r>
    </w:p>
    <w:p w14:paraId="03FD30D3" w14:textId="475F3855" w:rsidR="00715990" w:rsidRPr="00AD0E8D" w:rsidRDefault="00715990" w:rsidP="00041A5A">
      <w:pPr>
        <w:spacing w:line="360" w:lineRule="auto"/>
        <w:rPr>
          <w:rFonts w:ascii="Arial" w:hAnsi="Arial" w:cs="Arial"/>
          <w:sz w:val="22"/>
        </w:rPr>
      </w:pPr>
    </w:p>
    <w:p w14:paraId="29FD37C4" w14:textId="77777777" w:rsidR="00BB7F99" w:rsidRDefault="00FF5B70" w:rsidP="00A72DB9">
      <w:pPr>
        <w:pStyle w:val="Heading2"/>
        <w:rPr>
          <w:rFonts w:ascii="Times New Roman" w:eastAsiaTheme="minorHAnsi" w:hAnsi="Times New Roman" w:cstheme="minorBidi"/>
          <w:i/>
        </w:rPr>
      </w:pPr>
      <w:r w:rsidRPr="00AD0E8D">
        <w:t>1</w:t>
      </w:r>
      <w:r w:rsidR="00784670" w:rsidRPr="00AD0E8D">
        <w:t xml:space="preserve">) </w:t>
      </w:r>
      <w:r w:rsidR="00AD0E8D" w:rsidRPr="00A72DB9">
        <w:rPr>
          <w:b/>
          <w:bCs/>
        </w:rPr>
        <w:t>Review question</w:t>
      </w:r>
      <w:r w:rsidR="00784670" w:rsidRPr="00A72DB9">
        <w:t>:</w:t>
      </w:r>
      <w:r w:rsidR="005900DE" w:rsidRPr="005900DE">
        <w:rPr>
          <w:rFonts w:ascii="Times New Roman" w:eastAsiaTheme="minorHAnsi" w:hAnsi="Times New Roman" w:cstheme="minorBidi"/>
        </w:rPr>
        <w:t xml:space="preserve"> </w:t>
      </w:r>
    </w:p>
    <w:p w14:paraId="40F6CF3A" w14:textId="277AB84D" w:rsidR="00784670" w:rsidRPr="007019BC" w:rsidRDefault="00EB0882" w:rsidP="00A72DB9">
      <w:pPr>
        <w:pStyle w:val="Heading2"/>
      </w:pPr>
      <w:r w:rsidRPr="007019BC">
        <w:t>“What is the impact of emerging digital technologies on independence, safety, and care quality for older adults receiving social care in the UK?”</w:t>
      </w:r>
    </w:p>
    <w:p w14:paraId="4C6858D8" w14:textId="77777777" w:rsidR="00784670" w:rsidRPr="00AD0E8D" w:rsidRDefault="00784670" w:rsidP="00AD0E8D">
      <w:pPr>
        <w:spacing w:line="360" w:lineRule="auto"/>
        <w:rPr>
          <w:rFonts w:ascii="Arial" w:hAnsi="Arial" w:cs="Arial"/>
          <w:sz w:val="22"/>
        </w:rPr>
      </w:pPr>
    </w:p>
    <w:p w14:paraId="7F8F921A" w14:textId="77777777" w:rsidR="00BB7F99" w:rsidRDefault="00FF5B70" w:rsidP="00A72DB9">
      <w:pPr>
        <w:pStyle w:val="Heading2"/>
      </w:pPr>
      <w:r w:rsidRPr="00AD0E8D">
        <w:t>2</w:t>
      </w:r>
      <w:r w:rsidR="00784670" w:rsidRPr="00A72DB9">
        <w:rPr>
          <w:b/>
          <w:bCs/>
        </w:rPr>
        <w:t>) O</w:t>
      </w:r>
      <w:r w:rsidR="00545684" w:rsidRPr="00A72DB9">
        <w:rPr>
          <w:b/>
          <w:bCs/>
        </w:rPr>
        <w:t>bjectives:</w:t>
      </w:r>
      <w:r w:rsidR="002D20EE">
        <w:t xml:space="preserve"> </w:t>
      </w:r>
    </w:p>
    <w:p w14:paraId="45881164" w14:textId="39AB66B2" w:rsidR="002D20EE" w:rsidRPr="007019BC" w:rsidRDefault="002D20EE" w:rsidP="00A72DB9">
      <w:pPr>
        <w:pStyle w:val="Heading2"/>
        <w:rPr>
          <w:b/>
          <w:bCs/>
          <w:i/>
        </w:rPr>
      </w:pPr>
      <w:r>
        <w:t>•</w:t>
      </w:r>
      <w:r>
        <w:tab/>
      </w:r>
      <w:r w:rsidRPr="007019BC">
        <w:t>To review evidence on digital tools used in UK social care (e.g., sensors, monitoring apps, smart devices).</w:t>
      </w:r>
    </w:p>
    <w:p w14:paraId="10100857" w14:textId="77777777" w:rsidR="002D20EE" w:rsidRPr="007019BC" w:rsidRDefault="002D20EE" w:rsidP="00A72DB9">
      <w:pPr>
        <w:pStyle w:val="Heading2"/>
        <w:rPr>
          <w:b/>
          <w:bCs/>
          <w:i/>
        </w:rPr>
      </w:pPr>
      <w:r w:rsidRPr="007019BC">
        <w:t>•</w:t>
      </w:r>
      <w:r w:rsidRPr="007019BC">
        <w:tab/>
        <w:t>To evaluate their impact on independence, safety, and care outcomes.</w:t>
      </w:r>
    </w:p>
    <w:p w14:paraId="521CB15E" w14:textId="77777777" w:rsidR="002D20EE" w:rsidRPr="007019BC" w:rsidRDefault="002D20EE" w:rsidP="00A72DB9">
      <w:pPr>
        <w:pStyle w:val="Heading2"/>
        <w:rPr>
          <w:b/>
          <w:bCs/>
          <w:i/>
        </w:rPr>
      </w:pPr>
      <w:r w:rsidRPr="007019BC">
        <w:t>•</w:t>
      </w:r>
      <w:r w:rsidRPr="007019BC">
        <w:tab/>
        <w:t>To explore barriers such as digital literacy, access, and workforce readiness.</w:t>
      </w:r>
    </w:p>
    <w:p w14:paraId="2B00F95C" w14:textId="31CD5318" w:rsidR="00545684" w:rsidRPr="007019BC" w:rsidRDefault="002D20EE" w:rsidP="00A72DB9">
      <w:pPr>
        <w:pStyle w:val="Heading2"/>
        <w:rPr>
          <w:b/>
          <w:bCs/>
          <w:i/>
        </w:rPr>
      </w:pPr>
      <w:r w:rsidRPr="007019BC">
        <w:t>•</w:t>
      </w:r>
      <w:r w:rsidRPr="007019BC">
        <w:tab/>
        <w:t>To identify implications for future digital social care policy and practice.</w:t>
      </w:r>
    </w:p>
    <w:p w14:paraId="4DE92F51" w14:textId="77777777" w:rsidR="00041A5A" w:rsidRPr="00AD0E8D" w:rsidRDefault="00041A5A" w:rsidP="00041A5A">
      <w:pPr>
        <w:spacing w:line="360" w:lineRule="auto"/>
        <w:rPr>
          <w:rFonts w:ascii="Arial" w:hAnsi="Arial" w:cs="Arial"/>
          <w:sz w:val="22"/>
        </w:rPr>
      </w:pPr>
    </w:p>
    <w:p w14:paraId="13EA8847" w14:textId="77777777" w:rsidR="00BB7F99" w:rsidRDefault="00FF5B70" w:rsidP="00A72DB9">
      <w:pPr>
        <w:pStyle w:val="Heading2"/>
      </w:pPr>
      <w:r w:rsidRPr="00AD0E8D">
        <w:t>3</w:t>
      </w:r>
      <w:r w:rsidR="008E5015" w:rsidRPr="00AD0E8D">
        <w:t xml:space="preserve">) </w:t>
      </w:r>
      <w:r w:rsidR="00AD0E8D" w:rsidRPr="00A72DB9">
        <w:rPr>
          <w:b/>
          <w:bCs/>
        </w:rPr>
        <w:t>Rationale</w:t>
      </w:r>
      <w:r w:rsidR="00545684" w:rsidRPr="00A72DB9">
        <w:t>:</w:t>
      </w:r>
      <w:r w:rsidR="00BB7F99">
        <w:t xml:space="preserve"> </w:t>
      </w:r>
    </w:p>
    <w:p w14:paraId="3AC96963" w14:textId="04AF79C2" w:rsidR="00545684" w:rsidRPr="00A72DB9" w:rsidRDefault="00BB7F99" w:rsidP="00A72DB9">
      <w:pPr>
        <w:pStyle w:val="Heading2"/>
        <w:rPr>
          <w:b/>
          <w:bCs/>
        </w:rPr>
      </w:pPr>
      <w:r w:rsidRPr="00A72DB9">
        <w:t>Digital technology is increasingly embedded in UK social care due to demographic ageing and pressure on statutory services. Recent evidence highlights the growing role of digital tools in falls prevention, dementia support, and remote monitoring (Eost</w:t>
      </w:r>
      <w:r w:rsidRPr="00A72DB9">
        <w:rPr>
          <w:rFonts w:ascii="Cambria Math" w:hAnsi="Cambria Math" w:cs="Cambria Math"/>
        </w:rPr>
        <w:t>‑</w:t>
      </w:r>
      <w:r w:rsidRPr="00A72DB9">
        <w:t>Telling et al., 2024)</w:t>
      </w:r>
      <w:r w:rsidR="003A3830">
        <w:t>.</w:t>
      </w:r>
      <w:r w:rsidRPr="00A72DB9">
        <w:t xml:space="preserve"> National reviews emphasise the urgent need to shift from crisis intervention to prevention, with digital technologies offering potential to support early intervention and independent living (Asthana et al., 2026).</w:t>
      </w:r>
    </w:p>
    <w:p w14:paraId="4E18F384" w14:textId="77777777" w:rsidR="003A3830" w:rsidRDefault="00BB7F99" w:rsidP="007019BC">
      <w:pPr>
        <w:spacing w:line="360" w:lineRule="auto"/>
        <w:rPr>
          <w:rFonts w:ascii="Arial" w:hAnsi="Arial" w:cs="Arial"/>
          <w:sz w:val="22"/>
        </w:rPr>
      </w:pPr>
      <w:r w:rsidRPr="007019BC">
        <w:rPr>
          <w:rFonts w:ascii="Arial" w:hAnsi="Arial" w:cs="Arial"/>
          <w:sz w:val="22"/>
        </w:rPr>
        <w:t>Research also shows that older adults value technologies that enhance independence but face barriers such as digital literacy and usability challenges (Marston et al., 2026)</w:t>
      </w:r>
      <w:r w:rsidR="003A3830">
        <w:rPr>
          <w:rFonts w:ascii="Arial" w:hAnsi="Arial" w:cs="Arial"/>
          <w:sz w:val="22"/>
        </w:rPr>
        <w:t>.</w:t>
      </w:r>
    </w:p>
    <w:p w14:paraId="7D50B70E" w14:textId="78C58F57" w:rsidR="00BB7F99" w:rsidRPr="007019BC" w:rsidRDefault="00BB7F99" w:rsidP="007019BC">
      <w:pPr>
        <w:spacing w:line="360" w:lineRule="auto"/>
        <w:rPr>
          <w:rFonts w:ascii="Arial" w:hAnsi="Arial" w:cs="Arial"/>
          <w:sz w:val="22"/>
        </w:rPr>
      </w:pPr>
      <w:r w:rsidRPr="007019BC">
        <w:rPr>
          <w:rFonts w:ascii="Arial" w:hAnsi="Arial" w:cs="Arial"/>
          <w:sz w:val="22"/>
        </w:rPr>
        <w:t xml:space="preserve"> Evidence from care homes demonstrates reductions in emergency admissions when digital monitoring is combined with effective clinical pathways (Garner et al., 2024).</w:t>
      </w:r>
    </w:p>
    <w:p w14:paraId="63BD4492" w14:textId="77777777" w:rsidR="00BB7F99" w:rsidRPr="007019BC" w:rsidRDefault="00BB7F99" w:rsidP="007019BC">
      <w:pPr>
        <w:spacing w:line="360" w:lineRule="auto"/>
        <w:rPr>
          <w:rFonts w:ascii="Arial" w:hAnsi="Arial" w:cs="Arial"/>
          <w:sz w:val="22"/>
        </w:rPr>
      </w:pPr>
      <w:r w:rsidRPr="007019BC">
        <w:rPr>
          <w:rFonts w:ascii="Arial" w:hAnsi="Arial" w:cs="Arial"/>
          <w:sz w:val="22"/>
        </w:rPr>
        <w:t>Given the rapid expansion of digital social care and ongoing policy investment, this topic is highly relevant to contemporary UK practice.</w:t>
      </w:r>
    </w:p>
    <w:p w14:paraId="2DC14764" w14:textId="118A2F99" w:rsidR="00BB7F99" w:rsidRPr="00BB7F99" w:rsidRDefault="00BB7F99" w:rsidP="00BB7F99">
      <w:pPr>
        <w:rPr>
          <w:rFonts w:ascii="Arial" w:hAnsi="Arial"/>
        </w:rPr>
      </w:pPr>
      <w:r w:rsidRPr="00BB7F99">
        <w:rPr>
          <w:rFonts w:ascii="Arial" w:hAnsi="Arial"/>
        </w:rPr>
        <w:t xml:space="preserve"> </w:t>
      </w:r>
    </w:p>
    <w:p w14:paraId="332E5A12" w14:textId="051972BF" w:rsidR="00545684" w:rsidRDefault="00FF5B70" w:rsidP="00A72DB9">
      <w:pPr>
        <w:pStyle w:val="Heading2"/>
      </w:pPr>
      <w:r w:rsidRPr="00AD0E8D">
        <w:lastRenderedPageBreak/>
        <w:t>4</w:t>
      </w:r>
      <w:r w:rsidR="008E5015" w:rsidRPr="00AD0E8D">
        <w:t xml:space="preserve">) </w:t>
      </w:r>
      <w:r w:rsidR="00545684" w:rsidRPr="00A72DB9">
        <w:rPr>
          <w:b/>
          <w:bCs/>
        </w:rPr>
        <w:t>Methods</w:t>
      </w:r>
      <w:r w:rsidR="00545684" w:rsidRPr="00A72DB9">
        <w:t>:</w:t>
      </w:r>
    </w:p>
    <w:p w14:paraId="11FFF9D3" w14:textId="77777777" w:rsidR="00BB7F99" w:rsidRPr="007019BC" w:rsidRDefault="00BB7F99" w:rsidP="007019BC">
      <w:pPr>
        <w:spacing w:line="360" w:lineRule="auto"/>
        <w:rPr>
          <w:rFonts w:ascii="Arial" w:hAnsi="Arial" w:cs="Arial"/>
          <w:sz w:val="22"/>
        </w:rPr>
      </w:pPr>
      <w:r w:rsidRPr="007019BC">
        <w:rPr>
          <w:rFonts w:ascii="Arial" w:hAnsi="Arial" w:cs="Arial"/>
          <w:sz w:val="22"/>
        </w:rPr>
        <w:t xml:space="preserve">This study will use </w:t>
      </w:r>
      <w:r w:rsidRPr="007019BC">
        <w:rPr>
          <w:rFonts w:ascii="Arial" w:hAnsi="Arial" w:cs="Arial"/>
          <w:b/>
          <w:bCs/>
          <w:sz w:val="22"/>
        </w:rPr>
        <w:t>secondary research methods</w:t>
      </w:r>
      <w:r w:rsidRPr="007019BC">
        <w:rPr>
          <w:rFonts w:ascii="Arial" w:hAnsi="Arial" w:cs="Arial"/>
          <w:sz w:val="22"/>
        </w:rPr>
        <w:t>, drawing on peer</w:t>
      </w:r>
      <w:r w:rsidRPr="007019BC">
        <w:rPr>
          <w:rFonts w:ascii="Arial" w:hAnsi="Arial" w:cs="Arial"/>
          <w:sz w:val="22"/>
        </w:rPr>
        <w:noBreakHyphen/>
        <w:t xml:space="preserve">reviewed journal articles, government reports, NIHR evaluations, and social care research briefings. Databases will include </w:t>
      </w:r>
      <w:r w:rsidRPr="007019BC">
        <w:rPr>
          <w:rFonts w:ascii="Arial" w:hAnsi="Arial" w:cs="Arial"/>
          <w:b/>
          <w:bCs/>
          <w:sz w:val="22"/>
        </w:rPr>
        <w:t>PubMed, CINAHL, Google Scholar</w:t>
      </w:r>
      <w:r w:rsidRPr="007019BC">
        <w:rPr>
          <w:rFonts w:ascii="Arial" w:hAnsi="Arial" w:cs="Arial"/>
          <w:sz w:val="22"/>
        </w:rPr>
        <w:t xml:space="preserve">, and </w:t>
      </w:r>
      <w:r w:rsidRPr="007019BC">
        <w:rPr>
          <w:rFonts w:ascii="Arial" w:hAnsi="Arial" w:cs="Arial"/>
          <w:b/>
          <w:bCs/>
          <w:sz w:val="22"/>
        </w:rPr>
        <w:t>NHS Evidence</w:t>
      </w:r>
      <w:r w:rsidRPr="007019BC">
        <w:rPr>
          <w:rFonts w:ascii="Arial" w:hAnsi="Arial" w:cs="Arial"/>
          <w:sz w:val="22"/>
        </w:rPr>
        <w:t xml:space="preserve">. A </w:t>
      </w:r>
      <w:r w:rsidRPr="007019BC">
        <w:rPr>
          <w:rFonts w:ascii="Arial" w:hAnsi="Arial" w:cs="Arial"/>
          <w:b/>
          <w:bCs/>
          <w:sz w:val="22"/>
        </w:rPr>
        <w:t>thematic analysis</w:t>
      </w:r>
      <w:r w:rsidRPr="007019BC">
        <w:rPr>
          <w:rFonts w:ascii="Arial" w:hAnsi="Arial" w:cs="Arial"/>
          <w:sz w:val="22"/>
        </w:rPr>
        <w:t xml:space="preserve"> will be used to identify patterns relating to independence, safety, digital inclusion, and care quality. Sources will be appraised for credibility, methodological rigour, and relevance to UK practice.</w:t>
      </w:r>
    </w:p>
    <w:p w14:paraId="08437629" w14:textId="77777777" w:rsidR="0061260B" w:rsidRPr="00AD0E8D" w:rsidRDefault="0061260B" w:rsidP="0061260B">
      <w:pPr>
        <w:rPr>
          <w:rFonts w:ascii="Arial" w:hAnsi="Arial" w:cs="Arial"/>
          <w:sz w:val="22"/>
        </w:rPr>
      </w:pPr>
    </w:p>
    <w:p w14:paraId="232DCC93" w14:textId="2CF9B0F8" w:rsidR="0061260B" w:rsidRDefault="00FF5B70" w:rsidP="00A72DB9">
      <w:pPr>
        <w:pStyle w:val="Heading2"/>
      </w:pPr>
      <w:r w:rsidRPr="00AD0E8D">
        <w:t>5</w:t>
      </w:r>
      <w:r w:rsidR="0061260B" w:rsidRPr="00A72DB9">
        <w:t xml:space="preserve">) </w:t>
      </w:r>
      <w:r w:rsidR="00AD0E8D" w:rsidRPr="00A72DB9">
        <w:rPr>
          <w:b/>
          <w:bCs/>
        </w:rPr>
        <w:t>Ethical considerations</w:t>
      </w:r>
      <w:r w:rsidR="00260277" w:rsidRPr="00A72DB9">
        <w:t>:</w:t>
      </w:r>
      <w:r w:rsidR="0061260B" w:rsidRPr="00AD0E8D">
        <w:t xml:space="preserve"> </w:t>
      </w:r>
    </w:p>
    <w:p w14:paraId="64C3045A" w14:textId="569E1DD8" w:rsidR="0061260B" w:rsidRPr="007019BC" w:rsidRDefault="00BB7F99" w:rsidP="007019BC">
      <w:pPr>
        <w:spacing w:line="360" w:lineRule="auto"/>
        <w:rPr>
          <w:rFonts w:ascii="Arial" w:hAnsi="Arial" w:cs="Arial"/>
          <w:sz w:val="22"/>
        </w:rPr>
      </w:pPr>
      <w:r w:rsidRPr="007019BC">
        <w:rPr>
          <w:rFonts w:ascii="Arial" w:hAnsi="Arial" w:cs="Arial"/>
          <w:sz w:val="22"/>
        </w:rPr>
        <w:t>As secondary research, no primary data will be collected. Ethical considerations include accurate representation of findings, avoidance of bias, and adherence to academic integrity. All sources will be cited using Harvard referencing, and copyright</w:t>
      </w:r>
      <w:r w:rsidRPr="007019BC">
        <w:rPr>
          <w:rFonts w:ascii="Cambria Math" w:hAnsi="Cambria Math" w:cs="Cambria Math"/>
          <w:sz w:val="22"/>
        </w:rPr>
        <w:t>‑</w:t>
      </w:r>
      <w:r w:rsidRPr="007019BC">
        <w:rPr>
          <w:rFonts w:ascii="Arial" w:hAnsi="Arial" w:cs="Arial"/>
          <w:sz w:val="22"/>
        </w:rPr>
        <w:t>protected materials will be used responsibly.</w:t>
      </w: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262C8CA3" w14:textId="4D2FF9E1" w:rsidR="00545684" w:rsidRDefault="00545684" w:rsidP="00AD0E8D">
      <w:pPr>
        <w:pStyle w:val="Heading1"/>
      </w:pPr>
      <w:r w:rsidRPr="00AD0E8D">
        <w:lastRenderedPageBreak/>
        <w:t>References</w:t>
      </w:r>
    </w:p>
    <w:p w14:paraId="7CF1C084" w14:textId="77777777" w:rsidR="009422D5" w:rsidRPr="009422D5" w:rsidRDefault="009422D5" w:rsidP="009422D5"/>
    <w:p w14:paraId="5F15D474" w14:textId="77777777" w:rsidR="00E91B9F" w:rsidRPr="00E91B9F" w:rsidRDefault="00E91B9F" w:rsidP="00E91B9F">
      <w:pPr>
        <w:spacing w:after="240" w:line="360" w:lineRule="auto"/>
        <w:rPr>
          <w:rFonts w:eastAsia="Times New Roman" w:cs="Times New Roman"/>
          <w:szCs w:val="24"/>
          <w:lang w:eastAsia="en-GB"/>
        </w:rPr>
      </w:pPr>
      <w:r w:rsidRPr="00E91B9F">
        <w:rPr>
          <w:rFonts w:eastAsia="Times New Roman" w:cs="Times New Roman"/>
          <w:szCs w:val="24"/>
          <w:lang w:eastAsia="en-GB"/>
        </w:rPr>
        <w:t xml:space="preserve">Asthana, S., Gibson, A. and Bailey, J. (2026). Technology-enabled social care: Shifting from crisis response to prevention. </w:t>
      </w:r>
      <w:r w:rsidRPr="00E91B9F">
        <w:rPr>
          <w:rFonts w:eastAsia="Times New Roman" w:cs="Times New Roman"/>
          <w:i/>
          <w:iCs/>
          <w:szCs w:val="24"/>
          <w:lang w:eastAsia="en-GB"/>
        </w:rPr>
        <w:t>British Journal of Social Care</w:t>
      </w:r>
      <w:r w:rsidRPr="00E91B9F">
        <w:rPr>
          <w:rFonts w:eastAsia="Times New Roman" w:cs="Times New Roman"/>
          <w:szCs w:val="24"/>
          <w:lang w:eastAsia="en-GB"/>
        </w:rPr>
        <w:t>, 14(2), pp.115–132.</w:t>
      </w:r>
    </w:p>
    <w:p w14:paraId="63845854" w14:textId="77777777" w:rsidR="00E91B9F" w:rsidRPr="00E91B9F" w:rsidRDefault="00E91B9F" w:rsidP="00E91B9F">
      <w:pPr>
        <w:spacing w:after="240" w:line="360" w:lineRule="auto"/>
        <w:rPr>
          <w:rFonts w:eastAsia="Times New Roman" w:cs="Times New Roman"/>
          <w:szCs w:val="24"/>
          <w:lang w:eastAsia="en-GB"/>
        </w:rPr>
      </w:pPr>
      <w:r w:rsidRPr="00E91B9F">
        <w:rPr>
          <w:rFonts w:eastAsia="Times New Roman" w:cs="Times New Roman"/>
          <w:szCs w:val="24"/>
          <w:lang w:eastAsia="en-GB"/>
        </w:rPr>
        <w:t xml:space="preserve">Eost-Telling, A., Hughes, L. and Marston, H. (2024). Digital Technologies for Falls Prevention and Dementia Care: A UK evaluation. </w:t>
      </w:r>
      <w:r w:rsidRPr="00E91B9F">
        <w:rPr>
          <w:rFonts w:eastAsia="Times New Roman" w:cs="Times New Roman"/>
          <w:i/>
          <w:iCs/>
          <w:szCs w:val="24"/>
          <w:lang w:eastAsia="en-GB"/>
        </w:rPr>
        <w:t>Health &amp; Social Care in the Community</w:t>
      </w:r>
      <w:r w:rsidRPr="00E91B9F">
        <w:rPr>
          <w:rFonts w:eastAsia="Times New Roman" w:cs="Times New Roman"/>
          <w:szCs w:val="24"/>
          <w:lang w:eastAsia="en-GB"/>
        </w:rPr>
        <w:t>, 32(1), pp.45–58.</w:t>
      </w:r>
    </w:p>
    <w:p w14:paraId="673D87D3" w14:textId="77777777" w:rsidR="00E91B9F" w:rsidRPr="00E91B9F" w:rsidRDefault="00E91B9F" w:rsidP="00E91B9F">
      <w:pPr>
        <w:spacing w:after="240" w:line="360" w:lineRule="auto"/>
        <w:rPr>
          <w:rFonts w:eastAsia="Times New Roman" w:cs="Times New Roman"/>
          <w:szCs w:val="24"/>
          <w:lang w:eastAsia="en-GB"/>
        </w:rPr>
      </w:pPr>
      <w:r w:rsidRPr="00E91B9F">
        <w:rPr>
          <w:rFonts w:eastAsia="Times New Roman" w:cs="Times New Roman"/>
          <w:szCs w:val="24"/>
          <w:lang w:eastAsia="en-GB"/>
        </w:rPr>
        <w:t xml:space="preserve">Garner, S., Patel, R. and Williams, T. (2024). Digital monitoring in care homes: Impacts on emergency admissions and risk identification. </w:t>
      </w:r>
      <w:r w:rsidRPr="00E91B9F">
        <w:rPr>
          <w:rFonts w:eastAsia="Times New Roman" w:cs="Times New Roman"/>
          <w:i/>
          <w:iCs/>
          <w:szCs w:val="24"/>
          <w:lang w:eastAsia="en-GB"/>
        </w:rPr>
        <w:t>Journal of Long-Term Care</w:t>
      </w:r>
      <w:r w:rsidRPr="00E91B9F">
        <w:rPr>
          <w:rFonts w:eastAsia="Times New Roman" w:cs="Times New Roman"/>
          <w:szCs w:val="24"/>
          <w:lang w:eastAsia="en-GB"/>
        </w:rPr>
        <w:t>, 6(3), pp.201–214.</w:t>
      </w:r>
    </w:p>
    <w:p w14:paraId="3E90866A" w14:textId="77777777" w:rsidR="00E91B9F" w:rsidRPr="00E91B9F" w:rsidRDefault="00E91B9F" w:rsidP="00E91B9F">
      <w:pPr>
        <w:spacing w:after="240" w:line="360" w:lineRule="auto"/>
        <w:rPr>
          <w:rFonts w:eastAsia="Times New Roman" w:cs="Times New Roman"/>
          <w:szCs w:val="24"/>
          <w:lang w:eastAsia="en-GB"/>
        </w:rPr>
      </w:pPr>
      <w:r w:rsidRPr="00E91B9F">
        <w:rPr>
          <w:rFonts w:eastAsia="Times New Roman" w:cs="Times New Roman"/>
          <w:szCs w:val="24"/>
          <w:lang w:eastAsia="en-GB"/>
        </w:rPr>
        <w:t xml:space="preserve">Marston, H., Morgan, D. and Eost-Telling, A. (2026). </w:t>
      </w:r>
      <w:r w:rsidRPr="00E91B9F">
        <w:rPr>
          <w:rFonts w:eastAsia="Times New Roman" w:cs="Times New Roman"/>
          <w:i/>
          <w:iCs/>
          <w:szCs w:val="24"/>
          <w:lang w:eastAsia="en-GB"/>
        </w:rPr>
        <w:t>Digital Inclusion and Ageing: Technology, Independence and Wellbeing</w:t>
      </w:r>
      <w:r w:rsidRPr="00E91B9F">
        <w:rPr>
          <w:rFonts w:eastAsia="Times New Roman" w:cs="Times New Roman"/>
          <w:szCs w:val="24"/>
          <w:lang w:eastAsia="en-GB"/>
        </w:rPr>
        <w:t>. London: Routledge.</w:t>
      </w: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6ACF7" w14:textId="77777777" w:rsidR="007F28AD" w:rsidRDefault="007F28AD" w:rsidP="00545684">
      <w:pPr>
        <w:spacing w:after="0" w:line="240" w:lineRule="auto"/>
      </w:pPr>
      <w:r>
        <w:separator/>
      </w:r>
    </w:p>
  </w:endnote>
  <w:endnote w:type="continuationSeparator" w:id="0">
    <w:p w14:paraId="47E11E5C" w14:textId="77777777" w:rsidR="007F28AD" w:rsidRDefault="007F28A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DEA9B" w14:textId="77777777" w:rsidR="007F28AD" w:rsidRDefault="007F28AD" w:rsidP="00545684">
      <w:pPr>
        <w:spacing w:after="0" w:line="240" w:lineRule="auto"/>
      </w:pPr>
      <w:r>
        <w:separator/>
      </w:r>
    </w:p>
  </w:footnote>
  <w:footnote w:type="continuationSeparator" w:id="0">
    <w:p w14:paraId="2676CA04" w14:textId="77777777" w:rsidR="007F28AD" w:rsidRDefault="007F28A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7A2D"/>
    <w:rsid w:val="00041A5A"/>
    <w:rsid w:val="000A5161"/>
    <w:rsid w:val="000B7CD5"/>
    <w:rsid w:val="0014525B"/>
    <w:rsid w:val="00216C85"/>
    <w:rsid w:val="00260277"/>
    <w:rsid w:val="00273EDD"/>
    <w:rsid w:val="002A15DA"/>
    <w:rsid w:val="002C3965"/>
    <w:rsid w:val="002D20EE"/>
    <w:rsid w:val="00316F6D"/>
    <w:rsid w:val="00321C4C"/>
    <w:rsid w:val="00323DE2"/>
    <w:rsid w:val="00380294"/>
    <w:rsid w:val="003A220F"/>
    <w:rsid w:val="003A3830"/>
    <w:rsid w:val="003B5B7F"/>
    <w:rsid w:val="004903AA"/>
    <w:rsid w:val="004E6C3B"/>
    <w:rsid w:val="00520C71"/>
    <w:rsid w:val="00545684"/>
    <w:rsid w:val="0057755F"/>
    <w:rsid w:val="005900DE"/>
    <w:rsid w:val="005D5F9A"/>
    <w:rsid w:val="0061260B"/>
    <w:rsid w:val="007019BC"/>
    <w:rsid w:val="00715990"/>
    <w:rsid w:val="00784670"/>
    <w:rsid w:val="00792527"/>
    <w:rsid w:val="007F28AD"/>
    <w:rsid w:val="008266DC"/>
    <w:rsid w:val="00866B7B"/>
    <w:rsid w:val="008D65C8"/>
    <w:rsid w:val="008E5015"/>
    <w:rsid w:val="009422D5"/>
    <w:rsid w:val="009D1D1E"/>
    <w:rsid w:val="00A035FD"/>
    <w:rsid w:val="00A72DB9"/>
    <w:rsid w:val="00AD0E8D"/>
    <w:rsid w:val="00BB7F99"/>
    <w:rsid w:val="00C96509"/>
    <w:rsid w:val="00CB17DC"/>
    <w:rsid w:val="00D11B21"/>
    <w:rsid w:val="00D769F0"/>
    <w:rsid w:val="00E1545D"/>
    <w:rsid w:val="00E614D4"/>
    <w:rsid w:val="00E91B9F"/>
    <w:rsid w:val="00EB0882"/>
    <w:rsid w:val="00F01EB1"/>
    <w:rsid w:val="00F278D4"/>
    <w:rsid w:val="00FB5490"/>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72DB9"/>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72DB9"/>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Michael Njuguna Muroki (2425634)</cp:lastModifiedBy>
  <cp:revision>20</cp:revision>
  <dcterms:created xsi:type="dcterms:W3CDTF">2026-10-09T08:17:00Z</dcterms:created>
  <dcterms:modified xsi:type="dcterms:W3CDTF">2026-10-22T10:31:00Z</dcterms:modified>
</cp:coreProperties>
</file>