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0DC85" w14:textId="5E9C00AF" w:rsidR="00171058" w:rsidRDefault="00000000">
      <w:pPr>
        <w:ind w:left="720" w:hanging="720"/>
        <w:rPr>
          <w:rFonts w:ascii="Calibri" w:eastAsia="Calibri" w:hAnsi="Calibri" w:cs="Calibri"/>
          <w:sz w:val="24"/>
          <w:szCs w:val="24"/>
        </w:rPr>
      </w:pPr>
      <w:r>
        <w:rPr>
          <w:b/>
          <w:bCs/>
          <w:smallCaps/>
          <w:sz w:val="30"/>
          <w:szCs w:val="30"/>
        </w:rPr>
        <w:t xml:space="preserve">Critical Annotated Bibliography </w:t>
      </w:r>
    </w:p>
    <w:tbl>
      <w:tblPr>
        <w:tblStyle w:val="a"/>
        <w:tblW w:w="89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08"/>
      </w:tblGrid>
      <w:tr w:rsidR="00171058" w14:paraId="284F98BB" w14:textId="77777777">
        <w:tc>
          <w:tcPr>
            <w:tcW w:w="8908" w:type="dxa"/>
            <w:shd w:val="clear" w:color="auto" w:fill="5B9BD5"/>
          </w:tcPr>
          <w:p w14:paraId="42C8B188" w14:textId="77777777" w:rsidR="00171058" w:rsidRDefault="00000000">
            <w:pPr>
              <w:spacing w:before="120" w:after="120" w:line="360" w:lineRule="auto"/>
              <w:rPr>
                <w:rFonts w:ascii="Arial" w:eastAsia="Arial" w:hAnsi="Arial" w:cs="Arial"/>
                <w:color w:val="F2F2F2"/>
              </w:rPr>
            </w:pPr>
            <w:r>
              <w:rPr>
                <w:rFonts w:ascii="Arial" w:eastAsia="Arial" w:hAnsi="Arial" w:cs="Arial"/>
                <w:b/>
                <w:bCs/>
                <w:color w:val="FFFFFF"/>
                <w:sz w:val="24"/>
                <w:szCs w:val="24"/>
              </w:rPr>
              <w:t>Cover page</w:t>
            </w:r>
          </w:p>
        </w:tc>
      </w:tr>
      <w:tr w:rsidR="00171058" w14:paraId="540F8D4B" w14:textId="77777777">
        <w:tc>
          <w:tcPr>
            <w:tcW w:w="8908" w:type="dxa"/>
          </w:tcPr>
          <w:p w14:paraId="10A30E1C" w14:textId="77777777" w:rsidR="00171058" w:rsidRDefault="00171058">
            <w:pPr>
              <w:spacing w:line="360" w:lineRule="auto"/>
              <w:rPr>
                <w:rFonts w:ascii="Calibri" w:eastAsia="Calibri" w:hAnsi="Calibri" w:cs="Calibri"/>
                <w:sz w:val="24"/>
                <w:szCs w:val="24"/>
              </w:rPr>
            </w:pPr>
          </w:p>
          <w:p w14:paraId="5A610949" w14:textId="07ED25B2" w:rsidR="00171058" w:rsidRDefault="00000000">
            <w:pPr>
              <w:spacing w:line="360" w:lineRule="auto"/>
              <w:rPr>
                <w:rFonts w:ascii="Calibri" w:eastAsia="Calibri" w:hAnsi="Calibri" w:cs="Calibri"/>
                <w:sz w:val="24"/>
                <w:szCs w:val="24"/>
              </w:rPr>
            </w:pPr>
            <w:r>
              <w:rPr>
                <w:rFonts w:ascii="Calibri" w:eastAsia="Calibri" w:hAnsi="Calibri" w:cs="Calibri"/>
                <w:sz w:val="24"/>
                <w:szCs w:val="24"/>
              </w:rPr>
              <w:t>Student Number:</w:t>
            </w:r>
            <w:r w:rsidR="00B91C14">
              <w:rPr>
                <w:rFonts w:ascii="Calibri" w:eastAsia="Calibri" w:hAnsi="Calibri" w:cs="Calibri"/>
                <w:sz w:val="24"/>
                <w:szCs w:val="24"/>
              </w:rPr>
              <w:t xml:space="preserve">          2</w:t>
            </w:r>
            <w:r w:rsidR="00144F6C">
              <w:rPr>
                <w:rFonts w:ascii="Calibri" w:eastAsia="Calibri" w:hAnsi="Calibri" w:cs="Calibri"/>
                <w:sz w:val="24"/>
                <w:szCs w:val="24"/>
              </w:rPr>
              <w:t>433459</w:t>
            </w:r>
          </w:p>
          <w:p w14:paraId="4AACF84F" w14:textId="1CE0AF35" w:rsidR="00171058" w:rsidRDefault="00000000">
            <w:pPr>
              <w:spacing w:line="360" w:lineRule="auto"/>
              <w:rPr>
                <w:rFonts w:ascii="Calibri" w:eastAsia="Calibri" w:hAnsi="Calibri" w:cs="Calibri"/>
                <w:sz w:val="24"/>
                <w:szCs w:val="24"/>
              </w:rPr>
            </w:pPr>
            <w:r>
              <w:rPr>
                <w:rFonts w:ascii="Calibri" w:eastAsia="Calibri" w:hAnsi="Calibri" w:cs="Calibri"/>
                <w:sz w:val="24"/>
                <w:szCs w:val="24"/>
              </w:rPr>
              <w:t xml:space="preserve">Title of course: </w:t>
            </w:r>
            <w:r>
              <w:rPr>
                <w:rFonts w:ascii="Calibri" w:eastAsia="Calibri" w:hAnsi="Calibri" w:cs="Calibri"/>
                <w:sz w:val="24"/>
                <w:szCs w:val="24"/>
              </w:rPr>
              <w:tab/>
            </w:r>
            <w:r w:rsidR="00144F6C" w:rsidRPr="00144F6C">
              <w:rPr>
                <w:rFonts w:ascii="Arial" w:hAnsi="Arial" w:cs="Arial"/>
                <w:bCs/>
              </w:rPr>
              <w:t>Psychology</w:t>
            </w:r>
            <w:r w:rsidR="00144F6C" w:rsidRPr="00144F6C">
              <w:rPr>
                <w:rFonts w:ascii="Arial" w:hAnsi="Arial" w:cs="Arial"/>
                <w:bCs/>
                <w:spacing w:val="-6"/>
              </w:rPr>
              <w:t xml:space="preserve"> </w:t>
            </w:r>
            <w:r w:rsidR="00144F6C" w:rsidRPr="00144F6C">
              <w:rPr>
                <w:rFonts w:ascii="Arial" w:hAnsi="Arial" w:cs="Arial"/>
                <w:bCs/>
              </w:rPr>
              <w:t>in</w:t>
            </w:r>
            <w:r w:rsidR="00144F6C" w:rsidRPr="00144F6C">
              <w:rPr>
                <w:rFonts w:ascii="Arial" w:hAnsi="Arial" w:cs="Arial"/>
                <w:bCs/>
                <w:spacing w:val="-4"/>
              </w:rPr>
              <w:t xml:space="preserve"> </w:t>
            </w:r>
            <w:r w:rsidR="00144F6C" w:rsidRPr="00144F6C">
              <w:rPr>
                <w:rFonts w:ascii="Arial" w:hAnsi="Arial" w:cs="Arial"/>
                <w:bCs/>
              </w:rPr>
              <w:t>Health</w:t>
            </w:r>
            <w:r w:rsidR="00144F6C" w:rsidRPr="00144F6C">
              <w:rPr>
                <w:rFonts w:ascii="Arial" w:hAnsi="Arial" w:cs="Arial"/>
                <w:bCs/>
                <w:spacing w:val="-3"/>
              </w:rPr>
              <w:t xml:space="preserve"> </w:t>
            </w:r>
            <w:r w:rsidR="00144F6C" w:rsidRPr="00144F6C">
              <w:rPr>
                <w:rFonts w:ascii="Arial" w:hAnsi="Arial" w:cs="Arial"/>
                <w:bCs/>
              </w:rPr>
              <w:t>and</w:t>
            </w:r>
            <w:r w:rsidR="00144F6C" w:rsidRPr="00144F6C">
              <w:rPr>
                <w:rFonts w:ascii="Arial" w:hAnsi="Arial" w:cs="Arial"/>
                <w:bCs/>
                <w:spacing w:val="-4"/>
              </w:rPr>
              <w:t xml:space="preserve"> </w:t>
            </w:r>
            <w:r w:rsidR="00144F6C" w:rsidRPr="00144F6C">
              <w:rPr>
                <w:rFonts w:ascii="Arial" w:hAnsi="Arial" w:cs="Arial"/>
                <w:bCs/>
              </w:rPr>
              <w:t>Social</w:t>
            </w:r>
            <w:r w:rsidR="00144F6C" w:rsidRPr="00144F6C">
              <w:rPr>
                <w:rFonts w:ascii="Arial" w:hAnsi="Arial" w:cs="Arial"/>
                <w:bCs/>
                <w:spacing w:val="-4"/>
              </w:rPr>
              <w:t xml:space="preserve"> Care</w:t>
            </w:r>
            <w:r>
              <w:rPr>
                <w:rFonts w:ascii="Calibri" w:eastAsia="Calibri" w:hAnsi="Calibri" w:cs="Calibri"/>
                <w:sz w:val="24"/>
                <w:szCs w:val="24"/>
              </w:rPr>
              <w:tab/>
            </w:r>
          </w:p>
          <w:p w14:paraId="68BEDABE" w14:textId="22638251" w:rsidR="00171058" w:rsidRDefault="00000000">
            <w:pPr>
              <w:spacing w:line="360" w:lineRule="auto"/>
              <w:rPr>
                <w:rFonts w:ascii="Calibri" w:eastAsia="Calibri" w:hAnsi="Calibri" w:cs="Calibri"/>
                <w:sz w:val="24"/>
                <w:szCs w:val="24"/>
              </w:rPr>
            </w:pPr>
            <w:r>
              <w:rPr>
                <w:rFonts w:ascii="Calibri" w:eastAsia="Calibri" w:hAnsi="Calibri" w:cs="Calibri"/>
                <w:sz w:val="24"/>
                <w:szCs w:val="24"/>
              </w:rPr>
              <w:t xml:space="preserve">Module Code: </w:t>
            </w:r>
            <w:r>
              <w:rPr>
                <w:rFonts w:ascii="Calibri" w:eastAsia="Calibri" w:hAnsi="Calibri" w:cs="Calibri"/>
                <w:sz w:val="24"/>
                <w:szCs w:val="24"/>
              </w:rPr>
              <w:tab/>
            </w:r>
            <w:r w:rsidR="00144F6C">
              <w:rPr>
                <w:rFonts w:ascii="Calibri" w:eastAsia="Calibri" w:hAnsi="Calibri" w:cs="Calibri"/>
                <w:sz w:val="24"/>
                <w:szCs w:val="24"/>
              </w:rPr>
              <w:t xml:space="preserve">              </w:t>
            </w:r>
            <w:r w:rsidR="00144F6C">
              <w:rPr>
                <w:rFonts w:ascii="Calibri" w:eastAsia="Calibri" w:hAnsi="Calibri" w:cs="Calibri"/>
                <w:sz w:val="24"/>
                <w:szCs w:val="24"/>
              </w:rPr>
              <w:t>4010</w:t>
            </w:r>
          </w:p>
          <w:p w14:paraId="7CDAA860" w14:textId="3A2C359A" w:rsidR="00171058" w:rsidRDefault="00000000">
            <w:pPr>
              <w:spacing w:line="360" w:lineRule="auto"/>
              <w:rPr>
                <w:rFonts w:ascii="Calibri" w:eastAsia="Calibri" w:hAnsi="Calibri" w:cs="Calibri"/>
                <w:sz w:val="24"/>
                <w:szCs w:val="24"/>
              </w:rPr>
            </w:pPr>
            <w:r>
              <w:rPr>
                <w:rFonts w:ascii="Calibri" w:eastAsia="Calibri" w:hAnsi="Calibri" w:cs="Calibri"/>
                <w:sz w:val="24"/>
                <w:szCs w:val="24"/>
              </w:rPr>
              <w:t xml:space="preserve">Assignment Title: </w:t>
            </w:r>
            <w:r w:rsidR="00144F6C">
              <w:rPr>
                <w:rFonts w:ascii="Calibri" w:eastAsia="Calibri" w:hAnsi="Calibri" w:cs="Calibri"/>
                <w:sz w:val="24"/>
                <w:szCs w:val="24"/>
              </w:rPr>
              <w:t xml:space="preserve">      </w:t>
            </w:r>
            <w:r>
              <w:rPr>
                <w:rFonts w:ascii="Calibri" w:eastAsia="Calibri" w:hAnsi="Calibri" w:cs="Calibri"/>
                <w:sz w:val="24"/>
                <w:szCs w:val="24"/>
              </w:rPr>
              <w:t xml:space="preserve"> Annotated Bibliography</w:t>
            </w:r>
            <w:r w:rsidR="00144F6C">
              <w:rPr>
                <w:rFonts w:ascii="Calibri" w:eastAsia="Calibri" w:hAnsi="Calibri" w:cs="Calibri"/>
                <w:sz w:val="24"/>
                <w:szCs w:val="24"/>
              </w:rPr>
              <w:t xml:space="preserve"> and Report</w:t>
            </w:r>
          </w:p>
          <w:p w14:paraId="6B7A66A7" w14:textId="5655AA59" w:rsidR="00171058" w:rsidRDefault="00000000">
            <w:pPr>
              <w:spacing w:line="360" w:lineRule="auto"/>
              <w:rPr>
                <w:rFonts w:ascii="Calibri" w:eastAsia="Calibri" w:hAnsi="Calibri" w:cs="Calibri"/>
                <w:sz w:val="24"/>
                <w:szCs w:val="24"/>
              </w:rPr>
            </w:pPr>
            <w:r>
              <w:rPr>
                <w:rFonts w:ascii="Calibri" w:eastAsia="Calibri" w:hAnsi="Calibri" w:cs="Calibri"/>
                <w:sz w:val="24"/>
                <w:szCs w:val="24"/>
              </w:rPr>
              <w:t xml:space="preserve">Name of Lecturer: </w:t>
            </w:r>
            <w:r>
              <w:rPr>
                <w:rFonts w:ascii="Calibri" w:eastAsia="Calibri" w:hAnsi="Calibri" w:cs="Calibri"/>
                <w:sz w:val="24"/>
                <w:szCs w:val="24"/>
              </w:rPr>
              <w:tab/>
            </w:r>
            <w:r w:rsidR="00144F6C">
              <w:rPr>
                <w:rFonts w:ascii="Calibri" w:eastAsia="Calibri" w:hAnsi="Calibri" w:cs="Calibri"/>
                <w:sz w:val="24"/>
                <w:szCs w:val="24"/>
              </w:rPr>
              <w:t>Helen Parsons</w:t>
            </w:r>
          </w:p>
          <w:p w14:paraId="51C11791" w14:textId="3B24DC06" w:rsidR="00171058" w:rsidRDefault="00000000">
            <w:pPr>
              <w:spacing w:line="360" w:lineRule="auto"/>
              <w:rPr>
                <w:rFonts w:ascii="Calibri" w:eastAsia="Calibri" w:hAnsi="Calibri" w:cs="Calibri"/>
                <w:sz w:val="24"/>
                <w:szCs w:val="24"/>
              </w:rPr>
            </w:pPr>
            <w:r>
              <w:rPr>
                <w:rFonts w:ascii="Calibri" w:eastAsia="Calibri" w:hAnsi="Calibri" w:cs="Calibri"/>
                <w:sz w:val="24"/>
                <w:szCs w:val="24"/>
              </w:rPr>
              <w:t xml:space="preserve">Submission Date: </w:t>
            </w:r>
            <w:r>
              <w:rPr>
                <w:rFonts w:ascii="Calibri" w:eastAsia="Calibri" w:hAnsi="Calibri" w:cs="Calibri"/>
                <w:sz w:val="24"/>
                <w:szCs w:val="24"/>
              </w:rPr>
              <w:tab/>
            </w:r>
            <w:r w:rsidR="00144F6C">
              <w:rPr>
                <w:rFonts w:ascii="Calibri" w:eastAsia="Calibri" w:hAnsi="Calibri" w:cs="Calibri"/>
                <w:sz w:val="24"/>
                <w:szCs w:val="24"/>
              </w:rPr>
              <w:t>24/5/2026</w:t>
            </w:r>
          </w:p>
          <w:p w14:paraId="77B1FC1A" w14:textId="2DC11FA2" w:rsidR="00171058" w:rsidRDefault="00000000">
            <w:pPr>
              <w:spacing w:line="360" w:lineRule="auto"/>
              <w:rPr>
                <w:rFonts w:ascii="Calibri" w:eastAsia="Calibri" w:hAnsi="Calibri" w:cs="Calibri"/>
                <w:sz w:val="24"/>
                <w:szCs w:val="24"/>
              </w:rPr>
            </w:pPr>
            <w:r>
              <w:rPr>
                <w:rFonts w:ascii="Calibri" w:eastAsia="Calibri" w:hAnsi="Calibri" w:cs="Calibri"/>
                <w:sz w:val="24"/>
                <w:szCs w:val="24"/>
              </w:rPr>
              <w:t>Word count:</w:t>
            </w:r>
            <w:r w:rsidR="00B91C14">
              <w:rPr>
                <w:rFonts w:ascii="Calibri" w:eastAsia="Calibri" w:hAnsi="Calibri" w:cs="Calibri"/>
                <w:sz w:val="24"/>
                <w:szCs w:val="24"/>
              </w:rPr>
              <w:t xml:space="preserve">                  </w:t>
            </w:r>
            <w:r w:rsidR="00144F6C">
              <w:rPr>
                <w:rFonts w:ascii="Calibri" w:eastAsia="Calibri" w:hAnsi="Calibri" w:cs="Calibri"/>
                <w:sz w:val="24"/>
                <w:szCs w:val="24"/>
              </w:rPr>
              <w:t>1400</w:t>
            </w:r>
          </w:p>
          <w:p w14:paraId="022156E7" w14:textId="77777777" w:rsidR="00171058" w:rsidRDefault="00171058">
            <w:pPr>
              <w:spacing w:line="360" w:lineRule="auto"/>
              <w:rPr>
                <w:rFonts w:ascii="Calibri" w:eastAsia="Calibri" w:hAnsi="Calibri" w:cs="Calibri"/>
                <w:i/>
                <w:iCs/>
                <w:sz w:val="24"/>
                <w:szCs w:val="24"/>
              </w:rPr>
            </w:pPr>
          </w:p>
        </w:tc>
      </w:tr>
    </w:tbl>
    <w:p w14:paraId="73AC6AFC" w14:textId="77777777" w:rsidR="00171058" w:rsidRDefault="00171058">
      <w:pPr>
        <w:rPr>
          <w:b/>
          <w:bCs/>
          <w:smallCaps/>
          <w:sz w:val="30"/>
          <w:szCs w:val="30"/>
        </w:rPr>
      </w:pPr>
    </w:p>
    <w:p w14:paraId="3891363D" w14:textId="77777777" w:rsidR="00171058" w:rsidRDefault="00171058">
      <w:pPr>
        <w:rPr>
          <w:b/>
          <w:bCs/>
          <w:smallCaps/>
          <w:sz w:val="30"/>
          <w:szCs w:val="30"/>
        </w:rPr>
      </w:pPr>
    </w:p>
    <w:p w14:paraId="75785BD2" w14:textId="77777777" w:rsidR="00171058" w:rsidRDefault="00171058">
      <w:pPr>
        <w:rPr>
          <w:b/>
          <w:bCs/>
          <w:smallCaps/>
          <w:sz w:val="30"/>
          <w:szCs w:val="30"/>
        </w:rPr>
      </w:pPr>
    </w:p>
    <w:p w14:paraId="25678EE9" w14:textId="77777777" w:rsidR="00171058" w:rsidRDefault="00171058"/>
    <w:p w14:paraId="28267B21" w14:textId="77777777" w:rsidR="00171058" w:rsidRDefault="00171058">
      <w:pPr>
        <w:rPr>
          <w:b/>
          <w:bCs/>
          <w:smallCaps/>
          <w:sz w:val="30"/>
          <w:szCs w:val="30"/>
        </w:rPr>
      </w:pPr>
    </w:p>
    <w:p w14:paraId="674E78A7" w14:textId="77777777" w:rsidR="00171058" w:rsidRDefault="00000000">
      <w:pPr>
        <w:rPr>
          <w:b/>
          <w:bCs/>
          <w:smallCaps/>
          <w:sz w:val="24"/>
          <w:szCs w:val="24"/>
        </w:rPr>
      </w:pPr>
      <w:r>
        <w:br w:type="page"/>
      </w:r>
    </w:p>
    <w:p w14:paraId="6F43D83F" w14:textId="77777777" w:rsidR="009A713F" w:rsidRDefault="009A713F" w:rsidP="009A713F"/>
    <w:tbl>
      <w:tblPr>
        <w:tblW w:w="89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08"/>
      </w:tblGrid>
      <w:tr w:rsidR="009A713F" w14:paraId="5DA677F9" w14:textId="77777777" w:rsidTr="00C50B1D">
        <w:tc>
          <w:tcPr>
            <w:tcW w:w="8908" w:type="dxa"/>
            <w:shd w:val="clear" w:color="auto" w:fill="5B9BD5"/>
          </w:tcPr>
          <w:p w14:paraId="18CBCDE5" w14:textId="77777777" w:rsidR="009A713F" w:rsidRDefault="009A713F" w:rsidP="00C50B1D">
            <w:pPr>
              <w:pStyle w:val="Heading3"/>
              <w:keepNext w:val="0"/>
              <w:keepLines w:val="0"/>
              <w:spacing w:line="360" w:lineRule="auto"/>
              <w:rPr>
                <w:rFonts w:ascii="Arial" w:eastAsia="Arial" w:hAnsi="Arial" w:cs="Arial"/>
              </w:rPr>
            </w:pPr>
            <w:bookmarkStart w:id="0" w:name="_w3ux6hxpmx8u" w:colFirst="0" w:colLast="0"/>
            <w:bookmarkEnd w:id="0"/>
            <w:r>
              <w:t xml:space="preserve">Bosnjak, M., Ajzen, I. and Schmidt, P. (2020) ‘The theory of planned </w:t>
            </w:r>
            <w:proofErr w:type="spellStart"/>
            <w:r>
              <w:t>behavior</w:t>
            </w:r>
            <w:proofErr w:type="spellEnd"/>
            <w:r>
              <w:t xml:space="preserve">: Selected recent advances and applications’, </w:t>
            </w:r>
            <w:r>
              <w:rPr>
                <w:rStyle w:val="Emphasis"/>
              </w:rPr>
              <w:t>Europe’s Journal of Psychology</w:t>
            </w:r>
            <w:r>
              <w:t>, 16(3), pp. 352–356. doi:10.5964/</w:t>
            </w:r>
            <w:proofErr w:type="gramStart"/>
            <w:r>
              <w:t>ejop.v</w:t>
            </w:r>
            <w:proofErr w:type="gramEnd"/>
            <w:r>
              <w:t>16i3.3107.</w:t>
            </w:r>
          </w:p>
        </w:tc>
      </w:tr>
      <w:tr w:rsidR="009A713F" w14:paraId="575F850A" w14:textId="77777777" w:rsidTr="00C50B1D">
        <w:tc>
          <w:tcPr>
            <w:tcW w:w="8908" w:type="dxa"/>
          </w:tcPr>
          <w:p w14:paraId="5655649F" w14:textId="77777777" w:rsidR="009A713F" w:rsidRDefault="009A713F" w:rsidP="00C50B1D">
            <w:pPr>
              <w:spacing w:before="120" w:after="120"/>
              <w:rPr>
                <w:b/>
                <w:bCs/>
                <w:highlight w:val="white"/>
              </w:rPr>
            </w:pPr>
          </w:p>
          <w:p w14:paraId="25020772" w14:textId="77777777" w:rsidR="009A713F" w:rsidRDefault="009A713F" w:rsidP="00C50B1D">
            <w:pPr>
              <w:spacing w:before="120" w:after="120"/>
            </w:pPr>
            <w:r>
              <w:rPr>
                <w:b/>
                <w:bCs/>
                <w:highlight w:val="white"/>
              </w:rPr>
              <w:t>Summary:</w:t>
            </w:r>
            <w:r>
              <w:t xml:space="preserve"> </w:t>
            </w:r>
          </w:p>
          <w:p w14:paraId="59E47887" w14:textId="77777777" w:rsidR="009A713F" w:rsidRDefault="009A713F" w:rsidP="00C50B1D">
            <w:pPr>
              <w:spacing w:before="120" w:after="120"/>
            </w:pPr>
            <w:r w:rsidRPr="00AA0235">
              <w:t>This article reviews recent developments in the Theory of Planned Behaviour, explaining that behaviour is influenced by intention, which is shaped by attitudes, subjective norms, and perceived behavioural control. The study shows that the theory is effective in predicting health behaviours such as treatment adherence and lifestyle changes. It also highlights that changing beliefs and social influences can improve behaviour.</w:t>
            </w:r>
          </w:p>
          <w:p w14:paraId="2CF0C443" w14:textId="77777777" w:rsidR="009A713F" w:rsidRDefault="009A713F" w:rsidP="00C50B1D">
            <w:pPr>
              <w:spacing w:before="120" w:after="120"/>
            </w:pPr>
          </w:p>
          <w:p w14:paraId="2BA6036D" w14:textId="77777777" w:rsidR="009A713F" w:rsidRPr="00202C99" w:rsidRDefault="009A713F" w:rsidP="00C50B1D">
            <w:pPr>
              <w:spacing w:before="120" w:after="120"/>
            </w:pPr>
            <w:r w:rsidRPr="00202C99">
              <w:rPr>
                <w:b/>
                <w:bCs/>
              </w:rPr>
              <w:t>Relevance</w:t>
            </w:r>
            <w:r>
              <w:t xml:space="preserve">: </w:t>
            </w:r>
            <w:r w:rsidRPr="00202C99">
              <w:t>This theory is useful for understanding and influencing behaviours in older adults, such as medication adherence and participation in care activities. A strength is that it is practical and supported by recent research. However, a limitation is that it assumes behaviour is rational, which may not apply to individuals with cognitive impairments like dementia. Despite this, it remains valuable for designing behaviour change interventions in care settings.</w:t>
            </w:r>
          </w:p>
          <w:p w14:paraId="1ADE3235" w14:textId="77777777" w:rsidR="009A713F" w:rsidRDefault="009A713F" w:rsidP="00C50B1D">
            <w:pPr>
              <w:spacing w:before="120" w:after="120"/>
            </w:pPr>
          </w:p>
          <w:p w14:paraId="5938EB47" w14:textId="77777777" w:rsidR="009A713F" w:rsidRDefault="009A713F" w:rsidP="00C50B1D">
            <w:pPr>
              <w:spacing w:before="120" w:after="120"/>
            </w:pPr>
          </w:p>
          <w:p w14:paraId="77A6DC54" w14:textId="77777777" w:rsidR="009A713F" w:rsidRDefault="009A713F" w:rsidP="00C50B1D">
            <w:pPr>
              <w:spacing w:before="120" w:after="120"/>
            </w:pPr>
          </w:p>
        </w:tc>
      </w:tr>
    </w:tbl>
    <w:p w14:paraId="067FBAA9" w14:textId="77777777" w:rsidR="009A713F" w:rsidRDefault="009A713F" w:rsidP="009A713F"/>
    <w:p w14:paraId="157EB417" w14:textId="77777777" w:rsidR="009A713F" w:rsidRDefault="009A713F" w:rsidP="009A713F">
      <w:pPr>
        <w:rPr>
          <w:b/>
          <w:bCs/>
        </w:rPr>
      </w:pPr>
    </w:p>
    <w:p w14:paraId="504AA241" w14:textId="77777777" w:rsidR="009A713F" w:rsidRDefault="009A713F" w:rsidP="009A713F">
      <w:pPr>
        <w:rPr>
          <w:b/>
          <w:bCs/>
        </w:rPr>
      </w:pPr>
    </w:p>
    <w:p w14:paraId="50043466" w14:textId="77777777" w:rsidR="009A713F" w:rsidRDefault="009A713F" w:rsidP="009A713F">
      <w:pPr>
        <w:rPr>
          <w:b/>
          <w:bCs/>
        </w:rPr>
      </w:pPr>
    </w:p>
    <w:p w14:paraId="59472655" w14:textId="77777777" w:rsidR="009A713F" w:rsidRDefault="009A713F" w:rsidP="009A713F">
      <w:pPr>
        <w:rPr>
          <w:b/>
          <w:bCs/>
        </w:rPr>
      </w:pPr>
    </w:p>
    <w:p w14:paraId="389A446A" w14:textId="77777777" w:rsidR="009A713F" w:rsidRPr="00605300" w:rsidRDefault="009A713F" w:rsidP="009A713F">
      <w:pPr>
        <w:rPr>
          <w:b/>
          <w:bCs/>
        </w:rPr>
      </w:pPr>
    </w:p>
    <w:tbl>
      <w:tblPr>
        <w:tblW w:w="89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08"/>
      </w:tblGrid>
      <w:tr w:rsidR="009A713F" w:rsidRPr="00605300" w14:paraId="0DF5B5E6" w14:textId="77777777" w:rsidTr="00C50B1D">
        <w:tc>
          <w:tcPr>
            <w:tcW w:w="8908" w:type="dxa"/>
            <w:shd w:val="clear" w:color="auto" w:fill="5B9BD5"/>
          </w:tcPr>
          <w:p w14:paraId="38CF90E0" w14:textId="77777777" w:rsidR="009A713F" w:rsidRPr="006804F7" w:rsidRDefault="009A713F" w:rsidP="00C50B1D">
            <w:pPr>
              <w:rPr>
                <w:sz w:val="24"/>
                <w:szCs w:val="24"/>
              </w:rPr>
            </w:pPr>
            <w:bookmarkStart w:id="1" w:name="_h2bhenynw0ys" w:colFirst="0" w:colLast="0"/>
            <w:bookmarkEnd w:id="1"/>
            <w:r w:rsidRPr="006804F7">
              <w:rPr>
                <w:color w:val="FFFFFF" w:themeColor="background1"/>
                <w:sz w:val="24"/>
                <w:szCs w:val="24"/>
              </w:rPr>
              <w:lastRenderedPageBreak/>
              <w:t xml:space="preserve">Bowlby, J., 2008. </w:t>
            </w:r>
            <w:r w:rsidRPr="006804F7">
              <w:rPr>
                <w:i/>
                <w:iCs/>
                <w:color w:val="FFFFFF" w:themeColor="background1"/>
                <w:sz w:val="24"/>
                <w:szCs w:val="24"/>
              </w:rPr>
              <w:t>A Secure base: Parent-Child attachment and healthy human development. Basic books.</w:t>
            </w:r>
          </w:p>
        </w:tc>
      </w:tr>
      <w:tr w:rsidR="009A713F" w14:paraId="27EAB0C7" w14:textId="77777777" w:rsidTr="00C50B1D">
        <w:tc>
          <w:tcPr>
            <w:tcW w:w="8908" w:type="dxa"/>
          </w:tcPr>
          <w:p w14:paraId="264FE7D6" w14:textId="77777777" w:rsidR="009A713F" w:rsidRDefault="009A713F" w:rsidP="00C50B1D">
            <w:pPr>
              <w:spacing w:before="120" w:after="120"/>
            </w:pPr>
          </w:p>
          <w:p w14:paraId="627DC7D2" w14:textId="77777777" w:rsidR="009A713F" w:rsidRDefault="009A713F" w:rsidP="00C50B1D">
            <w:pPr>
              <w:spacing w:before="120" w:after="120"/>
            </w:pPr>
            <w:r>
              <w:rPr>
                <w:b/>
                <w:bCs/>
                <w:highlight w:val="white"/>
              </w:rPr>
              <w:t>Summary:</w:t>
            </w:r>
            <w:r>
              <w:t xml:space="preserve"> </w:t>
            </w:r>
          </w:p>
          <w:p w14:paraId="0E679D48" w14:textId="77777777" w:rsidR="009A713F" w:rsidRDefault="009A713F" w:rsidP="00C50B1D">
            <w:pPr>
              <w:spacing w:before="120" w:after="120"/>
            </w:pPr>
            <w:r w:rsidRPr="00970DD0">
              <w:t>Bowlby’s attachment theory explains that early relationships with caregivers shape emotional and social development across the lifespan. Individuals with secure attachment are more likely to develop confidence, trust, and emotional stability, while insecure attachment can lead to anxiety, loneliness, and difficulty forming relationships. The theory also suggests that attachment needs continue into adulthood, especially during periods of vulnerability such as ageing or illness.</w:t>
            </w:r>
          </w:p>
          <w:p w14:paraId="38098C67" w14:textId="77777777" w:rsidR="009A713F" w:rsidRDefault="009A713F" w:rsidP="00C50B1D">
            <w:pPr>
              <w:spacing w:before="120" w:after="120"/>
            </w:pPr>
          </w:p>
          <w:p w14:paraId="615C1C90" w14:textId="77777777" w:rsidR="009A713F" w:rsidRPr="006804F7" w:rsidRDefault="009A713F" w:rsidP="00C50B1D">
            <w:pPr>
              <w:spacing w:before="120" w:after="120"/>
              <w:rPr>
                <w:b/>
                <w:bCs/>
              </w:rPr>
            </w:pPr>
            <w:r w:rsidRPr="006804F7">
              <w:rPr>
                <w:b/>
                <w:bCs/>
              </w:rPr>
              <w:t xml:space="preserve">Relevance: </w:t>
            </w:r>
          </w:p>
          <w:p w14:paraId="25C0B5A7" w14:textId="77777777" w:rsidR="009A713F" w:rsidRDefault="009A713F" w:rsidP="00C50B1D">
            <w:pPr>
              <w:spacing w:before="120" w:after="120"/>
            </w:pPr>
            <w:r w:rsidRPr="00970DD0">
              <w:t>This theory is highly relevant in supporting older adults, particularly in residential care settings where individuals may feel isolated or dependent. It highlights the importance of consistent, trusting relationships between care staff and residents to promote emotional wellbeing. A strength of the theory is its strong research foundation; however, a limitation is that it focuses more on early life and may not fully explain changes in later adulthood. Despite this, it remains very useful for guiding person-centred care.</w:t>
            </w:r>
          </w:p>
          <w:p w14:paraId="6D058C60" w14:textId="77777777" w:rsidR="009A713F" w:rsidRPr="00970DD0" w:rsidRDefault="009A713F" w:rsidP="00C50B1D">
            <w:pPr>
              <w:spacing w:before="120" w:after="120"/>
            </w:pPr>
          </w:p>
          <w:p w14:paraId="08E72E5F" w14:textId="77777777" w:rsidR="009A713F" w:rsidRDefault="009A713F" w:rsidP="00C50B1D">
            <w:pPr>
              <w:spacing w:after="240"/>
            </w:pPr>
          </w:p>
        </w:tc>
      </w:tr>
    </w:tbl>
    <w:p w14:paraId="18FF4ECC" w14:textId="77777777" w:rsidR="009A713F" w:rsidRDefault="009A713F" w:rsidP="009A713F"/>
    <w:p w14:paraId="4A699DF8" w14:textId="77777777" w:rsidR="009A713F" w:rsidRDefault="009A713F" w:rsidP="009A713F"/>
    <w:p w14:paraId="36665E81" w14:textId="77777777" w:rsidR="009A713F" w:rsidRDefault="009A713F" w:rsidP="009A713F"/>
    <w:p w14:paraId="2932E666" w14:textId="77777777" w:rsidR="009A713F" w:rsidRDefault="009A713F" w:rsidP="009A713F"/>
    <w:p w14:paraId="270480B4" w14:textId="77777777" w:rsidR="009A713F" w:rsidRDefault="009A713F" w:rsidP="009A713F"/>
    <w:p w14:paraId="53EE1260" w14:textId="77777777" w:rsidR="009A713F" w:rsidRDefault="009A713F" w:rsidP="009A713F"/>
    <w:p w14:paraId="5878108C" w14:textId="77777777" w:rsidR="009A713F" w:rsidRDefault="009A713F" w:rsidP="009A713F">
      <w:pPr>
        <w:rPr>
          <w:b/>
          <w:bCs/>
        </w:rPr>
      </w:pPr>
    </w:p>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9"/>
      </w:tblGrid>
      <w:tr w:rsidR="009A713F" w14:paraId="474F0331" w14:textId="77777777" w:rsidTr="00C50B1D">
        <w:trPr>
          <w:trHeight w:val="941"/>
        </w:trPr>
        <w:tc>
          <w:tcPr>
            <w:tcW w:w="8959" w:type="dxa"/>
            <w:shd w:val="clear" w:color="auto" w:fill="5B9BD5"/>
          </w:tcPr>
          <w:p w14:paraId="111FB75C" w14:textId="77777777" w:rsidR="009A713F" w:rsidRPr="006804F7" w:rsidRDefault="009A713F" w:rsidP="00C50B1D">
            <w:pPr>
              <w:rPr>
                <w:color w:val="FFFFFF" w:themeColor="background1"/>
              </w:rPr>
            </w:pPr>
            <w:bookmarkStart w:id="2" w:name="_kgjnq392vete" w:colFirst="0" w:colLast="0"/>
            <w:bookmarkEnd w:id="2"/>
          </w:p>
          <w:p w14:paraId="08C9F880" w14:textId="77777777" w:rsidR="009A713F" w:rsidRPr="006804F7" w:rsidRDefault="009A713F" w:rsidP="00C50B1D">
            <w:pPr>
              <w:rPr>
                <w:color w:val="FFFFFF" w:themeColor="background1"/>
              </w:rPr>
            </w:pPr>
            <w:r w:rsidRPr="006804F7">
              <w:rPr>
                <w:color w:val="FFFFFF" w:themeColor="background1"/>
              </w:rPr>
              <w:t>Ein-</w:t>
            </w:r>
            <w:proofErr w:type="spellStart"/>
            <w:r w:rsidRPr="006804F7">
              <w:rPr>
                <w:color w:val="FFFFFF" w:themeColor="background1"/>
              </w:rPr>
              <w:t>Dor</w:t>
            </w:r>
            <w:proofErr w:type="spellEnd"/>
            <w:r w:rsidRPr="006804F7">
              <w:rPr>
                <w:color w:val="FFFFFF" w:themeColor="background1"/>
              </w:rPr>
              <w:t xml:space="preserve">, T. and Hirschberger, G., 2016. Rethinking attachment theory: From a theory of relationships to a theory of individual and group survival. </w:t>
            </w:r>
            <w:r w:rsidRPr="006804F7">
              <w:rPr>
                <w:i/>
                <w:iCs/>
                <w:color w:val="FFFFFF" w:themeColor="background1"/>
              </w:rPr>
              <w:t>Current Directions in Psychological Science, 25(4), pp.223-227.</w:t>
            </w:r>
          </w:p>
        </w:tc>
      </w:tr>
      <w:tr w:rsidR="009A713F" w14:paraId="5DCB8F8E" w14:textId="77777777" w:rsidTr="00C50B1D">
        <w:tc>
          <w:tcPr>
            <w:tcW w:w="8959" w:type="dxa"/>
          </w:tcPr>
          <w:p w14:paraId="3D3A4D96" w14:textId="77777777" w:rsidR="009A713F" w:rsidRDefault="009A713F" w:rsidP="00C50B1D">
            <w:pPr>
              <w:spacing w:before="120" w:after="120"/>
            </w:pPr>
          </w:p>
          <w:p w14:paraId="00BF44B8" w14:textId="77777777" w:rsidR="009A713F" w:rsidRDefault="009A713F" w:rsidP="00C50B1D">
            <w:pPr>
              <w:spacing w:before="120" w:after="120"/>
              <w:rPr>
                <w:b/>
                <w:bCs/>
                <w:highlight w:val="white"/>
              </w:rPr>
            </w:pPr>
          </w:p>
          <w:p w14:paraId="44BBF66C" w14:textId="77777777" w:rsidR="009A713F" w:rsidRDefault="009A713F" w:rsidP="00C50B1D">
            <w:pPr>
              <w:spacing w:before="120" w:after="120"/>
            </w:pPr>
            <w:r>
              <w:rPr>
                <w:b/>
                <w:bCs/>
                <w:highlight w:val="white"/>
              </w:rPr>
              <w:t>Summary:</w:t>
            </w:r>
            <w:r>
              <w:t xml:space="preserve"> </w:t>
            </w:r>
          </w:p>
          <w:p w14:paraId="79E9742F" w14:textId="77777777" w:rsidR="009A713F" w:rsidRPr="00D90BA4" w:rsidRDefault="009A713F" w:rsidP="00C50B1D">
            <w:pPr>
              <w:spacing w:before="120" w:after="120"/>
            </w:pPr>
            <w:r w:rsidRPr="00D90BA4">
              <w:t>This article expands attachment theory by showing that attachment styles influence how individuals respond to stress and challenges across the lifespan. Secure attachment is associated with better emotional regulation and resilience, while insecure attachment can lead to anxiety and avoidance behaviours. The authors argue that attachment plays an important role not only in relationships but also in coping and survival</w:t>
            </w:r>
            <w:r>
              <w:t>.</w:t>
            </w:r>
          </w:p>
          <w:p w14:paraId="0C1B2A69" w14:textId="77777777" w:rsidR="009A713F" w:rsidRDefault="009A713F" w:rsidP="00C50B1D">
            <w:pPr>
              <w:spacing w:before="120" w:after="120"/>
            </w:pPr>
            <w:r>
              <w:rPr>
                <w:b/>
                <w:bCs/>
                <w:highlight w:val="white"/>
              </w:rPr>
              <w:t>Relevance:</w:t>
            </w:r>
          </w:p>
          <w:p w14:paraId="0936B106" w14:textId="77777777" w:rsidR="009A713F" w:rsidRPr="00D90BA4" w:rsidRDefault="009A713F" w:rsidP="00C50B1D">
            <w:pPr>
              <w:spacing w:after="240"/>
            </w:pPr>
            <w:r w:rsidRPr="00D90BA4">
              <w:t>This source is relevant for understanding how older adults cope with stress, illness, and dependency in care settings. It suggests that emotional support from caregivers can improve resilience and wellbeing. A strength is that it updates Bowlby’s theory and applies it to broader contexts. However, a limitation is that it is more theoretical and less focused on practical care environments. Nonetheless, it provides useful insight for improving emotional support in older adults.</w:t>
            </w:r>
          </w:p>
          <w:p w14:paraId="1231F379" w14:textId="77777777" w:rsidR="009A713F" w:rsidRDefault="009A713F" w:rsidP="00C50B1D">
            <w:pPr>
              <w:spacing w:after="240"/>
            </w:pPr>
          </w:p>
          <w:p w14:paraId="21561697" w14:textId="77777777" w:rsidR="009A713F" w:rsidRDefault="009A713F" w:rsidP="00C50B1D">
            <w:pPr>
              <w:spacing w:after="240"/>
            </w:pPr>
          </w:p>
          <w:p w14:paraId="7EAD6A14" w14:textId="77777777" w:rsidR="009A713F" w:rsidRDefault="009A713F" w:rsidP="00C50B1D">
            <w:pPr>
              <w:spacing w:after="240"/>
            </w:pPr>
          </w:p>
        </w:tc>
      </w:tr>
    </w:tbl>
    <w:p w14:paraId="648FD1A5" w14:textId="77777777" w:rsidR="009A713F" w:rsidRDefault="009A713F" w:rsidP="009A713F"/>
    <w:p w14:paraId="21E5F043" w14:textId="77777777" w:rsidR="009A713F" w:rsidRDefault="009A713F" w:rsidP="009A713F"/>
    <w:p w14:paraId="46918A6B" w14:textId="77777777" w:rsidR="009A713F" w:rsidRDefault="009A713F" w:rsidP="009A713F"/>
    <w:p w14:paraId="477DC20E" w14:textId="77777777" w:rsidR="009A713F" w:rsidRDefault="009A713F" w:rsidP="009A713F"/>
    <w:tbl>
      <w:tblPr>
        <w:tblW w:w="89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08"/>
      </w:tblGrid>
      <w:tr w:rsidR="009A713F" w14:paraId="719A5EE2" w14:textId="77777777" w:rsidTr="00C50B1D">
        <w:tc>
          <w:tcPr>
            <w:tcW w:w="8908" w:type="dxa"/>
            <w:shd w:val="clear" w:color="auto" w:fill="5B9BD5"/>
          </w:tcPr>
          <w:p w14:paraId="50DE0CB5" w14:textId="77777777" w:rsidR="009A713F" w:rsidRPr="00605300" w:rsidRDefault="009A713F" w:rsidP="00C50B1D">
            <w:pPr>
              <w:rPr>
                <w:sz w:val="28"/>
                <w:szCs w:val="28"/>
              </w:rPr>
            </w:pPr>
            <w:bookmarkStart w:id="3" w:name="_vhxcyfjmx2i6" w:colFirst="0" w:colLast="0"/>
            <w:bookmarkEnd w:id="3"/>
            <w:proofErr w:type="gramStart"/>
            <w:r w:rsidRPr="00605300">
              <w:rPr>
                <w:color w:val="FFFFFF" w:themeColor="background1"/>
                <w:sz w:val="28"/>
                <w:szCs w:val="28"/>
              </w:rPr>
              <w:lastRenderedPageBreak/>
              <w:t>Hagge ,</w:t>
            </w:r>
            <w:proofErr w:type="gramEnd"/>
            <w:r w:rsidRPr="00605300">
              <w:rPr>
                <w:color w:val="FFFFFF" w:themeColor="background1"/>
                <w:sz w:val="28"/>
                <w:szCs w:val="28"/>
              </w:rPr>
              <w:t xml:space="preserve">M.S., Moyers, S., McAnally, K. and McKinley, L.E., 2020. Known knowns and known unknowns on behaviour change interventions and mechanism of action. </w:t>
            </w:r>
            <w:r w:rsidRPr="00144F6C">
              <w:rPr>
                <w:i/>
                <w:iCs/>
                <w:color w:val="FFFFFF" w:themeColor="background1"/>
                <w:sz w:val="28"/>
                <w:szCs w:val="28"/>
              </w:rPr>
              <w:t xml:space="preserve">Health Psychology Review, 14(1), </w:t>
            </w:r>
            <w:r w:rsidRPr="00144F6C">
              <w:rPr>
                <w:color w:val="FFFFFF" w:themeColor="background1"/>
                <w:sz w:val="28"/>
                <w:szCs w:val="28"/>
              </w:rPr>
              <w:t>pp.199-212</w:t>
            </w:r>
            <w:r w:rsidRPr="00144F6C">
              <w:rPr>
                <w:sz w:val="28"/>
                <w:szCs w:val="28"/>
              </w:rPr>
              <w:t>.</w:t>
            </w:r>
          </w:p>
        </w:tc>
      </w:tr>
      <w:tr w:rsidR="009A713F" w14:paraId="0553A869" w14:textId="77777777" w:rsidTr="00C50B1D">
        <w:tc>
          <w:tcPr>
            <w:tcW w:w="8908" w:type="dxa"/>
          </w:tcPr>
          <w:p w14:paraId="4A36E9DB" w14:textId="77777777" w:rsidR="009A713F" w:rsidRDefault="009A713F" w:rsidP="00C50B1D">
            <w:pPr>
              <w:spacing w:before="120" w:after="120"/>
              <w:rPr>
                <w:b/>
                <w:bCs/>
                <w:highlight w:val="white"/>
              </w:rPr>
            </w:pPr>
          </w:p>
          <w:p w14:paraId="37B643CF" w14:textId="77777777" w:rsidR="009A713F" w:rsidRDefault="009A713F" w:rsidP="00C50B1D">
            <w:pPr>
              <w:spacing w:before="120" w:after="120"/>
            </w:pPr>
            <w:r>
              <w:rPr>
                <w:b/>
                <w:bCs/>
                <w:highlight w:val="white"/>
              </w:rPr>
              <w:t>Summary:</w:t>
            </w:r>
            <w:r>
              <w:t xml:space="preserve"> </w:t>
            </w:r>
          </w:p>
          <w:p w14:paraId="66544074" w14:textId="77777777" w:rsidR="009A713F" w:rsidRDefault="009A713F" w:rsidP="00C50B1D">
            <w:pPr>
              <w:spacing w:before="120" w:after="120"/>
            </w:pPr>
            <w:r w:rsidRPr="009A713F">
              <w:t xml:space="preserve">This review explores how the Theory of Planned Behaviour is used to design and evaluate behaviour change interventions in health settings. It explains that behaviour is primarily driven by behavioural intention, which is influenced by three key factors: attitudes towards the behaviour, subjective norms, and perceived behavioural control. The authors emphasise that interventions targeting these components such as changing beliefs, increasing social support, and improving individuals’ confidence in their ability to perform a behaviour can </w:t>
            </w:r>
            <w:proofErr w:type="gramStart"/>
            <w:r w:rsidRPr="009A713F">
              <w:t>lead</w:t>
            </w:r>
            <w:proofErr w:type="gramEnd"/>
            <w:r w:rsidRPr="009A713F">
              <w:t xml:space="preserve"> to meaningful behaviour change. The study also highlights that the theory has been widely applied in health psychology to promote positive behaviours, including physical activity, healthy eating, and adherence to medical treatment. Furthermore, it discusses both the strengths and limitations of the theory, noting that while it is effective in predicting behaviour, additional factors such as emotions and environmental influences may also play a role.</w:t>
            </w:r>
          </w:p>
          <w:p w14:paraId="49397D54" w14:textId="77777777" w:rsidR="009A713F" w:rsidRPr="00CD4F7D" w:rsidRDefault="009A713F" w:rsidP="00C50B1D">
            <w:pPr>
              <w:spacing w:before="120" w:after="120"/>
              <w:rPr>
                <w:b/>
                <w:bCs/>
                <w:highlight w:val="white"/>
              </w:rPr>
            </w:pPr>
          </w:p>
          <w:p w14:paraId="3D89DB87" w14:textId="77777777" w:rsidR="009A713F" w:rsidRPr="00CD4F7D" w:rsidRDefault="009A713F" w:rsidP="00C50B1D">
            <w:pPr>
              <w:pStyle w:val="Heading3"/>
              <w:rPr>
                <w:color w:val="auto"/>
              </w:rPr>
            </w:pPr>
            <w:r w:rsidRPr="00CD4F7D">
              <w:rPr>
                <w:rFonts w:ascii="Arial" w:eastAsia="Arial" w:hAnsi="Arial" w:cs="Arial"/>
                <w:color w:val="auto"/>
                <w:sz w:val="22"/>
                <w:szCs w:val="22"/>
              </w:rPr>
              <w:t>Relevance</w:t>
            </w:r>
            <w:r>
              <w:rPr>
                <w:rFonts w:ascii="Arial" w:eastAsia="Arial" w:hAnsi="Arial" w:cs="Arial"/>
                <w:color w:val="auto"/>
                <w:sz w:val="22"/>
                <w:szCs w:val="22"/>
              </w:rPr>
              <w:t>:</w:t>
            </w:r>
          </w:p>
          <w:p w14:paraId="6CB7A5FA" w14:textId="77777777" w:rsidR="009A713F" w:rsidRPr="00CD4F7D" w:rsidRDefault="009A713F" w:rsidP="00C50B1D">
            <w:pPr>
              <w:pStyle w:val="NormalWeb"/>
              <w:spacing w:line="360" w:lineRule="auto"/>
              <w:rPr>
                <w:rFonts w:ascii="Arial" w:hAnsi="Arial" w:cs="Arial"/>
                <w:sz w:val="22"/>
                <w:szCs w:val="22"/>
              </w:rPr>
            </w:pPr>
            <w:r w:rsidRPr="00CD4F7D">
              <w:rPr>
                <w:rFonts w:ascii="Arial" w:hAnsi="Arial" w:cs="Arial"/>
                <w:sz w:val="22"/>
                <w:szCs w:val="22"/>
              </w:rPr>
              <w:t xml:space="preserve">This source is highly relevant for improving health </w:t>
            </w:r>
            <w:proofErr w:type="spellStart"/>
            <w:r w:rsidRPr="00CD4F7D">
              <w:rPr>
                <w:rFonts w:ascii="Arial" w:hAnsi="Arial" w:cs="Arial"/>
                <w:sz w:val="22"/>
                <w:szCs w:val="22"/>
              </w:rPr>
              <w:t>behaviours</w:t>
            </w:r>
            <w:proofErr w:type="spellEnd"/>
            <w:r w:rsidRPr="00CD4F7D">
              <w:rPr>
                <w:rFonts w:ascii="Arial" w:hAnsi="Arial" w:cs="Arial"/>
                <w:sz w:val="22"/>
                <w:szCs w:val="22"/>
              </w:rPr>
              <w:t xml:space="preserve"> in older adults, such as encouraging physical activity and adherence to treatment. A strength is its focus on practical interventions, making it useful for professionals. However, it may not fully consider emotional or environmental factors affecting </w:t>
            </w:r>
            <w:proofErr w:type="spellStart"/>
            <w:r w:rsidRPr="00CD4F7D">
              <w:rPr>
                <w:rFonts w:ascii="Arial" w:hAnsi="Arial" w:cs="Arial"/>
                <w:sz w:val="22"/>
                <w:szCs w:val="22"/>
              </w:rPr>
              <w:t>behaviour</w:t>
            </w:r>
            <w:proofErr w:type="spellEnd"/>
            <w:r w:rsidRPr="00CD4F7D">
              <w:rPr>
                <w:rFonts w:ascii="Arial" w:hAnsi="Arial" w:cs="Arial"/>
                <w:sz w:val="22"/>
                <w:szCs w:val="22"/>
              </w:rPr>
              <w:t>. Despite this, it provides strong guidance for improving care outcomes.</w:t>
            </w:r>
          </w:p>
          <w:p w14:paraId="5C676327" w14:textId="77777777" w:rsidR="009A713F" w:rsidRDefault="009A713F" w:rsidP="00C50B1D">
            <w:pPr>
              <w:spacing w:before="120" w:after="120"/>
            </w:pPr>
          </w:p>
        </w:tc>
      </w:tr>
    </w:tbl>
    <w:p w14:paraId="129E80E3" w14:textId="77777777" w:rsidR="009A713F" w:rsidRDefault="009A713F">
      <w:pPr>
        <w:rPr>
          <w:b/>
          <w:bCs/>
        </w:rPr>
      </w:pPr>
    </w:p>
    <w:p w14:paraId="43A3337D" w14:textId="77777777" w:rsidR="00171058" w:rsidRDefault="00171058"/>
    <w:p w14:paraId="66FB29F6" w14:textId="77777777" w:rsidR="00171058" w:rsidRDefault="00171058">
      <w:pPr>
        <w:rPr>
          <w:b/>
          <w:bCs/>
        </w:rPr>
      </w:pPr>
    </w:p>
    <w:p w14:paraId="62AACCEC" w14:textId="77777777" w:rsidR="00171058" w:rsidRDefault="00171058"/>
    <w:p w14:paraId="759D38FC" w14:textId="0481FF3A" w:rsidR="00171058" w:rsidRDefault="00171058">
      <w:pPr>
        <w:rPr>
          <w:b/>
          <w:bCs/>
        </w:rPr>
      </w:pPr>
    </w:p>
    <w:p w14:paraId="7BE6DF7B" w14:textId="558A0963" w:rsidR="00233BC4" w:rsidRDefault="00233BC4">
      <w:pPr>
        <w:rPr>
          <w:b/>
          <w:bCs/>
        </w:rPr>
      </w:pPr>
    </w:p>
    <w:p w14:paraId="32173EB5" w14:textId="1BE25956" w:rsidR="009A713F" w:rsidRPr="009A713F" w:rsidRDefault="009A713F">
      <w:pPr>
        <w:rPr>
          <w:b/>
          <w:bCs/>
          <w:color w:val="548DD4" w:themeColor="text2" w:themeTint="99"/>
        </w:rPr>
      </w:pPr>
      <w:r w:rsidRPr="009A713F">
        <w:rPr>
          <w:b/>
          <w:bCs/>
          <w:color w:val="548DD4" w:themeColor="text2" w:themeTint="99"/>
        </w:rPr>
        <w:t>Applying Bowlby’s Attachment Theory to Improve Wellbeing in Older Adults in Residential Care</w:t>
      </w:r>
    </w:p>
    <w:p w14:paraId="6B571D4F" w14:textId="6130AA78" w:rsidR="00144F6C" w:rsidRPr="00AE10BB" w:rsidRDefault="00144F6C" w:rsidP="00AE10BB">
      <w:pPr>
        <w:rPr>
          <w:color w:val="548DD4" w:themeColor="text2" w:themeTint="99"/>
        </w:rPr>
      </w:pPr>
      <w:r w:rsidRPr="00AE10BB">
        <w:rPr>
          <w:rStyle w:val="Strong"/>
          <w:color w:val="548DD4" w:themeColor="text2" w:themeTint="99"/>
        </w:rPr>
        <w:t>Introduction</w:t>
      </w:r>
    </w:p>
    <w:p w14:paraId="4EF1D1EF" w14:textId="77777777" w:rsidR="00AE10BB" w:rsidRPr="00AE10BB" w:rsidRDefault="00AE10BB" w:rsidP="00AE10BB">
      <w:pPr>
        <w:spacing w:before="0"/>
        <w:jc w:val="left"/>
        <w:rPr>
          <w:rFonts w:eastAsia="Times New Roman"/>
          <w:lang w:val="en-US"/>
        </w:rPr>
      </w:pPr>
      <w:r w:rsidRPr="00AE10BB">
        <w:rPr>
          <w:rFonts w:eastAsia="Times New Roman"/>
          <w:lang w:val="en-US"/>
        </w:rPr>
        <w:t>The application of Bowlby's attachment theory to enhance the psychological well-being of senior citizens residing in residential care facilities is described in this report. People's emotional wellbeing may suffer as they age due to loss, deteriorating health, and growing reliance on others. According to attachment theory, stable emotional connections are crucial for people of all ages (Bowlby, 1988). This report describes the main ideas of the theory, shows how it is used in assisted living facilities, provides a case study, and addresses a problem with a workable solution.</w:t>
      </w:r>
    </w:p>
    <w:p w14:paraId="5E494CC5" w14:textId="2308B435" w:rsidR="00144F6C" w:rsidRPr="00AE10BB" w:rsidRDefault="00144F6C" w:rsidP="00AE10BB"/>
    <w:p w14:paraId="3D130153" w14:textId="78F1E481" w:rsidR="00144F6C" w:rsidRPr="00AE10BB" w:rsidRDefault="00144F6C" w:rsidP="00AE10BB">
      <w:pPr>
        <w:rPr>
          <w:color w:val="548DD4" w:themeColor="text2" w:themeTint="99"/>
        </w:rPr>
      </w:pPr>
      <w:r w:rsidRPr="00AE10BB">
        <w:rPr>
          <w:rStyle w:val="Strong"/>
          <w:color w:val="548DD4" w:themeColor="text2" w:themeTint="99"/>
        </w:rPr>
        <w:t>Explanation of the Theory</w:t>
      </w:r>
    </w:p>
    <w:p w14:paraId="312C7E99" w14:textId="35050729" w:rsidR="00AE10BB" w:rsidRPr="00AE10BB" w:rsidRDefault="00AE10BB" w:rsidP="00AE10BB">
      <w:pPr>
        <w:spacing w:before="0"/>
        <w:jc w:val="left"/>
        <w:rPr>
          <w:rFonts w:eastAsia="Times New Roman"/>
          <w:lang w:val="en-US"/>
        </w:rPr>
      </w:pPr>
      <w:r w:rsidRPr="00AE10BB">
        <w:rPr>
          <w:rFonts w:eastAsia="Times New Roman"/>
          <w:lang w:val="en-US"/>
        </w:rPr>
        <w:t>According to Bowlby's attachment theory, people have a natural desire to develop strong emotional ties, especially when they are vulnerable (Bowlby, 1988). Research indicates that attachment demands persist into adulthood and old life, despite the theory's initial focus on early development (Cassidy and Shaver, 2016). The three attachment styles</w:t>
      </w:r>
      <w:r w:rsidRPr="00AE10BB">
        <w:rPr>
          <w:rFonts w:eastAsia="Times New Roman"/>
          <w:lang w:val="en-US"/>
        </w:rPr>
        <w:t xml:space="preserve"> which are </w:t>
      </w:r>
      <w:r w:rsidRPr="00AE10BB">
        <w:rPr>
          <w:rFonts w:eastAsia="Times New Roman"/>
          <w:lang w:val="en-US"/>
        </w:rPr>
        <w:t>secure, anxious, and avoidant</w:t>
      </w:r>
      <w:r w:rsidRPr="00AE10BB">
        <w:rPr>
          <w:rFonts w:eastAsia="Times New Roman"/>
          <w:lang w:val="en-US"/>
        </w:rPr>
        <w:t xml:space="preserve"> </w:t>
      </w:r>
      <w:r w:rsidRPr="00AE10BB">
        <w:rPr>
          <w:rFonts w:eastAsia="Times New Roman"/>
          <w:lang w:val="en-US"/>
        </w:rPr>
        <w:t xml:space="preserve">develop early in life and affect how people react to support, relationships, and stress. </w:t>
      </w:r>
      <w:r w:rsidRPr="00AE10BB">
        <w:rPr>
          <w:rFonts w:eastAsia="Times New Roman"/>
          <w:lang w:val="en-US"/>
        </w:rPr>
        <w:br/>
        <w:t>Trust, emotional stability, and the capacity to ask for assistance when necessary are all linked to secure attachment. On the other hand, insecure attachment can lead to emotional disengagement, anxiety, or a fear of being abandoned (Ein-</w:t>
      </w:r>
      <w:proofErr w:type="spellStart"/>
      <w:r w:rsidRPr="00AE10BB">
        <w:rPr>
          <w:rFonts w:eastAsia="Times New Roman"/>
          <w:lang w:val="en-US"/>
        </w:rPr>
        <w:t>Dor</w:t>
      </w:r>
      <w:proofErr w:type="spellEnd"/>
      <w:r w:rsidRPr="00AE10BB">
        <w:rPr>
          <w:rFonts w:eastAsia="Times New Roman"/>
          <w:lang w:val="en-US"/>
        </w:rPr>
        <w:t xml:space="preserve"> and Hirschberger, 2016). These behaviors become more significant in older life because of decreased freedom, death of loved ones, and increased reliance on caregivers.</w:t>
      </w:r>
    </w:p>
    <w:p w14:paraId="790A88E5" w14:textId="77777777" w:rsidR="00AE10BB" w:rsidRPr="00AE10BB" w:rsidRDefault="00AE10BB" w:rsidP="00AE10BB">
      <w:pPr>
        <w:spacing w:before="0"/>
        <w:jc w:val="left"/>
        <w:rPr>
          <w:rFonts w:eastAsia="Times New Roman"/>
          <w:lang w:val="en-US"/>
        </w:rPr>
      </w:pPr>
      <w:r w:rsidRPr="00AE10BB">
        <w:rPr>
          <w:rFonts w:eastAsia="Times New Roman"/>
          <w:lang w:val="en-US"/>
        </w:rPr>
        <w:t>Staff members frequently serve as attachment figures in residential care settings. Older persons are more likely to have better mental health and wellness when they feel respected, safe, and emotionally supported. As a result, attachment theory offers a helpful framework for comprehending emotional needs and providing person-centered care.</w:t>
      </w:r>
    </w:p>
    <w:p w14:paraId="0C9CDCD5" w14:textId="72D82697" w:rsidR="00144F6C" w:rsidRPr="00AE10BB" w:rsidRDefault="00144F6C" w:rsidP="00AE10BB"/>
    <w:p w14:paraId="78D099D6" w14:textId="4FFB96CE" w:rsidR="00144F6C" w:rsidRPr="00AE10BB" w:rsidRDefault="00144F6C" w:rsidP="00AE10BB">
      <w:pPr>
        <w:rPr>
          <w:color w:val="548DD4" w:themeColor="text2" w:themeTint="99"/>
        </w:rPr>
      </w:pPr>
      <w:r w:rsidRPr="00AE10BB">
        <w:rPr>
          <w:rStyle w:val="Strong"/>
          <w:color w:val="548DD4" w:themeColor="text2" w:themeTint="99"/>
        </w:rPr>
        <w:t>Application to Residential Care</w:t>
      </w:r>
    </w:p>
    <w:p w14:paraId="75AAAB5D" w14:textId="77777777" w:rsidR="00144F6C" w:rsidRPr="00AE10BB" w:rsidRDefault="00144F6C" w:rsidP="00AE10BB">
      <w:pPr>
        <w:pStyle w:val="NormalWeb"/>
        <w:spacing w:line="360" w:lineRule="auto"/>
        <w:rPr>
          <w:rFonts w:ascii="Arial" w:hAnsi="Arial" w:cs="Arial"/>
          <w:sz w:val="22"/>
          <w:szCs w:val="22"/>
        </w:rPr>
      </w:pPr>
      <w:r w:rsidRPr="00AE10BB">
        <w:rPr>
          <w:rFonts w:ascii="Arial" w:hAnsi="Arial" w:cs="Arial"/>
          <w:sz w:val="22"/>
          <w:szCs w:val="22"/>
        </w:rPr>
        <w:lastRenderedPageBreak/>
        <w:t>Bowlby’s attachment theory can be applied in residential care by promoting consistent, supportive, and trusting relationships between caregivers and residents. One effective strategy is continuity of care, where the same staff members regularly care for the same residents. This helps build familiarity and trust, which are essential for developing a sense of security (Bowlby, 1988).</w:t>
      </w:r>
    </w:p>
    <w:p w14:paraId="2F7CFC1B" w14:textId="77777777" w:rsidR="00144F6C" w:rsidRPr="00AE10BB" w:rsidRDefault="00144F6C" w:rsidP="00AE10BB">
      <w:pPr>
        <w:pStyle w:val="NormalWeb"/>
        <w:spacing w:line="360" w:lineRule="auto"/>
        <w:rPr>
          <w:rFonts w:ascii="Arial" w:hAnsi="Arial" w:cs="Arial"/>
          <w:sz w:val="22"/>
          <w:szCs w:val="22"/>
        </w:rPr>
      </w:pPr>
      <w:r w:rsidRPr="00AE10BB">
        <w:rPr>
          <w:rFonts w:ascii="Arial" w:hAnsi="Arial" w:cs="Arial"/>
          <w:sz w:val="22"/>
          <w:szCs w:val="22"/>
        </w:rPr>
        <w:t>Another key approach is person-</w:t>
      </w:r>
      <w:proofErr w:type="spellStart"/>
      <w:r w:rsidRPr="00AE10BB">
        <w:rPr>
          <w:rFonts w:ascii="Arial" w:hAnsi="Arial" w:cs="Arial"/>
          <w:sz w:val="22"/>
          <w:szCs w:val="22"/>
        </w:rPr>
        <w:t>centred</w:t>
      </w:r>
      <w:proofErr w:type="spellEnd"/>
      <w:r w:rsidRPr="00AE10BB">
        <w:rPr>
          <w:rFonts w:ascii="Arial" w:hAnsi="Arial" w:cs="Arial"/>
          <w:sz w:val="22"/>
          <w:szCs w:val="22"/>
        </w:rPr>
        <w:t xml:space="preserve"> care, where caregivers take time to understand each resident’s personal history, preferences, and emotional needs. This may include active listening, showing empathy, and providing reassurance. Emotional support has been shown to improve coping and resilience in later life (Cassidy and Shaver, 2016). Simple actions such as spending time with residents, maintaining eye contact, and offering comfort during distress can strengthen emotional bonds.</w:t>
      </w:r>
    </w:p>
    <w:p w14:paraId="7F9481F2" w14:textId="77777777" w:rsidR="00AE10BB" w:rsidRPr="00AE10BB" w:rsidRDefault="00AE10BB" w:rsidP="00AE10BB">
      <w:pPr>
        <w:pStyle w:val="NormalWeb"/>
        <w:spacing w:line="360" w:lineRule="auto"/>
        <w:rPr>
          <w:rFonts w:ascii="Arial" w:hAnsi="Arial" w:cs="Arial"/>
          <w:sz w:val="22"/>
          <w:szCs w:val="22"/>
        </w:rPr>
      </w:pPr>
    </w:p>
    <w:p w14:paraId="68E0723F" w14:textId="733AB7CB" w:rsidR="00144F6C" w:rsidRPr="009A713F" w:rsidRDefault="00144F6C" w:rsidP="00AE10BB">
      <w:pPr>
        <w:pStyle w:val="NormalWeb"/>
        <w:spacing w:line="360" w:lineRule="auto"/>
        <w:rPr>
          <w:rFonts w:ascii="Arial" w:hAnsi="Arial" w:cs="Arial"/>
          <w:b/>
          <w:bCs/>
          <w:color w:val="000000" w:themeColor="text1"/>
          <w:sz w:val="22"/>
          <w:szCs w:val="22"/>
        </w:rPr>
      </w:pPr>
      <w:r w:rsidRPr="00AE10BB">
        <w:rPr>
          <w:rStyle w:val="Strong"/>
          <w:rFonts w:ascii="Arial" w:hAnsi="Arial" w:cs="Arial"/>
          <w:color w:val="548DD4" w:themeColor="text2" w:themeTint="99"/>
          <w:sz w:val="22"/>
          <w:szCs w:val="22"/>
        </w:rPr>
        <w:t>Case Scenario:</w:t>
      </w:r>
      <w:r w:rsidRPr="00AE10BB">
        <w:rPr>
          <w:rFonts w:ascii="Arial" w:hAnsi="Arial" w:cs="Arial"/>
          <w:sz w:val="22"/>
          <w:szCs w:val="22"/>
        </w:rPr>
        <w:br/>
      </w:r>
      <w:proofErr w:type="spellStart"/>
      <w:r w:rsidRPr="009A713F">
        <w:rPr>
          <w:rFonts w:ascii="Arial" w:hAnsi="Arial" w:cs="Arial"/>
          <w:color w:val="000000" w:themeColor="text1"/>
          <w:sz w:val="22"/>
          <w:szCs w:val="22"/>
        </w:rPr>
        <w:t>Mrs</w:t>
      </w:r>
      <w:proofErr w:type="spellEnd"/>
      <w:r w:rsidR="00AE10BB" w:rsidRPr="009A713F">
        <w:rPr>
          <w:rFonts w:ascii="Arial" w:hAnsi="Arial" w:cs="Arial"/>
          <w:color w:val="000000" w:themeColor="text1"/>
          <w:sz w:val="22"/>
          <w:szCs w:val="22"/>
        </w:rPr>
        <w:t xml:space="preserve"> Dolapo</w:t>
      </w:r>
      <w:r w:rsidRPr="009A713F">
        <w:rPr>
          <w:rFonts w:ascii="Arial" w:hAnsi="Arial" w:cs="Arial"/>
          <w:color w:val="000000" w:themeColor="text1"/>
          <w:sz w:val="22"/>
          <w:szCs w:val="22"/>
        </w:rPr>
        <w:t xml:space="preserve"> is a</w:t>
      </w:r>
      <w:r w:rsidR="00AE10BB" w:rsidRPr="009A713F">
        <w:rPr>
          <w:rFonts w:ascii="Arial" w:hAnsi="Arial" w:cs="Arial"/>
          <w:color w:val="000000" w:themeColor="text1"/>
          <w:sz w:val="22"/>
          <w:szCs w:val="22"/>
        </w:rPr>
        <w:t>n</w:t>
      </w:r>
      <w:r w:rsidRPr="009A713F">
        <w:rPr>
          <w:rFonts w:ascii="Arial" w:hAnsi="Arial" w:cs="Arial"/>
          <w:color w:val="000000" w:themeColor="text1"/>
          <w:sz w:val="22"/>
          <w:szCs w:val="22"/>
        </w:rPr>
        <w:t xml:space="preserve"> </w:t>
      </w:r>
      <w:proofErr w:type="gramStart"/>
      <w:r w:rsidR="00AE10BB" w:rsidRPr="009A713F">
        <w:rPr>
          <w:rFonts w:ascii="Arial" w:hAnsi="Arial" w:cs="Arial"/>
          <w:color w:val="000000" w:themeColor="text1"/>
          <w:sz w:val="22"/>
          <w:szCs w:val="22"/>
        </w:rPr>
        <w:t xml:space="preserve">Eighty two </w:t>
      </w:r>
      <w:r w:rsidRPr="009A713F">
        <w:rPr>
          <w:rFonts w:ascii="Arial" w:hAnsi="Arial" w:cs="Arial"/>
          <w:color w:val="000000" w:themeColor="text1"/>
          <w:sz w:val="22"/>
          <w:szCs w:val="22"/>
        </w:rPr>
        <w:t>year-old</w:t>
      </w:r>
      <w:proofErr w:type="gramEnd"/>
      <w:r w:rsidRPr="009A713F">
        <w:rPr>
          <w:rFonts w:ascii="Arial" w:hAnsi="Arial" w:cs="Arial"/>
          <w:color w:val="000000" w:themeColor="text1"/>
          <w:sz w:val="22"/>
          <w:szCs w:val="22"/>
        </w:rPr>
        <w:t xml:space="preserve"> woman living in a residential care home following the death of her husband. </w:t>
      </w:r>
      <w:r w:rsidR="006804F7" w:rsidRPr="009A713F">
        <w:rPr>
          <w:rFonts w:ascii="Arial" w:hAnsi="Arial" w:cs="Arial"/>
          <w:color w:val="000000" w:themeColor="text1"/>
          <w:sz w:val="22"/>
          <w:szCs w:val="22"/>
        </w:rPr>
        <w:t xml:space="preserve">She </w:t>
      </w:r>
      <w:proofErr w:type="spellStart"/>
      <w:r w:rsidR="006804F7" w:rsidRPr="009A713F">
        <w:rPr>
          <w:rFonts w:ascii="Arial" w:hAnsi="Arial" w:cs="Arial"/>
          <w:color w:val="000000" w:themeColor="text1"/>
          <w:sz w:val="22"/>
          <w:szCs w:val="22"/>
        </w:rPr>
        <w:t>could’nt</w:t>
      </w:r>
      <w:proofErr w:type="spellEnd"/>
      <w:r w:rsidR="006804F7" w:rsidRPr="009A713F">
        <w:rPr>
          <w:rFonts w:ascii="Arial" w:hAnsi="Arial" w:cs="Arial"/>
          <w:color w:val="000000" w:themeColor="text1"/>
          <w:sz w:val="22"/>
          <w:szCs w:val="22"/>
        </w:rPr>
        <w:t xml:space="preserve"> bear her husband’s death and then </w:t>
      </w:r>
      <w:r w:rsidRPr="009A713F">
        <w:rPr>
          <w:rFonts w:ascii="Arial" w:hAnsi="Arial" w:cs="Arial"/>
          <w:color w:val="000000" w:themeColor="text1"/>
          <w:sz w:val="22"/>
          <w:szCs w:val="22"/>
        </w:rPr>
        <w:t xml:space="preserve">becomes withdrawn, avoids social interaction, and refuses to participate in activities. A consistent caregiver is assigned to support her and begins to spend time with her daily, listening to her experiences and providing emotional reassurance. Over time, </w:t>
      </w:r>
      <w:proofErr w:type="spellStart"/>
      <w:r w:rsidRPr="009A713F">
        <w:rPr>
          <w:rFonts w:ascii="Arial" w:hAnsi="Arial" w:cs="Arial"/>
          <w:color w:val="000000" w:themeColor="text1"/>
          <w:sz w:val="22"/>
          <w:szCs w:val="22"/>
        </w:rPr>
        <w:t>Mrs</w:t>
      </w:r>
      <w:proofErr w:type="spellEnd"/>
      <w:r w:rsidRPr="009A713F">
        <w:rPr>
          <w:rFonts w:ascii="Arial" w:hAnsi="Arial" w:cs="Arial"/>
          <w:color w:val="000000" w:themeColor="text1"/>
          <w:sz w:val="22"/>
          <w:szCs w:val="22"/>
        </w:rPr>
        <w:t xml:space="preserve"> </w:t>
      </w:r>
      <w:r w:rsidR="00AE10BB" w:rsidRPr="009A713F">
        <w:rPr>
          <w:rFonts w:ascii="Arial" w:hAnsi="Arial" w:cs="Arial"/>
          <w:color w:val="000000" w:themeColor="text1"/>
          <w:sz w:val="22"/>
          <w:szCs w:val="22"/>
        </w:rPr>
        <w:t>Dolapo</w:t>
      </w:r>
      <w:r w:rsidRPr="009A713F">
        <w:rPr>
          <w:rFonts w:ascii="Arial" w:hAnsi="Arial" w:cs="Arial"/>
          <w:color w:val="000000" w:themeColor="text1"/>
          <w:sz w:val="22"/>
          <w:szCs w:val="22"/>
        </w:rPr>
        <w:t xml:space="preserve"> develops trust in the caregiver, becomes more communicative, and gradually engages in social activities. This reflects the development of a secure attachment, which improves her emotional wellbeing.</w:t>
      </w:r>
    </w:p>
    <w:p w14:paraId="058BBDF2" w14:textId="77777777" w:rsidR="00144F6C" w:rsidRPr="009A713F" w:rsidRDefault="00144F6C" w:rsidP="00AE10BB">
      <w:pPr>
        <w:pStyle w:val="NormalWeb"/>
        <w:spacing w:line="360" w:lineRule="auto"/>
        <w:rPr>
          <w:rFonts w:ascii="Arial" w:hAnsi="Arial" w:cs="Arial"/>
          <w:color w:val="000000" w:themeColor="text1"/>
          <w:sz w:val="22"/>
          <w:szCs w:val="22"/>
        </w:rPr>
      </w:pPr>
      <w:r w:rsidRPr="009A713F">
        <w:rPr>
          <w:rFonts w:ascii="Arial" w:hAnsi="Arial" w:cs="Arial"/>
          <w:color w:val="000000" w:themeColor="text1"/>
          <w:sz w:val="22"/>
          <w:szCs w:val="22"/>
        </w:rPr>
        <w:t>This example demonstrates how attachment-based care can reduce loneliness and promote a sense of belonging among older adults.</w:t>
      </w:r>
    </w:p>
    <w:p w14:paraId="5D02A555" w14:textId="3F975D88" w:rsidR="00144F6C" w:rsidRPr="00AE10BB" w:rsidRDefault="00144F6C" w:rsidP="00AE10BB"/>
    <w:p w14:paraId="498DA577" w14:textId="77777777" w:rsidR="00144F6C" w:rsidRPr="00AE10BB" w:rsidRDefault="00144F6C" w:rsidP="00AE10BB">
      <w:pPr>
        <w:rPr>
          <w:color w:val="548DD4" w:themeColor="text2" w:themeTint="99"/>
        </w:rPr>
      </w:pPr>
      <w:r w:rsidRPr="00AE10BB">
        <w:rPr>
          <w:rStyle w:val="Strong"/>
          <w:color w:val="548DD4" w:themeColor="text2" w:themeTint="99"/>
        </w:rPr>
        <w:t>4. Challenge and Strategy</w:t>
      </w:r>
    </w:p>
    <w:p w14:paraId="5A119C2C" w14:textId="77777777" w:rsidR="00144F6C" w:rsidRPr="00AE10BB" w:rsidRDefault="00144F6C" w:rsidP="00AE10BB">
      <w:pPr>
        <w:pStyle w:val="NormalWeb"/>
        <w:spacing w:line="360" w:lineRule="auto"/>
        <w:rPr>
          <w:rFonts w:ascii="Arial" w:hAnsi="Arial" w:cs="Arial"/>
          <w:sz w:val="22"/>
          <w:szCs w:val="22"/>
        </w:rPr>
      </w:pPr>
      <w:r w:rsidRPr="00AE10BB">
        <w:rPr>
          <w:rFonts w:ascii="Arial" w:hAnsi="Arial" w:cs="Arial"/>
          <w:sz w:val="22"/>
          <w:szCs w:val="22"/>
        </w:rPr>
        <w:t>A major challenge in applying attachment theory in care settings is staff shortages and high staff turnover. When residents are cared for by multiple caregivers, it becomes difficult to build stable and trusting relationships, which can negatively affect emotional security.</w:t>
      </w:r>
    </w:p>
    <w:p w14:paraId="71F902B0" w14:textId="7F4A1C78" w:rsidR="00144F6C" w:rsidRPr="00AE10BB" w:rsidRDefault="00144F6C" w:rsidP="00AE10BB">
      <w:pPr>
        <w:pStyle w:val="NormalWeb"/>
        <w:spacing w:line="360" w:lineRule="auto"/>
        <w:rPr>
          <w:rFonts w:ascii="Arial" w:hAnsi="Arial" w:cs="Arial"/>
          <w:sz w:val="22"/>
          <w:szCs w:val="22"/>
        </w:rPr>
      </w:pPr>
      <w:r w:rsidRPr="00AE10BB">
        <w:rPr>
          <w:rFonts w:ascii="Arial" w:hAnsi="Arial" w:cs="Arial"/>
          <w:sz w:val="22"/>
          <w:szCs w:val="22"/>
        </w:rPr>
        <w:t xml:space="preserve">To address this, care homes can introduce a key worker system, where each resident is assigned a specific caregiver responsible for their overall support. In addition, training staff on attachment theory can help them understand the importance of emotional relationships in </w:t>
      </w:r>
      <w:r w:rsidRPr="00AE10BB">
        <w:rPr>
          <w:rFonts w:ascii="Arial" w:hAnsi="Arial" w:cs="Arial"/>
          <w:sz w:val="22"/>
          <w:szCs w:val="22"/>
        </w:rPr>
        <w:lastRenderedPageBreak/>
        <w:t>care (Ein-</w:t>
      </w:r>
      <w:proofErr w:type="spellStart"/>
      <w:r w:rsidRPr="00AE10BB">
        <w:rPr>
          <w:rFonts w:ascii="Arial" w:hAnsi="Arial" w:cs="Arial"/>
          <w:sz w:val="22"/>
          <w:szCs w:val="22"/>
        </w:rPr>
        <w:t>Dor</w:t>
      </w:r>
      <w:proofErr w:type="spellEnd"/>
      <w:r w:rsidRPr="00AE10BB">
        <w:rPr>
          <w:rFonts w:ascii="Arial" w:hAnsi="Arial" w:cs="Arial"/>
          <w:sz w:val="22"/>
          <w:szCs w:val="22"/>
        </w:rPr>
        <w:t xml:space="preserve"> and Hirschberger, 2016). These strategies can improve continuity, strengthen relationships, and enhance the quality of care provided.</w:t>
      </w:r>
    </w:p>
    <w:p w14:paraId="46DB9927" w14:textId="77777777" w:rsidR="00AE10BB" w:rsidRPr="00AE10BB" w:rsidRDefault="00AE10BB" w:rsidP="00AE10BB">
      <w:pPr>
        <w:pStyle w:val="NormalWeb"/>
        <w:spacing w:line="360" w:lineRule="auto"/>
        <w:rPr>
          <w:rFonts w:ascii="Arial" w:hAnsi="Arial" w:cs="Arial"/>
          <w:sz w:val="22"/>
          <w:szCs w:val="22"/>
        </w:rPr>
      </w:pPr>
    </w:p>
    <w:p w14:paraId="719901F9" w14:textId="77777777" w:rsidR="009A713F" w:rsidRDefault="009A713F" w:rsidP="00AE10BB">
      <w:pPr>
        <w:rPr>
          <w:rStyle w:val="Strong"/>
          <w:color w:val="548DD4" w:themeColor="text2" w:themeTint="99"/>
        </w:rPr>
      </w:pPr>
    </w:p>
    <w:p w14:paraId="12072E61" w14:textId="7F621A54" w:rsidR="00AE10BB" w:rsidRPr="00AE10BB" w:rsidRDefault="00144F6C" w:rsidP="00AE10BB">
      <w:pPr>
        <w:rPr>
          <w:rStyle w:val="Strong"/>
          <w:color w:val="548DD4" w:themeColor="text2" w:themeTint="99"/>
        </w:rPr>
      </w:pPr>
      <w:r w:rsidRPr="00AE10BB">
        <w:rPr>
          <w:rStyle w:val="Strong"/>
          <w:color w:val="548DD4" w:themeColor="text2" w:themeTint="99"/>
        </w:rPr>
        <w:t>5. Conclusion</w:t>
      </w:r>
    </w:p>
    <w:p w14:paraId="48FA105F" w14:textId="15ED983C" w:rsidR="00144F6C" w:rsidRPr="00AE10BB" w:rsidRDefault="009A713F" w:rsidP="00AE10BB">
      <w:r>
        <w:t>In conclusion, Bowlby’s attachment theory provides a valuable and practical framework for understanding and supporting the emotional wellbeing of older adults in residential care settings. The theory highlights the importance of secure, trusting relationships, particularly during periods of vulnerability such as ageing, illness, and loss. By promoting consistent caregiving, emotional support, and person-centred approaches, health and social care professionals can help residents feel safe, valued, and connected. This not only reduces loneliness and anxiety but also improves mental health and overall quality of life. Although challenges such as staff shortages may affect implementation, strategies like the key worker system and staff training can enhance relationship-building in care environments. Overall, applying attachment theory in practice can lead to more compassionate, effective, and holistic care for older adults</w:t>
      </w:r>
      <w:r>
        <w:t>.</w:t>
      </w:r>
    </w:p>
    <w:p w14:paraId="3A96D17E" w14:textId="77777777" w:rsidR="00233BC4" w:rsidRPr="00AE10BB" w:rsidRDefault="00233BC4" w:rsidP="00AE10BB">
      <w:pPr>
        <w:rPr>
          <w:b/>
          <w:bCs/>
        </w:rPr>
      </w:pPr>
    </w:p>
    <w:p w14:paraId="2BA00A4B" w14:textId="77777777" w:rsidR="00171058" w:rsidRDefault="00171058">
      <w:pPr>
        <w:rPr>
          <w:b/>
          <w:bCs/>
        </w:rPr>
      </w:pPr>
    </w:p>
    <w:p w14:paraId="2E613AD5" w14:textId="77777777" w:rsidR="00171058" w:rsidRDefault="00171058"/>
    <w:tbl>
      <w:tblPr>
        <w:tblStyle w:val="ab"/>
        <w:tblW w:w="89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08"/>
      </w:tblGrid>
      <w:tr w:rsidR="00171058" w14:paraId="12D169CB" w14:textId="77777777">
        <w:tc>
          <w:tcPr>
            <w:tcW w:w="8908" w:type="dxa"/>
            <w:shd w:val="clear" w:color="auto" w:fill="5B9BD5"/>
          </w:tcPr>
          <w:p w14:paraId="631AB653" w14:textId="77777777" w:rsidR="00171058" w:rsidRDefault="00000000">
            <w:pPr>
              <w:spacing w:before="120" w:after="120" w:line="360" w:lineRule="auto"/>
              <w:rPr>
                <w:rFonts w:ascii="Arial" w:eastAsia="Arial" w:hAnsi="Arial" w:cs="Arial"/>
                <w:b/>
                <w:bCs/>
                <w:color w:val="FFFFFF"/>
                <w:sz w:val="24"/>
                <w:szCs w:val="24"/>
              </w:rPr>
            </w:pPr>
            <w:r>
              <w:rPr>
                <w:rFonts w:ascii="Arial" w:eastAsia="Arial" w:hAnsi="Arial" w:cs="Arial"/>
                <w:b/>
                <w:bCs/>
                <w:color w:val="FFFFFF"/>
                <w:sz w:val="24"/>
                <w:szCs w:val="24"/>
              </w:rPr>
              <w:t>References</w:t>
            </w:r>
            <w:r>
              <w:rPr>
                <w:rFonts w:ascii="Arial" w:eastAsia="Arial" w:hAnsi="Arial" w:cs="Arial"/>
                <w:sz w:val="24"/>
                <w:szCs w:val="24"/>
              </w:rPr>
              <w:t xml:space="preserve"> </w:t>
            </w:r>
          </w:p>
        </w:tc>
      </w:tr>
      <w:tr w:rsidR="00171058" w14:paraId="53E22DBA" w14:textId="77777777">
        <w:tc>
          <w:tcPr>
            <w:tcW w:w="8908" w:type="dxa"/>
          </w:tcPr>
          <w:p w14:paraId="5380ED62" w14:textId="3279EC58" w:rsidR="00171058" w:rsidRDefault="00171058">
            <w:pPr>
              <w:spacing w:before="0" w:after="240" w:line="360" w:lineRule="auto"/>
              <w:rPr>
                <w:rFonts w:ascii="Arial" w:eastAsia="Arial" w:hAnsi="Arial" w:cs="Arial"/>
              </w:rPr>
            </w:pPr>
          </w:p>
          <w:p w14:paraId="2C13AAED" w14:textId="4679661B" w:rsidR="006804F7" w:rsidRPr="006804F7" w:rsidRDefault="006804F7" w:rsidP="00AE10BB">
            <w:pPr>
              <w:pStyle w:val="NormalWeb"/>
              <w:rPr>
                <w:rFonts w:ascii="Arial" w:hAnsi="Arial" w:cs="Arial"/>
                <w:sz w:val="22"/>
                <w:szCs w:val="22"/>
              </w:rPr>
            </w:pPr>
            <w:r w:rsidRPr="006804F7">
              <w:rPr>
                <w:rFonts w:ascii="Arial" w:hAnsi="Arial" w:cs="Arial"/>
                <w:color w:val="222222"/>
                <w:sz w:val="22"/>
                <w:szCs w:val="22"/>
                <w:shd w:val="clear" w:color="auto" w:fill="FFFFFF"/>
              </w:rPr>
              <w:t>Bowlby, J., 2008. </w:t>
            </w:r>
            <w:r w:rsidRPr="006804F7">
              <w:rPr>
                <w:rFonts w:ascii="Arial" w:hAnsi="Arial" w:cs="Arial"/>
                <w:i/>
                <w:iCs/>
                <w:color w:val="222222"/>
                <w:sz w:val="22"/>
                <w:szCs w:val="22"/>
                <w:shd w:val="clear" w:color="auto" w:fill="FFFFFF"/>
              </w:rPr>
              <w:t>A secure base: Parent-child attachment and healthy human development</w:t>
            </w:r>
            <w:r w:rsidRPr="006804F7">
              <w:rPr>
                <w:rFonts w:ascii="Arial" w:hAnsi="Arial" w:cs="Arial"/>
                <w:color w:val="222222"/>
                <w:sz w:val="22"/>
                <w:szCs w:val="22"/>
                <w:shd w:val="clear" w:color="auto" w:fill="FFFFFF"/>
              </w:rPr>
              <w:t>. Basic books.</w:t>
            </w:r>
          </w:p>
          <w:p w14:paraId="63FD389E" w14:textId="54A631A6" w:rsidR="006804F7" w:rsidRPr="006804F7" w:rsidRDefault="006804F7" w:rsidP="00AE10BB">
            <w:pPr>
              <w:pStyle w:val="NormalWeb"/>
              <w:rPr>
                <w:rFonts w:ascii="Arial" w:hAnsi="Arial" w:cs="Arial"/>
                <w:sz w:val="22"/>
                <w:szCs w:val="22"/>
              </w:rPr>
            </w:pPr>
            <w:r w:rsidRPr="006804F7">
              <w:rPr>
                <w:rFonts w:ascii="Arial" w:hAnsi="Arial" w:cs="Arial"/>
                <w:color w:val="222222"/>
                <w:sz w:val="22"/>
                <w:szCs w:val="22"/>
                <w:shd w:val="clear" w:color="auto" w:fill="FFFFFF"/>
              </w:rPr>
              <w:t>Bosnjak, M., Ajzen, I. and Schmidt, P., 2020. The theory of planned behavior: Selected recent advances and applications. </w:t>
            </w:r>
            <w:r w:rsidRPr="006804F7">
              <w:rPr>
                <w:rFonts w:ascii="Arial" w:hAnsi="Arial" w:cs="Arial"/>
                <w:i/>
                <w:iCs/>
                <w:color w:val="222222"/>
                <w:sz w:val="22"/>
                <w:szCs w:val="22"/>
                <w:shd w:val="clear" w:color="auto" w:fill="FFFFFF"/>
              </w:rPr>
              <w:t>Europe's journal of psychology</w:t>
            </w:r>
            <w:r w:rsidRPr="006804F7">
              <w:rPr>
                <w:rFonts w:ascii="Arial" w:hAnsi="Arial" w:cs="Arial"/>
                <w:color w:val="222222"/>
                <w:sz w:val="22"/>
                <w:szCs w:val="22"/>
                <w:shd w:val="clear" w:color="auto" w:fill="FFFFFF"/>
              </w:rPr>
              <w:t>, </w:t>
            </w:r>
            <w:r w:rsidRPr="006804F7">
              <w:rPr>
                <w:rFonts w:ascii="Arial" w:hAnsi="Arial" w:cs="Arial"/>
                <w:i/>
                <w:iCs/>
                <w:color w:val="222222"/>
                <w:sz w:val="22"/>
                <w:szCs w:val="22"/>
                <w:shd w:val="clear" w:color="auto" w:fill="FFFFFF"/>
              </w:rPr>
              <w:t>16</w:t>
            </w:r>
            <w:r w:rsidRPr="006804F7">
              <w:rPr>
                <w:rFonts w:ascii="Arial" w:hAnsi="Arial" w:cs="Arial"/>
                <w:color w:val="222222"/>
                <w:sz w:val="22"/>
                <w:szCs w:val="22"/>
                <w:shd w:val="clear" w:color="auto" w:fill="FFFFFF"/>
              </w:rPr>
              <w:t>(3), p.352.</w:t>
            </w:r>
          </w:p>
          <w:p w14:paraId="03264F96" w14:textId="2E4BAB04" w:rsidR="006804F7" w:rsidRPr="006804F7" w:rsidRDefault="006804F7" w:rsidP="00AE10BB">
            <w:pPr>
              <w:pStyle w:val="NormalWeb"/>
              <w:rPr>
                <w:rFonts w:ascii="Arial" w:hAnsi="Arial" w:cs="Arial"/>
                <w:sz w:val="22"/>
                <w:szCs w:val="22"/>
              </w:rPr>
            </w:pPr>
            <w:r w:rsidRPr="006804F7">
              <w:rPr>
                <w:rFonts w:ascii="Arial" w:hAnsi="Arial" w:cs="Arial"/>
                <w:color w:val="222222"/>
                <w:sz w:val="22"/>
                <w:szCs w:val="22"/>
                <w:shd w:val="clear" w:color="auto" w:fill="FFFFFF"/>
              </w:rPr>
              <w:t>Cassidy, J. and Shaver, P.R. eds., 1999. </w:t>
            </w:r>
            <w:r w:rsidRPr="006804F7">
              <w:rPr>
                <w:rFonts w:ascii="Arial" w:hAnsi="Arial" w:cs="Arial"/>
                <w:i/>
                <w:iCs/>
                <w:color w:val="222222"/>
                <w:sz w:val="22"/>
                <w:szCs w:val="22"/>
                <w:shd w:val="clear" w:color="auto" w:fill="FFFFFF"/>
              </w:rPr>
              <w:t>Handbook of attachment: Theory, research, and clinical applications</w:t>
            </w:r>
            <w:r w:rsidRPr="006804F7">
              <w:rPr>
                <w:rFonts w:ascii="Arial" w:hAnsi="Arial" w:cs="Arial"/>
                <w:color w:val="222222"/>
                <w:sz w:val="22"/>
                <w:szCs w:val="22"/>
                <w:shd w:val="clear" w:color="auto" w:fill="FFFFFF"/>
              </w:rPr>
              <w:t> (Vol. 236). Rough Guides.</w:t>
            </w:r>
          </w:p>
          <w:p w14:paraId="2A5AC3BC" w14:textId="5DDB2E36" w:rsidR="00AE10BB" w:rsidRPr="006804F7" w:rsidRDefault="006804F7" w:rsidP="00AE10BB">
            <w:pPr>
              <w:pStyle w:val="NormalWeb"/>
              <w:rPr>
                <w:rFonts w:ascii="Arial" w:hAnsi="Arial" w:cs="Arial"/>
                <w:sz w:val="22"/>
                <w:szCs w:val="22"/>
              </w:rPr>
            </w:pPr>
            <w:r w:rsidRPr="006804F7">
              <w:rPr>
                <w:rFonts w:ascii="Arial" w:hAnsi="Arial" w:cs="Arial"/>
                <w:color w:val="222222"/>
                <w:sz w:val="22"/>
                <w:szCs w:val="22"/>
                <w:shd w:val="clear" w:color="auto" w:fill="FFFFFF"/>
              </w:rPr>
              <w:t>Ein-</w:t>
            </w:r>
            <w:proofErr w:type="spellStart"/>
            <w:r w:rsidRPr="006804F7">
              <w:rPr>
                <w:rFonts w:ascii="Arial" w:hAnsi="Arial" w:cs="Arial"/>
                <w:color w:val="222222"/>
                <w:sz w:val="22"/>
                <w:szCs w:val="22"/>
                <w:shd w:val="clear" w:color="auto" w:fill="FFFFFF"/>
              </w:rPr>
              <w:t>Dor</w:t>
            </w:r>
            <w:proofErr w:type="spellEnd"/>
            <w:r w:rsidRPr="006804F7">
              <w:rPr>
                <w:rFonts w:ascii="Arial" w:hAnsi="Arial" w:cs="Arial"/>
                <w:color w:val="222222"/>
                <w:sz w:val="22"/>
                <w:szCs w:val="22"/>
                <w:shd w:val="clear" w:color="auto" w:fill="FFFFFF"/>
              </w:rPr>
              <w:t>, T. and Hirschberger, G., 2016. Rethinking attachment theory: From a theory of relationships to a theory of individual and group survival. </w:t>
            </w:r>
            <w:r w:rsidRPr="006804F7">
              <w:rPr>
                <w:rFonts w:ascii="Arial" w:hAnsi="Arial" w:cs="Arial"/>
                <w:i/>
                <w:iCs/>
                <w:color w:val="222222"/>
                <w:sz w:val="22"/>
                <w:szCs w:val="22"/>
                <w:shd w:val="clear" w:color="auto" w:fill="FFFFFF"/>
              </w:rPr>
              <w:t>Current Directions in Psychological Science</w:t>
            </w:r>
            <w:r w:rsidRPr="006804F7">
              <w:rPr>
                <w:rFonts w:ascii="Arial" w:hAnsi="Arial" w:cs="Arial"/>
                <w:color w:val="222222"/>
                <w:sz w:val="22"/>
                <w:szCs w:val="22"/>
                <w:shd w:val="clear" w:color="auto" w:fill="FFFFFF"/>
              </w:rPr>
              <w:t>, </w:t>
            </w:r>
            <w:r w:rsidRPr="006804F7">
              <w:rPr>
                <w:rFonts w:ascii="Arial" w:hAnsi="Arial" w:cs="Arial"/>
                <w:i/>
                <w:iCs/>
                <w:color w:val="222222"/>
                <w:sz w:val="22"/>
                <w:szCs w:val="22"/>
                <w:shd w:val="clear" w:color="auto" w:fill="FFFFFF"/>
              </w:rPr>
              <w:t>25</w:t>
            </w:r>
            <w:r w:rsidRPr="006804F7">
              <w:rPr>
                <w:rFonts w:ascii="Arial" w:hAnsi="Arial" w:cs="Arial"/>
                <w:color w:val="222222"/>
                <w:sz w:val="22"/>
                <w:szCs w:val="22"/>
                <w:shd w:val="clear" w:color="auto" w:fill="FFFFFF"/>
              </w:rPr>
              <w:t>(4), pp.223-227</w:t>
            </w:r>
            <w:r w:rsidR="00AE10BB" w:rsidRPr="006804F7">
              <w:rPr>
                <w:rFonts w:ascii="Arial" w:hAnsi="Arial" w:cs="Arial"/>
                <w:sz w:val="22"/>
                <w:szCs w:val="22"/>
              </w:rPr>
              <w:t>.</w:t>
            </w:r>
          </w:p>
          <w:p w14:paraId="12240F14" w14:textId="3DC0F214" w:rsidR="00171058" w:rsidRPr="006804F7" w:rsidRDefault="006804F7">
            <w:pPr>
              <w:spacing w:before="120" w:after="120" w:line="360" w:lineRule="auto"/>
              <w:rPr>
                <w:rFonts w:ascii="Arial" w:eastAsia="Arial" w:hAnsi="Arial" w:cs="Arial"/>
                <w:sz w:val="22"/>
                <w:szCs w:val="22"/>
              </w:rPr>
            </w:pPr>
            <w:r w:rsidRPr="006804F7">
              <w:rPr>
                <w:rFonts w:ascii="Arial" w:hAnsi="Arial" w:cs="Arial"/>
                <w:color w:val="222222"/>
                <w:sz w:val="22"/>
                <w:szCs w:val="22"/>
                <w:shd w:val="clear" w:color="auto" w:fill="FFFFFF"/>
              </w:rPr>
              <w:lastRenderedPageBreak/>
              <w:t xml:space="preserve">Hagger, M.S., Moyers, S., McAnally, K. and McKinley, L.E., 2020. Known knowns and known unknowns on </w:t>
            </w:r>
            <w:proofErr w:type="spellStart"/>
            <w:r w:rsidRPr="006804F7">
              <w:rPr>
                <w:rFonts w:ascii="Arial" w:hAnsi="Arial" w:cs="Arial"/>
                <w:color w:val="222222"/>
                <w:sz w:val="22"/>
                <w:szCs w:val="22"/>
                <w:shd w:val="clear" w:color="auto" w:fill="FFFFFF"/>
              </w:rPr>
              <w:t>behavior</w:t>
            </w:r>
            <w:proofErr w:type="spellEnd"/>
            <w:r w:rsidRPr="006804F7">
              <w:rPr>
                <w:rFonts w:ascii="Arial" w:hAnsi="Arial" w:cs="Arial"/>
                <w:color w:val="222222"/>
                <w:sz w:val="22"/>
                <w:szCs w:val="22"/>
                <w:shd w:val="clear" w:color="auto" w:fill="FFFFFF"/>
              </w:rPr>
              <w:t xml:space="preserve"> change interventions and mechanisms of action. </w:t>
            </w:r>
            <w:r w:rsidRPr="006804F7">
              <w:rPr>
                <w:rFonts w:ascii="Arial" w:hAnsi="Arial" w:cs="Arial"/>
                <w:i/>
                <w:iCs/>
                <w:color w:val="222222"/>
                <w:sz w:val="22"/>
                <w:szCs w:val="22"/>
                <w:shd w:val="clear" w:color="auto" w:fill="FFFFFF"/>
              </w:rPr>
              <w:t>Health Psychology Review</w:t>
            </w:r>
            <w:r w:rsidRPr="006804F7">
              <w:rPr>
                <w:rFonts w:ascii="Arial" w:hAnsi="Arial" w:cs="Arial"/>
                <w:color w:val="222222"/>
                <w:sz w:val="22"/>
                <w:szCs w:val="22"/>
                <w:shd w:val="clear" w:color="auto" w:fill="FFFFFF"/>
              </w:rPr>
              <w:t>, </w:t>
            </w:r>
            <w:r w:rsidRPr="006804F7">
              <w:rPr>
                <w:rFonts w:ascii="Arial" w:hAnsi="Arial" w:cs="Arial"/>
                <w:i/>
                <w:iCs/>
                <w:color w:val="222222"/>
                <w:sz w:val="22"/>
                <w:szCs w:val="22"/>
                <w:shd w:val="clear" w:color="auto" w:fill="FFFFFF"/>
              </w:rPr>
              <w:t>14</w:t>
            </w:r>
            <w:r w:rsidRPr="006804F7">
              <w:rPr>
                <w:rFonts w:ascii="Arial" w:hAnsi="Arial" w:cs="Arial"/>
                <w:color w:val="222222"/>
                <w:sz w:val="22"/>
                <w:szCs w:val="22"/>
                <w:shd w:val="clear" w:color="auto" w:fill="FFFFFF"/>
              </w:rPr>
              <w:t>(1), pp.199-212.</w:t>
            </w:r>
          </w:p>
          <w:p w14:paraId="0C632DD6" w14:textId="77777777" w:rsidR="00171058" w:rsidRDefault="00171058">
            <w:pPr>
              <w:spacing w:before="120" w:after="120" w:line="360" w:lineRule="auto"/>
              <w:rPr>
                <w:rFonts w:ascii="Arial" w:eastAsia="Arial" w:hAnsi="Arial" w:cs="Arial"/>
                <w:sz w:val="22"/>
                <w:szCs w:val="22"/>
              </w:rPr>
            </w:pPr>
          </w:p>
        </w:tc>
      </w:tr>
    </w:tbl>
    <w:p w14:paraId="2701213F" w14:textId="77777777" w:rsidR="00171058" w:rsidRDefault="00171058"/>
    <w:p w14:paraId="71653E35" w14:textId="77777777" w:rsidR="00171058" w:rsidRDefault="00171058"/>
    <w:p w14:paraId="54106CAA" w14:textId="77777777" w:rsidR="00171058" w:rsidRDefault="00171058"/>
    <w:sectPr w:rsidR="0017105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B41F9" w14:textId="77777777" w:rsidR="00904ACE" w:rsidRDefault="00904ACE">
      <w:pPr>
        <w:spacing w:before="0" w:line="240" w:lineRule="auto"/>
      </w:pPr>
    </w:p>
  </w:endnote>
  <w:endnote w:type="continuationSeparator" w:id="0">
    <w:p w14:paraId="576759E3" w14:textId="77777777" w:rsidR="00904ACE" w:rsidRDefault="00904AC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2E74C30-7D5A-431B-B175-A9E5018BE2A1}"/>
  </w:font>
  <w:font w:name="Calibri">
    <w:panose1 w:val="020F0502020204030204"/>
    <w:charset w:val="00"/>
    <w:family w:val="swiss"/>
    <w:pitch w:val="variable"/>
    <w:sig w:usb0="E4002EFF" w:usb1="C000247B" w:usb2="00000009" w:usb3="00000000" w:csb0="000001FF" w:csb1="00000000"/>
    <w:embedRegular r:id="rId2" w:fontKey="{166BB5A5-DF35-463F-BA55-3A1A3E6E3E45}"/>
    <w:embedItalic r:id="rId3" w:fontKey="{900B1FA9-517B-4CFE-8D7F-FE5737772A3C}"/>
  </w:font>
  <w:font w:name="Cambria">
    <w:panose1 w:val="02040503050406030204"/>
    <w:charset w:val="00"/>
    <w:family w:val="roman"/>
    <w:pitch w:val="variable"/>
    <w:sig w:usb0="E00006FF" w:usb1="420024FF" w:usb2="02000000" w:usb3="00000000" w:csb0="0000019F" w:csb1="00000000"/>
    <w:embedRegular r:id="rId4" w:fontKey="{5A5D013A-7157-4978-8187-7063BA23F83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920D7" w14:textId="77777777" w:rsidR="00904ACE" w:rsidRDefault="00904ACE">
      <w:pPr>
        <w:spacing w:before="0" w:line="240" w:lineRule="auto"/>
      </w:pPr>
    </w:p>
  </w:footnote>
  <w:footnote w:type="continuationSeparator" w:id="0">
    <w:p w14:paraId="3DDFE1F5" w14:textId="77777777" w:rsidR="00904ACE" w:rsidRDefault="00904ACE">
      <w:pPr>
        <w:spacing w:before="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058"/>
    <w:rsid w:val="00144F6C"/>
    <w:rsid w:val="00171058"/>
    <w:rsid w:val="00202C99"/>
    <w:rsid w:val="00233BC4"/>
    <w:rsid w:val="005E2BCB"/>
    <w:rsid w:val="00605300"/>
    <w:rsid w:val="00634EC8"/>
    <w:rsid w:val="006804F7"/>
    <w:rsid w:val="007C4820"/>
    <w:rsid w:val="008F7A12"/>
    <w:rsid w:val="00904ACE"/>
    <w:rsid w:val="00970DD0"/>
    <w:rsid w:val="00972089"/>
    <w:rsid w:val="009A713F"/>
    <w:rsid w:val="00A93BE4"/>
    <w:rsid w:val="00AA0235"/>
    <w:rsid w:val="00AE10BB"/>
    <w:rsid w:val="00B91C14"/>
    <w:rsid w:val="00BE0D4E"/>
    <w:rsid w:val="00CD4F7D"/>
    <w:rsid w:val="00D90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6944"/>
  <w15:docId w15:val="{14E51F70-B7A7-4B04-8423-B2566ED4F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link w:val="Heading3Char"/>
    <w:uiPriority w:val="9"/>
    <w:unhideWhenUsed/>
    <w:qFormat/>
    <w:pPr>
      <w:keepNext/>
      <w:keepLines/>
      <w:spacing w:before="280" w:after="80" w:line="276" w:lineRule="auto"/>
      <w:outlineLvl w:val="2"/>
    </w:pPr>
    <w:rPr>
      <w:rFonts w:ascii="Times New Roman" w:eastAsia="Times New Roman" w:hAnsi="Times New Roman" w:cs="Times New Roman"/>
      <w:b/>
      <w:bCs/>
      <w:color w:val="FFFFFF"/>
      <w:sz w:val="24"/>
      <w:szCs w:val="24"/>
    </w:rPr>
  </w:style>
  <w:style w:type="paragraph" w:styleId="Heading4">
    <w:name w:val="heading 4"/>
    <w:basedOn w:val="Normal"/>
    <w:next w:val="Normal"/>
    <w:uiPriority w:val="9"/>
    <w:semiHidden/>
    <w:unhideWhenUsed/>
    <w:qFormat/>
    <w:pPr>
      <w:keepNext/>
      <w:keepLines/>
      <w:spacing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0">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1">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2">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3">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4">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5">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6">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7">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8">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9">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a">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b">
    <w:basedOn w:val="TableNormal0"/>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unhideWhenUsed/>
    <w:rsid w:val="00B91C14"/>
    <w:pPr>
      <w:tabs>
        <w:tab w:val="center" w:pos="4680"/>
        <w:tab w:val="right" w:pos="9360"/>
      </w:tabs>
      <w:spacing w:before="0" w:line="240" w:lineRule="auto"/>
    </w:pPr>
  </w:style>
  <w:style w:type="character" w:customStyle="1" w:styleId="HeaderChar">
    <w:name w:val="Header Char"/>
    <w:basedOn w:val="DefaultParagraphFont"/>
    <w:link w:val="Header"/>
    <w:uiPriority w:val="99"/>
    <w:rsid w:val="00B91C14"/>
  </w:style>
  <w:style w:type="paragraph" w:styleId="Footer">
    <w:name w:val="footer"/>
    <w:basedOn w:val="Normal"/>
    <w:link w:val="FooterChar"/>
    <w:uiPriority w:val="99"/>
    <w:unhideWhenUsed/>
    <w:rsid w:val="00B91C14"/>
    <w:pPr>
      <w:tabs>
        <w:tab w:val="center" w:pos="4680"/>
        <w:tab w:val="right" w:pos="9360"/>
      </w:tabs>
      <w:spacing w:before="0" w:line="240" w:lineRule="auto"/>
    </w:pPr>
  </w:style>
  <w:style w:type="character" w:customStyle="1" w:styleId="FooterChar">
    <w:name w:val="Footer Char"/>
    <w:basedOn w:val="DefaultParagraphFont"/>
    <w:link w:val="Footer"/>
    <w:uiPriority w:val="99"/>
    <w:rsid w:val="00B91C14"/>
  </w:style>
  <w:style w:type="paragraph" w:styleId="NormalWeb">
    <w:name w:val="Normal (Web)"/>
    <w:basedOn w:val="Normal"/>
    <w:uiPriority w:val="99"/>
    <w:unhideWhenUsed/>
    <w:rsid w:val="00B91C14"/>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D90BA4"/>
    <w:rPr>
      <w:i/>
      <w:iCs/>
    </w:rPr>
  </w:style>
  <w:style w:type="character" w:styleId="Strong">
    <w:name w:val="Strong"/>
    <w:basedOn w:val="DefaultParagraphFont"/>
    <w:uiPriority w:val="22"/>
    <w:qFormat/>
    <w:rsid w:val="00CD4F7D"/>
    <w:rPr>
      <w:b/>
      <w:bCs/>
    </w:rPr>
  </w:style>
  <w:style w:type="character" w:customStyle="1" w:styleId="Heading3Char">
    <w:name w:val="Heading 3 Char"/>
    <w:basedOn w:val="DefaultParagraphFont"/>
    <w:link w:val="Heading3"/>
    <w:uiPriority w:val="9"/>
    <w:rsid w:val="009A713F"/>
    <w:rPr>
      <w:rFonts w:ascii="Times New Roman" w:eastAsia="Times New Roman" w:hAnsi="Times New Roman" w:cs="Times New Roman"/>
      <w:b/>
      <w:bCs/>
      <w:color w:val="FFFFF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819196">
      <w:bodyDiv w:val="1"/>
      <w:marLeft w:val="0"/>
      <w:marRight w:val="0"/>
      <w:marTop w:val="0"/>
      <w:marBottom w:val="0"/>
      <w:divBdr>
        <w:top w:val="none" w:sz="0" w:space="0" w:color="auto"/>
        <w:left w:val="none" w:sz="0" w:space="0" w:color="auto"/>
        <w:bottom w:val="none" w:sz="0" w:space="0" w:color="auto"/>
        <w:right w:val="none" w:sz="0" w:space="0" w:color="auto"/>
      </w:divBdr>
    </w:div>
    <w:div w:id="727194674">
      <w:bodyDiv w:val="1"/>
      <w:marLeft w:val="0"/>
      <w:marRight w:val="0"/>
      <w:marTop w:val="0"/>
      <w:marBottom w:val="0"/>
      <w:divBdr>
        <w:top w:val="none" w:sz="0" w:space="0" w:color="auto"/>
        <w:left w:val="none" w:sz="0" w:space="0" w:color="auto"/>
        <w:bottom w:val="none" w:sz="0" w:space="0" w:color="auto"/>
        <w:right w:val="none" w:sz="0" w:space="0" w:color="auto"/>
      </w:divBdr>
    </w:div>
    <w:div w:id="1392119831">
      <w:bodyDiv w:val="1"/>
      <w:marLeft w:val="0"/>
      <w:marRight w:val="0"/>
      <w:marTop w:val="0"/>
      <w:marBottom w:val="0"/>
      <w:divBdr>
        <w:top w:val="none" w:sz="0" w:space="0" w:color="auto"/>
        <w:left w:val="none" w:sz="0" w:space="0" w:color="auto"/>
        <w:bottom w:val="none" w:sz="0" w:space="0" w:color="auto"/>
        <w:right w:val="none" w:sz="0" w:space="0" w:color="auto"/>
      </w:divBdr>
    </w:div>
    <w:div w:id="1933391251">
      <w:bodyDiv w:val="1"/>
      <w:marLeft w:val="0"/>
      <w:marRight w:val="0"/>
      <w:marTop w:val="0"/>
      <w:marBottom w:val="0"/>
      <w:divBdr>
        <w:top w:val="none" w:sz="0" w:space="0" w:color="auto"/>
        <w:left w:val="none" w:sz="0" w:space="0" w:color="auto"/>
        <w:bottom w:val="none" w:sz="0" w:space="0" w:color="auto"/>
        <w:right w:val="none" w:sz="0" w:space="0" w:color="auto"/>
      </w:divBdr>
    </w:div>
    <w:div w:id="2113161491">
      <w:bodyDiv w:val="1"/>
      <w:marLeft w:val="0"/>
      <w:marRight w:val="0"/>
      <w:marTop w:val="0"/>
      <w:marBottom w:val="0"/>
      <w:divBdr>
        <w:top w:val="none" w:sz="0" w:space="0" w:color="auto"/>
        <w:left w:val="none" w:sz="0" w:space="0" w:color="auto"/>
        <w:bottom w:val="none" w:sz="0" w:space="0" w:color="auto"/>
        <w:right w:val="none" w:sz="0" w:space="0" w:color="auto"/>
      </w:divBdr>
    </w:div>
    <w:div w:id="21161721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1717</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FOLIO</dc:creator>
  <cp:lastModifiedBy>Omoregie Famous</cp:lastModifiedBy>
  <cp:revision>3</cp:revision>
  <dcterms:created xsi:type="dcterms:W3CDTF">2026-03-20T18:04:00Z</dcterms:created>
  <dcterms:modified xsi:type="dcterms:W3CDTF">2026-03-20T18:21:00Z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0x010100D3CEBB36769C794DA96F2ED885A4AD93</vt:lpwstr>
  </property>
  <property fmtid="{D5CDD505-2E9C-101B-9397-08002B2CF9AE}" pid="3" name="Order">
    <vt:lpwstr>26341000</vt:lpwstr>
  </property>
  <property fmtid="{D5CDD505-2E9C-101B-9397-08002B2CF9AE}" pid="4" name="Senttotrust0">
    <vt:lpwstr>true</vt:lpwstr>
  </property>
  <property fmtid="{D5CDD505-2E9C-101B-9397-08002B2CF9AE}" pid="5" name="xd_Signature">
    <vt:lpwstr>false</vt:lpwstr>
  </property>
  <property fmtid="{D5CDD505-2E9C-101B-9397-08002B2CF9AE}" pid="6" name="xd_ProgID">
    <vt:lpwstr>xd_ProgID</vt:lpwstr>
  </property>
  <property fmtid="{D5CDD505-2E9C-101B-9397-08002B2CF9AE}" pid="7" name="TriggerFlowInfo">
    <vt:lpwstr>TriggerFlowInfo</vt:lpwstr>
  </property>
  <property fmtid="{D5CDD505-2E9C-101B-9397-08002B2CF9AE}" pid="8" name="_SourceUrl">
    <vt:lpwstr>_SourceUrl</vt:lpwstr>
  </property>
  <property fmtid="{D5CDD505-2E9C-101B-9397-08002B2CF9AE}" pid="9" name="_SharedFileIndex">
    <vt:lpwstr>_SharedFileIndex</vt:lpwstr>
  </property>
  <property fmtid="{D5CDD505-2E9C-101B-9397-08002B2CF9AE}" pid="10" name="ComplianceAssetId">
    <vt:lpwstr>ComplianceAssetId</vt:lpwstr>
  </property>
  <property fmtid="{D5CDD505-2E9C-101B-9397-08002B2CF9AE}" pid="11" name="TemplateUrl">
    <vt:lpwstr>TemplateUrl</vt:lpwstr>
  </property>
  <property fmtid="{D5CDD505-2E9C-101B-9397-08002B2CF9AE}" pid="12" name="_ExtendedDescription">
    <vt:lpwstr>_ExtendedDescription</vt:lpwstr>
  </property>
</Properties>
</file>