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6D0" w:rsidRPr="00847CEA" w:rsidRDefault="00C85314" w:rsidP="00E368F5">
      <w:pPr>
        <w:spacing w:line="360" w:lineRule="auto"/>
        <w:jc w:val="center"/>
        <w:rPr>
          <w:rFonts w:ascii="Times New Roman" w:hAnsi="Times New Roman" w:cs="Times New Roman"/>
        </w:rPr>
      </w:pPr>
      <w:r w:rsidRPr="00847CEA">
        <w:rPr>
          <w:rFonts w:ascii="Times New Roman" w:hAnsi="Times New Roman" w:cs="Times New Roman"/>
          <w:b/>
          <w:sz w:val="32"/>
        </w:rPr>
        <w:t>UNIVERSITY OF WALES TRINITY SAINT DAVID</w:t>
      </w:r>
      <w:r w:rsidRPr="00847CEA">
        <w:rPr>
          <w:rFonts w:ascii="Times New Roman" w:hAnsi="Times New Roman" w:cs="Times New Roman"/>
          <w:b/>
          <w:sz w:val="32"/>
        </w:rPr>
        <w:br/>
        <w:t>School of Business</w:t>
      </w:r>
    </w:p>
    <w:p w:rsidR="008336D0" w:rsidRPr="00847CEA" w:rsidRDefault="00C85314" w:rsidP="00E368F5">
      <w:pPr>
        <w:spacing w:line="360" w:lineRule="auto"/>
        <w:jc w:val="center"/>
        <w:rPr>
          <w:rFonts w:ascii="Times New Roman" w:hAnsi="Times New Roman" w:cs="Times New Roman"/>
        </w:rPr>
      </w:pPr>
      <w:r w:rsidRPr="00847CEA">
        <w:rPr>
          <w:rFonts w:ascii="Times New Roman" w:hAnsi="Times New Roman" w:cs="Times New Roman"/>
          <w:b/>
          <w:sz w:val="36"/>
        </w:rPr>
        <w:br/>
        <w:t>Systemic Risk and Artificial Intelligence:</w:t>
      </w:r>
      <w:r w:rsidRPr="00847CEA">
        <w:rPr>
          <w:rFonts w:ascii="Times New Roman" w:hAnsi="Times New Roman" w:cs="Times New Roman"/>
          <w:b/>
          <w:sz w:val="36"/>
        </w:rPr>
        <w:br/>
        <w:t>A Future-Proof Global AI Risk Management Strategy for HSBC Holdings plc</w:t>
      </w:r>
    </w:p>
    <w:p w:rsidR="00316E2C" w:rsidRDefault="00316E2C" w:rsidP="00973215">
      <w:pPr>
        <w:spacing w:line="360" w:lineRule="auto"/>
        <w:rPr>
          <w:rFonts w:ascii="Times New Roman" w:hAnsi="Times New Roman" w:cs="Times New Roman"/>
          <w:sz w:val="24"/>
        </w:rPr>
      </w:pPr>
    </w:p>
    <w:p w:rsidR="00316E2C" w:rsidRDefault="00316E2C" w:rsidP="00973215">
      <w:pPr>
        <w:spacing w:line="360" w:lineRule="auto"/>
        <w:rPr>
          <w:rFonts w:ascii="Times New Roman" w:hAnsi="Times New Roman" w:cs="Times New Roman"/>
          <w:sz w:val="24"/>
        </w:rPr>
      </w:pPr>
    </w:p>
    <w:p w:rsidR="00316E2C" w:rsidRDefault="00316E2C" w:rsidP="00973215">
      <w:pPr>
        <w:spacing w:line="360" w:lineRule="auto"/>
        <w:rPr>
          <w:rFonts w:ascii="Times New Roman" w:hAnsi="Times New Roman" w:cs="Times New Roman"/>
          <w:sz w:val="24"/>
        </w:rPr>
      </w:pPr>
    </w:p>
    <w:p w:rsidR="00316E2C" w:rsidRDefault="00316E2C" w:rsidP="00973215">
      <w:pPr>
        <w:spacing w:line="360" w:lineRule="auto"/>
        <w:rPr>
          <w:rFonts w:ascii="Times New Roman" w:hAnsi="Times New Roman" w:cs="Times New Roman"/>
          <w:sz w:val="24"/>
        </w:rPr>
      </w:pPr>
    </w:p>
    <w:p w:rsidR="00316E2C" w:rsidRDefault="00316E2C" w:rsidP="00973215">
      <w:pPr>
        <w:spacing w:line="360" w:lineRule="auto"/>
        <w:rPr>
          <w:rFonts w:ascii="Times New Roman" w:hAnsi="Times New Roman" w:cs="Times New Roman"/>
          <w:sz w:val="24"/>
        </w:rPr>
      </w:pPr>
    </w:p>
    <w:p w:rsidR="00316E2C" w:rsidRDefault="00316E2C" w:rsidP="00973215">
      <w:pPr>
        <w:spacing w:line="360" w:lineRule="auto"/>
        <w:rPr>
          <w:rFonts w:ascii="Times New Roman" w:hAnsi="Times New Roman" w:cs="Times New Roman"/>
          <w:sz w:val="24"/>
        </w:rPr>
      </w:pPr>
    </w:p>
    <w:p w:rsidR="00316E2C" w:rsidRDefault="00316E2C" w:rsidP="00973215">
      <w:pPr>
        <w:spacing w:line="360" w:lineRule="auto"/>
        <w:rPr>
          <w:rFonts w:ascii="Times New Roman" w:hAnsi="Times New Roman" w:cs="Times New Roman"/>
          <w:sz w:val="24"/>
        </w:rPr>
      </w:pPr>
    </w:p>
    <w:p w:rsidR="00316E2C" w:rsidRDefault="00316E2C" w:rsidP="00973215">
      <w:pPr>
        <w:spacing w:line="360" w:lineRule="auto"/>
        <w:rPr>
          <w:rFonts w:ascii="Times New Roman" w:hAnsi="Times New Roman" w:cs="Times New Roman"/>
          <w:sz w:val="24"/>
        </w:rPr>
      </w:pPr>
    </w:p>
    <w:p w:rsidR="00316E2C" w:rsidRDefault="00316E2C" w:rsidP="00973215">
      <w:pPr>
        <w:spacing w:line="360" w:lineRule="auto"/>
        <w:rPr>
          <w:rFonts w:ascii="Times New Roman" w:hAnsi="Times New Roman" w:cs="Times New Roman"/>
          <w:sz w:val="24"/>
        </w:rPr>
      </w:pPr>
    </w:p>
    <w:p w:rsidR="00316E2C" w:rsidRDefault="00316E2C" w:rsidP="00973215">
      <w:pPr>
        <w:spacing w:line="360" w:lineRule="auto"/>
        <w:rPr>
          <w:rFonts w:ascii="Times New Roman" w:hAnsi="Times New Roman" w:cs="Times New Roman"/>
          <w:sz w:val="24"/>
        </w:rPr>
      </w:pPr>
    </w:p>
    <w:p w:rsidR="00316E2C" w:rsidRDefault="00316E2C" w:rsidP="00973215">
      <w:pPr>
        <w:spacing w:line="360" w:lineRule="auto"/>
        <w:rPr>
          <w:rFonts w:ascii="Times New Roman" w:hAnsi="Times New Roman" w:cs="Times New Roman"/>
          <w:sz w:val="24"/>
        </w:rPr>
      </w:pPr>
    </w:p>
    <w:p w:rsidR="0032071A" w:rsidRDefault="00C85314" w:rsidP="00973215">
      <w:pPr>
        <w:spacing w:line="360" w:lineRule="auto"/>
        <w:rPr>
          <w:rFonts w:ascii="Times New Roman" w:hAnsi="Times New Roman" w:cs="Times New Roman"/>
          <w:sz w:val="24"/>
        </w:rPr>
      </w:pPr>
      <w:r w:rsidRPr="00847CEA">
        <w:rPr>
          <w:rFonts w:ascii="Times New Roman" w:hAnsi="Times New Roman" w:cs="Times New Roman"/>
          <w:sz w:val="24"/>
        </w:rPr>
        <w:br/>
        <w:t>Prepared by: Md Hasibul Islam</w:t>
      </w:r>
      <w:r w:rsidRPr="00847CEA">
        <w:rPr>
          <w:rFonts w:ascii="Times New Roman" w:hAnsi="Times New Roman" w:cs="Times New Roman"/>
          <w:sz w:val="24"/>
        </w:rPr>
        <w:br/>
        <w:t>Student ID: 2516351</w:t>
      </w:r>
      <w:r w:rsidRPr="00847CEA">
        <w:rPr>
          <w:rFonts w:ascii="Times New Roman" w:hAnsi="Times New Roman" w:cs="Times New Roman"/>
          <w:sz w:val="24"/>
        </w:rPr>
        <w:br/>
        <w:t>Programme: Master of Business Administration (MBA)</w:t>
      </w:r>
      <w:r w:rsidRPr="00847CEA">
        <w:rPr>
          <w:rFonts w:ascii="Times New Roman" w:hAnsi="Times New Roman" w:cs="Times New Roman"/>
          <w:sz w:val="24"/>
        </w:rPr>
        <w:br/>
        <w:t>Module: Global Business Challenges (BMMB7006)</w:t>
      </w:r>
      <w:r w:rsidRPr="00847CEA">
        <w:rPr>
          <w:rFonts w:ascii="Times New Roman" w:hAnsi="Times New Roman" w:cs="Times New Roman"/>
          <w:sz w:val="24"/>
        </w:rPr>
        <w:br/>
        <w:t>Lecturer: Rebecca Francis-Davies</w:t>
      </w:r>
    </w:p>
    <w:p w:rsidR="008336D0" w:rsidRPr="00847CEA" w:rsidRDefault="0032071A" w:rsidP="00973215">
      <w:pPr>
        <w:spacing w:line="360" w:lineRule="auto"/>
        <w:rPr>
          <w:rFonts w:ascii="Times New Roman" w:hAnsi="Times New Roman" w:cs="Times New Roman"/>
        </w:rPr>
      </w:pPr>
      <w:r>
        <w:rPr>
          <w:rFonts w:ascii="Times New Roman" w:hAnsi="Times New Roman" w:cs="Times New Roman"/>
          <w:sz w:val="24"/>
        </w:rPr>
        <w:t>Submission Date: 24 July 2026</w:t>
      </w:r>
      <w:r w:rsidR="00C85314" w:rsidRPr="00847CEA">
        <w:rPr>
          <w:rFonts w:ascii="Times New Roman" w:hAnsi="Times New Roman" w:cs="Times New Roman"/>
          <w:sz w:val="24"/>
        </w:rPr>
        <w:br/>
        <w:t xml:space="preserve">Estimated word count: approximately </w:t>
      </w:r>
      <w:r w:rsidR="00BD7EF4">
        <w:rPr>
          <w:rFonts w:ascii="Times New Roman" w:hAnsi="Times New Roman" w:cs="Times New Roman"/>
          <w:sz w:val="24"/>
        </w:rPr>
        <w:t xml:space="preserve">4831 </w:t>
      </w:r>
      <w:r w:rsidR="00C85314" w:rsidRPr="00847CEA">
        <w:rPr>
          <w:rFonts w:ascii="Times New Roman" w:hAnsi="Times New Roman" w:cs="Times New Roman"/>
          <w:sz w:val="24"/>
        </w:rPr>
        <w:t xml:space="preserve">words </w:t>
      </w:r>
    </w:p>
    <w:p w:rsidR="008336D0" w:rsidRPr="00847CEA" w:rsidRDefault="00C85314" w:rsidP="00E368F5">
      <w:pPr>
        <w:spacing w:line="360" w:lineRule="auto"/>
        <w:jc w:val="center"/>
        <w:rPr>
          <w:rFonts w:ascii="Times New Roman" w:hAnsi="Times New Roman" w:cs="Times New Roman"/>
        </w:rPr>
      </w:pPr>
      <w:r w:rsidRPr="00847CEA">
        <w:rPr>
          <w:rFonts w:ascii="Times New Roman" w:hAnsi="Times New Roman" w:cs="Times New Roman"/>
        </w:rPr>
        <w:br w:type="page"/>
      </w:r>
    </w:p>
    <w:p w:rsidR="008336D0" w:rsidRPr="00847CEA" w:rsidRDefault="00C85314" w:rsidP="00E368F5">
      <w:pPr>
        <w:pStyle w:val="Heading1"/>
        <w:spacing w:line="360" w:lineRule="auto"/>
        <w:jc w:val="both"/>
        <w:rPr>
          <w:rFonts w:ascii="Times New Roman" w:hAnsi="Times New Roman" w:cs="Times New Roman"/>
          <w:color w:val="auto"/>
        </w:rPr>
      </w:pPr>
      <w:bookmarkStart w:id="0" w:name="_Toc234453417"/>
      <w:r w:rsidRPr="00847CEA">
        <w:rPr>
          <w:rFonts w:ascii="Times New Roman" w:hAnsi="Times New Roman" w:cs="Times New Roman"/>
          <w:color w:val="auto"/>
        </w:rPr>
        <w:lastRenderedPageBreak/>
        <w:t>Executive Summary</w:t>
      </w:r>
      <w:bookmarkEnd w:id="0"/>
    </w:p>
    <w:p w:rsidR="000C3C40" w:rsidRDefault="000C3C40" w:rsidP="00E368F5">
      <w:pPr>
        <w:spacing w:line="360" w:lineRule="auto"/>
        <w:jc w:val="both"/>
        <w:rPr>
          <w:rFonts w:ascii="Times New Roman" w:hAnsi="Times New Roman" w:cs="Times New Roman"/>
          <w:sz w:val="24"/>
          <w:szCs w:val="24"/>
        </w:rPr>
      </w:pPr>
      <w:r w:rsidRPr="000C3C40">
        <w:rPr>
          <w:rFonts w:ascii="Times New Roman" w:hAnsi="Times New Roman" w:cs="Times New Roman"/>
          <w:sz w:val="24"/>
          <w:szCs w:val="24"/>
        </w:rPr>
        <w:t>This report suggests that the company HSBC Holdings plc should consider quick adoption of artificial intelligence not only as an issue of concern at the board level but also as competitive advantage. The company fits well because it operates under UK governance framework and possesses significant Asian presence, has a high amount of exposure, and cross-border data flows. Artificial Intelligence can help in improving fraud detection, financial crimes surveillance, credit decision-making, prediction of liquidity levels, and customer services. At the same time, this technology can result in higher opaqueness of the models (Bank of England and FCA, 2024; FSB, 2024; HSBC Holdings plc, 2026), higher level of third party concentration, higher level of cyber risks, and customer discrimination.</w:t>
      </w:r>
    </w:p>
    <w:p w:rsidR="000C3C40" w:rsidRDefault="000C3C40" w:rsidP="00E368F5">
      <w:pPr>
        <w:spacing w:line="360" w:lineRule="auto"/>
        <w:jc w:val="both"/>
        <w:rPr>
          <w:rFonts w:ascii="Times New Roman" w:hAnsi="Times New Roman" w:cs="Times New Roman"/>
          <w:sz w:val="24"/>
          <w:szCs w:val="24"/>
        </w:rPr>
      </w:pPr>
      <w:r w:rsidRPr="000C3C40">
        <w:rPr>
          <w:rFonts w:ascii="Times New Roman" w:hAnsi="Times New Roman" w:cs="Times New Roman"/>
          <w:sz w:val="24"/>
          <w:szCs w:val="24"/>
        </w:rPr>
        <w:t>The key point here is not to perceive AI governance either as technology policies or as a mere compliance regime but as a layered operating model that needs to be developed. AI inventory, AI model classification, AI model validation, AI model audit, human responsibility, vendor assurance, board reporting, all of which should be guided by Global Standards, need to be aligned with expectations of the FCA regarding security, data sovereignty, and content governance, along with expectations of the HKMA and the State Council of the PRC in regards to security, data sovereignty, and content governance (FCA, 2022a; HKMA, 2024a; State Council of the PRC, 2023).</w:t>
      </w:r>
    </w:p>
    <w:p w:rsidR="008336D0" w:rsidRPr="00847CEA" w:rsidRDefault="000C3C40" w:rsidP="00E368F5">
      <w:pPr>
        <w:spacing w:line="360" w:lineRule="auto"/>
        <w:jc w:val="both"/>
        <w:rPr>
          <w:rFonts w:ascii="Times New Roman" w:hAnsi="Times New Roman" w:cs="Times New Roman"/>
        </w:rPr>
      </w:pPr>
      <w:r w:rsidRPr="000C3C40">
        <w:rPr>
          <w:rFonts w:ascii="Times New Roman" w:hAnsi="Times New Roman" w:cs="Times New Roman"/>
          <w:sz w:val="24"/>
          <w:szCs w:val="24"/>
        </w:rPr>
        <w:t>This proposed strategy will depend on the utilization of PESTLE analysis, institutional theory, resource based view, and stakeholder theory and trade theory. This is evident in the fact that the competitive advantage enjoyed by HSBC will not depend on the acquisition of superior models. Instead, it will depend on the development of limited organizational capability, explainable, compliant, and trusted AI on an international scale (Barney, 1991; Teece, Pisano and Shuen, 1997). The implementation plan, therefore, involves developing a program of 24 months where there will be joint program management involving the Chief Risk Officer, the Chief Data and Analytics Officer and the Chief Information Officer. The implementation plan has a cost budget, key performance indicators, and staging. The implementation plan is prioritized on high-risk use cases such as credit, fraud, sanctions, customer communications, automated complaint handling, and market facing analytics. This way, the organization becomes future-proof and able to innovate while remaining disciplined in controlling model risk, conduct risk, operational resilience, and trust.</w:t>
      </w:r>
      <w:r w:rsidR="00C85314" w:rsidRPr="00847CEA">
        <w:rPr>
          <w:rFonts w:ascii="Times New Roman" w:hAnsi="Times New Roman" w:cs="Times New Roman"/>
        </w:rPr>
        <w:br w:type="page"/>
      </w:r>
    </w:p>
    <w:sdt>
      <w:sdtPr>
        <w:rPr>
          <w:rFonts w:ascii="Arial" w:eastAsia="Arial" w:hAnsi="Arial" w:cstheme="minorBidi"/>
          <w:b w:val="0"/>
          <w:bCs w:val="0"/>
          <w:color w:val="auto"/>
          <w:sz w:val="21"/>
          <w:szCs w:val="22"/>
        </w:rPr>
        <w:id w:val="1287619571"/>
        <w:docPartObj>
          <w:docPartGallery w:val="Table of Contents"/>
          <w:docPartUnique/>
        </w:docPartObj>
      </w:sdtPr>
      <w:sdtEndPr>
        <w:rPr>
          <w:noProof/>
          <w:sz w:val="24"/>
          <w:szCs w:val="24"/>
        </w:rPr>
      </w:sdtEndPr>
      <w:sdtContent>
        <w:p w:rsidR="00A133AF" w:rsidRPr="00847CEA" w:rsidRDefault="00A133AF">
          <w:pPr>
            <w:pStyle w:val="TOCHeading"/>
            <w:rPr>
              <w:rFonts w:ascii="Times New Roman" w:hAnsi="Times New Roman" w:cs="Times New Roman"/>
              <w:color w:val="auto"/>
            </w:rPr>
          </w:pPr>
          <w:r w:rsidRPr="00847CEA">
            <w:rPr>
              <w:rFonts w:ascii="Times New Roman" w:hAnsi="Times New Roman" w:cs="Times New Roman"/>
              <w:color w:val="auto"/>
            </w:rPr>
            <w:t>Table of Contents</w:t>
          </w:r>
        </w:p>
        <w:p w:rsidR="00AE1F1C" w:rsidRPr="00847CEA" w:rsidRDefault="00F20700" w:rsidP="00847CEA">
          <w:pPr>
            <w:pStyle w:val="TOC1"/>
            <w:tabs>
              <w:tab w:val="right" w:pos="9926"/>
            </w:tabs>
            <w:spacing w:line="360" w:lineRule="auto"/>
            <w:rPr>
              <w:rFonts w:ascii="Times New Roman" w:eastAsiaTheme="minorEastAsia" w:hAnsi="Times New Roman" w:cs="Times New Roman"/>
              <w:noProof/>
              <w:sz w:val="24"/>
              <w:szCs w:val="24"/>
            </w:rPr>
          </w:pPr>
          <w:r w:rsidRPr="00F20700">
            <w:rPr>
              <w:rFonts w:ascii="Times New Roman" w:hAnsi="Times New Roman" w:cs="Times New Roman"/>
              <w:sz w:val="24"/>
              <w:szCs w:val="24"/>
            </w:rPr>
            <w:fldChar w:fldCharType="begin"/>
          </w:r>
          <w:r w:rsidR="00A133AF" w:rsidRPr="00847CEA">
            <w:rPr>
              <w:rFonts w:ascii="Times New Roman" w:hAnsi="Times New Roman" w:cs="Times New Roman"/>
              <w:sz w:val="24"/>
              <w:szCs w:val="24"/>
            </w:rPr>
            <w:instrText xml:space="preserve"> TOC \o "1-3" \h \z \u </w:instrText>
          </w:r>
          <w:r w:rsidRPr="00F20700">
            <w:rPr>
              <w:rFonts w:ascii="Times New Roman" w:hAnsi="Times New Roman" w:cs="Times New Roman"/>
              <w:sz w:val="24"/>
              <w:szCs w:val="24"/>
            </w:rPr>
            <w:fldChar w:fldCharType="separate"/>
          </w:r>
          <w:hyperlink w:anchor="_Toc234453417" w:history="1">
            <w:r w:rsidR="00AE1F1C" w:rsidRPr="00847CEA">
              <w:rPr>
                <w:rStyle w:val="Hyperlink"/>
                <w:rFonts w:ascii="Times New Roman" w:hAnsi="Times New Roman" w:cs="Times New Roman"/>
                <w:noProof/>
                <w:color w:val="auto"/>
                <w:sz w:val="24"/>
                <w:szCs w:val="24"/>
              </w:rPr>
              <w:t>Executive Summary</w:t>
            </w:r>
            <w:r w:rsidR="00AE1F1C" w:rsidRPr="00847CEA">
              <w:rPr>
                <w:rFonts w:ascii="Times New Roman" w:hAnsi="Times New Roman" w:cs="Times New Roman"/>
                <w:noProof/>
                <w:webHidden/>
                <w:sz w:val="24"/>
                <w:szCs w:val="24"/>
              </w:rPr>
              <w:tab/>
            </w:r>
            <w:r w:rsidRPr="00847CEA">
              <w:rPr>
                <w:rFonts w:ascii="Times New Roman" w:hAnsi="Times New Roman" w:cs="Times New Roman"/>
                <w:noProof/>
                <w:webHidden/>
                <w:sz w:val="24"/>
                <w:szCs w:val="24"/>
              </w:rPr>
              <w:fldChar w:fldCharType="begin"/>
            </w:r>
            <w:r w:rsidR="00AE1F1C" w:rsidRPr="00847CEA">
              <w:rPr>
                <w:rFonts w:ascii="Times New Roman" w:hAnsi="Times New Roman" w:cs="Times New Roman"/>
                <w:noProof/>
                <w:webHidden/>
                <w:sz w:val="24"/>
                <w:szCs w:val="24"/>
              </w:rPr>
              <w:instrText xml:space="preserve"> PAGEREF _Toc234453417 \h </w:instrText>
            </w:r>
            <w:r w:rsidRPr="00847CEA">
              <w:rPr>
                <w:rFonts w:ascii="Times New Roman" w:hAnsi="Times New Roman" w:cs="Times New Roman"/>
                <w:noProof/>
                <w:webHidden/>
                <w:sz w:val="24"/>
                <w:szCs w:val="24"/>
              </w:rPr>
            </w:r>
            <w:r w:rsidRPr="00847CEA">
              <w:rPr>
                <w:rFonts w:ascii="Times New Roman" w:hAnsi="Times New Roman" w:cs="Times New Roman"/>
                <w:noProof/>
                <w:webHidden/>
                <w:sz w:val="24"/>
                <w:szCs w:val="24"/>
              </w:rPr>
              <w:fldChar w:fldCharType="separate"/>
            </w:r>
            <w:r w:rsidR="00AE1F1C" w:rsidRPr="00847CEA">
              <w:rPr>
                <w:rFonts w:ascii="Times New Roman" w:hAnsi="Times New Roman" w:cs="Times New Roman"/>
                <w:noProof/>
                <w:webHidden/>
                <w:sz w:val="24"/>
                <w:szCs w:val="24"/>
              </w:rPr>
              <w:t>2</w:t>
            </w:r>
            <w:r w:rsidRPr="00847CEA">
              <w:rPr>
                <w:rFonts w:ascii="Times New Roman" w:hAnsi="Times New Roman" w:cs="Times New Roman"/>
                <w:noProof/>
                <w:webHidden/>
                <w:sz w:val="24"/>
                <w:szCs w:val="24"/>
              </w:rPr>
              <w:fldChar w:fldCharType="end"/>
            </w:r>
          </w:hyperlink>
        </w:p>
        <w:p w:rsidR="00AE1F1C" w:rsidRPr="00847CEA" w:rsidRDefault="00F20700" w:rsidP="00847CEA">
          <w:pPr>
            <w:pStyle w:val="TOC1"/>
            <w:tabs>
              <w:tab w:val="right" w:pos="9926"/>
            </w:tabs>
            <w:spacing w:line="360" w:lineRule="auto"/>
            <w:rPr>
              <w:rFonts w:ascii="Times New Roman" w:eastAsiaTheme="minorEastAsia" w:hAnsi="Times New Roman" w:cs="Times New Roman"/>
              <w:noProof/>
              <w:sz w:val="24"/>
              <w:szCs w:val="24"/>
            </w:rPr>
          </w:pPr>
          <w:hyperlink w:anchor="_Toc234453418" w:history="1">
            <w:r w:rsidR="00AE1F1C" w:rsidRPr="00847CEA">
              <w:rPr>
                <w:rStyle w:val="Hyperlink"/>
                <w:rFonts w:ascii="Times New Roman" w:hAnsi="Times New Roman" w:cs="Times New Roman"/>
                <w:noProof/>
                <w:color w:val="auto"/>
                <w:sz w:val="24"/>
                <w:szCs w:val="24"/>
              </w:rPr>
              <w:t>1. Introduction and scope</w:t>
            </w:r>
            <w:r w:rsidR="00AE1F1C" w:rsidRPr="00847CEA">
              <w:rPr>
                <w:rFonts w:ascii="Times New Roman" w:hAnsi="Times New Roman" w:cs="Times New Roman"/>
                <w:noProof/>
                <w:webHidden/>
                <w:sz w:val="24"/>
                <w:szCs w:val="24"/>
              </w:rPr>
              <w:tab/>
            </w:r>
            <w:r w:rsidRPr="00847CEA">
              <w:rPr>
                <w:rFonts w:ascii="Times New Roman" w:hAnsi="Times New Roman" w:cs="Times New Roman"/>
                <w:noProof/>
                <w:webHidden/>
                <w:sz w:val="24"/>
                <w:szCs w:val="24"/>
              </w:rPr>
              <w:fldChar w:fldCharType="begin"/>
            </w:r>
            <w:r w:rsidR="00AE1F1C" w:rsidRPr="00847CEA">
              <w:rPr>
                <w:rFonts w:ascii="Times New Roman" w:hAnsi="Times New Roman" w:cs="Times New Roman"/>
                <w:noProof/>
                <w:webHidden/>
                <w:sz w:val="24"/>
                <w:szCs w:val="24"/>
              </w:rPr>
              <w:instrText xml:space="preserve"> PAGEREF _Toc234453418 \h </w:instrText>
            </w:r>
            <w:r w:rsidRPr="00847CEA">
              <w:rPr>
                <w:rFonts w:ascii="Times New Roman" w:hAnsi="Times New Roman" w:cs="Times New Roman"/>
                <w:noProof/>
                <w:webHidden/>
                <w:sz w:val="24"/>
                <w:szCs w:val="24"/>
              </w:rPr>
            </w:r>
            <w:r w:rsidRPr="00847CEA">
              <w:rPr>
                <w:rFonts w:ascii="Times New Roman" w:hAnsi="Times New Roman" w:cs="Times New Roman"/>
                <w:noProof/>
                <w:webHidden/>
                <w:sz w:val="24"/>
                <w:szCs w:val="24"/>
              </w:rPr>
              <w:fldChar w:fldCharType="separate"/>
            </w:r>
            <w:r w:rsidR="00AE1F1C" w:rsidRPr="00847CEA">
              <w:rPr>
                <w:rFonts w:ascii="Times New Roman" w:hAnsi="Times New Roman" w:cs="Times New Roman"/>
                <w:noProof/>
                <w:webHidden/>
                <w:sz w:val="24"/>
                <w:szCs w:val="24"/>
              </w:rPr>
              <w:t>4</w:t>
            </w:r>
            <w:r w:rsidRPr="00847CEA">
              <w:rPr>
                <w:rFonts w:ascii="Times New Roman" w:hAnsi="Times New Roman" w:cs="Times New Roman"/>
                <w:noProof/>
                <w:webHidden/>
                <w:sz w:val="24"/>
                <w:szCs w:val="24"/>
              </w:rPr>
              <w:fldChar w:fldCharType="end"/>
            </w:r>
          </w:hyperlink>
        </w:p>
        <w:p w:rsidR="00AE1F1C" w:rsidRPr="00847CEA" w:rsidRDefault="00F20700" w:rsidP="00847CEA">
          <w:pPr>
            <w:pStyle w:val="TOC1"/>
            <w:tabs>
              <w:tab w:val="right" w:pos="9926"/>
            </w:tabs>
            <w:spacing w:line="360" w:lineRule="auto"/>
            <w:rPr>
              <w:rFonts w:ascii="Times New Roman" w:eastAsiaTheme="minorEastAsia" w:hAnsi="Times New Roman" w:cs="Times New Roman"/>
              <w:noProof/>
              <w:sz w:val="24"/>
              <w:szCs w:val="24"/>
            </w:rPr>
          </w:pPr>
          <w:hyperlink w:anchor="_Toc234453419" w:history="1">
            <w:r w:rsidR="00AE1F1C" w:rsidRPr="00847CEA">
              <w:rPr>
                <w:rStyle w:val="Hyperlink"/>
                <w:rFonts w:ascii="Times New Roman" w:hAnsi="Times New Roman" w:cs="Times New Roman"/>
                <w:noProof/>
                <w:color w:val="auto"/>
                <w:sz w:val="24"/>
                <w:szCs w:val="24"/>
              </w:rPr>
              <w:t>2. Main findings: macro-environmental pressures and PESTLE analysis</w:t>
            </w:r>
            <w:r w:rsidR="00AE1F1C" w:rsidRPr="00847CEA">
              <w:rPr>
                <w:rFonts w:ascii="Times New Roman" w:hAnsi="Times New Roman" w:cs="Times New Roman"/>
                <w:noProof/>
                <w:webHidden/>
                <w:sz w:val="24"/>
                <w:szCs w:val="24"/>
              </w:rPr>
              <w:tab/>
            </w:r>
            <w:r w:rsidRPr="00847CEA">
              <w:rPr>
                <w:rFonts w:ascii="Times New Roman" w:hAnsi="Times New Roman" w:cs="Times New Roman"/>
                <w:noProof/>
                <w:webHidden/>
                <w:sz w:val="24"/>
                <w:szCs w:val="24"/>
              </w:rPr>
              <w:fldChar w:fldCharType="begin"/>
            </w:r>
            <w:r w:rsidR="00AE1F1C" w:rsidRPr="00847CEA">
              <w:rPr>
                <w:rFonts w:ascii="Times New Roman" w:hAnsi="Times New Roman" w:cs="Times New Roman"/>
                <w:noProof/>
                <w:webHidden/>
                <w:sz w:val="24"/>
                <w:szCs w:val="24"/>
              </w:rPr>
              <w:instrText xml:space="preserve"> PAGEREF _Toc234453419 \h </w:instrText>
            </w:r>
            <w:r w:rsidRPr="00847CEA">
              <w:rPr>
                <w:rFonts w:ascii="Times New Roman" w:hAnsi="Times New Roman" w:cs="Times New Roman"/>
                <w:noProof/>
                <w:webHidden/>
                <w:sz w:val="24"/>
                <w:szCs w:val="24"/>
              </w:rPr>
            </w:r>
            <w:r w:rsidRPr="00847CEA">
              <w:rPr>
                <w:rFonts w:ascii="Times New Roman" w:hAnsi="Times New Roman" w:cs="Times New Roman"/>
                <w:noProof/>
                <w:webHidden/>
                <w:sz w:val="24"/>
                <w:szCs w:val="24"/>
              </w:rPr>
              <w:fldChar w:fldCharType="separate"/>
            </w:r>
            <w:r w:rsidR="00AE1F1C" w:rsidRPr="00847CEA">
              <w:rPr>
                <w:rFonts w:ascii="Times New Roman" w:hAnsi="Times New Roman" w:cs="Times New Roman"/>
                <w:noProof/>
                <w:webHidden/>
                <w:sz w:val="24"/>
                <w:szCs w:val="24"/>
              </w:rPr>
              <w:t>4</w:t>
            </w:r>
            <w:r w:rsidRPr="00847CEA">
              <w:rPr>
                <w:rFonts w:ascii="Times New Roman" w:hAnsi="Times New Roman" w:cs="Times New Roman"/>
                <w:noProof/>
                <w:webHidden/>
                <w:sz w:val="24"/>
                <w:szCs w:val="24"/>
              </w:rPr>
              <w:fldChar w:fldCharType="end"/>
            </w:r>
          </w:hyperlink>
        </w:p>
        <w:p w:rsidR="00AE1F1C" w:rsidRPr="00847CEA" w:rsidRDefault="00F20700" w:rsidP="00847CEA">
          <w:pPr>
            <w:pStyle w:val="TOC1"/>
            <w:tabs>
              <w:tab w:val="right" w:pos="9926"/>
            </w:tabs>
            <w:spacing w:line="360" w:lineRule="auto"/>
            <w:rPr>
              <w:rFonts w:ascii="Times New Roman" w:eastAsiaTheme="minorEastAsia" w:hAnsi="Times New Roman" w:cs="Times New Roman"/>
              <w:noProof/>
              <w:sz w:val="24"/>
              <w:szCs w:val="24"/>
            </w:rPr>
          </w:pPr>
          <w:hyperlink w:anchor="_Toc234453420" w:history="1">
            <w:r w:rsidR="00AE1F1C" w:rsidRPr="00847CEA">
              <w:rPr>
                <w:rStyle w:val="Hyperlink"/>
                <w:rFonts w:ascii="Times New Roman" w:hAnsi="Times New Roman" w:cs="Times New Roman"/>
                <w:noProof/>
                <w:color w:val="auto"/>
                <w:sz w:val="24"/>
                <w:szCs w:val="24"/>
              </w:rPr>
              <w:t>3. Main findings: international business theory and strategic positioning</w:t>
            </w:r>
            <w:r w:rsidR="00AE1F1C" w:rsidRPr="00847CEA">
              <w:rPr>
                <w:rFonts w:ascii="Times New Roman" w:hAnsi="Times New Roman" w:cs="Times New Roman"/>
                <w:noProof/>
                <w:webHidden/>
                <w:sz w:val="24"/>
                <w:szCs w:val="24"/>
              </w:rPr>
              <w:tab/>
            </w:r>
            <w:r w:rsidRPr="00847CEA">
              <w:rPr>
                <w:rFonts w:ascii="Times New Roman" w:hAnsi="Times New Roman" w:cs="Times New Roman"/>
                <w:noProof/>
                <w:webHidden/>
                <w:sz w:val="24"/>
                <w:szCs w:val="24"/>
              </w:rPr>
              <w:fldChar w:fldCharType="begin"/>
            </w:r>
            <w:r w:rsidR="00AE1F1C" w:rsidRPr="00847CEA">
              <w:rPr>
                <w:rFonts w:ascii="Times New Roman" w:hAnsi="Times New Roman" w:cs="Times New Roman"/>
                <w:noProof/>
                <w:webHidden/>
                <w:sz w:val="24"/>
                <w:szCs w:val="24"/>
              </w:rPr>
              <w:instrText xml:space="preserve"> PAGEREF _Toc234453420 \h </w:instrText>
            </w:r>
            <w:r w:rsidRPr="00847CEA">
              <w:rPr>
                <w:rFonts w:ascii="Times New Roman" w:hAnsi="Times New Roman" w:cs="Times New Roman"/>
                <w:noProof/>
                <w:webHidden/>
                <w:sz w:val="24"/>
                <w:szCs w:val="24"/>
              </w:rPr>
            </w:r>
            <w:r w:rsidRPr="00847CEA">
              <w:rPr>
                <w:rFonts w:ascii="Times New Roman" w:hAnsi="Times New Roman" w:cs="Times New Roman"/>
                <w:noProof/>
                <w:webHidden/>
                <w:sz w:val="24"/>
                <w:szCs w:val="24"/>
              </w:rPr>
              <w:fldChar w:fldCharType="separate"/>
            </w:r>
            <w:r w:rsidR="00AE1F1C" w:rsidRPr="00847CEA">
              <w:rPr>
                <w:rFonts w:ascii="Times New Roman" w:hAnsi="Times New Roman" w:cs="Times New Roman"/>
                <w:noProof/>
                <w:webHidden/>
                <w:sz w:val="24"/>
                <w:szCs w:val="24"/>
              </w:rPr>
              <w:t>6</w:t>
            </w:r>
            <w:r w:rsidRPr="00847CEA">
              <w:rPr>
                <w:rFonts w:ascii="Times New Roman" w:hAnsi="Times New Roman" w:cs="Times New Roman"/>
                <w:noProof/>
                <w:webHidden/>
                <w:sz w:val="24"/>
                <w:szCs w:val="24"/>
              </w:rPr>
              <w:fldChar w:fldCharType="end"/>
            </w:r>
          </w:hyperlink>
        </w:p>
        <w:p w:rsidR="00AE1F1C" w:rsidRPr="00847CEA" w:rsidRDefault="00F20700" w:rsidP="00847CEA">
          <w:pPr>
            <w:pStyle w:val="TOC1"/>
            <w:tabs>
              <w:tab w:val="right" w:pos="9926"/>
            </w:tabs>
            <w:spacing w:line="360" w:lineRule="auto"/>
            <w:rPr>
              <w:rFonts w:ascii="Times New Roman" w:eastAsiaTheme="minorEastAsia" w:hAnsi="Times New Roman" w:cs="Times New Roman"/>
              <w:noProof/>
              <w:sz w:val="24"/>
              <w:szCs w:val="24"/>
            </w:rPr>
          </w:pPr>
          <w:hyperlink w:anchor="_Toc234453421" w:history="1">
            <w:r w:rsidR="00AE1F1C" w:rsidRPr="00847CEA">
              <w:rPr>
                <w:rStyle w:val="Hyperlink"/>
                <w:rFonts w:ascii="Times New Roman" w:hAnsi="Times New Roman" w:cs="Times New Roman"/>
                <w:noProof/>
                <w:color w:val="auto"/>
                <w:sz w:val="24"/>
                <w:szCs w:val="24"/>
              </w:rPr>
              <w:t>4. Main findings: data governance, ethical AI, compliance and trust</w:t>
            </w:r>
            <w:r w:rsidR="00AE1F1C" w:rsidRPr="00847CEA">
              <w:rPr>
                <w:rFonts w:ascii="Times New Roman" w:hAnsi="Times New Roman" w:cs="Times New Roman"/>
                <w:noProof/>
                <w:webHidden/>
                <w:sz w:val="24"/>
                <w:szCs w:val="24"/>
              </w:rPr>
              <w:tab/>
            </w:r>
            <w:r w:rsidRPr="00847CEA">
              <w:rPr>
                <w:rFonts w:ascii="Times New Roman" w:hAnsi="Times New Roman" w:cs="Times New Roman"/>
                <w:noProof/>
                <w:webHidden/>
                <w:sz w:val="24"/>
                <w:szCs w:val="24"/>
              </w:rPr>
              <w:fldChar w:fldCharType="begin"/>
            </w:r>
            <w:r w:rsidR="00AE1F1C" w:rsidRPr="00847CEA">
              <w:rPr>
                <w:rFonts w:ascii="Times New Roman" w:hAnsi="Times New Roman" w:cs="Times New Roman"/>
                <w:noProof/>
                <w:webHidden/>
                <w:sz w:val="24"/>
                <w:szCs w:val="24"/>
              </w:rPr>
              <w:instrText xml:space="preserve"> PAGEREF _Toc234453421 \h </w:instrText>
            </w:r>
            <w:r w:rsidRPr="00847CEA">
              <w:rPr>
                <w:rFonts w:ascii="Times New Roman" w:hAnsi="Times New Roman" w:cs="Times New Roman"/>
                <w:noProof/>
                <w:webHidden/>
                <w:sz w:val="24"/>
                <w:szCs w:val="24"/>
              </w:rPr>
            </w:r>
            <w:r w:rsidRPr="00847CEA">
              <w:rPr>
                <w:rFonts w:ascii="Times New Roman" w:hAnsi="Times New Roman" w:cs="Times New Roman"/>
                <w:noProof/>
                <w:webHidden/>
                <w:sz w:val="24"/>
                <w:szCs w:val="24"/>
              </w:rPr>
              <w:fldChar w:fldCharType="separate"/>
            </w:r>
            <w:r w:rsidR="00AE1F1C" w:rsidRPr="00847CEA">
              <w:rPr>
                <w:rFonts w:ascii="Times New Roman" w:hAnsi="Times New Roman" w:cs="Times New Roman"/>
                <w:noProof/>
                <w:webHidden/>
                <w:sz w:val="24"/>
                <w:szCs w:val="24"/>
              </w:rPr>
              <w:t>8</w:t>
            </w:r>
            <w:r w:rsidRPr="00847CEA">
              <w:rPr>
                <w:rFonts w:ascii="Times New Roman" w:hAnsi="Times New Roman" w:cs="Times New Roman"/>
                <w:noProof/>
                <w:webHidden/>
                <w:sz w:val="24"/>
                <w:szCs w:val="24"/>
              </w:rPr>
              <w:fldChar w:fldCharType="end"/>
            </w:r>
          </w:hyperlink>
        </w:p>
        <w:p w:rsidR="00AE1F1C" w:rsidRPr="00847CEA" w:rsidRDefault="00F20700" w:rsidP="00847CEA">
          <w:pPr>
            <w:pStyle w:val="TOC1"/>
            <w:tabs>
              <w:tab w:val="right" w:pos="9926"/>
            </w:tabs>
            <w:spacing w:line="360" w:lineRule="auto"/>
            <w:rPr>
              <w:rFonts w:ascii="Times New Roman" w:eastAsiaTheme="minorEastAsia" w:hAnsi="Times New Roman" w:cs="Times New Roman"/>
              <w:noProof/>
              <w:sz w:val="24"/>
              <w:szCs w:val="24"/>
            </w:rPr>
          </w:pPr>
          <w:hyperlink w:anchor="_Toc234453422" w:history="1">
            <w:r w:rsidR="00AE1F1C" w:rsidRPr="00847CEA">
              <w:rPr>
                <w:rStyle w:val="Hyperlink"/>
                <w:rFonts w:ascii="Times New Roman" w:hAnsi="Times New Roman" w:cs="Times New Roman"/>
                <w:noProof/>
                <w:color w:val="auto"/>
                <w:sz w:val="24"/>
                <w:szCs w:val="24"/>
              </w:rPr>
              <w:t>5. Regulatory comparison: UK, Hong Kong and mainland China</w:t>
            </w:r>
            <w:r w:rsidR="00AE1F1C" w:rsidRPr="00847CEA">
              <w:rPr>
                <w:rFonts w:ascii="Times New Roman" w:hAnsi="Times New Roman" w:cs="Times New Roman"/>
                <w:noProof/>
                <w:webHidden/>
                <w:sz w:val="24"/>
                <w:szCs w:val="24"/>
              </w:rPr>
              <w:tab/>
            </w:r>
            <w:r w:rsidRPr="00847CEA">
              <w:rPr>
                <w:rFonts w:ascii="Times New Roman" w:hAnsi="Times New Roman" w:cs="Times New Roman"/>
                <w:noProof/>
                <w:webHidden/>
                <w:sz w:val="24"/>
                <w:szCs w:val="24"/>
              </w:rPr>
              <w:fldChar w:fldCharType="begin"/>
            </w:r>
            <w:r w:rsidR="00AE1F1C" w:rsidRPr="00847CEA">
              <w:rPr>
                <w:rFonts w:ascii="Times New Roman" w:hAnsi="Times New Roman" w:cs="Times New Roman"/>
                <w:noProof/>
                <w:webHidden/>
                <w:sz w:val="24"/>
                <w:szCs w:val="24"/>
              </w:rPr>
              <w:instrText xml:space="preserve"> PAGEREF _Toc234453422 \h </w:instrText>
            </w:r>
            <w:r w:rsidRPr="00847CEA">
              <w:rPr>
                <w:rFonts w:ascii="Times New Roman" w:hAnsi="Times New Roman" w:cs="Times New Roman"/>
                <w:noProof/>
                <w:webHidden/>
                <w:sz w:val="24"/>
                <w:szCs w:val="24"/>
              </w:rPr>
            </w:r>
            <w:r w:rsidRPr="00847CEA">
              <w:rPr>
                <w:rFonts w:ascii="Times New Roman" w:hAnsi="Times New Roman" w:cs="Times New Roman"/>
                <w:noProof/>
                <w:webHidden/>
                <w:sz w:val="24"/>
                <w:szCs w:val="24"/>
              </w:rPr>
              <w:fldChar w:fldCharType="separate"/>
            </w:r>
            <w:r w:rsidR="00AE1F1C" w:rsidRPr="00847CEA">
              <w:rPr>
                <w:rFonts w:ascii="Times New Roman" w:hAnsi="Times New Roman" w:cs="Times New Roman"/>
                <w:noProof/>
                <w:webHidden/>
                <w:sz w:val="24"/>
                <w:szCs w:val="24"/>
              </w:rPr>
              <w:t>10</w:t>
            </w:r>
            <w:r w:rsidRPr="00847CEA">
              <w:rPr>
                <w:rFonts w:ascii="Times New Roman" w:hAnsi="Times New Roman" w:cs="Times New Roman"/>
                <w:noProof/>
                <w:webHidden/>
                <w:sz w:val="24"/>
                <w:szCs w:val="24"/>
              </w:rPr>
              <w:fldChar w:fldCharType="end"/>
            </w:r>
          </w:hyperlink>
        </w:p>
        <w:p w:rsidR="00AE1F1C" w:rsidRPr="00847CEA" w:rsidRDefault="00F20700" w:rsidP="00847CEA">
          <w:pPr>
            <w:pStyle w:val="TOC1"/>
            <w:tabs>
              <w:tab w:val="right" w:pos="9926"/>
            </w:tabs>
            <w:spacing w:line="360" w:lineRule="auto"/>
            <w:rPr>
              <w:rFonts w:ascii="Times New Roman" w:eastAsiaTheme="minorEastAsia" w:hAnsi="Times New Roman" w:cs="Times New Roman"/>
              <w:noProof/>
              <w:sz w:val="24"/>
              <w:szCs w:val="24"/>
            </w:rPr>
          </w:pPr>
          <w:hyperlink w:anchor="_Toc234453423" w:history="1">
            <w:r w:rsidR="00AE1F1C" w:rsidRPr="00847CEA">
              <w:rPr>
                <w:rStyle w:val="Hyperlink"/>
                <w:rFonts w:ascii="Times New Roman" w:hAnsi="Times New Roman" w:cs="Times New Roman"/>
                <w:noProof/>
                <w:color w:val="auto"/>
                <w:sz w:val="24"/>
                <w:szCs w:val="24"/>
              </w:rPr>
              <w:t>6. Recommendations and 24-month implementation plan</w:t>
            </w:r>
            <w:r w:rsidR="00AE1F1C" w:rsidRPr="00847CEA">
              <w:rPr>
                <w:rFonts w:ascii="Times New Roman" w:hAnsi="Times New Roman" w:cs="Times New Roman"/>
                <w:noProof/>
                <w:webHidden/>
                <w:sz w:val="24"/>
                <w:szCs w:val="24"/>
              </w:rPr>
              <w:tab/>
            </w:r>
            <w:r w:rsidRPr="00847CEA">
              <w:rPr>
                <w:rFonts w:ascii="Times New Roman" w:hAnsi="Times New Roman" w:cs="Times New Roman"/>
                <w:noProof/>
                <w:webHidden/>
                <w:sz w:val="24"/>
                <w:szCs w:val="24"/>
              </w:rPr>
              <w:fldChar w:fldCharType="begin"/>
            </w:r>
            <w:r w:rsidR="00AE1F1C" w:rsidRPr="00847CEA">
              <w:rPr>
                <w:rFonts w:ascii="Times New Roman" w:hAnsi="Times New Roman" w:cs="Times New Roman"/>
                <w:noProof/>
                <w:webHidden/>
                <w:sz w:val="24"/>
                <w:szCs w:val="24"/>
              </w:rPr>
              <w:instrText xml:space="preserve"> PAGEREF _Toc234453423 \h </w:instrText>
            </w:r>
            <w:r w:rsidRPr="00847CEA">
              <w:rPr>
                <w:rFonts w:ascii="Times New Roman" w:hAnsi="Times New Roman" w:cs="Times New Roman"/>
                <w:noProof/>
                <w:webHidden/>
                <w:sz w:val="24"/>
                <w:szCs w:val="24"/>
              </w:rPr>
            </w:r>
            <w:r w:rsidRPr="00847CEA">
              <w:rPr>
                <w:rFonts w:ascii="Times New Roman" w:hAnsi="Times New Roman" w:cs="Times New Roman"/>
                <w:noProof/>
                <w:webHidden/>
                <w:sz w:val="24"/>
                <w:szCs w:val="24"/>
              </w:rPr>
              <w:fldChar w:fldCharType="separate"/>
            </w:r>
            <w:r w:rsidR="00AE1F1C" w:rsidRPr="00847CEA">
              <w:rPr>
                <w:rFonts w:ascii="Times New Roman" w:hAnsi="Times New Roman" w:cs="Times New Roman"/>
                <w:noProof/>
                <w:webHidden/>
                <w:sz w:val="24"/>
                <w:szCs w:val="24"/>
              </w:rPr>
              <w:t>11</w:t>
            </w:r>
            <w:r w:rsidRPr="00847CEA">
              <w:rPr>
                <w:rFonts w:ascii="Times New Roman" w:hAnsi="Times New Roman" w:cs="Times New Roman"/>
                <w:noProof/>
                <w:webHidden/>
                <w:sz w:val="24"/>
                <w:szCs w:val="24"/>
              </w:rPr>
              <w:fldChar w:fldCharType="end"/>
            </w:r>
          </w:hyperlink>
        </w:p>
        <w:p w:rsidR="00AE1F1C" w:rsidRPr="00847CEA" w:rsidRDefault="00F20700" w:rsidP="00847CEA">
          <w:pPr>
            <w:pStyle w:val="TOC2"/>
            <w:tabs>
              <w:tab w:val="right" w:pos="9926"/>
            </w:tabs>
            <w:spacing w:line="360" w:lineRule="auto"/>
            <w:rPr>
              <w:rFonts w:ascii="Times New Roman" w:eastAsiaTheme="minorEastAsia" w:hAnsi="Times New Roman" w:cs="Times New Roman"/>
              <w:noProof/>
              <w:sz w:val="24"/>
              <w:szCs w:val="24"/>
            </w:rPr>
          </w:pPr>
          <w:hyperlink w:anchor="_Toc234453424" w:history="1">
            <w:r w:rsidR="00AE1F1C" w:rsidRPr="00847CEA">
              <w:rPr>
                <w:rStyle w:val="Hyperlink"/>
                <w:rFonts w:ascii="Times New Roman" w:hAnsi="Times New Roman" w:cs="Times New Roman"/>
                <w:noProof/>
                <w:color w:val="auto"/>
                <w:sz w:val="24"/>
                <w:szCs w:val="24"/>
              </w:rPr>
              <w:t>Indicative 24-month cost envelope</w:t>
            </w:r>
            <w:r w:rsidR="00AE1F1C" w:rsidRPr="00847CEA">
              <w:rPr>
                <w:rFonts w:ascii="Times New Roman" w:hAnsi="Times New Roman" w:cs="Times New Roman"/>
                <w:noProof/>
                <w:webHidden/>
                <w:sz w:val="24"/>
                <w:szCs w:val="24"/>
              </w:rPr>
              <w:tab/>
            </w:r>
            <w:r w:rsidRPr="00847CEA">
              <w:rPr>
                <w:rFonts w:ascii="Times New Roman" w:hAnsi="Times New Roman" w:cs="Times New Roman"/>
                <w:noProof/>
                <w:webHidden/>
                <w:sz w:val="24"/>
                <w:szCs w:val="24"/>
              </w:rPr>
              <w:fldChar w:fldCharType="begin"/>
            </w:r>
            <w:r w:rsidR="00AE1F1C" w:rsidRPr="00847CEA">
              <w:rPr>
                <w:rFonts w:ascii="Times New Roman" w:hAnsi="Times New Roman" w:cs="Times New Roman"/>
                <w:noProof/>
                <w:webHidden/>
                <w:sz w:val="24"/>
                <w:szCs w:val="24"/>
              </w:rPr>
              <w:instrText xml:space="preserve"> PAGEREF _Toc234453424 \h </w:instrText>
            </w:r>
            <w:r w:rsidRPr="00847CEA">
              <w:rPr>
                <w:rFonts w:ascii="Times New Roman" w:hAnsi="Times New Roman" w:cs="Times New Roman"/>
                <w:noProof/>
                <w:webHidden/>
                <w:sz w:val="24"/>
                <w:szCs w:val="24"/>
              </w:rPr>
            </w:r>
            <w:r w:rsidRPr="00847CEA">
              <w:rPr>
                <w:rFonts w:ascii="Times New Roman" w:hAnsi="Times New Roman" w:cs="Times New Roman"/>
                <w:noProof/>
                <w:webHidden/>
                <w:sz w:val="24"/>
                <w:szCs w:val="24"/>
              </w:rPr>
              <w:fldChar w:fldCharType="separate"/>
            </w:r>
            <w:r w:rsidR="00AE1F1C" w:rsidRPr="00847CEA">
              <w:rPr>
                <w:rFonts w:ascii="Times New Roman" w:hAnsi="Times New Roman" w:cs="Times New Roman"/>
                <w:noProof/>
                <w:webHidden/>
                <w:sz w:val="24"/>
                <w:szCs w:val="24"/>
              </w:rPr>
              <w:t>13</w:t>
            </w:r>
            <w:r w:rsidRPr="00847CEA">
              <w:rPr>
                <w:rFonts w:ascii="Times New Roman" w:hAnsi="Times New Roman" w:cs="Times New Roman"/>
                <w:noProof/>
                <w:webHidden/>
                <w:sz w:val="24"/>
                <w:szCs w:val="24"/>
              </w:rPr>
              <w:fldChar w:fldCharType="end"/>
            </w:r>
          </w:hyperlink>
        </w:p>
        <w:p w:rsidR="00AE1F1C" w:rsidRPr="00847CEA" w:rsidRDefault="00F20700" w:rsidP="00847CEA">
          <w:pPr>
            <w:pStyle w:val="TOC2"/>
            <w:tabs>
              <w:tab w:val="right" w:pos="9926"/>
            </w:tabs>
            <w:spacing w:line="360" w:lineRule="auto"/>
            <w:rPr>
              <w:rFonts w:ascii="Times New Roman" w:eastAsiaTheme="minorEastAsia" w:hAnsi="Times New Roman" w:cs="Times New Roman"/>
              <w:noProof/>
              <w:sz w:val="24"/>
              <w:szCs w:val="24"/>
            </w:rPr>
          </w:pPr>
          <w:hyperlink w:anchor="_Toc234453425" w:history="1">
            <w:r w:rsidR="00AE1F1C" w:rsidRPr="00847CEA">
              <w:rPr>
                <w:rStyle w:val="Hyperlink"/>
                <w:rFonts w:ascii="Times New Roman" w:hAnsi="Times New Roman" w:cs="Times New Roman"/>
                <w:noProof/>
                <w:color w:val="auto"/>
                <w:sz w:val="24"/>
                <w:szCs w:val="24"/>
              </w:rPr>
              <w:t>KPI scorecard</w:t>
            </w:r>
            <w:r w:rsidR="00AE1F1C" w:rsidRPr="00847CEA">
              <w:rPr>
                <w:rFonts w:ascii="Times New Roman" w:hAnsi="Times New Roman" w:cs="Times New Roman"/>
                <w:noProof/>
                <w:webHidden/>
                <w:sz w:val="24"/>
                <w:szCs w:val="24"/>
              </w:rPr>
              <w:tab/>
            </w:r>
            <w:r w:rsidRPr="00847CEA">
              <w:rPr>
                <w:rFonts w:ascii="Times New Roman" w:hAnsi="Times New Roman" w:cs="Times New Roman"/>
                <w:noProof/>
                <w:webHidden/>
                <w:sz w:val="24"/>
                <w:szCs w:val="24"/>
              </w:rPr>
              <w:fldChar w:fldCharType="begin"/>
            </w:r>
            <w:r w:rsidR="00AE1F1C" w:rsidRPr="00847CEA">
              <w:rPr>
                <w:rFonts w:ascii="Times New Roman" w:hAnsi="Times New Roman" w:cs="Times New Roman"/>
                <w:noProof/>
                <w:webHidden/>
                <w:sz w:val="24"/>
                <w:szCs w:val="24"/>
              </w:rPr>
              <w:instrText xml:space="preserve"> PAGEREF _Toc234453425 \h </w:instrText>
            </w:r>
            <w:r w:rsidRPr="00847CEA">
              <w:rPr>
                <w:rFonts w:ascii="Times New Roman" w:hAnsi="Times New Roman" w:cs="Times New Roman"/>
                <w:noProof/>
                <w:webHidden/>
                <w:sz w:val="24"/>
                <w:szCs w:val="24"/>
              </w:rPr>
            </w:r>
            <w:r w:rsidRPr="00847CEA">
              <w:rPr>
                <w:rFonts w:ascii="Times New Roman" w:hAnsi="Times New Roman" w:cs="Times New Roman"/>
                <w:noProof/>
                <w:webHidden/>
                <w:sz w:val="24"/>
                <w:szCs w:val="24"/>
              </w:rPr>
              <w:fldChar w:fldCharType="separate"/>
            </w:r>
            <w:r w:rsidR="00AE1F1C" w:rsidRPr="00847CEA">
              <w:rPr>
                <w:rFonts w:ascii="Times New Roman" w:hAnsi="Times New Roman" w:cs="Times New Roman"/>
                <w:noProof/>
                <w:webHidden/>
                <w:sz w:val="24"/>
                <w:szCs w:val="24"/>
              </w:rPr>
              <w:t>14</w:t>
            </w:r>
            <w:r w:rsidRPr="00847CEA">
              <w:rPr>
                <w:rFonts w:ascii="Times New Roman" w:hAnsi="Times New Roman" w:cs="Times New Roman"/>
                <w:noProof/>
                <w:webHidden/>
                <w:sz w:val="24"/>
                <w:szCs w:val="24"/>
              </w:rPr>
              <w:fldChar w:fldCharType="end"/>
            </w:r>
          </w:hyperlink>
        </w:p>
        <w:p w:rsidR="00AE1F1C" w:rsidRPr="00847CEA" w:rsidRDefault="00F20700" w:rsidP="00847CEA">
          <w:pPr>
            <w:pStyle w:val="TOC1"/>
            <w:tabs>
              <w:tab w:val="right" w:pos="9926"/>
            </w:tabs>
            <w:spacing w:line="360" w:lineRule="auto"/>
            <w:rPr>
              <w:rFonts w:ascii="Times New Roman" w:eastAsiaTheme="minorEastAsia" w:hAnsi="Times New Roman" w:cs="Times New Roman"/>
              <w:noProof/>
              <w:sz w:val="24"/>
              <w:szCs w:val="24"/>
            </w:rPr>
          </w:pPr>
          <w:hyperlink w:anchor="_Toc234453426" w:history="1">
            <w:r w:rsidR="00AE1F1C" w:rsidRPr="00847CEA">
              <w:rPr>
                <w:rStyle w:val="Hyperlink"/>
                <w:rFonts w:ascii="Times New Roman" w:hAnsi="Times New Roman" w:cs="Times New Roman"/>
                <w:noProof/>
                <w:color w:val="auto"/>
                <w:sz w:val="24"/>
                <w:szCs w:val="24"/>
              </w:rPr>
              <w:t>7. Conclusion</w:t>
            </w:r>
            <w:r w:rsidR="00AE1F1C" w:rsidRPr="00847CEA">
              <w:rPr>
                <w:rFonts w:ascii="Times New Roman" w:hAnsi="Times New Roman" w:cs="Times New Roman"/>
                <w:noProof/>
                <w:webHidden/>
                <w:sz w:val="24"/>
                <w:szCs w:val="24"/>
              </w:rPr>
              <w:tab/>
            </w:r>
            <w:r w:rsidRPr="00847CEA">
              <w:rPr>
                <w:rFonts w:ascii="Times New Roman" w:hAnsi="Times New Roman" w:cs="Times New Roman"/>
                <w:noProof/>
                <w:webHidden/>
                <w:sz w:val="24"/>
                <w:szCs w:val="24"/>
              </w:rPr>
              <w:fldChar w:fldCharType="begin"/>
            </w:r>
            <w:r w:rsidR="00AE1F1C" w:rsidRPr="00847CEA">
              <w:rPr>
                <w:rFonts w:ascii="Times New Roman" w:hAnsi="Times New Roman" w:cs="Times New Roman"/>
                <w:noProof/>
                <w:webHidden/>
                <w:sz w:val="24"/>
                <w:szCs w:val="24"/>
              </w:rPr>
              <w:instrText xml:space="preserve"> PAGEREF _Toc234453426 \h </w:instrText>
            </w:r>
            <w:r w:rsidRPr="00847CEA">
              <w:rPr>
                <w:rFonts w:ascii="Times New Roman" w:hAnsi="Times New Roman" w:cs="Times New Roman"/>
                <w:noProof/>
                <w:webHidden/>
                <w:sz w:val="24"/>
                <w:szCs w:val="24"/>
              </w:rPr>
            </w:r>
            <w:r w:rsidRPr="00847CEA">
              <w:rPr>
                <w:rFonts w:ascii="Times New Roman" w:hAnsi="Times New Roman" w:cs="Times New Roman"/>
                <w:noProof/>
                <w:webHidden/>
                <w:sz w:val="24"/>
                <w:szCs w:val="24"/>
              </w:rPr>
              <w:fldChar w:fldCharType="separate"/>
            </w:r>
            <w:r w:rsidR="00AE1F1C" w:rsidRPr="00847CEA">
              <w:rPr>
                <w:rFonts w:ascii="Times New Roman" w:hAnsi="Times New Roman" w:cs="Times New Roman"/>
                <w:noProof/>
                <w:webHidden/>
                <w:sz w:val="24"/>
                <w:szCs w:val="24"/>
              </w:rPr>
              <w:t>14</w:t>
            </w:r>
            <w:r w:rsidRPr="00847CEA">
              <w:rPr>
                <w:rFonts w:ascii="Times New Roman" w:hAnsi="Times New Roman" w:cs="Times New Roman"/>
                <w:noProof/>
                <w:webHidden/>
                <w:sz w:val="24"/>
                <w:szCs w:val="24"/>
              </w:rPr>
              <w:fldChar w:fldCharType="end"/>
            </w:r>
          </w:hyperlink>
        </w:p>
        <w:p w:rsidR="00AE1F1C" w:rsidRPr="00847CEA" w:rsidRDefault="00F20700" w:rsidP="00847CEA">
          <w:pPr>
            <w:pStyle w:val="TOC1"/>
            <w:tabs>
              <w:tab w:val="right" w:pos="9926"/>
            </w:tabs>
            <w:spacing w:line="360" w:lineRule="auto"/>
            <w:rPr>
              <w:rFonts w:ascii="Times New Roman" w:eastAsiaTheme="minorEastAsia" w:hAnsi="Times New Roman" w:cs="Times New Roman"/>
              <w:noProof/>
              <w:sz w:val="24"/>
              <w:szCs w:val="24"/>
            </w:rPr>
          </w:pPr>
          <w:hyperlink w:anchor="_Toc234453427" w:history="1">
            <w:r w:rsidR="00AE1F1C" w:rsidRPr="00847CEA">
              <w:rPr>
                <w:rStyle w:val="Hyperlink"/>
                <w:rFonts w:ascii="Times New Roman" w:hAnsi="Times New Roman" w:cs="Times New Roman"/>
                <w:noProof/>
                <w:color w:val="auto"/>
                <w:sz w:val="24"/>
                <w:szCs w:val="24"/>
              </w:rPr>
              <w:t>Bibliography</w:t>
            </w:r>
            <w:r w:rsidR="00AE1F1C" w:rsidRPr="00847CEA">
              <w:rPr>
                <w:rFonts w:ascii="Times New Roman" w:hAnsi="Times New Roman" w:cs="Times New Roman"/>
                <w:noProof/>
                <w:webHidden/>
                <w:sz w:val="24"/>
                <w:szCs w:val="24"/>
              </w:rPr>
              <w:tab/>
            </w:r>
            <w:r w:rsidRPr="00847CEA">
              <w:rPr>
                <w:rFonts w:ascii="Times New Roman" w:hAnsi="Times New Roman" w:cs="Times New Roman"/>
                <w:noProof/>
                <w:webHidden/>
                <w:sz w:val="24"/>
                <w:szCs w:val="24"/>
              </w:rPr>
              <w:fldChar w:fldCharType="begin"/>
            </w:r>
            <w:r w:rsidR="00AE1F1C" w:rsidRPr="00847CEA">
              <w:rPr>
                <w:rFonts w:ascii="Times New Roman" w:hAnsi="Times New Roman" w:cs="Times New Roman"/>
                <w:noProof/>
                <w:webHidden/>
                <w:sz w:val="24"/>
                <w:szCs w:val="24"/>
              </w:rPr>
              <w:instrText xml:space="preserve"> PAGEREF _Toc234453427 \h </w:instrText>
            </w:r>
            <w:r w:rsidRPr="00847CEA">
              <w:rPr>
                <w:rFonts w:ascii="Times New Roman" w:hAnsi="Times New Roman" w:cs="Times New Roman"/>
                <w:noProof/>
                <w:webHidden/>
                <w:sz w:val="24"/>
                <w:szCs w:val="24"/>
              </w:rPr>
            </w:r>
            <w:r w:rsidRPr="00847CEA">
              <w:rPr>
                <w:rFonts w:ascii="Times New Roman" w:hAnsi="Times New Roman" w:cs="Times New Roman"/>
                <w:noProof/>
                <w:webHidden/>
                <w:sz w:val="24"/>
                <w:szCs w:val="24"/>
              </w:rPr>
              <w:fldChar w:fldCharType="separate"/>
            </w:r>
            <w:r w:rsidR="00AE1F1C" w:rsidRPr="00847CEA">
              <w:rPr>
                <w:rFonts w:ascii="Times New Roman" w:hAnsi="Times New Roman" w:cs="Times New Roman"/>
                <w:noProof/>
                <w:webHidden/>
                <w:sz w:val="24"/>
                <w:szCs w:val="24"/>
              </w:rPr>
              <w:t>16</w:t>
            </w:r>
            <w:r w:rsidRPr="00847CEA">
              <w:rPr>
                <w:rFonts w:ascii="Times New Roman" w:hAnsi="Times New Roman" w:cs="Times New Roman"/>
                <w:noProof/>
                <w:webHidden/>
                <w:sz w:val="24"/>
                <w:szCs w:val="24"/>
              </w:rPr>
              <w:fldChar w:fldCharType="end"/>
            </w:r>
          </w:hyperlink>
        </w:p>
        <w:p w:rsidR="00A133AF" w:rsidRPr="00847CEA" w:rsidRDefault="00F20700" w:rsidP="00847CEA">
          <w:pPr>
            <w:spacing w:line="360" w:lineRule="auto"/>
          </w:pPr>
          <w:r w:rsidRPr="00847CEA">
            <w:rPr>
              <w:rFonts w:ascii="Times New Roman" w:hAnsi="Times New Roman" w:cs="Times New Roman"/>
              <w:b/>
              <w:bCs/>
              <w:noProof/>
              <w:sz w:val="24"/>
              <w:szCs w:val="24"/>
            </w:rPr>
            <w:fldChar w:fldCharType="end"/>
          </w:r>
        </w:p>
      </w:sdtContent>
    </w:sdt>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A133AF" w:rsidRPr="00847CEA" w:rsidRDefault="00A133AF" w:rsidP="00E368F5">
      <w:pPr>
        <w:spacing w:line="360" w:lineRule="auto"/>
        <w:jc w:val="both"/>
        <w:rPr>
          <w:rFonts w:ascii="Times New Roman" w:hAnsi="Times New Roman" w:cs="Times New Roman"/>
        </w:rPr>
      </w:pPr>
    </w:p>
    <w:p w:rsidR="008336D0" w:rsidRPr="00847CEA" w:rsidRDefault="00C85314" w:rsidP="00E368F5">
      <w:pPr>
        <w:pStyle w:val="Heading1"/>
        <w:spacing w:line="360" w:lineRule="auto"/>
        <w:jc w:val="both"/>
        <w:rPr>
          <w:rFonts w:ascii="Times New Roman" w:hAnsi="Times New Roman" w:cs="Times New Roman"/>
          <w:color w:val="auto"/>
        </w:rPr>
      </w:pPr>
      <w:bookmarkStart w:id="1" w:name="_Toc234453418"/>
      <w:r w:rsidRPr="00847CEA">
        <w:rPr>
          <w:rFonts w:ascii="Times New Roman" w:hAnsi="Times New Roman" w:cs="Times New Roman"/>
          <w:color w:val="auto"/>
        </w:rPr>
        <w:lastRenderedPageBreak/>
        <w:t>1. Introduction and scope</w:t>
      </w:r>
      <w:bookmarkEnd w:id="1"/>
    </w:p>
    <w:p w:rsidR="000C3C40" w:rsidRDefault="000C3C40" w:rsidP="00E368F5">
      <w:pPr>
        <w:spacing w:line="360" w:lineRule="auto"/>
        <w:jc w:val="both"/>
        <w:rPr>
          <w:rFonts w:ascii="Times New Roman" w:hAnsi="Times New Roman" w:cs="Times New Roman"/>
          <w:sz w:val="24"/>
          <w:szCs w:val="24"/>
        </w:rPr>
      </w:pPr>
      <w:r w:rsidRPr="000C3C40">
        <w:rPr>
          <w:rFonts w:ascii="Times New Roman" w:hAnsi="Times New Roman" w:cs="Times New Roman"/>
          <w:sz w:val="24"/>
          <w:szCs w:val="24"/>
        </w:rPr>
        <w:t>The adoption of AI in the banking industry has progressed beyond the experimental phase and now reached the new phase of becoming an operating system. The implementation of AI in the banking industry has shifted from the experimental phase to becoming part of the infrastructure of the bank. The application of AI in financial services involves transaction monitoring, fraud detection, credit scoring, customer analytics, investment analytics, and risk modeling. The extensive use of AI in financial services has been reported in the UK as well. The latest area that firms are adopting AI in is through foundation models, as per the survey conducted by Bank of England and FCA (Bank of England and FCA, 2024). As for HSBC, the problem does not relate to AI itself, but to timing and scale of its global implementation in the banking industry.</w:t>
      </w:r>
    </w:p>
    <w:p w:rsidR="00690896" w:rsidRPr="00847CEA" w:rsidRDefault="00690896"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This report is a Senior level advisory report to RFD Global. It recommends HSBC Holdings plc on how the fast growing AI is affecting business risk management and particularly the issues of data governance, ethical AI and regulatory compliance and customer trust. Second international region is the UK as home-regulation anchor and Hong Kong and mainland China as they have a high level of exposure through their historical, operational and regulatory presence. On the other hand, according to HSBC's 2025 annual report, the bank's global businesses are material and complex and it has material risk-management obligations, and it continues to be a large international bank.</w:t>
      </w:r>
    </w:p>
    <w:p w:rsidR="00690896" w:rsidRPr="00847CEA" w:rsidRDefault="00690896"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The report adopts a qualitative approach (Desk based). It is based on the documentation of regulations, the annual reports of HSBC and the more recent financial-stability literature, as well as academic theory. Public information will not show the inventory of HSBC's internal models, the specific costs paid to vendors of their internal models or the exact AI use-case pipeline. For this reason, where no internal figures are available this report refrains from giving the impression of certainty. It recommends that HSBC has internal baselines for the planning ranges at the Board Level, validated, during the first step of implementation. This mirrors the Level 7 analysis as there is still a need to make strategic judgement when there is a lack of data but this is limited and clearly specified (Kaplan and Mikes, 2012).</w:t>
      </w:r>
    </w:p>
    <w:p w:rsidR="008336D0" w:rsidRPr="00847CEA" w:rsidRDefault="00C85314" w:rsidP="00E368F5">
      <w:pPr>
        <w:pStyle w:val="Heading1"/>
        <w:spacing w:line="360" w:lineRule="auto"/>
        <w:jc w:val="both"/>
        <w:rPr>
          <w:rFonts w:ascii="Times New Roman" w:hAnsi="Times New Roman" w:cs="Times New Roman"/>
          <w:color w:val="auto"/>
        </w:rPr>
      </w:pPr>
      <w:bookmarkStart w:id="2" w:name="_Toc234453419"/>
      <w:r w:rsidRPr="00847CEA">
        <w:rPr>
          <w:rFonts w:ascii="Times New Roman" w:hAnsi="Times New Roman" w:cs="Times New Roman"/>
          <w:color w:val="auto"/>
        </w:rPr>
        <w:t>2. Main findings: macro-environmental pressures and PESTLE analysis</w:t>
      </w:r>
      <w:bookmarkEnd w:id="2"/>
    </w:p>
    <w:p w:rsidR="0079089C" w:rsidRPr="00847CEA" w:rsidRDefault="0079089C"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 xml:space="preserve">Politics, economics, technology, law, society and the environment pressure are the factors that influence AI risk </w:t>
      </w:r>
      <w:r w:rsidR="00EB0974" w:rsidRPr="00847CEA">
        <w:rPr>
          <w:rFonts w:ascii="Times New Roman" w:hAnsi="Times New Roman" w:cs="Times New Roman"/>
          <w:sz w:val="24"/>
          <w:szCs w:val="24"/>
        </w:rPr>
        <w:t>from a PESTLE perspective</w:t>
      </w:r>
      <w:r w:rsidRPr="00847CEA">
        <w:rPr>
          <w:rFonts w:ascii="Times New Roman" w:hAnsi="Times New Roman" w:cs="Times New Roman"/>
          <w:sz w:val="24"/>
          <w:szCs w:val="24"/>
        </w:rPr>
        <w:t xml:space="preserve">. Geopolitically, the threat of sanctions and cyber attacks and tension over data-sovereignty is a political challenge for banks. These risks are particularly significant for HSBC, since they are faced when conducting transactions across borders, involving </w:t>
      </w:r>
      <w:r w:rsidRPr="00847CEA">
        <w:rPr>
          <w:rFonts w:ascii="Times New Roman" w:hAnsi="Times New Roman" w:cs="Times New Roman"/>
          <w:sz w:val="24"/>
          <w:szCs w:val="24"/>
        </w:rPr>
        <w:lastRenderedPageBreak/>
        <w:t>screening of transactions, customer due diligence and the secure transfer of data from one source to another. In the case of sanctions screening and the assessment of all clients' risk, error is not only a technical issue, but could also be a conduct, legal and diplomatic issue. While AI can help to minimize false positives, opaque models can make it more difficult to provide a reason for delay, denial, and investigation (FSB, 2024; FCA, 2024a).</w:t>
      </w:r>
    </w:p>
    <w:p w:rsidR="0079089C" w:rsidRPr="00847CEA" w:rsidRDefault="0079089C"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 xml:space="preserve">AI </w:t>
      </w:r>
      <w:r w:rsidR="00EB0974" w:rsidRPr="00847CEA">
        <w:rPr>
          <w:rFonts w:ascii="Times New Roman" w:hAnsi="Times New Roman" w:cs="Times New Roman"/>
          <w:sz w:val="24"/>
          <w:szCs w:val="24"/>
        </w:rPr>
        <w:t xml:space="preserve">offers </w:t>
      </w:r>
      <w:r w:rsidRPr="00847CEA">
        <w:rPr>
          <w:rFonts w:ascii="Times New Roman" w:hAnsi="Times New Roman" w:cs="Times New Roman"/>
          <w:sz w:val="24"/>
          <w:szCs w:val="24"/>
        </w:rPr>
        <w:t>productivity opportunity as well as systemic concentration risk when it comes to economics. While the International Monetary Fund believes AI can enhance market oversight and risk management, it could also threaten to transform market architecture and processes as the trading, credit and investment landscape becomes increasingly automated (International Monetary Fund, 2024a). The Bank of England also shares its concerns about the potential impact of AI on financial stability in its purview on financial decision-making, AI's effects on market dynamics, reliance on service providers, and in relation to cyber risk (Bank of England, 2025). For HSBC, it's about having a low-cost-to-serve and quick detection of risk. The economic risk is that many banks around the world are using the same cloud service providers, datasets or foundation models, which means that there is a high likelihood of a correlated failure.</w:t>
      </w:r>
    </w:p>
    <w:p w:rsidR="0079089C" w:rsidRPr="00847CEA" w:rsidRDefault="0079089C"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Macroeconomic policy also plays a role due to the uncertainty of interest rates and geopolitical tension and uneven growth in which AI decisions on risk are made. Strong growth can drive up credit stress and weak growth can drive up the need for cost reduction, demand for fraud attempts and credit risk of arrears. Under such circumstances, management might be inclined to move towards automation even more quickly. But quick automation may result in an undesirable outcome if there is a shift in the credit cycle and the model “drifts”. Therefore, HSBC should integrate the AI monitoring with macro-economic scenario analysis, particularly in the credit, liquidity, market-risk and financial-crime models (International Monetary Fund, 2024a; Bank for International Settlements, 2025).</w:t>
      </w:r>
    </w:p>
    <w:p w:rsidR="0079089C" w:rsidRPr="00847CEA" w:rsidRDefault="0079089C"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Socially, though, AI will only be accepted if customers feel that the decision that has been made is fair, understandable and contestable when it comes from an automated source. Trust matters a lot more in retail credit, mortgage pricing, blocks of fraud and complaints. Algorithmic discrimination research reveals that even if protected characteristics are not explicitly included, credit systems can end up reproducing unfair outcomes due to the presence of proxy characteristics and historical data that can contain structural bias (</w:t>
      </w:r>
      <w:r w:rsidR="009F770F" w:rsidRPr="00847CEA">
        <w:rPr>
          <w:rFonts w:ascii="Times New Roman" w:hAnsi="Times New Roman" w:cs="Times New Roman"/>
          <w:sz w:val="24"/>
          <w:szCs w:val="24"/>
        </w:rPr>
        <w:t xml:space="preserve">Garcia, 2024; Mehrabi </w:t>
      </w:r>
      <w:r w:rsidRPr="00847CEA">
        <w:rPr>
          <w:rFonts w:ascii="Times New Roman" w:hAnsi="Times New Roman" w:cs="Times New Roman"/>
          <w:sz w:val="24"/>
          <w:szCs w:val="24"/>
        </w:rPr>
        <w:t>et al. (2021)). So, it's not a matter of fairness testing being a part of corporate communication but a part of risk management for HSBC. A model that will make customers' products faster but hurt vulnerable customers will run counter to the Consumer Duty and will make the brands less legitimate in the long term (FCA, 2022a).</w:t>
      </w:r>
    </w:p>
    <w:p w:rsidR="0079089C" w:rsidRPr="00847CEA" w:rsidRDefault="00C4197F"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lastRenderedPageBreak/>
        <w:t xml:space="preserve">From a technological perspective, generative AI and foundation models create risks of hallucination, prompt injection, data leakage, model drift and inadequate human oversight. </w:t>
      </w:r>
      <w:r w:rsidR="0079089C" w:rsidRPr="00847CEA">
        <w:rPr>
          <w:rFonts w:ascii="Times New Roman" w:hAnsi="Times New Roman" w:cs="Times New Roman"/>
          <w:sz w:val="24"/>
          <w:szCs w:val="24"/>
        </w:rPr>
        <w:t>In addition to the AI risk management framework, which outlines structured governance throughout the lifecycle of AI systems, NIST's Generative AI Profile outlines further risks that emerge with synthetic content and with general-purpose models that can be used for a variety of tasks (NIST, 2023; NIST, 2024). There is a distinction to be made between systems which affect the customer, the market or the regulation, and systems which are more of a productivity tool for the HSBC internal workforce and are less risky. The consequences of failure must be increased as is the control standard.</w:t>
      </w:r>
    </w:p>
    <w:p w:rsidR="0079089C" w:rsidRPr="00847CEA" w:rsidRDefault="0079089C"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HSBC is facing a disuniting regulatory and legal environment. The UK has opted for a principles-based approach via the pre-existing financial services rules, such as Consumer Duty, operational resilience, model risk expectations (FCA, 2021; FCA, 2022b). The EU AI Act establishes a horizontal approach that bases the framework on risk, and which could have an impact beyond the EU market (European Union, 2024; Bradford, 2012). There are other examples of guidance issued by the Hong Kong Special Administrative Region and interim measures by the PRC central government: Hong Kong has provided guidance on consumer protection for Generative AI (HKMA, 2024a), and the PRC central government has put in place interim measures for public use of Generative AI services, which include content and security requirements as well as obligations on the collection and processing of personal data (State Council of the PRC, 2023). This would not allow HSBC to have a single policy that is to be interpreted nationally.</w:t>
      </w:r>
    </w:p>
    <w:p w:rsidR="0079089C" w:rsidRPr="00847CEA" w:rsidRDefault="0079089C"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In the context of the environment, AI is driving up energy consumption and putting pressure on emissions, just as it is on computing. While not the primary banking risk, it is becoming a significant one as banks are tasked to link up their digital transformation with climate commitments and financed-emissions credibility. Sustainability should, therefore, be a part of the AI projects, both when it comes to training the models and to the reliance on cloud services and the need for data centres. A productivity tool which raises emissions (with no clear business value) may be contrary to the general expectations of the stakeholders in a reputationally sensitive bank (Freeman, 1984; OECD, 2019).</w:t>
      </w:r>
    </w:p>
    <w:p w:rsidR="008336D0" w:rsidRPr="00847CEA" w:rsidRDefault="00C85314" w:rsidP="00E368F5">
      <w:pPr>
        <w:pStyle w:val="Heading1"/>
        <w:spacing w:line="360" w:lineRule="auto"/>
        <w:jc w:val="both"/>
        <w:rPr>
          <w:rFonts w:ascii="Times New Roman" w:hAnsi="Times New Roman" w:cs="Times New Roman"/>
          <w:color w:val="auto"/>
        </w:rPr>
      </w:pPr>
      <w:bookmarkStart w:id="3" w:name="_Toc234453420"/>
      <w:r w:rsidRPr="00847CEA">
        <w:rPr>
          <w:rFonts w:ascii="Times New Roman" w:hAnsi="Times New Roman" w:cs="Times New Roman"/>
          <w:color w:val="auto"/>
        </w:rPr>
        <w:t>3. Main findings: international business theory and strategic positioning</w:t>
      </w:r>
      <w:bookmarkEnd w:id="3"/>
    </w:p>
    <w:p w:rsidR="0079089C" w:rsidRPr="00847CEA" w:rsidRDefault="0079089C"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 xml:space="preserve">The resource-based view can help explain the reasons behind the importance of capabilities rather than technology when it comes to AI advantage. Sustained advantage is achieved through the resources that are valuable, rare, difficult to imitate and organisationally embedded, argues Barney (1991). HSBC's rare resource isn't the software for AI – all the best models are available for purchase – it's the ability </w:t>
      </w:r>
      <w:r w:rsidRPr="00847CEA">
        <w:rPr>
          <w:rFonts w:ascii="Times New Roman" w:hAnsi="Times New Roman" w:cs="Times New Roman"/>
          <w:sz w:val="24"/>
          <w:szCs w:val="24"/>
        </w:rPr>
        <w:lastRenderedPageBreak/>
        <w:t>to manage them. Rarity is the skills of data governance, risk expertise, regulatory credibility and multilingual customer insight and cross border execution. That's why it's important that the AI strategy is not just part of the digital-transformation team, but is placed at the board level.</w:t>
      </w:r>
    </w:p>
    <w:p w:rsidR="0079089C" w:rsidRPr="00847CEA" w:rsidRDefault="0079089C"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 xml:space="preserve">This is further developed in dynamic capabilities theory. </w:t>
      </w:r>
      <w:r w:rsidR="001E304A" w:rsidRPr="00847CEA">
        <w:rPr>
          <w:rFonts w:ascii="Times New Roman" w:hAnsi="Times New Roman" w:cs="Times New Roman"/>
          <w:sz w:val="24"/>
          <w:szCs w:val="24"/>
        </w:rPr>
        <w:t>Teece, Pisano and Shuen (1997) argue that firms need to sense opportunities and reconfigure assets in response to changing environments</w:t>
      </w:r>
      <w:r w:rsidR="00195DED" w:rsidRPr="00847CEA">
        <w:rPr>
          <w:rFonts w:ascii="Times New Roman" w:hAnsi="Times New Roman" w:cs="Times New Roman"/>
          <w:sz w:val="24"/>
          <w:szCs w:val="24"/>
        </w:rPr>
        <w:t xml:space="preserve">. </w:t>
      </w:r>
      <w:r w:rsidRPr="00847CEA">
        <w:rPr>
          <w:rFonts w:ascii="Times New Roman" w:hAnsi="Times New Roman" w:cs="Times New Roman"/>
          <w:sz w:val="24"/>
          <w:szCs w:val="24"/>
        </w:rPr>
        <w:t>The regulation of AI is evolving rapidly, and HSBC must have a structure in place for regulation that is flexible enough to evolve without having to be constantly restructured. Some of the features of a dynamic AI capability would be model inventories, reusable validation templates, local regulatory playbooks, explainability standards and red-team testing. The exercises enable the bank to rapidly grow AI capabilities, while gaining insights from new regulation and incidents.</w:t>
      </w:r>
    </w:p>
    <w:p w:rsidR="0079089C" w:rsidRPr="00847CEA" w:rsidRDefault="00C4197F"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Institutional theory helps to explain why HSBC faces pressure to conform to several regulatory and industry expectations.</w:t>
      </w:r>
      <w:r w:rsidR="0079089C" w:rsidRPr="00847CEA">
        <w:rPr>
          <w:rFonts w:ascii="Times New Roman" w:hAnsi="Times New Roman" w:cs="Times New Roman"/>
          <w:sz w:val="24"/>
          <w:szCs w:val="24"/>
        </w:rPr>
        <w:t xml:space="preserve"> There are two types of pressures that are described by DiMaggio and Powell (1983) namely coercive and normative and mimetic. There are three sources of coercive pressure in banking: regulators, normative pressure in the form of industry standards, like ISO/IEC 42001, and mimetic pressure as a result of other competitors adopting the standard. The bank should not “copy and paste” others. It needs to have a governance structure that meets regulators' requirements, but doesn't compromise its strategic position. The Brussels Effect also applies as EU standards for data and AI can have an impact, even outside the EU, particularly if there are lower costs of producing a uniform product than of fragmenting it regionally (Bradford, 2012; European Union, 2024).</w:t>
      </w:r>
    </w:p>
    <w:p w:rsidR="0079089C" w:rsidRPr="00847CEA" w:rsidRDefault="0079089C"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The importance of micro-economic decision making is not to be overlooked. AI alters the price and information landscape of banking choices. While the increased availability of data can lessen the information disadvantage in the credit and fraud decision-making process, it can also widen the price gap or exclusion due to too fine a customer segmentation. Position in the industry determines competitive advantage, as well as the cost of the automated decision, and Porter (1980) argues that cost differentiation is the other factor in determining competitive advantage; however, in the banking industry, the lowest cost automated decision is not necessarily the optimal strategic decision. HSBC should thus have a decision rule: automation for decisions that are low impact, reversible and easily explained; and human review for decisions that are high impact, difficult to contest, and have a significant effect on the welfare of the customer.</w:t>
      </w:r>
    </w:p>
    <w:p w:rsidR="0079089C" w:rsidRPr="00847CEA" w:rsidRDefault="0079089C"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 xml:space="preserve">The conduct perspective is added by the ‘Stakeholder theory'. Customers, employees, regulators, shareholders and vendors and society are all impacted by HSBC's AI systems. A short-term perspective of shareholder interests can be at the detriment of automation if it is seen as cost-cutting. </w:t>
      </w:r>
      <w:r w:rsidRPr="00847CEA">
        <w:rPr>
          <w:rFonts w:ascii="Times New Roman" w:hAnsi="Times New Roman" w:cs="Times New Roman"/>
          <w:sz w:val="24"/>
          <w:szCs w:val="24"/>
        </w:rPr>
        <w:lastRenderedPageBreak/>
        <w:t>But stakeholder analysis reveals any reputational or regulatory difficulties caused by unfair credit blockage, lack of explanation of fraud or poor outcomes of complaints can have higher costs in the short term than the savings received from such measures (Freeman, 1984; Mitchell, Agle and Wood, 1997). So, it's important to have a different success measure for AI than being accurate. It should have the characteristics of fairness, explainability, resilience and customer outcomes and human accountability.</w:t>
      </w:r>
    </w:p>
    <w:p w:rsidR="0079089C" w:rsidRPr="00847CEA" w:rsidRDefault="0079089C"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The trade theory and internationalisation theory explains why HSBC's global model brings about efficiency and localization pressure. Gravity models imply that the size of the markets, the distance between them, and frictions and institutional compatibility (Head and Mayer, 2014) influence international flows. Distance in digital banking doesn't need to be a physical distance. It incorporates information-transfer obstructions, nearby permit, cyber security guidelines and regulatory requirements. The ownership advantages, location advantages and internalisation decisions are also important as they affect a bank's centralisation of a capability or maintaining it locally (Dunning, 1988), and are relevant to Dunning's eclectic paradigm. While a centralised AI governance approach can help to minimise duplication for HSBC, the decisions on local deployment will need to be guided by the local laws and customer expectations.</w:t>
      </w:r>
    </w:p>
    <w:p w:rsidR="008336D0" w:rsidRPr="00847CEA" w:rsidRDefault="00C85314" w:rsidP="00E368F5">
      <w:pPr>
        <w:pStyle w:val="Heading1"/>
        <w:spacing w:line="360" w:lineRule="auto"/>
        <w:jc w:val="both"/>
        <w:rPr>
          <w:rFonts w:ascii="Times New Roman" w:hAnsi="Times New Roman" w:cs="Times New Roman"/>
          <w:color w:val="auto"/>
        </w:rPr>
      </w:pPr>
      <w:bookmarkStart w:id="4" w:name="_Toc234453421"/>
      <w:r w:rsidRPr="00847CEA">
        <w:rPr>
          <w:rFonts w:ascii="Times New Roman" w:hAnsi="Times New Roman" w:cs="Times New Roman"/>
          <w:color w:val="auto"/>
        </w:rPr>
        <w:t>4. Main findings: data governance, ethical AI, compliance and trust</w:t>
      </w:r>
      <w:bookmarkEnd w:id="4"/>
    </w:p>
    <w:p w:rsidR="005C664D" w:rsidRPr="00847CEA" w:rsidRDefault="005C664D"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 xml:space="preserve">The first dimension of risk is data governance. AI systems require data for training, testing, and for their actual use in operations, along with feedback loops. The technically high end model may not be usable in a regulated bank if it is not clearly defined who is responsible for it, and the access control is weak. The GDPR principles of lawful, fair and transparent processing of personal data, and the AI governance standards of accountability and lifecycle controls (European Union, 2016; ISO, 2023) highlight the need to implement controls over AI systems and the need for accountability. HSBC should therefore keep one inventory of the AI models used in its various use cases, which should include information on the use case owner, the type of model being used, the types of data the model relies on, vendor dependency, approval status, jurisdictional restrictions and the rating of the impact of the use of the model on the customer. Explainability is the second dimension to risk. In banking – not only a maths requirement is there – it's a customer, regulator and audit requirement! Methods like LIME and SHAP can be used to give local and global explanations but, do not necessarily lead to a fair or legally defensible AI system (Ribeiro, Singh and Guestrin, 2016, Lundberg and Lee, 2017). In the field of finance, explainable AI research highlights the importance of governance, documentation and </w:t>
      </w:r>
      <w:r w:rsidRPr="00847CEA">
        <w:rPr>
          <w:rFonts w:ascii="Times New Roman" w:hAnsi="Times New Roman" w:cs="Times New Roman"/>
          <w:sz w:val="24"/>
          <w:szCs w:val="24"/>
        </w:rPr>
        <w:lastRenderedPageBreak/>
        <w:t>human interpretation, in addition to technical explanation tools, for production systems (Bussmann et al., 2020; Fritz-Morgenthal, Hein and Papenbrock, 2022). High impact models need to have model cards, decision logs and be clearly paced for human appeal for HSBC. The third risk dimension is the bias and ethical aspects of AI. Bias can be introduced at the stage of historical records, feature selection, labelling, missing data, model optimisation or when operating the model. A study participant might be disadvantaged by a credit model even though the model is statistically accurate because it is based on the historic inequality that existed among the study participants (Binns, 2018; Garcia, 2024). Pre-deployment fairness testing, documented overrides, and post deployment outcome monitoring of the deployment should all be used for HSBC. Even if the data is sensitive under a protected characteristic, the bank can conduct tests with privacy protections, such as testing proxies, error rates and customer outcomes. Ethical AI should be viewed as a risk management tool to operate risks as it can result in complaints, regulatory action, lawsuits, and reputation damage due to inequitable results. The fourth dimension is third party/ concentration risk. Use of generative AI is frequently reliant on model providers from outside the organization, cloud infrastructure, specialty data vendors and security providers. This means that there are operational resilience concerns. If there is a critical provider failure, a change of model, a breach or if the critical provider withdraws or otherwise makes a change, the bank may lose an important capability of a critical provider. FCA operational-resilience principles include the identification of critical business services, mapping of dependencies and ensuring impact tolerances are maintained during a disruption (FCA, 2021). Hence, HSBC should categorize AI vendors based on their criticality, have contingency plans for critical services, and assess their resilience in various scenarios like model outages, degraded accuracy and data breaches. Another problem associated with the lifecycle is model drift. Even if a model is proven to be valid in one period, it can lose its validity when the customer behavior, fraud techniques, interest rates, regulation or volatility of the market change. This is especially important for HSBC as customers' cross-border behaviour may take varying paces in various markets. In the case of high-risk models, it is crucial to monitor them after deployment, rather than simply approving them at deployment time. Investigate, implement temporary control or withdrawal should be considered if thresholds are exceeded. This shifts the bank's identity from one-time approval culture to an ongoing culture of assurance that aligns more with NIST and ISO/IEC 42001 (NIST, 2023; ISO, 2023) recommendation of a risk-based approach</w:t>
      </w:r>
      <w:r w:rsidR="00195DED" w:rsidRPr="00847CEA">
        <w:rPr>
          <w:rFonts w:ascii="Times New Roman" w:hAnsi="Times New Roman" w:cs="Times New Roman"/>
          <w:sz w:val="24"/>
          <w:szCs w:val="24"/>
        </w:rPr>
        <w:t xml:space="preserve">.The fifth dimension is 'Customer Trust'. When automation is quick, correct and subject to questioning, it is more likely to be accepted by customers. But, when the automated results seem random, not logical or when they cannot be explained by bank personnel, trust is diminished. If customers don't understand the decision, employees don't know how it came to be and HSBC can't </w:t>
      </w:r>
      <w:r w:rsidR="00195DED" w:rsidRPr="00847CEA">
        <w:rPr>
          <w:rFonts w:ascii="Times New Roman" w:hAnsi="Times New Roman" w:cs="Times New Roman"/>
          <w:sz w:val="24"/>
          <w:szCs w:val="24"/>
        </w:rPr>
        <w:lastRenderedPageBreak/>
        <w:t>prove it was fair, then it's a black box system that will create a problem of trust. The greater the likelihood of that the decision is understandable, contestable, proportionate and recorded, the more likely it is to be accepted</w:t>
      </w:r>
      <w:r w:rsidRPr="00847CEA">
        <w:rPr>
          <w:rFonts w:ascii="Times New Roman" w:hAnsi="Times New Roman" w:cs="Times New Roman"/>
          <w:sz w:val="24"/>
          <w:szCs w:val="24"/>
        </w:rPr>
        <w:t>. This is in line with the requirements of Consumer Duty, where firms are expected to achieve good outcomes rather than just follow procedural requirements (FCA, 2022a; Wachter, Mittelstadt and Floridi, 2017).</w:t>
      </w:r>
    </w:p>
    <w:p w:rsidR="008336D0" w:rsidRPr="00847CEA" w:rsidRDefault="00C85314" w:rsidP="00E368F5">
      <w:pPr>
        <w:pStyle w:val="Heading1"/>
        <w:spacing w:line="360" w:lineRule="auto"/>
        <w:jc w:val="both"/>
        <w:rPr>
          <w:rFonts w:ascii="Times New Roman" w:hAnsi="Times New Roman" w:cs="Times New Roman"/>
          <w:color w:val="auto"/>
        </w:rPr>
      </w:pPr>
      <w:bookmarkStart w:id="5" w:name="_Toc234453422"/>
      <w:r w:rsidRPr="00847CEA">
        <w:rPr>
          <w:rFonts w:ascii="Times New Roman" w:hAnsi="Times New Roman" w:cs="Times New Roman"/>
          <w:color w:val="auto"/>
        </w:rPr>
        <w:t>5. Regulatory comparison: UK, Hong Kong and mainland China</w:t>
      </w:r>
      <w:bookmarkEnd w:id="5"/>
    </w:p>
    <w:p w:rsidR="004B2EEA" w:rsidRPr="00847CEA" w:rsidRDefault="004B2EEA"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The principles-led regime is in place in the UK. The FCA has said it would prefer to see a safe and responsible use of AI in financial services, and while it doesn't want a new rulebook for AI in financial services, it has already implemented, and is seeking to build on, existing rules, AI testing programs and collaboration (FCA, 2025a; FCA, 2025b). This will provide flexibility for HSBC, but it will also bring about greater accountability. There's no lack of responsibility here – HSBC is going to have to be able to prove that it meets the Consumer Duty, operational resilience, data protection, senior manager accountability and the financial-crime requirements.</w:t>
      </w:r>
    </w:p>
    <w:p w:rsidR="004B2EEA" w:rsidRPr="00847CEA" w:rsidRDefault="004B2EEA"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 xml:space="preserve">In banking, Hong Kong is more </w:t>
      </w:r>
      <w:r w:rsidR="00706EA8" w:rsidRPr="00847CEA">
        <w:rPr>
          <w:rFonts w:ascii="Times New Roman" w:hAnsi="Times New Roman" w:cs="Times New Roman"/>
          <w:sz w:val="24"/>
          <w:szCs w:val="24"/>
        </w:rPr>
        <w:t xml:space="preserve">guidance-led and innovation-supportive </w:t>
      </w:r>
      <w:r w:rsidRPr="00847CEA">
        <w:rPr>
          <w:rFonts w:ascii="Times New Roman" w:hAnsi="Times New Roman" w:cs="Times New Roman"/>
          <w:sz w:val="24"/>
          <w:szCs w:val="24"/>
        </w:rPr>
        <w:t>than other. The HKMA has provided guidance to consumers on responsible use of generative AI tools (HKMA, 2024a), as well as encouraging responsible experimentation with generative AI tools via the GenA.I. Sandbox and the Sandbox++ (HKMA, 2026). This provides a good path to go through regulatory engagement for HSBC to experiment with the use cases for the customer. In Hong Kong, however, there are still high expectations for good governance, disclosure, fairness, data protection and human oversight. Ideally, HSBC should not treat Hong Kong as a testing ground for low-control solutions when it comes to innovation, and instead adopt a disciplined innovation hub approach.</w:t>
      </w:r>
    </w:p>
    <w:p w:rsidR="004B2EEA" w:rsidRPr="00847CEA" w:rsidRDefault="004B2EEA"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A new risk element comes from the Mainland China: that of regulation. The Interim Measures for generative AI services do not only cover public facing generative AI services but also contain requirements related to national security, lawful data use, content management and personal-information protection (State Council of the PRC, 2023). This also implies that any AI technology deployed to communicate with customers or in public content in the UK or Hong Kong can't just be replicated in mainland China. Local legal review, data-location assessment, content control and approval need to be built into the operating model of HSBC.</w:t>
      </w:r>
    </w:p>
    <w:p w:rsidR="004B2EEA" w:rsidRPr="00847CEA" w:rsidRDefault="004B2EEA"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 xml:space="preserve">It is in practice where these regimes converge: data transfer. While a global model might require data be collected from various jurisdictions, privacy legislation, banking secrecy, cybersecurity laws and customer consent might hinder migration or re-use. Not every design will be safest if it's centralised all </w:t>
      </w:r>
      <w:r w:rsidRPr="00847CEA">
        <w:rPr>
          <w:rFonts w:ascii="Times New Roman" w:hAnsi="Times New Roman" w:cs="Times New Roman"/>
          <w:sz w:val="24"/>
          <w:szCs w:val="24"/>
        </w:rPr>
        <w:lastRenderedPageBreak/>
        <w:t>the data. HSBC can leverage privacy-preserving techniques, data minimisation, local feature stores and federated/regional model-validation options when transferring data across borders is challenging. This will ensure there is still a global oversight and minimise unnecessary legal exposure (European Union, 2016; Information Commissioner's Office, 2023).</w:t>
      </w:r>
    </w:p>
    <w:p w:rsidR="004B2EEA" w:rsidRPr="00847CEA" w:rsidRDefault="004B2EEA"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The question is thus the standardisation versus localisation. While a centralized AI system can be efficient, it can also be vulnerable to legal issues. A completely localised model can meet local regulators' requirements, but will lead to duplication, a customer experience issue and limited group oversight. The recommended solution is to have a multi-layer compliance. The following should be covered in the group standards: minimum controls for inventory, validation, explainability, vendor risk and board reporting, and bias testing, and audit logs. Local jurisdictions should then add rules with regards to data transfer, disclosure, redress, language, content and regulator engagement. In this way, there is less fragmentation and institutional distance is respected (as defined by DiMaggio and Powell, 1983; Head and Mayer, 2014).</w:t>
      </w:r>
    </w:p>
    <w:p w:rsidR="008336D0" w:rsidRPr="00847CEA" w:rsidRDefault="00C85314" w:rsidP="00E368F5">
      <w:pPr>
        <w:pStyle w:val="Heading1"/>
        <w:spacing w:line="360" w:lineRule="auto"/>
        <w:jc w:val="both"/>
        <w:rPr>
          <w:rFonts w:ascii="Times New Roman" w:hAnsi="Times New Roman" w:cs="Times New Roman"/>
          <w:color w:val="auto"/>
        </w:rPr>
      </w:pPr>
      <w:bookmarkStart w:id="6" w:name="_Toc234453423"/>
      <w:r w:rsidRPr="00847CEA">
        <w:rPr>
          <w:rFonts w:ascii="Times New Roman" w:hAnsi="Times New Roman" w:cs="Times New Roman"/>
          <w:color w:val="auto"/>
        </w:rPr>
        <w:t>6. Recommendations and 24-month implementation plan</w:t>
      </w:r>
      <w:bookmarkEnd w:id="6"/>
    </w:p>
    <w:p w:rsidR="00807630" w:rsidRPr="00847CEA" w:rsidRDefault="00807630"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HSBC should take a 24-month long programme of AI risk management. The programme should be championed by the Board Risk Committee and shared ownership should be made between the Chief Risk Officer, Chief Data and Analytics Officer and Chief Information Officer. The recommendation is intentionally staged, in order to allow a global bank to not be paralysed by governance while innovation continues. Rather, it should take a “highest to lowest” approach, use common controls in the highest-risk uses and then introduce the framework to lower risk tools.</w:t>
      </w:r>
    </w:p>
    <w:p w:rsidR="00807630" w:rsidRPr="00847CEA" w:rsidRDefault="00807630"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There should be a three lines of defence model of the operating model. Use-case design, customer outcomes and can be monitored on a day-to-day basis should be owned by the first line. The second line should be a policy, validation of evidence of risk, and conduct risk monitoring. The third line should give independent assurance on the completeness of inventory, the effectiveness of their control and regulatory evidence. This minimizes the risk of shadow AI and helps to ensure that AI tools are used within the proper channels and at the proper time.</w:t>
      </w:r>
    </w:p>
    <w:p w:rsidR="00807630" w:rsidRPr="00847CEA" w:rsidRDefault="00807630"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 xml:space="preserve">The first step is to develop the standard of the inventory and risk tiering of AI in mandatory compliance within six months. All AI use cases need to be segmented using the following criteria: Customer impact, Financial materiality, Regulatory sensitivity, Automation level, Model complexity and jurisdiction. In the case of high-risk systems, it's important to have independent validation prior to live deployment. A system evaluation should also include if a system is utilizing personal data, </w:t>
      </w:r>
      <w:r w:rsidRPr="00847CEA">
        <w:rPr>
          <w:rFonts w:ascii="Times New Roman" w:hAnsi="Times New Roman" w:cs="Times New Roman"/>
          <w:sz w:val="24"/>
          <w:szCs w:val="24"/>
        </w:rPr>
        <w:lastRenderedPageBreak/>
        <w:t>external vendors, foundation models or automated customer communication. If it is not in this inventory, HSBC won't be able to determine if its AI risk is under control or it's spread out across functions.</w:t>
      </w:r>
    </w:p>
    <w:p w:rsidR="00807630" w:rsidRPr="00847CEA" w:rsidRDefault="00807630"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The second action is to create an explainability/ fairness control approach. All high impact models should be well documented, have approved data sources, performance thresholds, tests for fairness, outputs of explainability, have human override rules and post-deployment monitoring. There should be customer-explanation templates in the framework for declined applications and for fraud interventions and outcomes of complaints. This will enhance HSBC's technical governance and its accountability to regulators, while also strengthening customer trust (Bussmann et al., 2020; FCA, 2024a).</w:t>
      </w:r>
    </w:p>
    <w:p w:rsidR="00807630" w:rsidRPr="00847CEA" w:rsidRDefault="00807630"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 xml:space="preserve">The third suggestion is to further enhance the governance of third party AI. HSBC should mandate critical vendors to alert them to model changes, evidence of security, data processing conditions, testing for resilience, visibility of subcontractors, exit support. For the use in foundation models, the bank should test the following: prompt injection, hallucination, data leakage and model-output drift. </w:t>
      </w:r>
      <w:r w:rsidR="00706EA8" w:rsidRPr="00847CEA">
        <w:rPr>
          <w:rFonts w:ascii="Times New Roman" w:hAnsi="Times New Roman" w:cs="Times New Roman"/>
          <w:sz w:val="24"/>
          <w:szCs w:val="24"/>
        </w:rPr>
        <w:t xml:space="preserve">This is crucial as one or two AI or cloud providers that serve numerous financial institutions could trigger systemic operational risk. </w:t>
      </w:r>
      <w:r w:rsidRPr="00847CEA">
        <w:rPr>
          <w:rFonts w:ascii="Times New Roman" w:hAnsi="Times New Roman" w:cs="Times New Roman"/>
          <w:sz w:val="24"/>
          <w:szCs w:val="24"/>
        </w:rPr>
        <w:t>(Bank of England, 2025; FSB, 2024).</w:t>
      </w:r>
    </w:p>
    <w:p w:rsidR="00807630" w:rsidRPr="00847CEA" w:rsidRDefault="00807630"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The fourth one is to introduce a local compliance overlay to the UK, Hong Kong and mainland China. Consumer Duty, operational resilience, explainable customer outcomes will be the focus of the UK overlay. The Hong Kong overlay should be oriented towards the orientation of the guidance of the HKMA, consumer disclosure and sandboxes engagement. The security assessment, data localisation, content controls and legal review should be the key issues to be addressed in the mainland China overlay. These overlays are not intended to be a replacement for the group AI standard, but are designed to be converting the group AI standard to local regulatory evidence.</w:t>
      </w:r>
    </w:p>
    <w:p w:rsidR="00807630" w:rsidRPr="00847CEA" w:rsidRDefault="00807630"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The fifth recommendation is to put AI Governance into the market's spotlight. The balanced scorecard set of metrics for HSBC to report to the board on AI risk should be: value delivered, risk reduced, incidents, customer outcomes, regulatory findings, model drift, remediation speed. This will eliminate the cost-cutting cutthroat competition that the AI is subjected to. The board should approve the use cases that have the greatest impact, keep a close watch on exceptions and mandate a separate, independent audit opinion by internal audit. This establishes a connection between innovation and accountability as it is an integral part of Level 7 strategic analysis.</w:t>
      </w:r>
    </w:p>
    <w:p w:rsidR="00807630" w:rsidRPr="00847CEA" w:rsidRDefault="00807630"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 xml:space="preserve">During Phase 1 (month 1-6) it is best to build up governance, inventory and risk taxonomy. The outputs shall comprise the AI policy, inventory of models, risk tiers, approval gates and a board </w:t>
      </w:r>
      <w:r w:rsidRPr="00847CEA">
        <w:rPr>
          <w:rFonts w:ascii="Times New Roman" w:hAnsi="Times New Roman" w:cs="Times New Roman"/>
          <w:sz w:val="24"/>
          <w:szCs w:val="24"/>
        </w:rPr>
        <w:lastRenderedPageBreak/>
        <w:t>dashboard. Months 7-12 will be dedicated to validation and fairness testing, vendor resilience and training for risk / compliance / data / frontline teams to work in Phase 2. PHASE 3 (M13-M18) should involve local over-lays for UK, Hong Kong and mainland China and to conduct red team testing on most material use cases. Review and continuous improvement of the programme will take place at an internal audit assurance meeting in phase 4, months 19-24, optimising the programme.</w:t>
      </w:r>
    </w:p>
    <w:p w:rsidR="00807630" w:rsidRPr="00847CEA" w:rsidRDefault="00807630"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Since the cost plan details of internal projects are not available, the following cost plan is illustrative of the range of costs that HSBC will be planning on the board, and is not an indication of any vendor quotations. The actual figures should be used in place of these in Phase 1, after having been validated by procurement. However, adding ranges makes the recommendation more practically credible as it demonstrates a need to invest in AI governance and not just rely on a “governance by policy” approach.</w:t>
      </w:r>
    </w:p>
    <w:p w:rsidR="008336D0" w:rsidRPr="00847CEA" w:rsidRDefault="00C85314" w:rsidP="00E368F5">
      <w:pPr>
        <w:pStyle w:val="Heading2"/>
        <w:spacing w:line="360" w:lineRule="auto"/>
        <w:jc w:val="both"/>
        <w:rPr>
          <w:rFonts w:ascii="Times New Roman" w:hAnsi="Times New Roman" w:cs="Times New Roman"/>
          <w:color w:val="auto"/>
        </w:rPr>
      </w:pPr>
      <w:bookmarkStart w:id="7" w:name="_Toc234453424"/>
      <w:r w:rsidRPr="00847CEA">
        <w:rPr>
          <w:rFonts w:ascii="Times New Roman" w:hAnsi="Times New Roman" w:cs="Times New Roman"/>
          <w:color w:val="auto"/>
        </w:rPr>
        <w:t>Indicative 24-month cost envelope</w:t>
      </w:r>
      <w:bookmarkEnd w:id="7"/>
    </w:p>
    <w:p w:rsidR="00E07352" w:rsidRPr="00847CEA" w:rsidRDefault="00E07352" w:rsidP="00E368F5">
      <w:pPr>
        <w:spacing w:line="360" w:lineRule="auto"/>
        <w:jc w:val="both"/>
        <w:rPr>
          <w:rFonts w:ascii="Times New Roman" w:hAnsi="Times New Roman" w:cs="Times New Roman"/>
          <w:sz w:val="24"/>
          <w:szCs w:val="24"/>
        </w:rPr>
      </w:pPr>
      <w:r w:rsidRPr="00847CEA">
        <w:rPr>
          <w:rFonts w:ascii="Times New Roman" w:hAnsi="Times New Roman" w:cs="Times New Roman"/>
          <w:sz w:val="24"/>
          <w:szCs w:val="24"/>
        </w:rPr>
        <w:t>These are not listed as HSBC internal costs or vendor quotes as they must be checked in the procurement process in Phase 1.</w:t>
      </w:r>
    </w:p>
    <w:tbl>
      <w:tblPr>
        <w:tblStyle w:val="TableGrid"/>
        <w:tblW w:w="0" w:type="auto"/>
        <w:tblLook w:val="04A0"/>
      </w:tblPr>
      <w:tblGrid>
        <w:gridCol w:w="2484"/>
        <w:gridCol w:w="2484"/>
        <w:gridCol w:w="2484"/>
        <w:gridCol w:w="2484"/>
      </w:tblGrid>
      <w:tr w:rsidR="00847CEA" w:rsidRPr="00847CEA" w:rsidTr="00AE1F1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t>Cost area</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t>Purpose</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t>Indicative range</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t>Owner</w:t>
            </w:r>
          </w:p>
        </w:tc>
      </w:tr>
      <w:tr w:rsidR="00847CEA" w:rsidRPr="00847CEA" w:rsidTr="00AE1F1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AI inventory and governance platform</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Single register, workflow, audit trail and board reporting</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GBP 4m-7m</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CDAO/CRO</w:t>
            </w:r>
          </w:p>
        </w:tc>
      </w:tr>
      <w:tr w:rsidR="00847CEA" w:rsidRPr="00847CEA" w:rsidTr="00AE1F1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Model validation and fairness testing</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Independent testing, explainability tools, monitoring and documentation</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GBP 6m-10m</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CRO</w:t>
            </w:r>
          </w:p>
        </w:tc>
      </w:tr>
      <w:tr w:rsidR="00847CEA" w:rsidRPr="00847CEA" w:rsidTr="00AE1F1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Vendor and resilience assurance</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Critical supplier reviews, exit plans, cyber testing and scenario exercises</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GBP 5m-8m</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CIO/Procurement</w:t>
            </w:r>
          </w:p>
        </w:tc>
      </w:tr>
      <w:tr w:rsidR="00847CEA" w:rsidRPr="00847CEA" w:rsidTr="00AE1F1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Local compliance overlays</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UK, Hong Kong and mainland China legal interpretation, control mapping and regulator engagement</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GBP 4m-7m</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General Counsel</w:t>
            </w:r>
          </w:p>
        </w:tc>
      </w:tr>
      <w:tr w:rsidR="00847CEA" w:rsidRPr="00847CEA" w:rsidTr="00AE1F1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Training and change management</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Board, risk, data, compliance and frontline capability building</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GBP 2m-4m</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HR/CDAO</w:t>
            </w:r>
          </w:p>
        </w:tc>
      </w:tr>
      <w:tr w:rsidR="00847CEA" w:rsidRPr="00847CEA" w:rsidTr="00AE1F1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Internal audit and continuous assurance</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Assurance reviews, issue tracking and remediation testing</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GBP 3m-5m</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Internal Audit</w:t>
            </w:r>
          </w:p>
        </w:tc>
      </w:tr>
      <w:tr w:rsidR="00847CEA" w:rsidRPr="00847CEA" w:rsidTr="00AE1F1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Contingency</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 xml:space="preserve">Allowance for model </w:t>
            </w:r>
            <w:r w:rsidRPr="00847CEA">
              <w:rPr>
                <w:rFonts w:ascii="Times New Roman" w:hAnsi="Times New Roman" w:cs="Times New Roman"/>
                <w:sz w:val="18"/>
              </w:rPr>
              <w:lastRenderedPageBreak/>
              <w:t>remediation and changing regulation</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lastRenderedPageBreak/>
              <w:t>GBP 4m-7m</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Board Risk Committee</w:t>
            </w:r>
          </w:p>
        </w:tc>
      </w:tr>
      <w:tr w:rsidR="00847CEA" w:rsidRPr="00847CEA" w:rsidTr="00AE1F1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lastRenderedPageBreak/>
              <w:t>Total planning range</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t>24-month envelope for a global bank programme</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t>GBP 28m-48m</w:t>
            </w:r>
          </w:p>
        </w:tc>
        <w:tc>
          <w:tcPr>
            <w:tcW w:w="2484"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t>Executive Committee</w:t>
            </w:r>
          </w:p>
        </w:tc>
      </w:tr>
    </w:tbl>
    <w:p w:rsidR="008336D0" w:rsidRPr="00847CEA" w:rsidRDefault="008336D0" w:rsidP="00E368F5">
      <w:pPr>
        <w:spacing w:line="360" w:lineRule="auto"/>
        <w:jc w:val="both"/>
        <w:rPr>
          <w:rFonts w:ascii="Times New Roman" w:hAnsi="Times New Roman" w:cs="Times New Roman"/>
        </w:rPr>
      </w:pPr>
    </w:p>
    <w:p w:rsidR="008336D0" w:rsidRPr="00847CEA" w:rsidRDefault="00C85314" w:rsidP="00E368F5">
      <w:pPr>
        <w:pStyle w:val="Heading2"/>
        <w:spacing w:line="360" w:lineRule="auto"/>
        <w:jc w:val="both"/>
        <w:rPr>
          <w:rFonts w:ascii="Times New Roman" w:hAnsi="Times New Roman" w:cs="Times New Roman"/>
          <w:color w:val="auto"/>
        </w:rPr>
      </w:pPr>
      <w:bookmarkStart w:id="8" w:name="_Toc234453425"/>
      <w:r w:rsidRPr="00847CEA">
        <w:rPr>
          <w:rFonts w:ascii="Times New Roman" w:hAnsi="Times New Roman" w:cs="Times New Roman"/>
          <w:color w:val="auto"/>
        </w:rPr>
        <w:t>KPI scorecard</w:t>
      </w:r>
      <w:bookmarkEnd w:id="8"/>
    </w:p>
    <w:tbl>
      <w:tblPr>
        <w:tblStyle w:val="TableGrid"/>
        <w:tblW w:w="0" w:type="auto"/>
        <w:tblLook w:val="04A0"/>
      </w:tblPr>
      <w:tblGrid>
        <w:gridCol w:w="1987"/>
        <w:gridCol w:w="1987"/>
        <w:gridCol w:w="1987"/>
        <w:gridCol w:w="1987"/>
        <w:gridCol w:w="1987"/>
      </w:tblGrid>
      <w:tr w:rsidR="00847CEA" w:rsidRPr="00847CEA" w:rsidTr="00AE1F1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t>KPI</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t>Baseline</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t>Target</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t>Timeline</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b/>
                <w:sz w:val="18"/>
              </w:rPr>
              <w:t>Owner</w:t>
            </w:r>
          </w:p>
        </w:tc>
      </w:tr>
      <w:tr w:rsidR="00847CEA" w:rsidRPr="00847CEA" w:rsidTr="00AE1F1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AI use cases recorded in group inventory</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Public baseline unavailable; internal baseline confirmed by Month 2</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100% of known use cases registered</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Month 6</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CDAO</w:t>
            </w:r>
          </w:p>
        </w:tc>
      </w:tr>
      <w:tr w:rsidR="00847CEA" w:rsidRPr="00847CEA" w:rsidTr="00AE1F1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High-risk models independently validated</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Baseline confirmed after inventory</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100% before live deployment</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Month 12 onward</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CRO</w:t>
            </w:r>
          </w:p>
        </w:tc>
      </w:tr>
      <w:tr w:rsidR="00847CEA" w:rsidRPr="00847CEA" w:rsidTr="00AE1F1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Customer-impacting models with explanation templates</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Baseline confirmed after inventory</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95% of high-impact models</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Month 18</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CRO/Conduct</w:t>
            </w:r>
          </w:p>
        </w:tc>
      </w:tr>
      <w:tr w:rsidR="00847CEA" w:rsidRPr="00847CEA" w:rsidTr="00AE1F1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Critical AI vendors with exit and resilience plans</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Baseline confirmed after supplier mapping</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100% of critical vendors</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Month 18</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CIO/Procurement</w:t>
            </w:r>
          </w:p>
        </w:tc>
      </w:tr>
      <w:tr w:rsidR="00847CEA" w:rsidRPr="00847CEA" w:rsidTr="00AE1F1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Fairness and bias monitoring coverage</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Baseline confirmed after risk tiering</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100% of high-risk retail models</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Month 18</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CRO</w:t>
            </w:r>
          </w:p>
        </w:tc>
      </w:tr>
      <w:tr w:rsidR="00847CEA" w:rsidRPr="00847CEA" w:rsidTr="00AE1F1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Material AI incidents escalated within policy timeframe</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New policy baseline set in Phase 1</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95% within agreed timeframe</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Month 24</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Risk/Technology</w:t>
            </w:r>
          </w:p>
        </w:tc>
      </w:tr>
      <w:tr w:rsidR="00847CEA" w:rsidRPr="00847CEA" w:rsidTr="00AE1F1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Local regulatory overlays completed</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0 overlays in new programme structure</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UK, Hong Kong and mainland China completed</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Month 18</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Legal/Compliance</w:t>
            </w:r>
          </w:p>
        </w:tc>
      </w:tr>
      <w:tr w:rsidR="00847CEA" w:rsidRPr="00847CEA" w:rsidTr="00AE1F1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Board dashboard maturity</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Initial dashboard by Month 6</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Quarterly report with trend metrics and exceptions</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Month 24</w:t>
            </w:r>
          </w:p>
        </w:tc>
        <w:tc>
          <w:tcPr>
            <w:tcW w:w="1987" w:type="dxa"/>
          </w:tcPr>
          <w:p w:rsidR="008336D0" w:rsidRPr="00847CEA" w:rsidRDefault="00C85314" w:rsidP="00E368F5">
            <w:pPr>
              <w:spacing w:line="360" w:lineRule="auto"/>
              <w:jc w:val="both"/>
              <w:rPr>
                <w:rFonts w:ascii="Times New Roman" w:hAnsi="Times New Roman" w:cs="Times New Roman"/>
              </w:rPr>
            </w:pPr>
            <w:r w:rsidRPr="00847CEA">
              <w:rPr>
                <w:rFonts w:ascii="Times New Roman" w:hAnsi="Times New Roman" w:cs="Times New Roman"/>
                <w:sz w:val="18"/>
              </w:rPr>
              <w:t>Board Risk Committee</w:t>
            </w:r>
          </w:p>
        </w:tc>
      </w:tr>
    </w:tbl>
    <w:p w:rsidR="008336D0" w:rsidRPr="00847CEA" w:rsidRDefault="00C85314" w:rsidP="00E368F5">
      <w:pPr>
        <w:pStyle w:val="Heading1"/>
        <w:spacing w:line="360" w:lineRule="auto"/>
        <w:jc w:val="both"/>
        <w:rPr>
          <w:rFonts w:ascii="Times New Roman" w:hAnsi="Times New Roman" w:cs="Times New Roman"/>
          <w:color w:val="auto"/>
        </w:rPr>
      </w:pPr>
      <w:bookmarkStart w:id="9" w:name="_Toc234453426"/>
      <w:r w:rsidRPr="00847CEA">
        <w:rPr>
          <w:rFonts w:ascii="Times New Roman" w:hAnsi="Times New Roman" w:cs="Times New Roman"/>
          <w:color w:val="auto"/>
        </w:rPr>
        <w:t>7. Conclusion</w:t>
      </w:r>
      <w:bookmarkEnd w:id="9"/>
    </w:p>
    <w:p w:rsidR="000C3C40" w:rsidRDefault="000C3C40" w:rsidP="008230CD">
      <w:pPr>
        <w:spacing w:line="360" w:lineRule="auto"/>
        <w:jc w:val="both"/>
        <w:rPr>
          <w:rFonts w:ascii="Times New Roman" w:hAnsi="Times New Roman" w:cs="Times New Roman"/>
          <w:sz w:val="24"/>
          <w:szCs w:val="24"/>
        </w:rPr>
      </w:pPr>
      <w:r w:rsidRPr="000C3C40">
        <w:rPr>
          <w:rFonts w:ascii="Times New Roman" w:hAnsi="Times New Roman" w:cs="Times New Roman"/>
          <w:sz w:val="24"/>
          <w:szCs w:val="24"/>
        </w:rPr>
        <w:t xml:space="preserve">In this report, we have also made a case that AI is increasingly becoming an infrastructure problem rather than a specialist technology problem for HSBC, and also a strategic one. Even though these are some of the advantages of using AI, it also has the ability to increase risk of a systemic, conduct, legal, </w:t>
      </w:r>
      <w:r w:rsidRPr="000C3C40">
        <w:rPr>
          <w:rFonts w:ascii="Times New Roman" w:hAnsi="Times New Roman" w:cs="Times New Roman"/>
          <w:sz w:val="24"/>
          <w:szCs w:val="24"/>
        </w:rPr>
        <w:lastRenderedPageBreak/>
        <w:t>and trust nature. The challenge of managing AI extends beyond just adoption of models, it lies in managing AI beyond the boundaries of geography, business function, vendor and customer outcome.</w:t>
      </w:r>
    </w:p>
    <w:p w:rsidR="008230CD" w:rsidRPr="008230CD" w:rsidRDefault="008230CD" w:rsidP="008230CD">
      <w:pPr>
        <w:spacing w:line="360" w:lineRule="auto"/>
        <w:jc w:val="both"/>
        <w:rPr>
          <w:rFonts w:ascii="Times New Roman" w:hAnsi="Times New Roman" w:cs="Times New Roman"/>
          <w:sz w:val="24"/>
          <w:szCs w:val="24"/>
        </w:rPr>
      </w:pPr>
      <w:r w:rsidRPr="008230CD">
        <w:rPr>
          <w:rFonts w:ascii="Times New Roman" w:hAnsi="Times New Roman" w:cs="Times New Roman"/>
          <w:sz w:val="24"/>
          <w:szCs w:val="24"/>
        </w:rPr>
        <w:t>The proposed model is an "evidence-based" 'layered' AI governance approach. Global standards must be in control of inventory, validation, explainability, fairness, vendor resiliency and board reporting. Those standards should be controlled by local overlays to the standards that are expected in the UK, Hong Kong and mainland China. This structure directly responds to the brief of the assignment with regard to political, technological and regulatory change, and the macroeconomic pressures, the microeconomic decision making, internationalisation and the implementation in practice.</w:t>
      </w:r>
    </w:p>
    <w:p w:rsidR="008336D0" w:rsidRPr="00847CEA" w:rsidRDefault="00B13A3D" w:rsidP="00E368F5">
      <w:pPr>
        <w:spacing w:line="360" w:lineRule="auto"/>
        <w:jc w:val="both"/>
        <w:rPr>
          <w:rFonts w:ascii="Times New Roman" w:hAnsi="Times New Roman" w:cs="Times New Roman"/>
        </w:rPr>
      </w:pPr>
      <w:r w:rsidRPr="00B13A3D">
        <w:rPr>
          <w:rFonts w:ascii="Times New Roman" w:hAnsi="Times New Roman" w:cs="Times New Roman"/>
          <w:sz w:val="24"/>
          <w:szCs w:val="24"/>
        </w:rPr>
        <w:t>In terms of knowing the benefits of the AI for HSBC but without being ignorant, this will depend on the successful deployment and thus competitive advantage of the AI. As long as the bank can prove its AI is fair, explainable, robust, and compliant (or behaving well in a local context), then the AI is a strategic capability. Here is when the AI could become a burden, both a supervisory challenge and a risk to the reputation of the bank. Here is when the board should define the time frame for the 24-month implementation period, agree on the cost envelope for Phase 1 and define the KPIs for the senior owners.</w:t>
      </w:r>
      <w:r w:rsidR="00C85314" w:rsidRPr="00847CEA">
        <w:rPr>
          <w:rFonts w:ascii="Times New Roman" w:hAnsi="Times New Roman" w:cs="Times New Roman"/>
        </w:rPr>
        <w:br w:type="page"/>
      </w:r>
    </w:p>
    <w:p w:rsidR="00AE1F1C" w:rsidRPr="00847CEA" w:rsidRDefault="00AE1F1C" w:rsidP="00AE1F1C">
      <w:pPr>
        <w:pStyle w:val="Heading1"/>
        <w:rPr>
          <w:color w:val="auto"/>
        </w:rPr>
      </w:pPr>
      <w:bookmarkStart w:id="10" w:name="_Toc234453427"/>
      <w:r w:rsidRPr="00847CEA">
        <w:rPr>
          <w:color w:val="auto"/>
        </w:rPr>
        <w:lastRenderedPageBreak/>
        <w:t>Bibliography</w:t>
      </w:r>
      <w:bookmarkEnd w:id="10"/>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Bank of England (2025) Financial Stability in Focus: Artificial Intelligence in the Financial System. Available at: https://www.bankofengland.co.uk/financial-stability-in-focus/2025/april-2025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Bank of England and Financial Conduct Authority (2024) Artificial Intelligence in UK Financial Services - 2024. Available at: https://www.bankofengland.co.uk/report/2024/artificial-intelligence-in-uk-financial-services-2024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Bank for International Settlements (2025) Financial Stability Implications of Artificial Intelligence. Available at: https://www.bis.org/fsi/fsisummaries/exsum_23904.htm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Barney, J.B. (1991) 'Firm resources and sustained competitive advantage', Journal of Management, 17(1), pp. 99-120. https://doi.org/10.1177/014920639101700108.</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Barocas, S., Hardt, M. and Narayanan, A. (2019) Fairness and Machine Learning: Limitations and Opportunities. Available at: https://fairmlbook.org/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Binns, R. (2018) 'Fairness in machine learning: lessons from political philosophy', Proceedings of Machine Learning Research, 81, pp. 1-11. Available at: https://proceedings.mlr.press/v81/binns18a.html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Bradford, A. (2012) 'The Brussels Effect', Northwestern University Law Review, 107(1), pp. 1-68. Available at: https://scholarlycommons.law.northwestern.edu/nulr/vol107/iss1/1/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Bussmann, N., Giudici, P., Marinelli, D. and Papenbrock, J. (2020) 'Explainable AI in fintech risk management', Frontiers in Artificial Intelligence, 3, Article 26. https://doi.org/10.3389/frai.2020.00026.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Danielsson, J. and Uthemann, A. (2024) Artificial Intelligence and Financial Crises. Available at: https://arxiv.org/abs/2407.17048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DiMaggio, P.J. and Powell, W.W. (1983) 'The iron cage revisited: institutional isomorphism and collective rationality in organizational fields', American Sociological Review, 48(2), pp. 147-160. https://doi.org/10.2307/2095101.</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Dunning, J.H. (1988) 'The eclectic paradigm of international production: a restatement and some possible extensions', Journal of International Business Studies, 19(1), pp. 1-31. https://doi.org/10.1057/palgrave.jibs.8490372.</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European Commission High-Level Expert Group on AI (2019) Ethics Guidelines for Trustworthy AI. Available at: https://digital-strategy.ec.europa.eu/en/library/ethics-guidelines-trustworthy-ai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European Union (2016) Regulation (EU) 2016/679: General Data Protection Regulation. Available at: https://eur-lex.europa.eu/eli/reg/2016/679/oj/eng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European Union (2024) Regulation (EU) 2024/1689: Artificial Intelligence Act. Available at: https://eur-lex.europa.eu/eli/reg/2024/1689/oj/eng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Financial Conduct Authority (2021) PS21/3: Building Operational Resilience. Available at: https://www.fca.org.uk/publications/policy-statements/ps21-3-building-operational-resilience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Financial Conduct Authority (2022a) FG22/5: Final Non-Handbook Guidance for Firms on the Consumer Duty. Available at: https://www.fca.org.uk/publication/finalised-guidance/fg22-5.pdf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lastRenderedPageBreak/>
        <w:t>Financial Conduct Authority (2022b) PS22/9: A New Consumer Duty. Available at: https://www.fca.org.uk/publications/policy-statements/ps22-9-new-consumer-duty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Financial Conduct Authority (2024a) Addressing Bias in Supervised Machine Learning for Financial Services. Available at: https://www.fca.org.uk/publication/research-notes/literature-review-bias-in-supervised-machine-learning.pdf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Financial Conduct Authority (2025a) AI and the FCA: Our Approach. Available at: https://www.fca.org.uk/firms/innovation/ai-approach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Financial Conduct Authority (2025b) AI: Artificial Intelligence in Financial Services. Available at: https://www.fca.org.uk/firms/ai-financial-services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Financial Stability Board (2024) The Financial Stability Implications of Artificial Intelligence. Available at: https://www.fsb.org/uploads/P14112024.pdf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Floridi, L., Cowls, J., Beltrametti, M., Chatila, R., Chazerand, P., Dignum, V., Luetge, C., Madelin, R., Pagallo, U., Rossi, F., Schafer, B., Valcke, P. and Vayena, E. (2018) 'AI4People - An ethical framework for a good AI society', Minds and Machines, 28, pp. 689-707. https://doi.org/10.1007/s11023-018-9482-5.</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Freeman, R.E. (1984) Strategic Management: A Stakeholder Approach. Boston: Pitman.</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Fritz-Morgenthal, S., Hein, B. and Papenbrock, J. (2022) 'Financial risk management and explainable, trustworthy, responsible AI', Frontiers in Artificial Intelligence, 5, Article 779799. https://doi.org/10.3389/frai.2022.779799.</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Garcia, A.C.B. (2024) 'Algorithmic discrimination in the credit domain: what do we know about it?', AI and Society, 39, pp. 2059-2098. https://doi.org/10.1007/s00146-023-01676-3.</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Head, K. and Mayer, T. (2014) 'Gravity equations: workhorse, toolkit, and cookbook', in Gopinath, G., Helpman, E. and Rogoff, K. (eds.) Handbook of International Economics, Vol. 4. Amsterdam: Elsevier, pp. 131-195. https://doi.org/10.1016/B978-0-444-54314-1.00003-3.</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Hong Kong Institute for Monetary and Financial Research (2025) Financial Services in the Era of Generative AI. Available at: https://www.aof.org.hk/docs/default-source/hkimr/applied-research-report/genairep1.pdf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Hong Kong Monetary Authority (2024a) Consumer Protection in Respect of Use of Generative Artificial Intelligence. Available at: https://brdr.hkma.gov.hk/eng/doc-ldg/docId/20241107-1-EN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Hong Kong Monetary Authority (2024b) Generative Artificial Intelligence in the Financial Services Space. Available at: https://brdr.hkma.gov.hk/eng/doc-ldg/docId/20241118-4-EN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Hong Kong Monetary Authority (2026) Regulators Launch GenA.I. Sandbox++ to Foster A.I. Innovation across the Financial Sector. Available at: https://www.hkma.gov.hk/eng/news-and-media/press-releases/2026/03/20260305-3/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HSBC Holdings plc (2025) Annual Report and Accounts 2024. Available at: https://www.hsbc.com/investors/results-and-announcements/annual-report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lastRenderedPageBreak/>
        <w:t>HSBC Holdings plc (2026) Annual Report and Accounts 2025. Available at: https://www.hsbc.com/investors/results-and-announcements/annual-report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Information Commissioner's Office (2023) Guidance on AI and Data Protection. Available at: https://ico.org.uk/for-organisations/uk-gdpr-guidance-and-resources/artificial-intelligence/guidance-on-ai-and-data-protection/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International Monetary Fund (2024a) Global Financial Stability Report: Steadying the Course - Uncertainty, Artificial Intelligence, and Financial Stability. Available at: https://www.imf.org/en/publications/gfsr/issues/2024/10/22/global-financial-stability-report-october-2024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International Monetary Fund (2024b) The Economic Impacts and the Regulation of AI. IMF Working Paper No. 2024/065. Available at: https://www.elibrary.imf.org/view/journals/001/2024/065/article-A001-en.xml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ISO (2023) ISO/IEC 42001:2023 Artificial Intelligence Management System. Available at: https://www.iso.org/standard/42001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Kaplan, R.S. and Mikes, A. (2012) 'Managing risks: a new framework', Harvard Business Review, 90(6), pp. 48-60. Available at: https://hbr.org/2012/06/managing-risks-a-new-framework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Kaplan, A. and Haenlein, M. (2019) 'Siri, Siri, in my hand: who's the fairest in the land?', Business Horizons, 62(1), pp. 15-25. https://doi.org/10.1016/j.bushor.2018.08.004.</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Kearns, M. and Roth, A. (2019) The Ethical Algorithm: The Science of Socially Aware Algorithm Design. Oxford: Oxford University Press.</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Lundberg, S.M. and Lee, S.-I. (2017) 'A unified approach to interpreting model predictions', Advances in Neural Information Processing Systems, 30. Available at: https://arxiv.org/abs/1705.07874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Mehrabi, N., Morstatter, F., Saxena, N., Lerman, K. and Galstyan, A. (2021) 'A survey on bias and fairness in machine learning', ACM Computing Surveys, 54(6), Article 115. https://doi.org/10.1145/3457607.</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Mittelstadt, B.D., Allo, P., Taddeo, M., Wachter, S. and Floridi, L. (2016) 'The ethics of algorithms: mapping the debate', Big Data &amp; Society, 3(2). https://doi.org/10.1177/2053951716679679.</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Mitchell, R.K., Agle, B.R. and Wood, D.J. (1997) 'Toward a theory of stakeholder identification and salience', Academy of Management Review, 22(4), pp. 853-886. https://doi.org/10.5465/amr.1997.9711022105.</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National Institute of Standards and Technology (2023) Artificial Intelligence Risk Management Framework (AI RMF 1.0). Available at: https://www.nist.gov/itl/ai-risk-management-framework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National Institute of Standards and Technology (2024) Artificial Intelligence Risk Management Framework: Generative Artificial Intelligence Profile. Available at: https://nvlpubs.nist.gov/nistpubs/ai/NIST.AI.600-1.pdf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OECD (2019) Recommendation of the Council on Artificial Intelligence. Available at: https://legalinstruments.oecd.org/en/instruments/oecd-legal-0449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lastRenderedPageBreak/>
        <w:t>OECD (2024) Regulatory Approaches to Artificial Intelligence in Finance. Available at: https://www.oecd.org/en/publications/regulatory-approaches-to-artificial-intelligence-in-finance_f1498c02-en.html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O'Neil, C. (2016) Weapons of Math Destruction. New York: Crown.</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Porter, M.E. (1980) Competitive Strategy. New York: Free Press.</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Rai, A. (2020) 'Explainable AI: from black box to glass box', Journal of the Academy of Marketing Science, 48, pp. 137-141. https://doi.org/10.1007/s11747-019-00710-5.</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Ribeiro, M.T., Singh, S. and Guestrin, C. (2016) 'Why should I trust you? Explaining the predictions of any classifier', Proceedings of the 22nd ACM SIGKDD International Conference on Knowledge Discovery and Data Mining, pp. 1135-1144. https://doi.org/10.1145/2939672.2939778.</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State Council of the People's Republic of China (2023) Interim Measures for the Administration of Generative Artificial Intelligence Services. Available at: https://www.chinalawtranslate.com/en/generative-ai-interim/ (Accessed: 6 July 2026).</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Suchman, M.C. (1995) 'Managing legitimacy: strategic and institutional approaches', Academy of Management Review, 20(3), pp. 571-610. https://doi.org/10.5465/amr.1995.9508080331.</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Teece, D.J., Pisano, G. and Shuen, A. (1997) 'Dynamic capabilities and strategic management', Strategic Management Journal, 18(7), pp. 509-533. https://doi.org/10.1002/(SICI)1097-0266(199708)18:7&lt;509::AID-SMJ882&gt;3.0.CO;2-Z.</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Vukovic, D.B., Maiti, M., Grubisic, Z., Grigorieva, E.M. and Frömmel, M. (2025) 'AI integration in financial services: a systematic review of trends and regulatory implications', Humanities and Social Sciences Communications, 12, Article 616. https://doi.org/10.1057/s41599-025-04850-8.</w:t>
      </w:r>
    </w:p>
    <w:p w:rsidR="008336D0" w:rsidRPr="00847CEA" w:rsidRDefault="00C85314" w:rsidP="00E368F5">
      <w:pPr>
        <w:spacing w:after="60" w:line="360" w:lineRule="auto"/>
        <w:ind w:left="360" w:hanging="360"/>
        <w:jc w:val="both"/>
        <w:rPr>
          <w:rFonts w:ascii="Times New Roman" w:hAnsi="Times New Roman" w:cs="Times New Roman"/>
        </w:rPr>
      </w:pPr>
      <w:r w:rsidRPr="00847CEA">
        <w:rPr>
          <w:rFonts w:ascii="Times New Roman" w:hAnsi="Times New Roman" w:cs="Times New Roman"/>
        </w:rPr>
        <w:t>Wachter, S., Mittelstadt, B. and Floridi, L. (2017) 'Why a right to explanation of automated decision-making does not exist in the General Data Protection Regulation', International Data Privacy Law, 7(2), pp. 76-99. https://doi.org/10.1093/idpl/ipx005.</w:t>
      </w:r>
    </w:p>
    <w:sectPr w:rsidR="008336D0" w:rsidRPr="00847CEA" w:rsidSect="00034616">
      <w:footerReference w:type="default" r:id="rId8"/>
      <w:pgSz w:w="12240" w:h="15840"/>
      <w:pgMar w:top="1080" w:right="1152" w:bottom="1080"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7A0" w:rsidRDefault="003E77A0">
      <w:pPr>
        <w:spacing w:after="0" w:line="240" w:lineRule="auto"/>
      </w:pPr>
      <w:r>
        <w:separator/>
      </w:r>
    </w:p>
  </w:endnote>
  <w:endnote w:type="continuationSeparator" w:id="1">
    <w:p w:rsidR="003E77A0" w:rsidRDefault="003E77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6D0" w:rsidRDefault="008336D0">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7A0" w:rsidRDefault="003E77A0">
      <w:pPr>
        <w:spacing w:after="0" w:line="240" w:lineRule="auto"/>
      </w:pPr>
      <w:r>
        <w:separator/>
      </w:r>
    </w:p>
  </w:footnote>
  <w:footnote w:type="continuationSeparator" w:id="1">
    <w:p w:rsidR="003E77A0" w:rsidRDefault="003E77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useFELayout/>
  </w:compat>
  <w:rsids>
    <w:rsidRoot w:val="00B47730"/>
    <w:rsid w:val="00034616"/>
    <w:rsid w:val="0006063C"/>
    <w:rsid w:val="000C3C40"/>
    <w:rsid w:val="0015074B"/>
    <w:rsid w:val="00195DED"/>
    <w:rsid w:val="001E304A"/>
    <w:rsid w:val="0029639D"/>
    <w:rsid w:val="00316E2C"/>
    <w:rsid w:val="0032071A"/>
    <w:rsid w:val="00326F90"/>
    <w:rsid w:val="003E77A0"/>
    <w:rsid w:val="004B2EEA"/>
    <w:rsid w:val="004B6CB7"/>
    <w:rsid w:val="005C664D"/>
    <w:rsid w:val="00690896"/>
    <w:rsid w:val="006B016B"/>
    <w:rsid w:val="00706EA8"/>
    <w:rsid w:val="00772A14"/>
    <w:rsid w:val="0077351B"/>
    <w:rsid w:val="0079089C"/>
    <w:rsid w:val="007B62F5"/>
    <w:rsid w:val="00807630"/>
    <w:rsid w:val="0081635B"/>
    <w:rsid w:val="008230CD"/>
    <w:rsid w:val="008336D0"/>
    <w:rsid w:val="00847CEA"/>
    <w:rsid w:val="0087645D"/>
    <w:rsid w:val="009315AC"/>
    <w:rsid w:val="00973215"/>
    <w:rsid w:val="009E0D82"/>
    <w:rsid w:val="009F770F"/>
    <w:rsid w:val="00A133AF"/>
    <w:rsid w:val="00A76C85"/>
    <w:rsid w:val="00AA1D8D"/>
    <w:rsid w:val="00AE1F1C"/>
    <w:rsid w:val="00B0291A"/>
    <w:rsid w:val="00B13A3D"/>
    <w:rsid w:val="00B47730"/>
    <w:rsid w:val="00BD7EF4"/>
    <w:rsid w:val="00C332DE"/>
    <w:rsid w:val="00C4197F"/>
    <w:rsid w:val="00C662B9"/>
    <w:rsid w:val="00C85314"/>
    <w:rsid w:val="00CB0664"/>
    <w:rsid w:val="00D058E3"/>
    <w:rsid w:val="00D11CB4"/>
    <w:rsid w:val="00E07352"/>
    <w:rsid w:val="00E368F5"/>
    <w:rsid w:val="00E42C6E"/>
    <w:rsid w:val="00EB0974"/>
    <w:rsid w:val="00F033B1"/>
    <w:rsid w:val="00F20700"/>
    <w:rsid w:val="00FB0945"/>
    <w:rsid w:val="00FC69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352"/>
    <w:pPr>
      <w:spacing w:after="120"/>
    </w:pPr>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A133AF"/>
    <w:pPr>
      <w:spacing w:after="100"/>
    </w:pPr>
  </w:style>
  <w:style w:type="paragraph" w:styleId="TOC2">
    <w:name w:val="toc 2"/>
    <w:basedOn w:val="Normal"/>
    <w:next w:val="Normal"/>
    <w:autoRedefine/>
    <w:uiPriority w:val="39"/>
    <w:unhideWhenUsed/>
    <w:rsid w:val="00A133AF"/>
    <w:pPr>
      <w:spacing w:after="100"/>
      <w:ind w:left="210"/>
    </w:pPr>
  </w:style>
  <w:style w:type="character" w:styleId="Hyperlink">
    <w:name w:val="Hyperlink"/>
    <w:basedOn w:val="DefaultParagraphFont"/>
    <w:uiPriority w:val="99"/>
    <w:unhideWhenUsed/>
    <w:rsid w:val="00A133AF"/>
    <w:rPr>
      <w:color w:val="0000FF" w:themeColor="hyperlink"/>
      <w:u w:val="single"/>
    </w:rPr>
  </w:style>
  <w:style w:type="paragraph" w:styleId="BalloonText">
    <w:name w:val="Balloon Text"/>
    <w:basedOn w:val="Normal"/>
    <w:link w:val="BalloonTextChar"/>
    <w:uiPriority w:val="99"/>
    <w:semiHidden/>
    <w:unhideWhenUsed/>
    <w:rsid w:val="000C3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3C40"/>
    <w:rPr>
      <w:rFonts w:ascii="Tahoma" w:eastAsia="Arial"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530834">
      <w:bodyDiv w:val="1"/>
      <w:marLeft w:val="0"/>
      <w:marRight w:val="0"/>
      <w:marTop w:val="0"/>
      <w:marBottom w:val="0"/>
      <w:divBdr>
        <w:top w:val="none" w:sz="0" w:space="0" w:color="auto"/>
        <w:left w:val="none" w:sz="0" w:space="0" w:color="auto"/>
        <w:bottom w:val="none" w:sz="0" w:space="0" w:color="auto"/>
        <w:right w:val="none" w:sz="0" w:space="0" w:color="auto"/>
      </w:divBdr>
      <w:divsChild>
        <w:div w:id="356395678">
          <w:marLeft w:val="0"/>
          <w:marRight w:val="0"/>
          <w:marTop w:val="0"/>
          <w:marBottom w:val="0"/>
          <w:divBdr>
            <w:top w:val="none" w:sz="0" w:space="0" w:color="auto"/>
            <w:left w:val="none" w:sz="0" w:space="0" w:color="auto"/>
            <w:bottom w:val="none" w:sz="0" w:space="0" w:color="auto"/>
            <w:right w:val="none" w:sz="0" w:space="0" w:color="auto"/>
          </w:divBdr>
          <w:divsChild>
            <w:div w:id="4976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86736">
      <w:bodyDiv w:val="1"/>
      <w:marLeft w:val="0"/>
      <w:marRight w:val="0"/>
      <w:marTop w:val="0"/>
      <w:marBottom w:val="0"/>
      <w:divBdr>
        <w:top w:val="none" w:sz="0" w:space="0" w:color="auto"/>
        <w:left w:val="none" w:sz="0" w:space="0" w:color="auto"/>
        <w:bottom w:val="none" w:sz="0" w:space="0" w:color="auto"/>
        <w:right w:val="none" w:sz="0" w:space="0" w:color="auto"/>
      </w:divBdr>
    </w:div>
    <w:div w:id="12948656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19</Pages>
  <Words>7079</Words>
  <Characters>40352</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47337</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Hasibul  Islam</cp:lastModifiedBy>
  <cp:revision>39</cp:revision>
  <dcterms:created xsi:type="dcterms:W3CDTF">2013-12-23T23:15:00Z</dcterms:created>
  <dcterms:modified xsi:type="dcterms:W3CDTF">2026-07-13T23:46:00Z</dcterms:modified>
  <cp:category/>
</cp:coreProperties>
</file>