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Ind w:w="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14"/>
        <w:gridCol w:w="1595"/>
        <w:gridCol w:w="280"/>
        <w:gridCol w:w="1692"/>
      </w:tblGrid>
      <w:tr w:rsidR="00A15F70" w:rsidTr="00B931B9">
        <w:trPr>
          <w:trHeight w:val="849"/>
        </w:trPr>
        <w:tc>
          <w:tcPr>
            <w:tcW w:w="8755" w:type="dxa"/>
            <w:gridSpan w:val="4"/>
            <w:tcBorders>
              <w:top w:val="single" w:sz="4" w:space="0" w:color="auto"/>
              <w:left w:val="single" w:sz="4" w:space="0" w:color="auto"/>
              <w:bottom w:val="single" w:sz="4" w:space="0" w:color="auto"/>
              <w:right w:val="single" w:sz="4" w:space="0" w:color="auto"/>
            </w:tcBorders>
          </w:tcPr>
          <w:p w:rsidR="00A15F70" w:rsidRDefault="00A15F70" w:rsidP="00B931B9">
            <w:pPr>
              <w:pStyle w:val="NormalWeb"/>
              <w:spacing w:before="0" w:beforeAutospacing="0" w:after="0" w:afterAutospacing="0"/>
              <w:ind w:right="34"/>
              <w:rPr>
                <w:rFonts w:ascii="Calibri" w:hAnsi="Calibri" w:cs="Calibri"/>
                <w:i/>
                <w:iCs/>
                <w:sz w:val="24"/>
                <w:szCs w:val="24"/>
                <w:lang w:val="cy-GB"/>
              </w:rPr>
            </w:pPr>
          </w:p>
          <w:p w:rsidR="00A15F70" w:rsidRDefault="00A15F70" w:rsidP="00B931B9">
            <w:pPr>
              <w:pStyle w:val="NormalWeb"/>
              <w:spacing w:before="0" w:beforeAutospacing="0" w:after="0" w:afterAutospacing="0"/>
              <w:ind w:right="34"/>
              <w:jc w:val="center"/>
              <w:rPr>
                <w:rFonts w:ascii="Calibri" w:hAnsi="Calibri" w:cs="Calibri"/>
                <w:b/>
                <w:bCs/>
                <w:sz w:val="24"/>
                <w:szCs w:val="24"/>
                <w:lang w:val="cy-GB"/>
              </w:rPr>
            </w:pPr>
            <w:r>
              <w:rPr>
                <w:rFonts w:ascii="Calibri" w:hAnsi="Calibri" w:cs="Calibri"/>
                <w:b/>
                <w:bCs/>
                <w:sz w:val="24"/>
                <w:szCs w:val="24"/>
                <w:lang w:val="cy-GB"/>
              </w:rPr>
              <w:t xml:space="preserve">Assignment feedback </w:t>
            </w:r>
          </w:p>
          <w:p w:rsidR="00A15F70" w:rsidRDefault="00A15F70" w:rsidP="00B931B9">
            <w:pPr>
              <w:pStyle w:val="NormalWeb"/>
              <w:spacing w:before="0" w:beforeAutospacing="0" w:after="0" w:afterAutospacing="0"/>
              <w:ind w:right="34"/>
              <w:jc w:val="center"/>
              <w:rPr>
                <w:rFonts w:ascii="Calibri" w:hAnsi="Calibri" w:cs="Calibri"/>
                <w:b/>
                <w:bCs/>
                <w:sz w:val="24"/>
                <w:szCs w:val="24"/>
                <w:lang w:val="cy-GB"/>
              </w:rPr>
            </w:pPr>
          </w:p>
          <w:p w:rsidR="00A15F70" w:rsidRDefault="00A15F70" w:rsidP="00B931B9">
            <w:pPr>
              <w:pStyle w:val="NormalWeb"/>
              <w:spacing w:before="0" w:beforeAutospacing="0" w:after="0" w:afterAutospacing="0"/>
              <w:ind w:right="34"/>
              <w:jc w:val="center"/>
              <w:rPr>
                <w:rFonts w:ascii="Calibri" w:hAnsi="Calibri" w:cs="Calibri"/>
                <w:b/>
                <w:bCs/>
                <w:sz w:val="24"/>
                <w:szCs w:val="24"/>
              </w:rPr>
            </w:pPr>
          </w:p>
        </w:tc>
      </w:tr>
      <w:tr w:rsidR="00A15F70" w:rsidTr="00B931B9">
        <w:trPr>
          <w:trHeight w:val="373"/>
        </w:trPr>
        <w:tc>
          <w:tcPr>
            <w:tcW w:w="8755" w:type="dxa"/>
            <w:gridSpan w:val="4"/>
            <w:tcBorders>
              <w:top w:val="single" w:sz="4" w:space="0" w:color="auto"/>
              <w:left w:val="single" w:sz="4" w:space="0" w:color="auto"/>
              <w:bottom w:val="single" w:sz="4" w:space="0" w:color="auto"/>
              <w:right w:val="single" w:sz="4" w:space="0" w:color="auto"/>
            </w:tcBorders>
          </w:tcPr>
          <w:p w:rsidR="00A15F70" w:rsidRDefault="00A15F70" w:rsidP="00B931B9">
            <w:pPr>
              <w:pStyle w:val="NormalWeb"/>
              <w:spacing w:before="0" w:beforeAutospacing="0" w:after="0" w:afterAutospacing="0"/>
              <w:ind w:right="34"/>
              <w:rPr>
                <w:rFonts w:ascii="Calibri" w:hAnsi="Calibri" w:cs="Calibri"/>
                <w:i/>
                <w:iCs/>
                <w:sz w:val="24"/>
                <w:szCs w:val="24"/>
              </w:rPr>
            </w:pPr>
          </w:p>
        </w:tc>
      </w:tr>
      <w:tr w:rsidR="00A15F70" w:rsidTr="00B931B9">
        <w:trPr>
          <w:trHeight w:val="373"/>
        </w:trPr>
        <w:tc>
          <w:tcPr>
            <w:tcW w:w="8755" w:type="dxa"/>
            <w:gridSpan w:val="4"/>
            <w:tcBorders>
              <w:top w:val="single" w:sz="4" w:space="0" w:color="auto"/>
              <w:left w:val="single" w:sz="4" w:space="0" w:color="auto"/>
              <w:bottom w:val="single" w:sz="4" w:space="0" w:color="auto"/>
              <w:right w:val="single" w:sz="4" w:space="0" w:color="auto"/>
            </w:tcBorders>
            <w:hideMark/>
          </w:tcPr>
          <w:p w:rsidR="00A15F70" w:rsidRDefault="00A15F70" w:rsidP="00B931B9">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Student Name: </w:t>
            </w:r>
            <w:r>
              <w:rPr>
                <w:rFonts w:ascii="Calibri" w:hAnsi="Calibri" w:cs="Calibri"/>
                <w:iCs/>
                <w:sz w:val="24"/>
                <w:szCs w:val="24"/>
              </w:rPr>
              <w:t>Rosie Nye</w:t>
            </w:r>
          </w:p>
          <w:p w:rsidR="00A15F70" w:rsidRDefault="00A15F70" w:rsidP="00B931B9">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Student University Email:</w:t>
            </w:r>
            <w:r>
              <w:rPr>
                <w:rFonts w:ascii="Calibri" w:hAnsi="Calibri" w:cs="Calibri"/>
                <w:iCs/>
                <w:sz w:val="24"/>
                <w:szCs w:val="24"/>
              </w:rPr>
              <w:t xml:space="preserve"> 1400683@student.uwtsd.ac.uk</w:t>
            </w:r>
          </w:p>
        </w:tc>
      </w:tr>
      <w:tr w:rsidR="00A15F70" w:rsidTr="00B931B9">
        <w:trPr>
          <w:trHeight w:val="849"/>
        </w:trPr>
        <w:tc>
          <w:tcPr>
            <w:tcW w:w="5148" w:type="dxa"/>
            <w:tcBorders>
              <w:top w:val="single" w:sz="4" w:space="0" w:color="auto"/>
              <w:left w:val="single" w:sz="4" w:space="0" w:color="auto"/>
              <w:bottom w:val="single" w:sz="4" w:space="0" w:color="auto"/>
              <w:right w:val="single" w:sz="4" w:space="0" w:color="auto"/>
            </w:tcBorders>
          </w:tcPr>
          <w:p w:rsidR="00A15F70" w:rsidRDefault="00A15F70" w:rsidP="00B931B9">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Module code: </w:t>
            </w:r>
            <w:r>
              <w:rPr>
                <w:rFonts w:ascii="Calibri" w:hAnsi="Calibri" w:cs="Calibri"/>
                <w:iCs/>
                <w:sz w:val="24"/>
                <w:szCs w:val="24"/>
              </w:rPr>
              <w:t>AHSK6002</w:t>
            </w:r>
          </w:p>
          <w:p w:rsidR="00A15F70" w:rsidRDefault="00A15F70" w:rsidP="00B931B9">
            <w:pPr>
              <w:pStyle w:val="NormalWeb"/>
              <w:spacing w:before="0" w:beforeAutospacing="0" w:after="0" w:afterAutospacing="0"/>
              <w:ind w:right="34"/>
              <w:rPr>
                <w:rFonts w:ascii="Calibri" w:hAnsi="Calibri" w:cs="Calibri"/>
                <w:i/>
                <w:iCs/>
                <w:sz w:val="24"/>
                <w:szCs w:val="24"/>
              </w:rPr>
            </w:pPr>
          </w:p>
          <w:p w:rsidR="00A15F70" w:rsidRDefault="00A15F70" w:rsidP="00A15F70">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Module title:</w:t>
            </w:r>
            <w:r>
              <w:rPr>
                <w:rFonts w:ascii="Calibri" w:hAnsi="Calibri" w:cs="Calibri"/>
                <w:iCs/>
                <w:sz w:val="24"/>
                <w:szCs w:val="24"/>
              </w:rPr>
              <w:t xml:space="preserve"> Dissertation</w:t>
            </w:r>
          </w:p>
        </w:tc>
        <w:tc>
          <w:tcPr>
            <w:tcW w:w="1906" w:type="dxa"/>
            <w:gridSpan w:val="2"/>
            <w:tcBorders>
              <w:top w:val="single" w:sz="4" w:space="0" w:color="auto"/>
              <w:left w:val="single" w:sz="4" w:space="0" w:color="auto"/>
              <w:bottom w:val="single" w:sz="4" w:space="0" w:color="auto"/>
              <w:right w:val="single" w:sz="4" w:space="0" w:color="auto"/>
            </w:tcBorders>
          </w:tcPr>
          <w:p w:rsidR="00A15F70" w:rsidRDefault="00A15F70" w:rsidP="00B931B9">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Student ID number: </w:t>
            </w:r>
            <w:r>
              <w:rPr>
                <w:rFonts w:ascii="Calibri" w:hAnsi="Calibri" w:cs="Calibri"/>
                <w:iCs/>
                <w:sz w:val="24"/>
                <w:szCs w:val="24"/>
              </w:rPr>
              <w:t>1400683</w:t>
            </w:r>
          </w:p>
          <w:p w:rsidR="00A15F70" w:rsidRDefault="00A15F70" w:rsidP="00B931B9">
            <w:pPr>
              <w:pStyle w:val="NormalWeb"/>
              <w:spacing w:before="0" w:beforeAutospacing="0" w:after="0" w:afterAutospacing="0"/>
              <w:ind w:right="34"/>
              <w:rPr>
                <w:rFonts w:ascii="Calibri" w:hAnsi="Calibri" w:cs="Calibri"/>
                <w:i/>
                <w:iCs/>
                <w:color w:val="A6A6A6"/>
                <w:sz w:val="24"/>
                <w:szCs w:val="24"/>
              </w:rPr>
            </w:pPr>
          </w:p>
        </w:tc>
        <w:tc>
          <w:tcPr>
            <w:tcW w:w="1701" w:type="dxa"/>
            <w:tcBorders>
              <w:top w:val="single" w:sz="4" w:space="0" w:color="auto"/>
              <w:left w:val="single" w:sz="4" w:space="0" w:color="auto"/>
              <w:bottom w:val="single" w:sz="4" w:space="0" w:color="auto"/>
              <w:right w:val="single" w:sz="4" w:space="0" w:color="auto"/>
            </w:tcBorders>
          </w:tcPr>
          <w:p w:rsidR="00A15F70" w:rsidRDefault="00A15F70" w:rsidP="00B931B9">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Educational support needs:</w:t>
            </w:r>
          </w:p>
          <w:p w:rsidR="00A15F70" w:rsidRDefault="00A15F70" w:rsidP="00B931B9">
            <w:pPr>
              <w:pStyle w:val="NormalWeb"/>
              <w:spacing w:before="0" w:beforeAutospacing="0" w:after="0" w:afterAutospacing="0"/>
              <w:ind w:right="34"/>
              <w:rPr>
                <w:rFonts w:ascii="Calibri" w:hAnsi="Calibri" w:cs="Calibri"/>
                <w:i/>
                <w:iCs/>
                <w:sz w:val="24"/>
                <w:szCs w:val="24"/>
              </w:rPr>
            </w:pPr>
          </w:p>
          <w:p w:rsidR="00A15F70" w:rsidRDefault="00A15F70" w:rsidP="00B931B9">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Yes</w:t>
            </w:r>
          </w:p>
        </w:tc>
      </w:tr>
      <w:tr w:rsidR="00A15F70" w:rsidTr="00B931B9">
        <w:trPr>
          <w:trHeight w:val="849"/>
        </w:trPr>
        <w:tc>
          <w:tcPr>
            <w:tcW w:w="8755" w:type="dxa"/>
            <w:gridSpan w:val="4"/>
            <w:tcBorders>
              <w:top w:val="single" w:sz="4" w:space="0" w:color="auto"/>
              <w:left w:val="single" w:sz="4" w:space="0" w:color="auto"/>
              <w:bottom w:val="single" w:sz="4" w:space="0" w:color="auto"/>
              <w:right w:val="single" w:sz="4" w:space="0" w:color="auto"/>
            </w:tcBorders>
          </w:tcPr>
          <w:p w:rsidR="00A15F70" w:rsidRPr="001B5DFE" w:rsidRDefault="00A15F70" w:rsidP="00B931B9">
            <w:r w:rsidRPr="001B5DFE">
              <w:rPr>
                <w:rFonts w:ascii="Calibri" w:hAnsi="Calibri" w:cs="Calibri"/>
                <w:i/>
                <w:iCs/>
              </w:rPr>
              <w:t xml:space="preserve">Assignment title: </w:t>
            </w:r>
            <w:r>
              <w:rPr>
                <w:rFonts w:ascii="Calibri" w:hAnsi="Calibri" w:cs="Calibri"/>
                <w:iCs/>
              </w:rPr>
              <w:t>Reflective Essay</w:t>
            </w:r>
            <w:r w:rsidRPr="001B5DFE">
              <w:t xml:space="preserve"> </w:t>
            </w:r>
          </w:p>
          <w:p w:rsidR="00A15F70" w:rsidRPr="001B5DFE" w:rsidRDefault="00A15F70" w:rsidP="00B931B9">
            <w:pPr>
              <w:pStyle w:val="NormalWeb"/>
              <w:spacing w:before="0" w:beforeAutospacing="0" w:after="0" w:afterAutospacing="0"/>
              <w:ind w:right="34"/>
              <w:rPr>
                <w:rFonts w:ascii="Calibri" w:hAnsi="Calibri" w:cs="Calibri"/>
                <w:iCs/>
                <w:sz w:val="24"/>
                <w:szCs w:val="24"/>
                <w:lang w:val="en-US"/>
              </w:rPr>
            </w:pPr>
          </w:p>
          <w:p w:rsidR="00A15F70" w:rsidRPr="001B5DFE" w:rsidRDefault="00A15F70" w:rsidP="00B931B9">
            <w:pPr>
              <w:pStyle w:val="NormalWeb"/>
              <w:spacing w:before="0" w:beforeAutospacing="0" w:after="0" w:afterAutospacing="0"/>
              <w:ind w:right="34"/>
              <w:rPr>
                <w:rFonts w:ascii="Calibri" w:hAnsi="Calibri" w:cs="Calibri"/>
                <w:i/>
                <w:iCs/>
                <w:sz w:val="24"/>
                <w:szCs w:val="24"/>
              </w:rPr>
            </w:pPr>
          </w:p>
          <w:p w:rsidR="00A15F70" w:rsidRPr="001B5DFE" w:rsidRDefault="00A15F70" w:rsidP="00A15F70">
            <w:pPr>
              <w:pStyle w:val="NormalWeb"/>
              <w:spacing w:before="0" w:beforeAutospacing="0" w:after="0" w:afterAutospacing="0"/>
              <w:ind w:right="34"/>
              <w:rPr>
                <w:rFonts w:ascii="Calibri" w:hAnsi="Calibri" w:cs="Calibri"/>
                <w:iCs/>
                <w:sz w:val="24"/>
                <w:szCs w:val="24"/>
              </w:rPr>
            </w:pPr>
            <w:r w:rsidRPr="001B5DFE">
              <w:rPr>
                <w:rFonts w:ascii="Calibri" w:hAnsi="Calibri" w:cs="Calibri"/>
                <w:i/>
                <w:iCs/>
                <w:sz w:val="24"/>
                <w:szCs w:val="24"/>
              </w:rPr>
              <w:t xml:space="preserve">Assignment due date: </w:t>
            </w:r>
            <w:r>
              <w:rPr>
                <w:rFonts w:ascii="Calibri" w:hAnsi="Calibri" w:cs="Calibri"/>
                <w:iCs/>
                <w:sz w:val="24"/>
                <w:szCs w:val="24"/>
              </w:rPr>
              <w:t>17/11/17</w:t>
            </w:r>
          </w:p>
        </w:tc>
      </w:tr>
      <w:tr w:rsidR="00A15F70" w:rsidTr="00B931B9">
        <w:trPr>
          <w:trHeight w:val="504"/>
        </w:trPr>
        <w:tc>
          <w:tcPr>
            <w:tcW w:w="8755" w:type="dxa"/>
            <w:gridSpan w:val="4"/>
            <w:tcBorders>
              <w:top w:val="single" w:sz="4" w:space="0" w:color="auto"/>
              <w:left w:val="single" w:sz="4" w:space="0" w:color="auto"/>
              <w:bottom w:val="single" w:sz="4" w:space="0" w:color="auto"/>
              <w:right w:val="single" w:sz="4" w:space="0" w:color="auto"/>
            </w:tcBorders>
            <w:hideMark/>
          </w:tcPr>
          <w:p w:rsidR="00A15F70" w:rsidRDefault="00A15F70" w:rsidP="00B931B9">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Assignment Number: </w:t>
            </w:r>
            <w:r>
              <w:rPr>
                <w:rFonts w:ascii="Calibri" w:hAnsi="Calibri" w:cs="Calibri"/>
                <w:iCs/>
                <w:sz w:val="24"/>
                <w:szCs w:val="24"/>
              </w:rPr>
              <w:t>1</w:t>
            </w:r>
          </w:p>
          <w:p w:rsidR="00A15F70" w:rsidRDefault="00A15F70" w:rsidP="00B931B9">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A15F70" w:rsidTr="00B931B9">
        <w:trPr>
          <w:trHeight w:val="6165"/>
        </w:trPr>
        <w:tc>
          <w:tcPr>
            <w:tcW w:w="8755" w:type="dxa"/>
            <w:gridSpan w:val="4"/>
            <w:tcBorders>
              <w:top w:val="single" w:sz="4" w:space="0" w:color="auto"/>
              <w:left w:val="single" w:sz="4" w:space="0" w:color="auto"/>
              <w:bottom w:val="single" w:sz="4" w:space="0" w:color="auto"/>
              <w:right w:val="single" w:sz="4" w:space="0" w:color="auto"/>
            </w:tcBorders>
          </w:tcPr>
          <w:p w:rsidR="00A15F70" w:rsidRPr="00403345" w:rsidRDefault="00A15F70" w:rsidP="00B931B9">
            <w:pPr>
              <w:jc w:val="center"/>
              <w:rPr>
                <w:rFonts w:ascii="Calibri" w:hAnsi="Calibri" w:cs="Calibri"/>
                <w:i/>
                <w:iCs/>
              </w:rPr>
            </w:pPr>
          </w:p>
        </w:tc>
      </w:tr>
      <w:tr w:rsidR="00A15F70" w:rsidTr="00B931B9">
        <w:tc>
          <w:tcPr>
            <w:tcW w:w="6768" w:type="dxa"/>
            <w:gridSpan w:val="2"/>
            <w:tcBorders>
              <w:top w:val="single" w:sz="4" w:space="0" w:color="auto"/>
              <w:left w:val="single" w:sz="4" w:space="0" w:color="auto"/>
              <w:bottom w:val="single" w:sz="4" w:space="0" w:color="auto"/>
              <w:right w:val="single" w:sz="4" w:space="0" w:color="auto"/>
            </w:tcBorders>
          </w:tcPr>
          <w:p w:rsidR="00A15F70" w:rsidRDefault="00A15F70" w:rsidP="00B931B9">
            <w:pPr>
              <w:pStyle w:val="NormalWeb"/>
              <w:spacing w:beforeAutospacing="0" w:afterAutospacing="0"/>
              <w:ind w:left="142" w:right="34"/>
              <w:rPr>
                <w:rFonts w:ascii="Calibri" w:hAnsi="Calibri" w:cs="Calibri"/>
                <w:i/>
                <w:iCs/>
                <w:sz w:val="24"/>
                <w:szCs w:val="24"/>
              </w:rPr>
            </w:pPr>
            <w:r>
              <w:rPr>
                <w:rFonts w:ascii="Calibri" w:hAnsi="Calibri" w:cs="Calibri"/>
                <w:i/>
                <w:iCs/>
                <w:sz w:val="24"/>
                <w:szCs w:val="24"/>
              </w:rPr>
              <w:t xml:space="preserve">Marker’s  signature: </w:t>
            </w:r>
          </w:p>
          <w:p w:rsidR="00A15F70" w:rsidRDefault="00A15F70" w:rsidP="00B931B9">
            <w:pPr>
              <w:pStyle w:val="NormalWeb"/>
              <w:spacing w:beforeAutospacing="0" w:afterAutospacing="0"/>
              <w:ind w:left="142" w:right="34"/>
              <w:rPr>
                <w:rFonts w:ascii="Calibri" w:hAnsi="Calibri" w:cs="Calibri"/>
                <w:i/>
                <w:iCs/>
                <w:sz w:val="24"/>
                <w:szCs w:val="24"/>
              </w:rPr>
            </w:pPr>
          </w:p>
        </w:tc>
        <w:tc>
          <w:tcPr>
            <w:tcW w:w="1987" w:type="dxa"/>
            <w:gridSpan w:val="2"/>
            <w:tcBorders>
              <w:top w:val="single" w:sz="4" w:space="0" w:color="auto"/>
              <w:left w:val="single" w:sz="4" w:space="0" w:color="auto"/>
              <w:bottom w:val="single" w:sz="4" w:space="0" w:color="auto"/>
              <w:right w:val="single" w:sz="4" w:space="0" w:color="auto"/>
            </w:tcBorders>
          </w:tcPr>
          <w:p w:rsidR="00A15F70" w:rsidRDefault="00A15F70" w:rsidP="00B931B9">
            <w:pPr>
              <w:pStyle w:val="NormalWeb"/>
              <w:spacing w:beforeAutospacing="0" w:after="0" w:afterAutospacing="0"/>
              <w:ind w:left="142" w:right="34"/>
              <w:rPr>
                <w:rFonts w:ascii="Calibri" w:hAnsi="Calibri" w:cs="Calibri"/>
                <w:i/>
                <w:iCs/>
                <w:sz w:val="24"/>
                <w:szCs w:val="24"/>
              </w:rPr>
            </w:pPr>
            <w:r>
              <w:rPr>
                <w:rFonts w:ascii="Calibri" w:hAnsi="Calibri" w:cs="Calibri"/>
                <w:i/>
                <w:iCs/>
                <w:sz w:val="24"/>
                <w:szCs w:val="24"/>
              </w:rPr>
              <w:t>Date:</w:t>
            </w:r>
          </w:p>
          <w:p w:rsidR="00A15F70" w:rsidRDefault="00A15F70" w:rsidP="00B931B9">
            <w:pPr>
              <w:pStyle w:val="NormalWeb"/>
              <w:spacing w:beforeAutospacing="0" w:after="0" w:afterAutospacing="0"/>
              <w:ind w:left="142" w:right="34"/>
              <w:rPr>
                <w:rFonts w:ascii="Calibri" w:hAnsi="Calibri" w:cs="Calibri"/>
                <w:i/>
                <w:iCs/>
                <w:sz w:val="24"/>
                <w:szCs w:val="24"/>
              </w:rPr>
            </w:pPr>
          </w:p>
        </w:tc>
      </w:tr>
      <w:tr w:rsidR="00A15F70" w:rsidTr="00B931B9">
        <w:tc>
          <w:tcPr>
            <w:tcW w:w="8755" w:type="dxa"/>
            <w:gridSpan w:val="4"/>
            <w:tcBorders>
              <w:top w:val="single" w:sz="4" w:space="0" w:color="auto"/>
              <w:left w:val="single" w:sz="4" w:space="0" w:color="auto"/>
              <w:bottom w:val="single" w:sz="4" w:space="0" w:color="auto"/>
              <w:right w:val="single" w:sz="4" w:space="0" w:color="auto"/>
            </w:tcBorders>
            <w:hideMark/>
          </w:tcPr>
          <w:p w:rsidR="00A15F70" w:rsidRDefault="00A15F70" w:rsidP="00B931B9">
            <w:pPr>
              <w:pStyle w:val="NormalWeb"/>
              <w:spacing w:before="0" w:beforeAutospacing="0" w:after="0" w:afterAutospacing="0"/>
              <w:ind w:left="142" w:right="34"/>
              <w:rPr>
                <w:rFonts w:ascii="Calibri" w:hAnsi="Calibri" w:cs="Calibri"/>
                <w:i/>
                <w:iCs/>
                <w:sz w:val="24"/>
                <w:szCs w:val="24"/>
              </w:rPr>
            </w:pPr>
            <w:r>
              <w:rPr>
                <w:rFonts w:ascii="Calibri" w:hAnsi="Calibri" w:cs="Calibri"/>
                <w:i/>
                <w:iCs/>
                <w:sz w:val="24"/>
                <w:szCs w:val="24"/>
              </w:rPr>
              <w:t>Provisional.</w:t>
            </w:r>
          </w:p>
          <w:p w:rsidR="00A15F70" w:rsidRDefault="00A15F70" w:rsidP="00B931B9">
            <w:pPr>
              <w:pStyle w:val="NormalWeb"/>
              <w:spacing w:before="0" w:beforeAutospacing="0" w:after="0" w:afterAutospacing="0"/>
              <w:ind w:left="142" w:right="34"/>
              <w:rPr>
                <w:rFonts w:ascii="Calibri" w:hAnsi="Calibri" w:cs="Calibri"/>
                <w:i/>
                <w:iCs/>
                <w:sz w:val="24"/>
                <w:szCs w:val="24"/>
              </w:rPr>
            </w:pPr>
            <w:r>
              <w:rPr>
                <w:rFonts w:ascii="Calibri" w:hAnsi="Calibri" w:cs="Calibri"/>
                <w:b/>
                <w:bCs/>
                <w:i/>
                <w:iCs/>
                <w:sz w:val="24"/>
                <w:szCs w:val="24"/>
              </w:rPr>
              <w:t>NB.</w:t>
            </w:r>
            <w:r>
              <w:rPr>
                <w:rFonts w:ascii="Calibri" w:hAnsi="Calibri" w:cs="Calibri"/>
                <w:i/>
                <w:iCs/>
                <w:sz w:val="24"/>
                <w:szCs w:val="24"/>
              </w:rPr>
              <w:t xml:space="preserve">  All marks are provisional until confirmed by the final examination board. </w:t>
            </w:r>
          </w:p>
        </w:tc>
      </w:tr>
    </w:tbl>
    <w:p w:rsidR="00A15F70" w:rsidRDefault="00A15F70" w:rsidP="00A15F70">
      <w:pPr>
        <w:pStyle w:val="Body"/>
        <w:jc w:val="center"/>
      </w:pPr>
    </w:p>
    <w:p w:rsidR="00A15F70" w:rsidRDefault="00A15F70" w:rsidP="00A15F70">
      <w:pPr>
        <w:jc w:val="center"/>
        <w:rPr>
          <w:rFonts w:ascii="Garamond" w:hAnsi="Garamond"/>
          <w:b/>
          <w:sz w:val="32"/>
          <w:szCs w:val="32"/>
          <w:u w:val="single"/>
        </w:rPr>
      </w:pPr>
    </w:p>
    <w:p w:rsidR="00A15F70" w:rsidRDefault="00A15F70" w:rsidP="00A15F70">
      <w:pPr>
        <w:jc w:val="center"/>
        <w:rPr>
          <w:rFonts w:ascii="Garamond" w:hAnsi="Garamond"/>
          <w:b/>
          <w:sz w:val="32"/>
          <w:szCs w:val="32"/>
          <w:u w:val="single"/>
        </w:rPr>
      </w:pPr>
      <w:r>
        <w:rPr>
          <w:rFonts w:ascii="Garamond" w:hAnsi="Garamond"/>
          <w:b/>
          <w:sz w:val="32"/>
          <w:szCs w:val="32"/>
          <w:u w:val="single"/>
        </w:rPr>
        <w:lastRenderedPageBreak/>
        <w:t>SELF-REFLECTION SHEET.</w:t>
      </w:r>
    </w:p>
    <w:p w:rsidR="00A15F70" w:rsidRDefault="00A15F70" w:rsidP="00A15F70">
      <w:pPr>
        <w:jc w:val="center"/>
        <w:rPr>
          <w:rFonts w:ascii="Garamond" w:hAnsi="Garamond"/>
          <w:b/>
          <w:sz w:val="32"/>
          <w:szCs w:val="32"/>
          <w:u w:val="single"/>
        </w:rPr>
      </w:pPr>
    </w:p>
    <w:p w:rsidR="00A15F70" w:rsidRDefault="00A15F70" w:rsidP="00A15F70">
      <w:pPr>
        <w:jc w:val="center"/>
        <w:rPr>
          <w:rFonts w:ascii="Garamond" w:hAnsi="Garamond"/>
          <w:b/>
          <w:sz w:val="40"/>
          <w:szCs w:val="40"/>
        </w:rPr>
      </w:pPr>
      <w:r>
        <w:rPr>
          <w:rFonts w:ascii="Garamond" w:hAnsi="Garamond"/>
          <w:b/>
          <w:sz w:val="40"/>
          <w:szCs w:val="40"/>
        </w:rPr>
        <w:t>PLEASE COMPLETE BEFORE SUBMISSION AND ATTACH TO YOUR WORK</w:t>
      </w:r>
    </w:p>
    <w:p w:rsidR="00A15F70" w:rsidRDefault="00A15F70" w:rsidP="00A15F70">
      <w:pPr>
        <w:rPr>
          <w:rFonts w:ascii="Garamond" w:hAnsi="Garamond"/>
          <w:b/>
          <w:sz w:val="28"/>
          <w:szCs w:val="28"/>
        </w:rPr>
      </w:pPr>
    </w:p>
    <w:p w:rsidR="00A15F70" w:rsidRDefault="00A15F70" w:rsidP="00A15F70">
      <w:pPr>
        <w:rPr>
          <w:rFonts w:ascii="Garamond" w:hAnsi="Garamond"/>
        </w:rPr>
      </w:pPr>
      <w:r>
        <w:rPr>
          <w:rFonts w:ascii="Garamond" w:hAnsi="Garamond"/>
        </w:rPr>
        <w:t>Date: 13/11/2017</w:t>
      </w:r>
      <w:r>
        <w:rPr>
          <w:rFonts w:ascii="Garamond" w:hAnsi="Garamond"/>
        </w:rPr>
        <w:tab/>
      </w:r>
      <w:r>
        <w:rPr>
          <w:rFonts w:ascii="Garamond" w:hAnsi="Garamond"/>
        </w:rPr>
        <w:tab/>
        <w:t>Module: AHSK6002</w:t>
      </w:r>
      <w:r>
        <w:rPr>
          <w:rFonts w:ascii="Garamond" w:hAnsi="Garamond"/>
        </w:rPr>
        <w:tab/>
      </w:r>
      <w:r>
        <w:rPr>
          <w:rFonts w:ascii="Garamond" w:hAnsi="Garamond"/>
        </w:rPr>
        <w:tab/>
      </w:r>
      <w:r>
        <w:rPr>
          <w:rFonts w:ascii="Garamond" w:hAnsi="Garamond"/>
        </w:rPr>
        <w:tab/>
        <w:t>Name:</w:t>
      </w:r>
      <w:r>
        <w:rPr>
          <w:rFonts w:ascii="Garamond" w:hAnsi="Garamond"/>
        </w:rPr>
        <w:tab/>
        <w:t>Rosie Nye</w:t>
      </w:r>
      <w:r>
        <w:rPr>
          <w:rFonts w:ascii="Garamond" w:hAnsi="Garamond"/>
        </w:rPr>
        <w:tab/>
      </w:r>
      <w:r>
        <w:rPr>
          <w:rFonts w:ascii="Garamond" w:hAnsi="Garamond"/>
        </w:rPr>
        <w:tab/>
      </w:r>
      <w:r>
        <w:rPr>
          <w:rFonts w:ascii="Garamond" w:hAnsi="Garamond"/>
        </w:rPr>
        <w:tab/>
      </w:r>
    </w:p>
    <w:p w:rsidR="00A15F70" w:rsidRDefault="00A15F70" w:rsidP="00A15F70">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rsidR="00A15F70" w:rsidRDefault="00A15F70" w:rsidP="00A15F70">
      <w:pPr>
        <w:rPr>
          <w:rFonts w:ascii="Garamond" w:hAnsi="Garamond"/>
        </w:rPr>
      </w:pPr>
      <w:r>
        <w:rPr>
          <w:rFonts w:ascii="Garamond" w:hAnsi="Garamond"/>
          <w:b/>
          <w:sz w:val="28"/>
          <w:szCs w:val="28"/>
        </w:rPr>
        <w:t>Guidance</w:t>
      </w:r>
      <w:r>
        <w:rPr>
          <w:rFonts w:ascii="Garamond" w:hAnsi="Garamond"/>
        </w:rPr>
        <w:t>: You might consider the following elements:</w:t>
      </w:r>
    </w:p>
    <w:p w:rsidR="00A15F70" w:rsidRDefault="00A15F70" w:rsidP="00A15F70">
      <w:pPr>
        <w:rPr>
          <w:rFonts w:ascii="Garamond" w:hAnsi="Garamond"/>
        </w:rPr>
      </w:pPr>
    </w:p>
    <w:p w:rsidR="00A15F70" w:rsidRDefault="00A15F70" w:rsidP="00A15F70">
      <w:pPr>
        <w:numPr>
          <w:ilvl w:val="0"/>
          <w:numId w:val="3"/>
        </w:numPr>
        <w:spacing w:after="0" w:line="240" w:lineRule="auto"/>
        <w:rPr>
          <w:rFonts w:ascii="Garamond" w:hAnsi="Garamond"/>
        </w:rPr>
      </w:pPr>
      <w:r>
        <w:rPr>
          <w:rFonts w:ascii="Garamond" w:hAnsi="Garamond"/>
        </w:rPr>
        <w:t>Argument: does it have one/ is it backed by sufficient evidence/ how lucid is it?</w:t>
      </w:r>
    </w:p>
    <w:p w:rsidR="00A15F70" w:rsidRDefault="00A15F70" w:rsidP="00A15F70">
      <w:pPr>
        <w:numPr>
          <w:ilvl w:val="0"/>
          <w:numId w:val="3"/>
        </w:numPr>
        <w:spacing w:after="0" w:line="240" w:lineRule="auto"/>
        <w:rPr>
          <w:rFonts w:ascii="Garamond" w:hAnsi="Garamond"/>
        </w:rPr>
      </w:pPr>
      <w:r>
        <w:rPr>
          <w:rFonts w:ascii="Garamond" w:hAnsi="Garamond"/>
        </w:rPr>
        <w:t>Structure: how clear is it / is my essay easy to follow/ does it help my argument?</w:t>
      </w:r>
    </w:p>
    <w:p w:rsidR="00A15F70" w:rsidRDefault="00A15F70" w:rsidP="00A15F70">
      <w:pPr>
        <w:numPr>
          <w:ilvl w:val="0"/>
          <w:numId w:val="3"/>
        </w:numPr>
        <w:spacing w:after="0" w:line="240" w:lineRule="auto"/>
        <w:rPr>
          <w:rFonts w:ascii="Garamond" w:hAnsi="Garamond"/>
        </w:rPr>
      </w:pPr>
      <w:r>
        <w:rPr>
          <w:rFonts w:ascii="Garamond" w:hAnsi="Garamond"/>
        </w:rPr>
        <w:t>Analysis:  is more/less analytical than narrative/ does it address the question?</w:t>
      </w:r>
    </w:p>
    <w:p w:rsidR="00A15F70" w:rsidRDefault="00A15F70" w:rsidP="00A15F70">
      <w:pPr>
        <w:numPr>
          <w:ilvl w:val="0"/>
          <w:numId w:val="3"/>
        </w:numPr>
        <w:spacing w:after="0" w:line="240" w:lineRule="auto"/>
        <w:rPr>
          <w:rFonts w:ascii="Garamond" w:hAnsi="Garamond"/>
        </w:rPr>
      </w:pPr>
      <w:r>
        <w:rPr>
          <w:rFonts w:ascii="Garamond" w:hAnsi="Garamond"/>
        </w:rPr>
        <w:t>Reading: was this sufficiently broad/ have I referenced properly?</w:t>
      </w:r>
    </w:p>
    <w:p w:rsidR="00A15F70" w:rsidRDefault="00A15F70" w:rsidP="00A15F70">
      <w:pPr>
        <w:numPr>
          <w:ilvl w:val="0"/>
          <w:numId w:val="3"/>
        </w:numPr>
        <w:spacing w:after="0" w:line="240" w:lineRule="auto"/>
        <w:rPr>
          <w:rFonts w:ascii="Garamond" w:hAnsi="Garamond"/>
        </w:rPr>
      </w:pPr>
      <w:r>
        <w:rPr>
          <w:rFonts w:ascii="Garamond" w:hAnsi="Garamond"/>
        </w:rPr>
        <w:t>How might I improve my performance in future?</w:t>
      </w:r>
    </w:p>
    <w:p w:rsidR="00A15F70" w:rsidRDefault="00A15F70" w:rsidP="00A15F70">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A15F70" w:rsidTr="00B931B9">
        <w:tc>
          <w:tcPr>
            <w:tcW w:w="9288" w:type="dxa"/>
            <w:tcBorders>
              <w:top w:val="single" w:sz="4" w:space="0" w:color="auto"/>
              <w:left w:val="single" w:sz="4" w:space="0" w:color="auto"/>
              <w:bottom w:val="single" w:sz="4" w:space="0" w:color="auto"/>
              <w:right w:val="single" w:sz="4" w:space="0" w:color="auto"/>
            </w:tcBorders>
          </w:tcPr>
          <w:p w:rsidR="00A15F70" w:rsidRDefault="00A15F70" w:rsidP="00A15F70">
            <w:pPr>
              <w:spacing w:after="0"/>
              <w:rPr>
                <w:rFonts w:ascii="Garamond" w:hAnsi="Garamond"/>
              </w:rPr>
            </w:pPr>
            <w:r>
              <w:rPr>
                <w:rFonts w:ascii="Garamond" w:hAnsi="Garamond"/>
              </w:rPr>
              <w:t xml:space="preserve">Strengths </w:t>
            </w:r>
          </w:p>
          <w:p w:rsidR="00A15F70" w:rsidRDefault="007C6CE8" w:rsidP="00A15F70">
            <w:pPr>
              <w:rPr>
                <w:rFonts w:ascii="Garamond" w:hAnsi="Garamond"/>
              </w:rPr>
            </w:pPr>
            <w:r>
              <w:rPr>
                <w:rFonts w:ascii="Garamond" w:hAnsi="Garamond"/>
              </w:rPr>
              <w:t>I have attempted to reflect on what I have achieved so far in my dissertation.</w:t>
            </w:r>
          </w:p>
          <w:p w:rsidR="007C6CE8" w:rsidRDefault="007C6CE8" w:rsidP="00A15F70">
            <w:pPr>
              <w:rPr>
                <w:rFonts w:ascii="Garamond" w:hAnsi="Garamond"/>
              </w:rPr>
            </w:pPr>
            <w:r>
              <w:rPr>
                <w:rFonts w:ascii="Garamond" w:hAnsi="Garamond"/>
              </w:rPr>
              <w:t>Written an overview of what my dissertation is about</w:t>
            </w:r>
          </w:p>
          <w:p w:rsidR="00A15F70" w:rsidRDefault="00A15F70" w:rsidP="00B931B9">
            <w:pPr>
              <w:rPr>
                <w:rFonts w:ascii="Garamond" w:hAnsi="Garamond"/>
              </w:rPr>
            </w:pPr>
          </w:p>
        </w:tc>
      </w:tr>
      <w:tr w:rsidR="00A15F70" w:rsidTr="00B931B9">
        <w:tc>
          <w:tcPr>
            <w:tcW w:w="9288" w:type="dxa"/>
            <w:tcBorders>
              <w:top w:val="single" w:sz="4" w:space="0" w:color="auto"/>
              <w:left w:val="single" w:sz="4" w:space="0" w:color="auto"/>
              <w:bottom w:val="single" w:sz="4" w:space="0" w:color="auto"/>
              <w:right w:val="single" w:sz="4" w:space="0" w:color="auto"/>
            </w:tcBorders>
          </w:tcPr>
          <w:p w:rsidR="00A15F70" w:rsidRDefault="00A15F70" w:rsidP="00B931B9">
            <w:pPr>
              <w:rPr>
                <w:rFonts w:ascii="Garamond" w:hAnsi="Garamond"/>
              </w:rPr>
            </w:pPr>
            <w:r>
              <w:rPr>
                <w:rFonts w:ascii="Garamond" w:hAnsi="Garamond"/>
              </w:rPr>
              <w:t>Weaknesses:</w:t>
            </w:r>
          </w:p>
          <w:p w:rsidR="00A15F70" w:rsidRDefault="007C6CE8" w:rsidP="00B931B9">
            <w:pPr>
              <w:rPr>
                <w:rFonts w:ascii="Garamond" w:hAnsi="Garamond"/>
              </w:rPr>
            </w:pPr>
            <w:r>
              <w:rPr>
                <w:rFonts w:ascii="Garamond" w:hAnsi="Garamond"/>
              </w:rPr>
              <w:t>Due to the nature of my research, it is difficult to reference</w:t>
            </w:r>
            <w:r w:rsidR="00A15F70">
              <w:rPr>
                <w:rFonts w:ascii="Garamond" w:hAnsi="Garamond"/>
              </w:rPr>
              <w:t>.</w:t>
            </w:r>
          </w:p>
          <w:p w:rsidR="007C6CE8" w:rsidRDefault="007C6CE8" w:rsidP="00B931B9">
            <w:pPr>
              <w:rPr>
                <w:rFonts w:ascii="Garamond" w:hAnsi="Garamond"/>
              </w:rPr>
            </w:pPr>
            <w:r>
              <w:rPr>
                <w:rFonts w:ascii="Garamond" w:hAnsi="Garamond"/>
              </w:rPr>
              <w:t>Still not entirely certain as to potential direction that my dissertation may take.</w:t>
            </w:r>
          </w:p>
          <w:p w:rsidR="00A15F70" w:rsidRDefault="00A15F70" w:rsidP="00B931B9">
            <w:pPr>
              <w:rPr>
                <w:rFonts w:ascii="Garamond" w:hAnsi="Garamond"/>
              </w:rPr>
            </w:pPr>
          </w:p>
        </w:tc>
      </w:tr>
      <w:tr w:rsidR="00A15F70" w:rsidTr="00B931B9">
        <w:tc>
          <w:tcPr>
            <w:tcW w:w="9288" w:type="dxa"/>
            <w:tcBorders>
              <w:top w:val="single" w:sz="4" w:space="0" w:color="auto"/>
              <w:left w:val="single" w:sz="4" w:space="0" w:color="auto"/>
              <w:bottom w:val="single" w:sz="4" w:space="0" w:color="auto"/>
              <w:right w:val="single" w:sz="4" w:space="0" w:color="auto"/>
            </w:tcBorders>
          </w:tcPr>
          <w:p w:rsidR="00A15F70" w:rsidRDefault="00A15F70" w:rsidP="00B931B9">
            <w:pPr>
              <w:rPr>
                <w:rFonts w:ascii="Garamond" w:hAnsi="Garamond"/>
              </w:rPr>
            </w:pPr>
            <w:r>
              <w:rPr>
                <w:rFonts w:ascii="Garamond" w:hAnsi="Garamond"/>
              </w:rPr>
              <w:t>General Comments:</w:t>
            </w:r>
          </w:p>
          <w:p w:rsidR="00A15F70" w:rsidRDefault="007C6CE8" w:rsidP="007C6CE8">
            <w:pPr>
              <w:rPr>
                <w:rFonts w:ascii="Garamond" w:hAnsi="Garamond"/>
              </w:rPr>
            </w:pPr>
            <w:r>
              <w:rPr>
                <w:rFonts w:ascii="Garamond" w:hAnsi="Garamond"/>
              </w:rPr>
              <w:t>I found this exercise to be difficult and challenging.</w:t>
            </w:r>
          </w:p>
        </w:tc>
      </w:tr>
      <w:tr w:rsidR="00A15F70" w:rsidTr="00B931B9">
        <w:tc>
          <w:tcPr>
            <w:tcW w:w="9288" w:type="dxa"/>
            <w:tcBorders>
              <w:top w:val="single" w:sz="4" w:space="0" w:color="auto"/>
              <w:left w:val="single" w:sz="4" w:space="0" w:color="auto"/>
              <w:bottom w:val="single" w:sz="4" w:space="0" w:color="auto"/>
              <w:right w:val="single" w:sz="4" w:space="0" w:color="auto"/>
            </w:tcBorders>
          </w:tcPr>
          <w:p w:rsidR="00A15F70" w:rsidRDefault="00A15F70" w:rsidP="00B931B9">
            <w:pPr>
              <w:rPr>
                <w:rFonts w:ascii="Garamond" w:hAnsi="Garamond"/>
                <w:b/>
              </w:rPr>
            </w:pPr>
            <w:r>
              <w:rPr>
                <w:rFonts w:ascii="Garamond" w:hAnsi="Garamond"/>
                <w:b/>
                <w:i/>
              </w:rPr>
              <w:t>Please give a mark for your work</w:t>
            </w:r>
            <w:r>
              <w:rPr>
                <w:rFonts w:ascii="Garamond" w:hAnsi="Garamond"/>
                <w:b/>
              </w:rPr>
              <w:t xml:space="preserve">:   2/2 </w:t>
            </w:r>
          </w:p>
          <w:p w:rsidR="00A15F70" w:rsidRDefault="00A15F70" w:rsidP="00B931B9">
            <w:pPr>
              <w:rPr>
                <w:rFonts w:ascii="Garamond" w:hAnsi="Garamond"/>
                <w:b/>
              </w:rPr>
            </w:pPr>
          </w:p>
          <w:p w:rsidR="00A15F70" w:rsidRPr="00ED4CAA" w:rsidRDefault="00A15F70" w:rsidP="00B931B9">
            <w:pPr>
              <w:rPr>
                <w:rFonts w:ascii="Garamond" w:hAnsi="Garamond"/>
                <w:b/>
              </w:rPr>
            </w:pPr>
            <w:r>
              <w:rPr>
                <w:rFonts w:ascii="Garamond" w:hAnsi="Garamond"/>
                <w:b/>
              </w:rPr>
              <w:t>(for eg:  1</w:t>
            </w:r>
            <w:r>
              <w:rPr>
                <w:rFonts w:ascii="Garamond" w:hAnsi="Garamond"/>
                <w:b/>
                <w:vertAlign w:val="superscript"/>
              </w:rPr>
              <w:t>st</w:t>
            </w:r>
            <w:r>
              <w:rPr>
                <w:rFonts w:ascii="Garamond" w:hAnsi="Garamond"/>
                <w:b/>
              </w:rPr>
              <w:t xml:space="preserve"> = 70+:  2/1 = 69-60:   2/2 = 59-50:   3</w:t>
            </w:r>
            <w:r>
              <w:rPr>
                <w:rFonts w:ascii="Garamond" w:hAnsi="Garamond"/>
                <w:b/>
                <w:vertAlign w:val="superscript"/>
              </w:rPr>
              <w:t>rd</w:t>
            </w:r>
            <w:r>
              <w:rPr>
                <w:rFonts w:ascii="Garamond" w:hAnsi="Garamond"/>
                <w:b/>
              </w:rPr>
              <w:t xml:space="preserve"> = 45-49:   pass = 40-44:   fail = 39-  )</w:t>
            </w:r>
          </w:p>
        </w:tc>
      </w:tr>
    </w:tbl>
    <w:p w:rsidR="008E596E" w:rsidRDefault="008E596E" w:rsidP="008E596E">
      <w:pPr>
        <w:spacing w:after="0"/>
      </w:pPr>
    </w:p>
    <w:p w:rsidR="007C6CE8" w:rsidRDefault="007C6CE8" w:rsidP="008E596E">
      <w:pPr>
        <w:spacing w:after="0"/>
      </w:pPr>
    </w:p>
    <w:p w:rsidR="007C6CE8" w:rsidRDefault="007C6CE8" w:rsidP="008E596E">
      <w:pPr>
        <w:spacing w:after="0"/>
      </w:pPr>
    </w:p>
    <w:p w:rsidR="007C6CE8" w:rsidRDefault="007C6CE8" w:rsidP="008E596E">
      <w:pPr>
        <w:spacing w:after="0"/>
      </w:pPr>
    </w:p>
    <w:p w:rsidR="007C6CE8" w:rsidRDefault="007C6CE8" w:rsidP="008E596E">
      <w:pPr>
        <w:spacing w:after="0"/>
      </w:pPr>
    </w:p>
    <w:p w:rsidR="007C6CE8" w:rsidRDefault="007C6CE8" w:rsidP="008E596E">
      <w:pPr>
        <w:spacing w:after="0"/>
      </w:pPr>
    </w:p>
    <w:p w:rsidR="007C6CE8" w:rsidRDefault="007C6CE8" w:rsidP="007C6CE8">
      <w:pPr>
        <w:spacing w:after="0"/>
        <w:jc w:val="center"/>
        <w:rPr>
          <w:b/>
          <w:u w:val="single"/>
        </w:rPr>
      </w:pPr>
      <w:r>
        <w:rPr>
          <w:b/>
          <w:u w:val="single"/>
        </w:rPr>
        <w:lastRenderedPageBreak/>
        <w:t>Reflective Essay</w:t>
      </w:r>
    </w:p>
    <w:p w:rsidR="007C6CE8" w:rsidRPr="007C6CE8" w:rsidRDefault="007C6CE8" w:rsidP="007C6CE8">
      <w:pPr>
        <w:spacing w:after="0"/>
        <w:jc w:val="center"/>
      </w:pPr>
    </w:p>
    <w:p w:rsidR="00965C46" w:rsidRDefault="00965C46" w:rsidP="008E596E">
      <w:pPr>
        <w:spacing w:after="0"/>
      </w:pPr>
      <w:r>
        <w:t xml:space="preserve">The writing of a dissertation is one that is done by all students across universities. However, my dissertation for my Archaeology degree is something a little different to what is considered normal. For my dissertation, I am creating a short documentary about Tyneham village in Dorset and how the role of memory and identity, and the loss of both, creates a political </w:t>
      </w:r>
      <w:r w:rsidR="00591E12">
        <w:t xml:space="preserve">situation </w:t>
      </w:r>
      <w:r>
        <w:t>which alters the perceptions of people across the world.</w:t>
      </w:r>
      <w:r w:rsidR="008E596E">
        <w:t xml:space="preserve"> </w:t>
      </w:r>
      <w:r w:rsidR="0008197A">
        <w:t>By creating a documentary I am hoping to get people to question what they know of archaeology. Tyneham village is not the conventional archaeological site. For a start, it was evacuated during the Second World War, an event where many people who lived through it are still alive</w:t>
      </w:r>
      <w:r w:rsidR="00154857">
        <w:t xml:space="preserve"> (Buckton 2008: 11)</w:t>
      </w:r>
      <w:r w:rsidR="0008197A">
        <w:t xml:space="preserve">. Secondly, it is not buried under the ground awaiting excavation. It is a site that people can still visit to this day, although not as it once was. </w:t>
      </w:r>
    </w:p>
    <w:p w:rsidR="00F5369A" w:rsidRDefault="00F5369A" w:rsidP="008E596E">
      <w:pPr>
        <w:spacing w:after="0"/>
      </w:pPr>
    </w:p>
    <w:p w:rsidR="009F65AD" w:rsidRDefault="00F5369A" w:rsidP="008E596E">
      <w:pPr>
        <w:spacing w:after="0"/>
      </w:pPr>
      <w:r>
        <w:t>The key concept behind my dissertation is the idea of memory and i</w:t>
      </w:r>
      <w:r w:rsidR="00591E12">
        <w:t xml:space="preserve">dentity and how politics and war </w:t>
      </w:r>
      <w:r>
        <w:t xml:space="preserve">influenced </w:t>
      </w:r>
      <w:r w:rsidR="00591E12">
        <w:t>a loss of memory and identity of the villagers</w:t>
      </w:r>
      <w:r>
        <w:t xml:space="preserve">. </w:t>
      </w:r>
      <w:r w:rsidR="00591E12">
        <w:t>The people who left the village still had memories and still held on to their identities</w:t>
      </w:r>
      <w:r w:rsidR="00154857">
        <w:t xml:space="preserve"> (Wright 1995)</w:t>
      </w:r>
      <w:r w:rsidR="00591E12">
        <w:t xml:space="preserve">. However, over the space of the last 70 years this identity begins to diminish. </w:t>
      </w:r>
      <w:r>
        <w:t>There is no better place, for myself to set my dissertation, than Tyneham village.  It is a site that I have a very keen interest in, having grown up in the surrounding area and visiting Tyneham on numerous occasions. The site of Tyneham has always intrigued me and I have often wondered about the stories hidden in the walls.</w:t>
      </w:r>
    </w:p>
    <w:p w:rsidR="00F5369A" w:rsidRDefault="00F5369A" w:rsidP="008E596E">
      <w:pPr>
        <w:spacing w:after="0"/>
      </w:pPr>
    </w:p>
    <w:p w:rsidR="00F5369A" w:rsidRDefault="00F5369A" w:rsidP="008E596E">
      <w:pPr>
        <w:spacing w:after="0"/>
      </w:pPr>
      <w:r>
        <w:t>The village of Tyneham is nestled in the Tyneham valley in the South of Dorset</w:t>
      </w:r>
      <w:r w:rsidR="003067CD">
        <w:t xml:space="preserve"> (Elmes 1994: 1)</w:t>
      </w:r>
      <w:r>
        <w:t>. Evacuated by the Ministry of Defence in preparation for D-Day in 1943, it was overtaken by the</w:t>
      </w:r>
      <w:r w:rsidR="00591E12">
        <w:t xml:space="preserve"> US</w:t>
      </w:r>
      <w:r>
        <w:t xml:space="preserve"> Omaha division in December of that year</w:t>
      </w:r>
      <w:r w:rsidR="003067CD">
        <w:t xml:space="preserve"> (Lewis 2016: 5)</w:t>
      </w:r>
      <w:r>
        <w:t>. The villages, having been given one month to evacuate, left their homes in the belief that, not only were they aiding the war effort, but that they would also get to return back to the little village they called home</w:t>
      </w:r>
      <w:r w:rsidR="003067CD">
        <w:t xml:space="preserve"> (Legg 1985)</w:t>
      </w:r>
      <w:r>
        <w:t>. However, this was not meant to be and Tyneham is still abandoned</w:t>
      </w:r>
      <w:r w:rsidR="00864EEC">
        <w:t xml:space="preserve"> (Norman, Hurst</w:t>
      </w:r>
      <w:r w:rsidR="00864EEC">
        <w:t xml:space="preserve"> 2003</w:t>
      </w:r>
      <w:r w:rsidR="00864EEC">
        <w:t>: 99)</w:t>
      </w:r>
      <w:r>
        <w:t>. What intrigues m</w:t>
      </w:r>
      <w:r w:rsidR="00834C80">
        <w:t>e so much about the site is how, even now, the site is shrouded in politics; numerous people having very strong opinions about the site. There are still a number of people who believe that the Tyneham and the surrounding area should be returned to the villagers who left it in 1943. Other people believe that the village should be handed over to the National Trust</w:t>
      </w:r>
      <w:r w:rsidR="00864EEC">
        <w:t xml:space="preserve"> (Wright 1995)</w:t>
      </w:r>
      <w:r w:rsidR="00834C80">
        <w:t>. It is this contrast in opinions which has constantly captured my curiosity; especially the loss of an identity which has resulted in so many different responses. In summary, the question</w:t>
      </w:r>
      <w:r w:rsidR="00591E12">
        <w:t xml:space="preserve"> is</w:t>
      </w:r>
      <w:r w:rsidR="00834C80">
        <w:t xml:space="preserve"> referring to the loss of memory and identity as both have an impact on how the site in question is viewed</w:t>
      </w:r>
      <w:r w:rsidR="00591E12">
        <w:t xml:space="preserve"> by a variety of people</w:t>
      </w:r>
      <w:r w:rsidR="00834C80">
        <w:t xml:space="preserve"> and how the politics surrounding the site are shaped.</w:t>
      </w:r>
    </w:p>
    <w:p w:rsidR="00F5369A" w:rsidRDefault="00F5369A" w:rsidP="008E596E">
      <w:pPr>
        <w:spacing w:after="0"/>
      </w:pPr>
    </w:p>
    <w:p w:rsidR="009F65AD" w:rsidRDefault="00834C80" w:rsidP="008E596E">
      <w:pPr>
        <w:spacing w:after="0"/>
      </w:pPr>
      <w:r>
        <w:t>The reason why I chose to</w:t>
      </w:r>
      <w:r w:rsidR="00591E12">
        <w:t xml:space="preserve"> research</w:t>
      </w:r>
      <w:r>
        <w:t xml:space="preserve"> this question is predominantly embedded in the way I will be presenting the answer. In contrast to the conventional 10,000-word essay, I will be creating a ten to fifteen-minute documentary. </w:t>
      </w:r>
      <w:r w:rsidR="00243A07">
        <w:t>There will be textual elements within my research, including scripts, storyboards and shot sequences, however the final piece will be the film itself. I have chosen to create a film as, not only does the film offer a unique experience which may not be achieved through reading an academic document, but it also engages a wider audience</w:t>
      </w:r>
      <w:r w:rsidR="00FC2A1E">
        <w:t xml:space="preserve"> (Turner 1993)</w:t>
      </w:r>
      <w:r w:rsidR="00243A07">
        <w:t>. It has been the case that archaeology is often looked at through academic eyes. The last major archaeological TV show was Time Team</w:t>
      </w:r>
      <w:r w:rsidR="00A631FC">
        <w:t xml:space="preserve"> (Hilts 2012)</w:t>
      </w:r>
      <w:r w:rsidR="00243A07">
        <w:t xml:space="preserve">. I would like to bring archaeology back in to the mainstream by encouraging and engaging a wider audience and showing them a world which they have not yet encountered. </w:t>
      </w:r>
      <w:r w:rsidR="00F35CA7">
        <w:t>It is important to get people involved in archaeology because archaeology influences people’s perspectives of history, sometimes altering them. If archaeology is purely academic, then it is difficult for a wider audience to understand more about their past in order to shape the future</w:t>
      </w:r>
      <w:r w:rsidR="00A631FC">
        <w:t xml:space="preserve"> </w:t>
      </w:r>
      <w:r w:rsidR="00A631FC">
        <w:lastRenderedPageBreak/>
        <w:t>(Dornan 2002)</w:t>
      </w:r>
      <w:r w:rsidR="00F35CA7">
        <w:t xml:space="preserve">. </w:t>
      </w:r>
      <w:r w:rsidR="00243A07">
        <w:t xml:space="preserve">Therefore, it seems logical to present Tyneham in a way that engages as wide an audience as possible. </w:t>
      </w:r>
    </w:p>
    <w:p w:rsidR="00243A07" w:rsidRDefault="00243A07" w:rsidP="008E596E">
      <w:pPr>
        <w:spacing w:after="0"/>
      </w:pPr>
    </w:p>
    <w:p w:rsidR="009F65AD" w:rsidRDefault="00243A07" w:rsidP="008E596E">
      <w:pPr>
        <w:spacing w:after="0"/>
      </w:pPr>
      <w:r>
        <w:t>Tyneham has been examined before, in both written texts and through the medium of film. For example, “The Village that Died for England: The Strange Story of Tyneham”</w:t>
      </w:r>
      <w:r w:rsidR="00154857">
        <w:t xml:space="preserve"> (Wright 1995)</w:t>
      </w:r>
      <w:r>
        <w:t xml:space="preserve"> goes into detail about the history of the site and the political events which occurred from 1968 onwards. There have also been documentaries where previous residents have returned to Tyneham and described what life was like when they lived there. However, as a whole there are few written texts on Tyneham and even fewer academic</w:t>
      </w:r>
      <w:r w:rsidR="00541053">
        <w:t xml:space="preserve"> analyses of the village. Therefore, I</w:t>
      </w:r>
      <w:r w:rsidR="00AD05A3">
        <w:t xml:space="preserve"> have decided to conduct</w:t>
      </w:r>
      <w:r w:rsidR="00541053">
        <w:t xml:space="preserve"> research through interviews with both previous residents and current conservers of Tyneham. Also, in contrast to previous documentaries </w:t>
      </w:r>
      <w:r w:rsidR="00AD05A3">
        <w:t>which have been made, I am not only</w:t>
      </w:r>
      <w:r w:rsidR="00541053">
        <w:t xml:space="preserve"> enquiring into the ex-residents lives and what Tyneham was like before the Army take-over in 1943, but also into how the loss of memory and identity has influenced the politics surrounding the site and what impacts that has on how the site is viewed today.</w:t>
      </w:r>
      <w:r w:rsidR="00F35CA7">
        <w:t xml:space="preserve"> I am examining this side of Tyneham as it is fundamental in understanding the history of the area as a whole.</w:t>
      </w:r>
    </w:p>
    <w:p w:rsidR="00541053" w:rsidRDefault="00541053" w:rsidP="008E596E">
      <w:pPr>
        <w:spacing w:after="0"/>
      </w:pPr>
    </w:p>
    <w:p w:rsidR="00541053" w:rsidRDefault="00541053" w:rsidP="008E596E">
      <w:pPr>
        <w:spacing w:after="0"/>
      </w:pPr>
      <w:r>
        <w:t xml:space="preserve">I will be answering the question on memory and identity, ultimately through the use of a film. It will be a ten to fifteen-minute documentary and it will be supported through textual research, including a script and a storyboard. As previously mentioned, there is a lack of academic texts surrounding Tyneham, possibly because of how recent the site is. As a result, a lot of my research is based on interviews with people who have either lived in Tyneham or are part of the Ministry of Defence team </w:t>
      </w:r>
      <w:r w:rsidR="001522A8">
        <w:t>helping to conserve the village. Most of my research has involved contacting individuals and travelling</w:t>
      </w:r>
      <w:r w:rsidR="00AD05A3">
        <w:t xml:space="preserve"> to</w:t>
      </w:r>
      <w:r w:rsidR="001522A8">
        <w:t xml:space="preserve"> the offices of magazines, including Dorset Life Magazine</w:t>
      </w:r>
      <w:r w:rsidR="00864EEC">
        <w:t xml:space="preserve"> (</w:t>
      </w:r>
      <w:r w:rsidR="009A116A">
        <w:t>1968-1974</w:t>
      </w:r>
      <w:r w:rsidR="00864EEC">
        <w:t>)</w:t>
      </w:r>
      <w:r w:rsidR="00AD05A3">
        <w:t xml:space="preserve">. Such publications </w:t>
      </w:r>
      <w:r w:rsidR="001522A8">
        <w:t>have recorded the events surrounding Tyneham from 1968 onwards. A key indi</w:t>
      </w:r>
      <w:r w:rsidR="00AD05A3">
        <w:t xml:space="preserve">vidual that I am researching currently is </w:t>
      </w:r>
      <w:r w:rsidR="001522A8">
        <w:t>Rodney Legg</w:t>
      </w:r>
      <w:r w:rsidR="00864EEC">
        <w:t xml:space="preserve"> (1985, 1992, 2002)</w:t>
      </w:r>
      <w:r w:rsidR="001522A8">
        <w:t xml:space="preserve">. His involvement with Tyneham resulted in a number of key publications which I have examined in my research. One example is the publication from the Tyneham Action Group which offers an interesting opinion into the events surrounding </w:t>
      </w:r>
      <w:r w:rsidR="00AD05A3">
        <w:t>the site</w:t>
      </w:r>
      <w:r w:rsidR="00864EEC">
        <w:t xml:space="preserve"> (</w:t>
      </w:r>
      <w:r w:rsidR="00D8582D">
        <w:t>Tyneham Action Group</w:t>
      </w:r>
      <w:r w:rsidR="00864EEC">
        <w:t xml:space="preserve"> 1969)</w:t>
      </w:r>
      <w:r w:rsidR="001522A8">
        <w:t xml:space="preserve">. However, I have </w:t>
      </w:r>
      <w:r w:rsidR="00AD05A3">
        <w:t xml:space="preserve">been conscious that in carrying out my research, I have had to be careful to maintain a critical and open-minded view of what is said. Oral evidences based on interviews, which I have already conducted, has shown that the topic of Tyneham is a highly emotive one. Indeed, this is something that I have needed to be personally aware of, given my close proximity to the village and the history of the site. As a result, I have tried to maintain objectivity from the sources which I have used. The publication of the Tyneham Action Group </w:t>
      </w:r>
      <w:r w:rsidR="008D6C7C">
        <w:t>is a very politically orientated document and the author has an ulterior motive of shifting the reader’s perception of both the Ministry of Defence and the army</w:t>
      </w:r>
      <w:r w:rsidR="00864EEC">
        <w:t xml:space="preserve"> (Norman 2007: 107)</w:t>
      </w:r>
      <w:r w:rsidR="008D6C7C">
        <w:t>. However, it still offers an interesting outlook. Other documents that I have looked at in my research include other documentaries, a number of publications by Rodney Leg</w:t>
      </w:r>
      <w:r w:rsidR="00AD05A3">
        <w:t>g as well as newspaper articles</w:t>
      </w:r>
      <w:r w:rsidR="00864EEC">
        <w:t xml:space="preserve"> (The Times 1973)</w:t>
      </w:r>
      <w:r w:rsidR="00AD05A3">
        <w:t>. As with the publication from the Tyneham Action Group, all of these need careful handling and consideration as sources.</w:t>
      </w:r>
      <w:r w:rsidR="008D6C7C">
        <w:t xml:space="preserve"> There are a few difficulties which I have faced whilst conducting the preliminary research. For example, a lot of books were of little use as they discussed very little about the site. I have attempted to find literature discuss</w:t>
      </w:r>
      <w:r w:rsidR="00AD05A3">
        <w:t>ing the more political aspect, h</w:t>
      </w:r>
      <w:r w:rsidR="008D6C7C">
        <w:t xml:space="preserve">owever, it appears that it has not been addressed substantially. Another issue that I have had to work around is related to the interviews themselves. A number of individuals have refused to be interviewed due to ill-health or they just have no wish to be spoken too. There is little that can be done about this. I have had to acknowledge and respect their wishes and try to reach out to more contacts. I was lucky in the fact that I managed to conduct and </w:t>
      </w:r>
      <w:r w:rsidR="00AD05A3">
        <w:t>record an interview with an ex-</w:t>
      </w:r>
      <w:r w:rsidR="008D6C7C">
        <w:t xml:space="preserve">resident of Tyneham. Not only did that interview go extremely well, it also gave me more contacts to examine and follow-up. Essentially, what I have realised about creating a documentary is that you are faced with a number </w:t>
      </w:r>
      <w:r w:rsidR="008D6C7C">
        <w:lastRenderedPageBreak/>
        <w:t>of problems and you have to work around them. There are some issues that you are unable to solve and, therefore, you have to forget that line of enquiry and follow a different lead.</w:t>
      </w:r>
      <w:r w:rsidR="005554FA">
        <w:t xml:space="preserve"> </w:t>
      </w:r>
      <w:r w:rsidR="00AD05A3">
        <w:t>This whole process, though frustrating and occasionally negative, also has potentially positive effects. On reflection, I consider that the logistical difficulties I have encountered have led me to be more stringent and rigorous in the way I have and will conduct my research.</w:t>
      </w:r>
    </w:p>
    <w:p w:rsidR="005554FA" w:rsidRDefault="005554FA" w:rsidP="008E596E">
      <w:pPr>
        <w:spacing w:after="0"/>
      </w:pPr>
    </w:p>
    <w:p w:rsidR="005554FA" w:rsidRDefault="005554FA" w:rsidP="008E596E">
      <w:pPr>
        <w:spacing w:after="0"/>
      </w:pPr>
      <w:r>
        <w:t xml:space="preserve">Other difficulties that I have come across revolve around ethical issues. I have been in contact with the Ministry of Defence as the location of Tyneham is situated in a gunnery range </w:t>
      </w:r>
      <w:r w:rsidR="00864EEC">
        <w:t xml:space="preserve">(Lewis 2016: 5) </w:t>
      </w:r>
      <w:r>
        <w:t xml:space="preserve">and I am also intending on interviewing members of the </w:t>
      </w:r>
      <w:r w:rsidR="00EE502D">
        <w:t>M.o.D</w:t>
      </w:r>
      <w:r>
        <w:t xml:space="preserve">. This is not much of an issue however, as I am in continual contact with members of the Ministry of Defence in reference to the interview questions and the locations I am permitted to film. </w:t>
      </w:r>
      <w:r w:rsidR="00EE502D">
        <w:t>Fortunately</w:t>
      </w:r>
      <w:r>
        <w:t>, the area which I wish to film in has public access during the times of year when the gunnery range is not in use and therefore I am able to film without too much trouble. The other issues will be in regarding interviews and using information and i</w:t>
      </w:r>
      <w:r w:rsidR="00EE502D">
        <w:t>mages with permission</w:t>
      </w:r>
      <w:r w:rsidR="00FC2A1E">
        <w:t xml:space="preserve"> (Copyright, Designs and Patent Act 1998)</w:t>
      </w:r>
      <w:r w:rsidR="00EE502D">
        <w:t>. I have and need to</w:t>
      </w:r>
      <w:r>
        <w:t xml:space="preserve"> make sure that I get </w:t>
      </w:r>
      <w:r w:rsidR="00FD68B1">
        <w:t>written or recorded permission to use people’s intellectual property in my research and my work.</w:t>
      </w:r>
    </w:p>
    <w:p w:rsidR="00FD68B1" w:rsidRDefault="00FD68B1" w:rsidP="008E596E">
      <w:pPr>
        <w:spacing w:after="0"/>
      </w:pPr>
    </w:p>
    <w:p w:rsidR="00FD68B1" w:rsidRDefault="00FD68B1" w:rsidP="008E596E">
      <w:pPr>
        <w:spacing w:after="0"/>
      </w:pPr>
      <w:r>
        <w:t xml:space="preserve">Other issues will be </w:t>
      </w:r>
      <w:r w:rsidR="00EE502D">
        <w:t>a result of</w:t>
      </w:r>
      <w:r>
        <w:t xml:space="preserve"> filming the documentary itself. So far, I have only two days in which I can film due to work and travelling restrictions. This requires me to do a considerable amount of prior planning in order to make sure that everything is recorded without too many issues. However, there will be elements that will be out of my control</w:t>
      </w:r>
      <w:r w:rsidR="00EE502D">
        <w:t>,</w:t>
      </w:r>
      <w:r>
        <w:t xml:space="preserve"> including the weather. This would be a problem that would have to be resolved on the day, if resolvable. The main issue would be if one of the filming days were to be called off as then it would reduce my filming time substantially. Other issues include specific areas of Tyneham in which I can film due to the fact that a few of the buildings are in state of collapse</w:t>
      </w:r>
      <w:r w:rsidR="00FC2A1E">
        <w:t xml:space="preserve"> (Lewis 2016: 44)</w:t>
      </w:r>
      <w:r>
        <w:t xml:space="preserve">. Therefore, I am unable to film in the specific building and it is again an issue out of my control. I am in a situation where I will just </w:t>
      </w:r>
      <w:r w:rsidR="00EE502D">
        <w:t>need to show some flexibility and attempt</w:t>
      </w:r>
      <w:r>
        <w:t xml:space="preserve"> to work around the problems present</w:t>
      </w:r>
      <w:r w:rsidR="00EE502D">
        <w:t xml:space="preserve"> should they arise</w:t>
      </w:r>
      <w:r>
        <w:t>.</w:t>
      </w:r>
      <w:r w:rsidR="00EE502D">
        <w:t xml:space="preserve"> </w:t>
      </w:r>
    </w:p>
    <w:p w:rsidR="00DD70EF" w:rsidRDefault="00DD70EF" w:rsidP="008E596E">
      <w:pPr>
        <w:spacing w:after="0"/>
      </w:pPr>
    </w:p>
    <w:p w:rsidR="00DD70EF" w:rsidRDefault="00DD70EF" w:rsidP="008E596E">
      <w:pPr>
        <w:spacing w:after="0"/>
      </w:pPr>
      <w:r>
        <w:t>What I now need to focus on with my dissertation will be the planning of the filming sessions and storyboarding</w:t>
      </w:r>
      <w:r w:rsidR="00EE502D">
        <w:t>,</w:t>
      </w:r>
      <w:r>
        <w:t xml:space="preserve"> how the documentary will hopefully look</w:t>
      </w:r>
      <w:r w:rsidR="00EE502D">
        <w:t xml:space="preserve">; </w:t>
      </w:r>
      <w:r>
        <w:t>placing ideas onto a timeline so that the film will make sense to those who watch it. I will also be starting to script the documentary with the aim of editing the film in January. There will be issues regarding the editing but those will be faced when I get to them. The key issue will be condensing all of the information and footage into one short documentary and still g</w:t>
      </w:r>
      <w:r w:rsidR="00EE502D">
        <w:t>et across the message that I wish</w:t>
      </w:r>
      <w:r>
        <w:t xml:space="preserve"> to present to the audience. </w:t>
      </w:r>
      <w:r w:rsidR="00EE502D">
        <w:t xml:space="preserve">This task requires that I be very careful during the editing process, that I maintain an objectivity to the best of my ability. </w:t>
      </w:r>
    </w:p>
    <w:p w:rsidR="00B4185B" w:rsidRDefault="00B4185B" w:rsidP="008E596E">
      <w:pPr>
        <w:spacing w:after="0"/>
      </w:pPr>
    </w:p>
    <w:p w:rsidR="008D271F" w:rsidRDefault="00B4185B" w:rsidP="008D271F">
      <w:pPr>
        <w:spacing w:after="0"/>
      </w:pPr>
      <w:r>
        <w:t>In conclusion, I am ongoing with my research in regards to Tyneham village, a process that will probably continue into the editing phase of my work. I have chosen to create a documentary as it is not only a career that I wish to engage it, but it would also allow a far wider audienc</w:t>
      </w:r>
      <w:r w:rsidR="00EE502D">
        <w:t>e to watch the story of Tyneham. Furthermore, it</w:t>
      </w:r>
      <w:r>
        <w:t xml:space="preserve"> present</w:t>
      </w:r>
      <w:r w:rsidR="00EE502D">
        <w:t>s</w:t>
      </w:r>
      <w:r>
        <w:t xml:space="preserve"> the story of Tyneham in a way that is different to </w:t>
      </w:r>
      <w:r w:rsidR="00154A38">
        <w:t xml:space="preserve">the conventional dissertation. I have addressed the </w:t>
      </w:r>
      <w:r w:rsidR="00EE502D">
        <w:t>majority</w:t>
      </w:r>
      <w:r w:rsidR="00154A38">
        <w:t xml:space="preserve"> of problems that I </w:t>
      </w:r>
      <w:r w:rsidR="00EE502D">
        <w:t>consider I may have</w:t>
      </w:r>
      <w:r w:rsidR="00154A38">
        <w:t xml:space="preserve"> to deal with over the course o</w:t>
      </w:r>
      <w:r w:rsidR="00EE502D">
        <w:t xml:space="preserve">f planning, filming and editing. I </w:t>
      </w:r>
      <w:r w:rsidR="00154A38">
        <w:t xml:space="preserve">have </w:t>
      </w:r>
      <w:r w:rsidR="00EE502D">
        <w:t xml:space="preserve">also </w:t>
      </w:r>
      <w:r w:rsidR="00154A38">
        <w:t>stated what is next in the creation of my documentary. Ultimately, I am hoping to create something that will engage a wide audience and address a topic from a different angle</w:t>
      </w:r>
      <w:r w:rsidR="00EE502D">
        <w:t>,</w:t>
      </w:r>
      <w:r w:rsidR="00154A38">
        <w:t xml:space="preserve"> which will hopefully get people thinking about the archaeology visible to the wider population.</w:t>
      </w:r>
    </w:p>
    <w:p w:rsidR="00A15F70" w:rsidRDefault="00A15F70" w:rsidP="008D271F">
      <w:pPr>
        <w:spacing w:after="0"/>
      </w:pPr>
    </w:p>
    <w:p w:rsidR="00A15F70" w:rsidRDefault="00A15F70" w:rsidP="008D271F">
      <w:pPr>
        <w:spacing w:after="0"/>
      </w:pPr>
    </w:p>
    <w:p w:rsidR="00A15F70" w:rsidRDefault="00A15F70" w:rsidP="008D271F">
      <w:pPr>
        <w:spacing w:after="0"/>
      </w:pPr>
      <w:r>
        <w:lastRenderedPageBreak/>
        <w:t xml:space="preserve">Bibliography </w:t>
      </w:r>
    </w:p>
    <w:p w:rsidR="00D8582D" w:rsidRDefault="00D8582D" w:rsidP="008D271F">
      <w:pPr>
        <w:spacing w:after="0"/>
      </w:pPr>
    </w:p>
    <w:p w:rsidR="00D8582D" w:rsidRPr="00D8582D" w:rsidRDefault="00D8582D" w:rsidP="008D271F">
      <w:pPr>
        <w:spacing w:after="0"/>
      </w:pPr>
      <w:r>
        <w:t xml:space="preserve">Tyneham Action Group. 1969: </w:t>
      </w:r>
      <w:r>
        <w:rPr>
          <w:i/>
        </w:rPr>
        <w:t>The Fight for Tyneham.</w:t>
      </w:r>
      <w:r>
        <w:t xml:space="preserve"> Sherborne: Dorset Publishing Company.</w:t>
      </w:r>
    </w:p>
    <w:p w:rsidR="00A15F70" w:rsidRDefault="00A15F70" w:rsidP="008D271F">
      <w:pPr>
        <w:spacing w:after="0"/>
      </w:pPr>
    </w:p>
    <w:p w:rsidR="00A15F70" w:rsidRDefault="00154857" w:rsidP="008D271F">
      <w:pPr>
        <w:spacing w:after="0"/>
      </w:pPr>
      <w:r>
        <w:t xml:space="preserve">Buckton, H. 2008. </w:t>
      </w:r>
      <w:r>
        <w:rPr>
          <w:i/>
        </w:rPr>
        <w:t>The Lost Villages: In Search of Britain’s Vanished Communities.</w:t>
      </w:r>
      <w:r>
        <w:t xml:space="preserve"> London: I. B. Tauris &amp; Co Ltd.</w:t>
      </w:r>
    </w:p>
    <w:p w:rsidR="00FC2A1E" w:rsidRDefault="00FC2A1E" w:rsidP="008D271F">
      <w:pPr>
        <w:spacing w:after="0"/>
      </w:pPr>
    </w:p>
    <w:p w:rsidR="00FC2A1E" w:rsidRDefault="00FC2A1E" w:rsidP="008D271F">
      <w:pPr>
        <w:spacing w:after="0"/>
      </w:pPr>
      <w:r w:rsidRPr="00FC2A1E">
        <w:rPr>
          <w:i/>
        </w:rPr>
        <w:t>Copyright, Designs and Patent Act</w:t>
      </w:r>
      <w:r>
        <w:t xml:space="preserve">. 1988. Available at </w:t>
      </w:r>
      <w:hyperlink r:id="rId8" w:history="1">
        <w:r w:rsidRPr="00780A3A">
          <w:rPr>
            <w:rStyle w:val="Hyperlink"/>
          </w:rPr>
          <w:t>https://www.gov.uk/government/uploads/system/uploads/attachment_data/file/648444/copyright-designs-and-patents-act-1988.pdf</w:t>
        </w:r>
      </w:hyperlink>
      <w:r>
        <w:t xml:space="preserve"> (Accessed 30th August 2017)</w:t>
      </w:r>
      <w:r w:rsidR="00A631FC">
        <w:t>.</w:t>
      </w:r>
    </w:p>
    <w:p w:rsidR="00A631FC" w:rsidRDefault="00A631FC" w:rsidP="008D271F">
      <w:pPr>
        <w:spacing w:after="0"/>
      </w:pPr>
    </w:p>
    <w:p w:rsidR="00A631FC" w:rsidRDefault="00A631FC" w:rsidP="008D271F">
      <w:pPr>
        <w:spacing w:after="0"/>
      </w:pPr>
      <w:r>
        <w:t xml:space="preserve">Dornan, J, L. 2002. Agency and Archaeology: Past, Present and Future Directions. </w:t>
      </w:r>
      <w:r>
        <w:rPr>
          <w:i/>
        </w:rPr>
        <w:t>Journal of Archaeological Method and Theory.</w:t>
      </w:r>
      <w:r>
        <w:t xml:space="preserve"> Vol 9. No 4. pp 303-329.</w:t>
      </w:r>
    </w:p>
    <w:p w:rsidR="003067CD" w:rsidRDefault="003067CD" w:rsidP="008D271F">
      <w:pPr>
        <w:spacing w:after="0"/>
      </w:pPr>
    </w:p>
    <w:p w:rsidR="003067CD" w:rsidRDefault="003067CD" w:rsidP="008D271F">
      <w:pPr>
        <w:spacing w:after="0"/>
      </w:pPr>
      <w:r>
        <w:t xml:space="preserve">Elmes, J. 1994. </w:t>
      </w:r>
      <w:r>
        <w:rPr>
          <w:i/>
        </w:rPr>
        <w:t>A Tyneham Boyhood: The Rooks in the Elm Trees.</w:t>
      </w:r>
      <w:r>
        <w:t xml:space="preserve"> Dorset: Myrmica Books.</w:t>
      </w:r>
    </w:p>
    <w:p w:rsidR="00A631FC" w:rsidRDefault="00A631FC" w:rsidP="008D271F">
      <w:pPr>
        <w:spacing w:after="0"/>
      </w:pPr>
    </w:p>
    <w:p w:rsidR="00A631FC" w:rsidRPr="00A631FC" w:rsidRDefault="00A631FC" w:rsidP="008D271F">
      <w:pPr>
        <w:spacing w:after="0"/>
      </w:pPr>
      <w:r>
        <w:t xml:space="preserve">Hilts, C. 2012. </w:t>
      </w:r>
      <w:r>
        <w:rPr>
          <w:i/>
        </w:rPr>
        <w:t>Time Team: The Rise and Fall of a Television Phenomenon.</w:t>
      </w:r>
      <w:r>
        <w:t xml:space="preserve"> Available at </w:t>
      </w:r>
      <w:hyperlink r:id="rId9" w:history="1">
        <w:r w:rsidRPr="00780A3A">
          <w:rPr>
            <w:rStyle w:val="Hyperlink"/>
          </w:rPr>
          <w:t>https://www.archaeology.co.uk/articles/features/time-team-the-rise-and-fall-of-a-television-phenomenon.htm</w:t>
        </w:r>
      </w:hyperlink>
      <w:r>
        <w:t xml:space="preserve"> (Accessed 13th November 2017).</w:t>
      </w:r>
    </w:p>
    <w:p w:rsidR="003067CD" w:rsidRDefault="003067CD" w:rsidP="008D271F">
      <w:pPr>
        <w:spacing w:after="0"/>
      </w:pPr>
    </w:p>
    <w:p w:rsidR="003067CD" w:rsidRDefault="003067CD" w:rsidP="008D271F">
      <w:pPr>
        <w:spacing w:after="0"/>
      </w:pPr>
      <w:r>
        <w:t xml:space="preserve">Lewis, G. 2016. </w:t>
      </w:r>
      <w:r>
        <w:rPr>
          <w:i/>
        </w:rPr>
        <w:t xml:space="preserve">Tyneham with Warbarrow: Then and Now. </w:t>
      </w:r>
      <w:r>
        <w:t>UK: Createspace Publishing.</w:t>
      </w:r>
    </w:p>
    <w:p w:rsidR="009A116A" w:rsidRDefault="009A116A" w:rsidP="008D271F">
      <w:pPr>
        <w:spacing w:after="0"/>
      </w:pPr>
    </w:p>
    <w:p w:rsidR="009A116A" w:rsidRPr="009A116A" w:rsidRDefault="009A116A" w:rsidP="008D271F">
      <w:pPr>
        <w:spacing w:after="0"/>
      </w:pPr>
      <w:r>
        <w:t xml:space="preserve">Legg, R. (ed) 1968 – 1974. </w:t>
      </w:r>
      <w:r>
        <w:rPr>
          <w:i/>
        </w:rPr>
        <w:t>Dorset Life Magazine.</w:t>
      </w:r>
      <w:r>
        <w:t xml:space="preserve"> Dorset.</w:t>
      </w:r>
    </w:p>
    <w:p w:rsidR="003067CD" w:rsidRDefault="003067CD" w:rsidP="008D271F">
      <w:pPr>
        <w:spacing w:after="0"/>
      </w:pPr>
    </w:p>
    <w:p w:rsidR="003067CD" w:rsidRDefault="003067CD" w:rsidP="008D271F">
      <w:pPr>
        <w:spacing w:after="0"/>
      </w:pPr>
      <w:r>
        <w:t xml:space="preserve">Legg, R. 1985. </w:t>
      </w:r>
      <w:r>
        <w:rPr>
          <w:i/>
        </w:rPr>
        <w:t xml:space="preserve">Lulworth and Tyneham Revisited. </w:t>
      </w:r>
      <w:r w:rsidR="007335B1">
        <w:t>Sherborne: Dorset Publishing Company.</w:t>
      </w:r>
    </w:p>
    <w:p w:rsidR="007335B1" w:rsidRDefault="007335B1" w:rsidP="008D271F">
      <w:pPr>
        <w:spacing w:after="0"/>
      </w:pPr>
    </w:p>
    <w:p w:rsidR="007335B1" w:rsidRDefault="007335B1" w:rsidP="008D271F">
      <w:pPr>
        <w:spacing w:after="0"/>
      </w:pPr>
      <w:r>
        <w:t xml:space="preserve">Legg, R. 1992. </w:t>
      </w:r>
      <w:r>
        <w:rPr>
          <w:i/>
        </w:rPr>
        <w:t>Tyneham: Dorset’s Ghost Village.</w:t>
      </w:r>
      <w:r>
        <w:t xml:space="preserve"> Wincanton: Dorset Publishing Company.</w:t>
      </w:r>
    </w:p>
    <w:p w:rsidR="007335B1" w:rsidRDefault="007335B1" w:rsidP="008D271F">
      <w:pPr>
        <w:spacing w:after="0"/>
      </w:pPr>
    </w:p>
    <w:p w:rsidR="007335B1" w:rsidRDefault="007335B1" w:rsidP="008D271F">
      <w:pPr>
        <w:spacing w:after="0"/>
      </w:pPr>
      <w:r>
        <w:t xml:space="preserve">Legg, R. 2002. </w:t>
      </w:r>
      <w:r>
        <w:rPr>
          <w:i/>
        </w:rPr>
        <w:t>Tyneham.</w:t>
      </w:r>
      <w:r>
        <w:t xml:space="preserve"> Wincanton: Dorset Publishing Company.</w:t>
      </w:r>
    </w:p>
    <w:p w:rsidR="007335B1" w:rsidRDefault="007335B1" w:rsidP="008D271F">
      <w:pPr>
        <w:spacing w:after="0"/>
      </w:pPr>
    </w:p>
    <w:p w:rsidR="00154857" w:rsidRDefault="007335B1" w:rsidP="008D271F">
      <w:pPr>
        <w:spacing w:after="0"/>
      </w:pPr>
      <w:r>
        <w:t xml:space="preserve">Norman, A. Hurst, M. 2003. </w:t>
      </w:r>
      <w:r>
        <w:rPr>
          <w:i/>
        </w:rPr>
        <w:t>Tyneham: The Lost Village of Dorset.</w:t>
      </w:r>
      <w:r>
        <w:t xml:space="preserve"> Trowbridge: The Cromwell Press</w:t>
      </w:r>
    </w:p>
    <w:p w:rsidR="007335B1" w:rsidRDefault="007335B1" w:rsidP="008D271F">
      <w:pPr>
        <w:spacing w:after="0"/>
      </w:pPr>
    </w:p>
    <w:p w:rsidR="007335B1" w:rsidRDefault="007335B1" w:rsidP="008D271F">
      <w:pPr>
        <w:spacing w:after="0"/>
      </w:pPr>
      <w:r>
        <w:t xml:space="preserve">Norman, A. 2007. </w:t>
      </w:r>
      <w:r>
        <w:rPr>
          <w:i/>
        </w:rPr>
        <w:t>Tyneham: A Tribute.</w:t>
      </w:r>
      <w:r>
        <w:t xml:space="preserve"> Somerset: Halsgrove.</w:t>
      </w:r>
    </w:p>
    <w:p w:rsidR="00BF48A0" w:rsidRDefault="00BF48A0" w:rsidP="008D271F">
      <w:pPr>
        <w:spacing w:after="0"/>
      </w:pPr>
    </w:p>
    <w:p w:rsidR="00BF48A0" w:rsidRPr="007335B1" w:rsidRDefault="00BF48A0" w:rsidP="008D271F">
      <w:pPr>
        <w:spacing w:after="0"/>
      </w:pPr>
      <w:r>
        <w:rPr>
          <w:i/>
        </w:rPr>
        <w:t xml:space="preserve">Protesters post cards from village on tank firing range. </w:t>
      </w:r>
      <w:r>
        <w:t>1973. The Times Newspaper.</w:t>
      </w:r>
      <w:bookmarkStart w:id="0" w:name="_GoBack"/>
      <w:bookmarkEnd w:id="0"/>
    </w:p>
    <w:p w:rsidR="007335B1" w:rsidRPr="007335B1" w:rsidRDefault="007335B1" w:rsidP="008D271F">
      <w:pPr>
        <w:spacing w:after="0"/>
        <w:rPr>
          <w:i/>
          <w:u w:val="single"/>
        </w:rPr>
      </w:pPr>
    </w:p>
    <w:p w:rsidR="00154857" w:rsidRDefault="00154857" w:rsidP="008D271F">
      <w:pPr>
        <w:spacing w:after="0"/>
      </w:pPr>
      <w:r>
        <w:t xml:space="preserve">Wright, P. 1995. </w:t>
      </w:r>
      <w:r>
        <w:rPr>
          <w:i/>
        </w:rPr>
        <w:t>The Village that Died for England: The Strange Story of Tyneham</w:t>
      </w:r>
      <w:r>
        <w:t>. London: Jonathon Cape.</w:t>
      </w:r>
    </w:p>
    <w:p w:rsidR="00FC2A1E" w:rsidRDefault="00FC2A1E" w:rsidP="008D271F">
      <w:pPr>
        <w:spacing w:after="0"/>
      </w:pPr>
    </w:p>
    <w:p w:rsidR="00FC2A1E" w:rsidRDefault="00FC2A1E" w:rsidP="008D271F">
      <w:pPr>
        <w:spacing w:after="0"/>
      </w:pPr>
      <w:r>
        <w:t>Turner, G. 1993 (2</w:t>
      </w:r>
      <w:r w:rsidRPr="00FC2A1E">
        <w:rPr>
          <w:vertAlign w:val="superscript"/>
        </w:rPr>
        <w:t>nd</w:t>
      </w:r>
      <w:r>
        <w:t xml:space="preserve"> ed. First Published 1988). </w:t>
      </w:r>
      <w:r>
        <w:rPr>
          <w:i/>
        </w:rPr>
        <w:t>Film as a Social Practice.</w:t>
      </w:r>
      <w:r>
        <w:t xml:space="preserve"> London: Routledge.</w:t>
      </w:r>
    </w:p>
    <w:p w:rsidR="00BF48A0" w:rsidRDefault="00BF48A0" w:rsidP="008D271F">
      <w:pPr>
        <w:spacing w:after="0"/>
      </w:pPr>
    </w:p>
    <w:p w:rsidR="00FC2A1E" w:rsidRDefault="00FC2A1E" w:rsidP="008D271F">
      <w:pPr>
        <w:spacing w:after="0"/>
      </w:pPr>
    </w:p>
    <w:p w:rsidR="00FC2A1E" w:rsidRPr="00154857" w:rsidRDefault="00FC2A1E" w:rsidP="008D271F">
      <w:pPr>
        <w:spacing w:after="0"/>
      </w:pPr>
    </w:p>
    <w:sectPr w:rsidR="00FC2A1E" w:rsidRPr="001548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0B24" w:rsidRDefault="00BE0B24" w:rsidP="00DD70EF">
      <w:pPr>
        <w:spacing w:after="0" w:line="240" w:lineRule="auto"/>
      </w:pPr>
      <w:r>
        <w:separator/>
      </w:r>
    </w:p>
  </w:endnote>
  <w:endnote w:type="continuationSeparator" w:id="0">
    <w:p w:rsidR="00BE0B24" w:rsidRDefault="00BE0B24" w:rsidP="00DD7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0B24" w:rsidRDefault="00BE0B24" w:rsidP="00DD70EF">
      <w:pPr>
        <w:spacing w:after="0" w:line="240" w:lineRule="auto"/>
      </w:pPr>
      <w:r>
        <w:separator/>
      </w:r>
    </w:p>
  </w:footnote>
  <w:footnote w:type="continuationSeparator" w:id="0">
    <w:p w:rsidR="00BE0B24" w:rsidRDefault="00BE0B24" w:rsidP="00DD70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start w:val="1"/>
      <w:numFmt w:val="bullet"/>
      <w:lvlText w:val="o"/>
      <w:lvlJc w:val="left"/>
      <w:pPr>
        <w:tabs>
          <w:tab w:val="num" w:pos="1500"/>
        </w:tabs>
        <w:ind w:left="1500" w:hanging="360"/>
      </w:pPr>
      <w:rPr>
        <w:rFonts w:ascii="Courier New" w:hAnsi="Courier New" w:cs="Courier New" w:hint="default"/>
      </w:rPr>
    </w:lvl>
    <w:lvl w:ilvl="2" w:tplc="08090005">
      <w:start w:val="1"/>
      <w:numFmt w:val="bullet"/>
      <w:lvlText w:val=""/>
      <w:lvlJc w:val="left"/>
      <w:pPr>
        <w:tabs>
          <w:tab w:val="num" w:pos="2220"/>
        </w:tabs>
        <w:ind w:left="2220" w:hanging="360"/>
      </w:pPr>
      <w:rPr>
        <w:rFonts w:ascii="Wingdings" w:hAnsi="Wingdings" w:hint="default"/>
      </w:rPr>
    </w:lvl>
    <w:lvl w:ilvl="3" w:tplc="08090001">
      <w:start w:val="1"/>
      <w:numFmt w:val="bullet"/>
      <w:lvlText w:val=""/>
      <w:lvlJc w:val="left"/>
      <w:pPr>
        <w:tabs>
          <w:tab w:val="num" w:pos="2940"/>
        </w:tabs>
        <w:ind w:left="2940" w:hanging="360"/>
      </w:pPr>
      <w:rPr>
        <w:rFonts w:ascii="Symbol" w:hAnsi="Symbol" w:hint="default"/>
      </w:rPr>
    </w:lvl>
    <w:lvl w:ilvl="4" w:tplc="08090003">
      <w:start w:val="1"/>
      <w:numFmt w:val="bullet"/>
      <w:lvlText w:val="o"/>
      <w:lvlJc w:val="left"/>
      <w:pPr>
        <w:tabs>
          <w:tab w:val="num" w:pos="3660"/>
        </w:tabs>
        <w:ind w:left="3660" w:hanging="360"/>
      </w:pPr>
      <w:rPr>
        <w:rFonts w:ascii="Courier New" w:hAnsi="Courier New" w:cs="Courier New" w:hint="default"/>
      </w:rPr>
    </w:lvl>
    <w:lvl w:ilvl="5" w:tplc="08090005">
      <w:start w:val="1"/>
      <w:numFmt w:val="bullet"/>
      <w:lvlText w:val=""/>
      <w:lvlJc w:val="left"/>
      <w:pPr>
        <w:tabs>
          <w:tab w:val="num" w:pos="4380"/>
        </w:tabs>
        <w:ind w:left="4380" w:hanging="360"/>
      </w:pPr>
      <w:rPr>
        <w:rFonts w:ascii="Wingdings" w:hAnsi="Wingdings" w:hint="default"/>
      </w:rPr>
    </w:lvl>
    <w:lvl w:ilvl="6" w:tplc="08090001">
      <w:start w:val="1"/>
      <w:numFmt w:val="bullet"/>
      <w:lvlText w:val=""/>
      <w:lvlJc w:val="left"/>
      <w:pPr>
        <w:tabs>
          <w:tab w:val="num" w:pos="5100"/>
        </w:tabs>
        <w:ind w:left="5100" w:hanging="360"/>
      </w:pPr>
      <w:rPr>
        <w:rFonts w:ascii="Symbol" w:hAnsi="Symbol" w:hint="default"/>
      </w:rPr>
    </w:lvl>
    <w:lvl w:ilvl="7" w:tplc="08090003">
      <w:start w:val="1"/>
      <w:numFmt w:val="bullet"/>
      <w:lvlText w:val="o"/>
      <w:lvlJc w:val="left"/>
      <w:pPr>
        <w:tabs>
          <w:tab w:val="num" w:pos="5820"/>
        </w:tabs>
        <w:ind w:left="5820" w:hanging="360"/>
      </w:pPr>
      <w:rPr>
        <w:rFonts w:ascii="Courier New" w:hAnsi="Courier New" w:cs="Courier New" w:hint="default"/>
      </w:rPr>
    </w:lvl>
    <w:lvl w:ilvl="8" w:tplc="08090005">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4C465085"/>
    <w:multiLevelType w:val="hybridMultilevel"/>
    <w:tmpl w:val="4482AFBE"/>
    <w:lvl w:ilvl="0" w:tplc="3F56286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1606FB"/>
    <w:multiLevelType w:val="hybridMultilevel"/>
    <w:tmpl w:val="76E48F90"/>
    <w:lvl w:ilvl="0" w:tplc="65CA73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C46"/>
    <w:rsid w:val="0008197A"/>
    <w:rsid w:val="000D0D74"/>
    <w:rsid w:val="001522A8"/>
    <w:rsid w:val="00154857"/>
    <w:rsid w:val="00154A38"/>
    <w:rsid w:val="001C73AD"/>
    <w:rsid w:val="0021744A"/>
    <w:rsid w:val="00243A07"/>
    <w:rsid w:val="002C5A82"/>
    <w:rsid w:val="003067CD"/>
    <w:rsid w:val="00541053"/>
    <w:rsid w:val="005554FA"/>
    <w:rsid w:val="00591E12"/>
    <w:rsid w:val="00686414"/>
    <w:rsid w:val="006C6635"/>
    <w:rsid w:val="007335B1"/>
    <w:rsid w:val="007C6CE8"/>
    <w:rsid w:val="00834C80"/>
    <w:rsid w:val="00864E1A"/>
    <w:rsid w:val="00864EEC"/>
    <w:rsid w:val="00894E1E"/>
    <w:rsid w:val="008D271F"/>
    <w:rsid w:val="008D6C7C"/>
    <w:rsid w:val="008E596E"/>
    <w:rsid w:val="009239B9"/>
    <w:rsid w:val="00965C46"/>
    <w:rsid w:val="009A116A"/>
    <w:rsid w:val="009F65AD"/>
    <w:rsid w:val="00A15F70"/>
    <w:rsid w:val="00A631FC"/>
    <w:rsid w:val="00AD05A3"/>
    <w:rsid w:val="00B4185B"/>
    <w:rsid w:val="00BE0B24"/>
    <w:rsid w:val="00BF48A0"/>
    <w:rsid w:val="00C30F38"/>
    <w:rsid w:val="00CB4CA4"/>
    <w:rsid w:val="00CF7989"/>
    <w:rsid w:val="00D8582D"/>
    <w:rsid w:val="00DD70EF"/>
    <w:rsid w:val="00E442B3"/>
    <w:rsid w:val="00EE502D"/>
    <w:rsid w:val="00F20E17"/>
    <w:rsid w:val="00F35CA7"/>
    <w:rsid w:val="00F5369A"/>
    <w:rsid w:val="00FC2A1E"/>
    <w:rsid w:val="00FD6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AB212"/>
  <w15:chartTrackingRefBased/>
  <w15:docId w15:val="{A681A382-0F10-4755-AFAD-ACA52E34E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596E"/>
    <w:pPr>
      <w:ind w:left="720"/>
      <w:contextualSpacing/>
    </w:pPr>
  </w:style>
  <w:style w:type="paragraph" w:styleId="Header">
    <w:name w:val="header"/>
    <w:basedOn w:val="Normal"/>
    <w:link w:val="HeaderChar"/>
    <w:uiPriority w:val="99"/>
    <w:unhideWhenUsed/>
    <w:rsid w:val="00DD7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0EF"/>
  </w:style>
  <w:style w:type="paragraph" w:styleId="Footer">
    <w:name w:val="footer"/>
    <w:basedOn w:val="Normal"/>
    <w:link w:val="FooterChar"/>
    <w:uiPriority w:val="99"/>
    <w:unhideWhenUsed/>
    <w:rsid w:val="00DD7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0EF"/>
  </w:style>
  <w:style w:type="paragraph" w:styleId="NormalWeb">
    <w:name w:val="Normal (Web)"/>
    <w:basedOn w:val="Normal"/>
    <w:uiPriority w:val="99"/>
    <w:unhideWhenUsed/>
    <w:rsid w:val="00A15F70"/>
    <w:pPr>
      <w:spacing w:before="100" w:beforeAutospacing="1" w:after="100" w:afterAutospacing="1" w:line="240" w:lineRule="auto"/>
    </w:pPr>
    <w:rPr>
      <w:rFonts w:ascii="Georgia" w:eastAsia="SimSun" w:hAnsi="Georgia" w:cs="Times New Roman"/>
      <w:color w:val="000000"/>
      <w:sz w:val="21"/>
      <w:szCs w:val="21"/>
      <w:lang w:eastAsia="zh-CN"/>
    </w:rPr>
  </w:style>
  <w:style w:type="paragraph" w:customStyle="1" w:styleId="Body">
    <w:name w:val="Body"/>
    <w:uiPriority w:val="99"/>
    <w:rsid w:val="00A15F70"/>
    <w:pPr>
      <w:spacing w:after="0" w:line="240" w:lineRule="auto"/>
    </w:pPr>
    <w:rPr>
      <w:rFonts w:ascii="Helvetica" w:eastAsia="Arial Unicode MS" w:hAnsi="Helvetica" w:cs="Arial Unicode MS"/>
      <w:color w:val="000000"/>
      <w:lang w:val="en-US" w:eastAsia="en-GB"/>
    </w:rPr>
  </w:style>
  <w:style w:type="character" w:styleId="Emphasis">
    <w:name w:val="Emphasis"/>
    <w:basedOn w:val="DefaultParagraphFont"/>
    <w:uiPriority w:val="20"/>
    <w:qFormat/>
    <w:rsid w:val="00864EEC"/>
    <w:rPr>
      <w:i/>
      <w:iCs/>
    </w:rPr>
  </w:style>
  <w:style w:type="character" w:styleId="Hyperlink">
    <w:name w:val="Hyperlink"/>
    <w:basedOn w:val="DefaultParagraphFont"/>
    <w:uiPriority w:val="99"/>
    <w:unhideWhenUsed/>
    <w:rsid w:val="00FC2A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648444/copyright-designs-and-patents-act-1988.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rchaeology.co.uk/articles/features/time-team-the-rise-and-fall-of-a-television-phenomen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3199CE-D12C-4FE9-A733-C94050E16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6</Pages>
  <Words>2373</Words>
  <Characters>13529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Nye</dc:creator>
  <cp:keywords/>
  <dc:description/>
  <cp:lastModifiedBy>Rosie Nye</cp:lastModifiedBy>
  <cp:revision>19</cp:revision>
  <dcterms:created xsi:type="dcterms:W3CDTF">2017-10-27T09:27:00Z</dcterms:created>
  <dcterms:modified xsi:type="dcterms:W3CDTF">2017-11-13T20:41:00Z</dcterms:modified>
</cp:coreProperties>
</file>