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3F2724A4" w:rsidP="08066120" w:rsidRDefault="3F2724A4" w14:paraId="4ECA7219" w14:textId="4793C920">
      <w:pPr>
        <w:spacing w:before="30" w:beforeAutospacing="off" w:after="0" w:afterAutospacing="off" w:line="360" w:lineRule="auto"/>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08066120" w:rsidR="3F2724A4">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t>
      </w:r>
      <w:r w:rsidRPr="08066120" w:rsidR="2CE3188A">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t>
      </w:r>
      <w:r w:rsidRPr="08066120" w:rsidR="3F2724A4">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t>
      </w:r>
      <w:r w:rsidRPr="08066120" w:rsidR="3F2724A4">
        <w:rPr>
          <w:rFonts w:ascii="Arial" w:hAnsi="Arial" w:eastAsia="Arial" w:cs="Arial"/>
          <w:b w:val="1"/>
          <w:bCs w:val="1"/>
          <w:i w:val="0"/>
          <w:iCs w:val="0"/>
          <w:strike w:val="0"/>
          <w:dstrike w:val="0"/>
          <w:noProof w:val="0"/>
          <w:color w:val="000000" w:themeColor="text1" w:themeTint="FF" w:themeShade="FF"/>
          <w:sz w:val="24"/>
          <w:szCs w:val="24"/>
          <w:u w:val="none"/>
          <w:lang w:val="en-US"/>
        </w:rPr>
        <w:t>TEST OF</w:t>
      </w:r>
      <w:r w:rsidRPr="08066120" w:rsidR="3F2724A4">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t>
      </w:r>
      <w:r w:rsidRPr="08066120" w:rsidR="3F2724A4">
        <w:rPr>
          <w:rFonts w:ascii="Arial" w:hAnsi="Arial" w:eastAsia="Arial" w:cs="Arial"/>
          <w:b w:val="1"/>
          <w:bCs w:val="1"/>
          <w:i w:val="0"/>
          <w:iCs w:val="0"/>
          <w:strike w:val="0"/>
          <w:dstrike w:val="0"/>
          <w:noProof w:val="0"/>
          <w:color w:val="000000" w:themeColor="text1" w:themeTint="FF" w:themeShade="FF"/>
          <w:sz w:val="24"/>
          <w:szCs w:val="24"/>
          <w:u w:val="none"/>
          <w:lang w:val="en-US"/>
        </w:rPr>
        <w:t>DISHONESTY AND THEFT ACT 1968</w:t>
      </w:r>
    </w:p>
    <w:p w:rsidR="08066120" w:rsidP="08066120" w:rsidRDefault="08066120" w14:paraId="00D63289" w14:textId="7F6D62BE">
      <w:pPr>
        <w:spacing w:before="30" w:beforeAutospacing="off" w:after="0" w:afterAutospacing="off" w:line="360" w:lineRule="auto"/>
        <w:rPr>
          <w:rFonts w:ascii="Arial" w:hAnsi="Arial" w:eastAsia="Arial" w:cs="Arial"/>
          <w:b w:val="0"/>
          <w:bCs w:val="0"/>
          <w:i w:val="0"/>
          <w:iCs w:val="0"/>
          <w:strike w:val="0"/>
          <w:dstrike w:val="0"/>
          <w:noProof w:val="0"/>
          <w:color w:val="000000" w:themeColor="text1" w:themeTint="FF" w:themeShade="FF"/>
          <w:sz w:val="24"/>
          <w:szCs w:val="24"/>
          <w:u w:val="none"/>
          <w:lang w:val="en-US"/>
        </w:rPr>
      </w:pPr>
    </w:p>
    <w:p xmlns:wp14="http://schemas.microsoft.com/office/word/2010/wordml" w:rsidP="6812E9BD" wp14:paraId="6BEDD4D7" wp14:textId="33390BA4">
      <w:pPr>
        <w:spacing w:before="30" w:beforeAutospacing="off" w:after="0" w:afterAutospacing="off" w:line="360" w:lineRule="auto"/>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6812E9BD" w:rsidR="1EA50BC4">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In this work, the concept of dishonesty and the role it plays in relation to offences of theft in the UK will be discussed. The dishonesty test in common law will be considered with Ivey and Genting Casinos UK Ltd (2017) and R v Gosh (1982) cases, to show historical changes. Part of criminal liability, </w:t>
      </w:r>
      <w:r w:rsidRPr="6812E9BD" w:rsidR="1EA50BC4">
        <w:rPr>
          <w:rFonts w:ascii="Arial" w:hAnsi="Arial" w:eastAsia="Arial" w:cs="Arial"/>
          <w:b w:val="0"/>
          <w:bCs w:val="0"/>
          <w:i w:val="0"/>
          <w:iCs w:val="0"/>
          <w:strike w:val="0"/>
          <w:dstrike w:val="0"/>
          <w:noProof w:val="0"/>
          <w:color w:val="000000" w:themeColor="text1" w:themeTint="FF" w:themeShade="FF"/>
          <w:sz w:val="24"/>
          <w:szCs w:val="24"/>
          <w:u w:val="none"/>
          <w:lang w:val="en-US"/>
        </w:rPr>
        <w:t>mens</w:t>
      </w:r>
      <w:r w:rsidRPr="6812E9BD" w:rsidR="1EA50BC4">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rea will be examined, difficulties to prove the dishonesty, and </w:t>
      </w:r>
      <w:r w:rsidRPr="6812E9BD" w:rsidR="1EA50BC4">
        <w:rPr>
          <w:rFonts w:ascii="Arial" w:hAnsi="Arial" w:eastAsia="Arial" w:cs="Arial"/>
          <w:b w:val="0"/>
          <w:bCs w:val="0"/>
          <w:i w:val="0"/>
          <w:iCs w:val="0"/>
          <w:strike w:val="0"/>
          <w:dstrike w:val="0"/>
          <w:noProof w:val="0"/>
          <w:color w:val="000000" w:themeColor="text1" w:themeTint="FF" w:themeShade="FF"/>
          <w:sz w:val="24"/>
          <w:szCs w:val="24"/>
          <w:u w:val="none"/>
          <w:lang w:val="en-US"/>
        </w:rPr>
        <w:t>impacts</w:t>
      </w:r>
      <w:r w:rsidRPr="6812E9BD" w:rsidR="1EA50BC4">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on the justice system will be </w:t>
      </w:r>
      <w:r w:rsidRPr="6812E9BD" w:rsidR="1EA50BC4">
        <w:rPr>
          <w:rFonts w:ascii="Arial" w:hAnsi="Arial" w:eastAsia="Arial" w:cs="Arial"/>
          <w:b w:val="0"/>
          <w:bCs w:val="0"/>
          <w:i w:val="0"/>
          <w:iCs w:val="0"/>
          <w:strike w:val="0"/>
          <w:dstrike w:val="0"/>
          <w:noProof w:val="0"/>
          <w:color w:val="000000" w:themeColor="text1" w:themeTint="FF" w:themeShade="FF"/>
          <w:sz w:val="24"/>
          <w:szCs w:val="24"/>
          <w:u w:val="none"/>
          <w:lang w:val="en-US"/>
        </w:rPr>
        <w:t>analysed</w:t>
      </w:r>
      <w:r w:rsidRPr="6812E9BD" w:rsidR="1EA50BC4">
        <w:rPr>
          <w:rFonts w:ascii="Arial" w:hAnsi="Arial" w:eastAsia="Arial" w:cs="Arial"/>
          <w:b w:val="0"/>
          <w:bCs w:val="0"/>
          <w:i w:val="0"/>
          <w:iCs w:val="0"/>
          <w:strike w:val="0"/>
          <w:dstrike w:val="0"/>
          <w:noProof w:val="0"/>
          <w:color w:val="000000" w:themeColor="text1" w:themeTint="FF" w:themeShade="FF"/>
          <w:sz w:val="24"/>
          <w:szCs w:val="24"/>
          <w:u w:val="none"/>
          <w:lang w:val="en-US"/>
        </w:rPr>
        <w:t>.</w:t>
      </w:r>
    </w:p>
    <w:p xmlns:wp14="http://schemas.microsoft.com/office/word/2010/wordml" w:rsidP="6812E9BD" wp14:paraId="4C4FDC8C" wp14:textId="4B263369">
      <w:pPr>
        <w:spacing w:before="30" w:beforeAutospacing="off" w:line="360" w:lineRule="auto"/>
        <w:rPr>
          <w:rFonts w:ascii="Arial" w:hAnsi="Arial" w:eastAsia="Arial" w:cs="Arial"/>
          <w:sz w:val="24"/>
          <w:szCs w:val="24"/>
        </w:rPr>
      </w:pPr>
    </w:p>
    <w:p xmlns:wp14="http://schemas.microsoft.com/office/word/2010/wordml" w:rsidP="08066120" wp14:paraId="0547BDE4" wp14:textId="4BD77965">
      <w:pPr>
        <w:spacing w:before="30" w:beforeAutospacing="off" w:after="0" w:afterAutospacing="off" w:line="360" w:lineRule="auto"/>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08066120" w:rsidR="61B225F1">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t>
      </w:r>
      <w:r w:rsidRPr="08066120" w:rsidR="61B225F1">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Theft has been defined in </w:t>
      </w:r>
      <w:bookmarkStart w:name="_Int_Zos3hTNL" w:id="365407796"/>
      <w:r w:rsidRPr="08066120" w:rsidR="61B225F1">
        <w:rPr>
          <w:rFonts w:ascii="Arial" w:hAnsi="Arial" w:eastAsia="Arial" w:cs="Arial"/>
          <w:b w:val="0"/>
          <w:bCs w:val="0"/>
          <w:i w:val="0"/>
          <w:iCs w:val="0"/>
          <w:strike w:val="0"/>
          <w:dstrike w:val="0"/>
          <w:noProof w:val="0"/>
          <w:color w:val="000000" w:themeColor="text1" w:themeTint="FF" w:themeShade="FF"/>
          <w:sz w:val="24"/>
          <w:szCs w:val="24"/>
          <w:u w:val="none"/>
          <w:lang w:val="en-US"/>
        </w:rPr>
        <w:t>the section</w:t>
      </w:r>
      <w:bookmarkEnd w:id="365407796"/>
      <w:r w:rsidRPr="08066120" w:rsidR="61B225F1">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1 as a </w:t>
      </w:r>
      <w:r w:rsidRPr="08066120" w:rsidR="651D5FF3">
        <w:rPr>
          <w:rFonts w:ascii="Arial" w:hAnsi="Arial" w:eastAsia="Arial" w:cs="Arial"/>
          <w:b w:val="0"/>
          <w:bCs w:val="0"/>
          <w:i w:val="0"/>
          <w:iCs w:val="0"/>
          <w:strike w:val="0"/>
          <w:dstrike w:val="0"/>
          <w:noProof w:val="0"/>
          <w:color w:val="000000" w:themeColor="text1" w:themeTint="FF" w:themeShade="FF"/>
          <w:sz w:val="24"/>
          <w:szCs w:val="24"/>
          <w:u w:val="none"/>
          <w:lang w:val="en-US"/>
        </w:rPr>
        <w:t>person who</w:t>
      </w:r>
      <w:r w:rsidRPr="08066120" w:rsidR="61B225F1">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is guilty of theft if he dishonestly appropriates property belonging to another with the intention of permanently depriving the other of it (</w:t>
      </w:r>
      <w:r w:rsidRPr="08066120" w:rsidR="61B225F1">
        <w:rPr>
          <w:rFonts w:ascii="Arial" w:hAnsi="Arial" w:eastAsia="Arial" w:cs="Arial"/>
          <w:b w:val="0"/>
          <w:bCs w:val="0"/>
          <w:i w:val="1"/>
          <w:iCs w:val="1"/>
          <w:strike w:val="0"/>
          <w:dstrike w:val="0"/>
          <w:noProof w:val="0"/>
          <w:color w:val="000000" w:themeColor="text1" w:themeTint="FF" w:themeShade="FF"/>
          <w:sz w:val="24"/>
          <w:szCs w:val="24"/>
          <w:u w:val="none"/>
          <w:lang w:val="en-US"/>
        </w:rPr>
        <w:t xml:space="preserve">Theft Act, </w:t>
      </w:r>
      <w:r w:rsidRPr="08066120" w:rsidR="61B225F1">
        <w:rPr>
          <w:rFonts w:ascii="Arial" w:hAnsi="Arial" w:eastAsia="Arial" w:cs="Arial"/>
          <w:b w:val="0"/>
          <w:bCs w:val="0"/>
          <w:i w:val="0"/>
          <w:iCs w:val="0"/>
          <w:strike w:val="0"/>
          <w:dstrike w:val="0"/>
          <w:noProof w:val="0"/>
          <w:color w:val="000000" w:themeColor="text1" w:themeTint="FF" w:themeShade="FF"/>
          <w:sz w:val="24"/>
          <w:szCs w:val="24"/>
          <w:u w:val="none"/>
          <w:lang w:val="en-US"/>
        </w:rPr>
        <w:t>19</w:t>
      </w:r>
      <w:r w:rsidRPr="08066120" w:rsidR="61B225F1">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68). And the section 2(1) does not give the definition of dishonesty but explains in which circumstances it would not be accepted as dishonest such as; if the person has a got belief that has got the legal right to deprive the owner of property, the owner of the property would give consent to appropriation or the owner could not be identified by taking reasonable steps ( </w:t>
      </w:r>
      <w:r w:rsidRPr="08066120" w:rsidR="61B225F1">
        <w:rPr>
          <w:rFonts w:ascii="Arial" w:hAnsi="Arial" w:eastAsia="Arial" w:cs="Arial"/>
          <w:b w:val="0"/>
          <w:bCs w:val="0"/>
          <w:i w:val="1"/>
          <w:iCs w:val="1"/>
          <w:strike w:val="0"/>
          <w:dstrike w:val="0"/>
          <w:noProof w:val="0"/>
          <w:color w:val="000000" w:themeColor="text1" w:themeTint="FF" w:themeShade="FF"/>
          <w:sz w:val="24"/>
          <w:szCs w:val="24"/>
          <w:u w:val="none"/>
          <w:lang w:val="en-US"/>
        </w:rPr>
        <w:t xml:space="preserve">Theft Act </w:t>
      </w:r>
      <w:r w:rsidRPr="08066120" w:rsidR="61B225F1">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1968). ‘Actus </w:t>
      </w:r>
      <w:r w:rsidRPr="08066120" w:rsidR="61B225F1">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non </w:t>
      </w:r>
      <w:r w:rsidRPr="08066120" w:rsidR="61B225F1">
        <w:rPr>
          <w:rFonts w:ascii="Arial" w:hAnsi="Arial" w:eastAsia="Arial" w:cs="Arial"/>
          <w:b w:val="0"/>
          <w:bCs w:val="0"/>
          <w:i w:val="0"/>
          <w:iCs w:val="0"/>
          <w:strike w:val="0"/>
          <w:dstrike w:val="0"/>
          <w:noProof w:val="0"/>
          <w:color w:val="000000" w:themeColor="text1" w:themeTint="FF" w:themeShade="FF"/>
          <w:sz w:val="24"/>
          <w:szCs w:val="24"/>
          <w:u w:val="none"/>
          <w:lang w:val="en-US"/>
        </w:rPr>
        <w:t>f</w:t>
      </w:r>
      <w:r w:rsidRPr="08066120" w:rsidR="61B225F1">
        <w:rPr>
          <w:rFonts w:ascii="Arial" w:hAnsi="Arial" w:eastAsia="Arial" w:cs="Arial"/>
          <w:b w:val="0"/>
          <w:bCs w:val="0"/>
          <w:i w:val="0"/>
          <w:iCs w:val="0"/>
          <w:strike w:val="0"/>
          <w:dstrike w:val="0"/>
          <w:noProof w:val="0"/>
          <w:color w:val="000000" w:themeColor="text1" w:themeTint="FF" w:themeShade="FF"/>
          <w:sz w:val="24"/>
          <w:szCs w:val="24"/>
          <w:u w:val="none"/>
          <w:lang w:val="en-US"/>
        </w:rPr>
        <w:t>a</w:t>
      </w:r>
      <w:r w:rsidRPr="08066120" w:rsidR="61B225F1">
        <w:rPr>
          <w:rFonts w:ascii="Arial" w:hAnsi="Arial" w:eastAsia="Arial" w:cs="Arial"/>
          <w:b w:val="0"/>
          <w:bCs w:val="0"/>
          <w:i w:val="0"/>
          <w:iCs w:val="0"/>
          <w:strike w:val="0"/>
          <w:dstrike w:val="0"/>
          <w:noProof w:val="0"/>
          <w:color w:val="000000" w:themeColor="text1" w:themeTint="FF" w:themeShade="FF"/>
          <w:sz w:val="24"/>
          <w:szCs w:val="24"/>
          <w:u w:val="none"/>
          <w:lang w:val="en-US"/>
        </w:rPr>
        <w:t>cit</w:t>
      </w:r>
      <w:r w:rsidRPr="08066120" w:rsidR="61B225F1">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t>
      </w:r>
      <w:r w:rsidRPr="08066120" w:rsidR="61B225F1">
        <w:rPr>
          <w:rFonts w:ascii="Arial" w:hAnsi="Arial" w:eastAsia="Arial" w:cs="Arial"/>
          <w:b w:val="0"/>
          <w:bCs w:val="0"/>
          <w:i w:val="0"/>
          <w:iCs w:val="0"/>
          <w:strike w:val="0"/>
          <w:dstrike w:val="0"/>
          <w:noProof w:val="0"/>
          <w:color w:val="000000" w:themeColor="text1" w:themeTint="FF" w:themeShade="FF"/>
          <w:sz w:val="24"/>
          <w:szCs w:val="24"/>
          <w:u w:val="none"/>
          <w:lang w:val="en-US"/>
        </w:rPr>
        <w:t>reum</w:t>
      </w:r>
      <w:r w:rsidRPr="08066120" w:rsidR="61B225F1">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n</w:t>
      </w:r>
      <w:r w:rsidRPr="08066120" w:rsidR="61B225F1">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isi </w:t>
      </w:r>
      <w:r w:rsidRPr="08066120" w:rsidR="61B225F1">
        <w:rPr>
          <w:rFonts w:ascii="Arial" w:hAnsi="Arial" w:eastAsia="Arial" w:cs="Arial"/>
          <w:b w:val="0"/>
          <w:bCs w:val="0"/>
          <w:i w:val="0"/>
          <w:iCs w:val="0"/>
          <w:strike w:val="0"/>
          <w:dstrike w:val="0"/>
          <w:noProof w:val="0"/>
          <w:color w:val="000000" w:themeColor="text1" w:themeTint="FF" w:themeShade="FF"/>
          <w:sz w:val="24"/>
          <w:szCs w:val="24"/>
          <w:u w:val="none"/>
          <w:lang w:val="en-US"/>
        </w:rPr>
        <w:t>mens</w:t>
      </w:r>
      <w:r w:rsidRPr="08066120" w:rsidR="61B225F1">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sit rea.’  According to Oxford University Press (2024), an act does not make a person guilty unless the mind is also guilty. According to London University international programs criminal law module guide, there are three components of crime; actus reus, physical or external part of crime, men’s rea, the internal or mental part of the crime and absence</w:t>
      </w:r>
      <w:r w:rsidRPr="08066120" w:rsidR="61B225F1">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of </w:t>
      </w:r>
      <w:r w:rsidRPr="08066120" w:rsidR="61B225F1">
        <w:rPr>
          <w:rFonts w:ascii="Arial" w:hAnsi="Arial" w:eastAsia="Arial" w:cs="Arial"/>
          <w:b w:val="0"/>
          <w:bCs w:val="0"/>
          <w:i w:val="0"/>
          <w:iCs w:val="0"/>
          <w:strike w:val="0"/>
          <w:dstrike w:val="0"/>
          <w:noProof w:val="0"/>
          <w:color w:val="000000" w:themeColor="text1" w:themeTint="FF" w:themeShade="FF"/>
          <w:sz w:val="24"/>
          <w:szCs w:val="24"/>
          <w:u w:val="none"/>
          <w:lang w:val="en-US"/>
        </w:rPr>
        <w:t>def</w:t>
      </w:r>
      <w:r w:rsidRPr="08066120" w:rsidR="61B225F1">
        <w:rPr>
          <w:rFonts w:ascii="Arial" w:hAnsi="Arial" w:eastAsia="Arial" w:cs="Arial"/>
          <w:b w:val="0"/>
          <w:bCs w:val="0"/>
          <w:i w:val="0"/>
          <w:iCs w:val="0"/>
          <w:strike w:val="0"/>
          <w:dstrike w:val="0"/>
          <w:noProof w:val="0"/>
          <w:color w:val="000000" w:themeColor="text1" w:themeTint="FF" w:themeShade="FF"/>
          <w:sz w:val="24"/>
          <w:szCs w:val="24"/>
          <w:u w:val="none"/>
          <w:lang w:val="en-US"/>
        </w:rPr>
        <w:t>ence</w:t>
      </w:r>
      <w:r w:rsidRPr="08066120" w:rsidR="61B225F1">
        <w:rPr>
          <w:rFonts w:ascii="Arial" w:hAnsi="Arial" w:eastAsia="Arial" w:cs="Arial"/>
          <w:b w:val="0"/>
          <w:bCs w:val="0"/>
          <w:i w:val="0"/>
          <w:iCs w:val="0"/>
          <w:strike w:val="0"/>
          <w:dstrike w:val="0"/>
          <w:noProof w:val="0"/>
          <w:color w:val="000000" w:themeColor="text1" w:themeTint="FF" w:themeShade="FF"/>
          <w:sz w:val="24"/>
          <w:szCs w:val="24"/>
          <w:u w:val="none"/>
          <w:lang w:val="en-US"/>
        </w:rPr>
        <w:t>. According to Checkmate Publishing (2019), theft crime could be separated into componen</w:t>
      </w:r>
      <w:r w:rsidRPr="08066120" w:rsidR="61B225F1">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ts, </w:t>
      </w:r>
      <w:r w:rsidRPr="08066120" w:rsidR="27F8D22F">
        <w:rPr>
          <w:rFonts w:ascii="Arial" w:hAnsi="Arial" w:eastAsia="Arial" w:cs="Arial"/>
          <w:b w:val="0"/>
          <w:bCs w:val="0"/>
          <w:i w:val="0"/>
          <w:iCs w:val="0"/>
          <w:strike w:val="0"/>
          <w:dstrike w:val="0"/>
          <w:noProof w:val="0"/>
          <w:color w:val="000000" w:themeColor="text1" w:themeTint="FF" w:themeShade="FF"/>
          <w:sz w:val="24"/>
          <w:szCs w:val="24"/>
          <w:u w:val="none"/>
          <w:lang w:val="en-US"/>
        </w:rPr>
        <w:t>dishonesty,</w:t>
      </w:r>
      <w:r w:rsidRPr="08066120" w:rsidR="61B225F1">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and intention of permanent deprivation</w:t>
      </w:r>
      <w:r w:rsidRPr="08066120" w:rsidR="61B225F1">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as </w:t>
      </w:r>
      <w:r w:rsidRPr="08066120" w:rsidR="61B225F1">
        <w:rPr>
          <w:rFonts w:ascii="Arial" w:hAnsi="Arial" w:eastAsia="Arial" w:cs="Arial"/>
          <w:b w:val="0"/>
          <w:bCs w:val="0"/>
          <w:i w:val="0"/>
          <w:iCs w:val="0"/>
          <w:strike w:val="0"/>
          <w:dstrike w:val="0"/>
          <w:noProof w:val="0"/>
          <w:color w:val="000000" w:themeColor="text1" w:themeTint="FF" w:themeShade="FF"/>
          <w:sz w:val="24"/>
          <w:szCs w:val="24"/>
          <w:u w:val="none"/>
          <w:lang w:val="en-US"/>
        </w:rPr>
        <w:t>mens</w:t>
      </w:r>
      <w:r w:rsidRPr="08066120" w:rsidR="61B225F1">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rea and appropriation of a property belonging to another as actus reus. </w:t>
      </w:r>
      <w:r w:rsidRPr="08066120" w:rsidR="318CAED0">
        <w:rPr>
          <w:rFonts w:ascii="Arial" w:hAnsi="Arial" w:eastAsia="Arial" w:cs="Arial"/>
          <w:b w:val="0"/>
          <w:bCs w:val="0"/>
          <w:i w:val="0"/>
          <w:iCs w:val="0"/>
          <w:strike w:val="0"/>
          <w:dstrike w:val="0"/>
          <w:noProof w:val="0"/>
          <w:color w:val="000000" w:themeColor="text1" w:themeTint="FF" w:themeShade="FF"/>
          <w:sz w:val="24"/>
          <w:szCs w:val="24"/>
          <w:u w:val="none"/>
          <w:lang w:val="en-US"/>
        </w:rPr>
        <w:t>So,</w:t>
      </w:r>
      <w:r w:rsidRPr="08066120" w:rsidR="61B225F1">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reaching a conclusion for an incident as a theft, both sides of these elements needed to be proved. </w:t>
      </w:r>
    </w:p>
    <w:p xmlns:wp14="http://schemas.microsoft.com/office/word/2010/wordml" w:rsidP="6812E9BD" wp14:paraId="35722A72" wp14:textId="361994BD">
      <w:pPr>
        <w:spacing w:before="30" w:beforeAutospacing="off" w:after="0" w:afterAutospacing="off" w:line="360" w:lineRule="auto"/>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6812E9BD" w:rsidR="1EA50BC4">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t>
      </w:r>
    </w:p>
    <w:p xmlns:wp14="http://schemas.microsoft.com/office/word/2010/wordml" w:rsidP="08066120" wp14:paraId="5F6DE136" wp14:textId="49AF472E">
      <w:pPr>
        <w:spacing w:before="30" w:beforeAutospacing="off" w:after="0" w:afterAutospacing="off" w:line="360" w:lineRule="auto"/>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08066120" w:rsidR="61B225F1">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According to E-</w:t>
      </w:r>
      <w:r w:rsidRPr="08066120" w:rsidR="61B225F1">
        <w:rPr>
          <w:rFonts w:ascii="Arial" w:hAnsi="Arial" w:eastAsia="Arial" w:cs="Arial"/>
          <w:b w:val="0"/>
          <w:bCs w:val="0"/>
          <w:i w:val="0"/>
          <w:iCs w:val="0"/>
          <w:strike w:val="0"/>
          <w:dstrike w:val="0"/>
          <w:noProof w:val="0"/>
          <w:color w:val="000000" w:themeColor="text1" w:themeTint="FF" w:themeShade="FF"/>
          <w:sz w:val="24"/>
          <w:szCs w:val="24"/>
          <w:u w:val="none"/>
          <w:lang w:val="en-US"/>
        </w:rPr>
        <w:t>lawresources</w:t>
      </w:r>
      <w:r w:rsidRPr="08066120" w:rsidR="61B225F1">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(2024), the surgeon appealed the court decision which charged him guilty because he claimed money for the operations he had not done. His appeal was upheld in the Court of Appeal. And the dishonesty test which is known as the Gosh Test was </w:t>
      </w:r>
      <w:r w:rsidRPr="08066120" w:rsidR="61B225F1">
        <w:rPr>
          <w:rFonts w:ascii="Arial" w:hAnsi="Arial" w:eastAsia="Arial" w:cs="Arial"/>
          <w:b w:val="0"/>
          <w:bCs w:val="0"/>
          <w:i w:val="0"/>
          <w:iCs w:val="0"/>
          <w:strike w:val="0"/>
          <w:dstrike w:val="0"/>
          <w:noProof w:val="0"/>
          <w:color w:val="000000" w:themeColor="text1" w:themeTint="FF" w:themeShade="FF"/>
          <w:sz w:val="24"/>
          <w:szCs w:val="24"/>
          <w:u w:val="none"/>
          <w:lang w:val="en-US"/>
        </w:rPr>
        <w:t>determined</w:t>
      </w:r>
      <w:r w:rsidRPr="08066120" w:rsidR="61B225F1">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t>
      </w:r>
      <w:r w:rsidRPr="08066120" w:rsidR="0864FF54">
        <w:rPr>
          <w:rFonts w:ascii="Arial" w:hAnsi="Arial" w:eastAsia="Arial" w:cs="Arial"/>
          <w:b w:val="0"/>
          <w:bCs w:val="0"/>
          <w:i w:val="0"/>
          <w:iCs w:val="0"/>
          <w:strike w:val="0"/>
          <w:dstrike w:val="0"/>
          <w:noProof w:val="0"/>
          <w:color w:val="000000" w:themeColor="text1" w:themeTint="FF" w:themeShade="FF"/>
          <w:sz w:val="24"/>
          <w:szCs w:val="24"/>
          <w:u w:val="none"/>
          <w:lang w:val="en-US"/>
        </w:rPr>
        <w:t>This test introduced by Lord Lane CJ as a jury first must decide if the action was dishonest according to the ordinary standards of reasonable and honest people.</w:t>
      </w:r>
      <w:r w:rsidRPr="08066120" w:rsidR="61B225F1">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If the jury decides the action is dishonest, then it has to decide if the person who acted dishonestly </w:t>
      </w:r>
      <w:r w:rsidRPr="08066120" w:rsidR="61B225F1">
        <w:rPr>
          <w:rFonts w:ascii="Arial" w:hAnsi="Arial" w:eastAsia="Arial" w:cs="Arial"/>
          <w:b w:val="0"/>
          <w:bCs w:val="0"/>
          <w:i w:val="0"/>
          <w:iCs w:val="0"/>
          <w:strike w:val="0"/>
          <w:dstrike w:val="0"/>
          <w:noProof w:val="0"/>
          <w:color w:val="000000" w:themeColor="text1" w:themeTint="FF" w:themeShade="FF"/>
          <w:sz w:val="24"/>
          <w:szCs w:val="24"/>
          <w:u w:val="none"/>
          <w:lang w:val="en-US"/>
        </w:rPr>
        <w:t>realises</w:t>
      </w:r>
      <w:r w:rsidRPr="08066120" w:rsidR="61B225F1">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his action is dishonest by those standards, not his own. </w:t>
      </w:r>
      <w:bookmarkStart w:name="_Int_DrmBVl9o" w:id="1954122936"/>
      <w:r w:rsidRPr="08066120" w:rsidR="61B225F1">
        <w:rPr>
          <w:rFonts w:ascii="Arial" w:hAnsi="Arial" w:eastAsia="Arial" w:cs="Arial"/>
          <w:b w:val="0"/>
          <w:bCs w:val="0"/>
          <w:i w:val="0"/>
          <w:iCs w:val="0"/>
          <w:strike w:val="0"/>
          <w:dstrike w:val="0"/>
          <w:noProof w:val="0"/>
          <w:color w:val="000000" w:themeColor="text1" w:themeTint="FF" w:themeShade="FF"/>
          <w:sz w:val="24"/>
          <w:szCs w:val="24"/>
          <w:u w:val="none"/>
          <w:lang w:val="en-US"/>
        </w:rPr>
        <w:t>So</w:t>
      </w:r>
      <w:bookmarkEnd w:id="1954122936"/>
      <w:r w:rsidRPr="08066120" w:rsidR="61B225F1">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the first part of the test forms the </w:t>
      </w:r>
      <w:r w:rsidRPr="08066120" w:rsidR="0B89B868">
        <w:rPr>
          <w:rFonts w:ascii="Arial" w:hAnsi="Arial" w:eastAsia="Arial" w:cs="Arial"/>
          <w:b w:val="0"/>
          <w:bCs w:val="0"/>
          <w:i w:val="0"/>
          <w:iCs w:val="0"/>
          <w:strike w:val="0"/>
          <w:dstrike w:val="0"/>
          <w:noProof w:val="0"/>
          <w:color w:val="000000" w:themeColor="text1" w:themeTint="FF" w:themeShade="FF"/>
          <w:sz w:val="24"/>
          <w:szCs w:val="24"/>
          <w:u w:val="none"/>
          <w:lang w:val="en-US"/>
        </w:rPr>
        <w:t>objective</w:t>
      </w:r>
      <w:r w:rsidRPr="08066120" w:rsidR="0B89B868">
        <w:rPr>
          <w:rFonts w:ascii="Arial" w:hAnsi="Arial" w:eastAsia="Arial" w:cs="Arial"/>
          <w:b w:val="0"/>
          <w:bCs w:val="0"/>
          <w:i w:val="0"/>
          <w:iCs w:val="0"/>
          <w:strike w:val="0"/>
          <w:dstrike w:val="0"/>
          <w:noProof w:val="0"/>
          <w:color w:val="000000" w:themeColor="text1" w:themeTint="FF" w:themeShade="FF"/>
          <w:sz w:val="24"/>
          <w:szCs w:val="24"/>
          <w:u w:val="none"/>
          <w:lang w:val="en-US"/>
        </w:rPr>
        <w:t>,</w:t>
      </w:r>
      <w:r w:rsidRPr="08066120" w:rsidR="61B225F1">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and the second part is the subjective part of the test. Leggett (2019) discusses, Lord Lane CJ defines the root of the problem </w:t>
      </w:r>
      <w:bookmarkStart w:name="_Int_nUA8yKtB" w:id="422159502"/>
      <w:r w:rsidRPr="08066120" w:rsidR="61B225F1">
        <w:rPr>
          <w:rFonts w:ascii="Arial" w:hAnsi="Arial" w:eastAsia="Arial" w:cs="Arial"/>
          <w:b w:val="0"/>
          <w:bCs w:val="0"/>
          <w:i w:val="0"/>
          <w:iCs w:val="0"/>
          <w:strike w:val="0"/>
          <w:dstrike w:val="0"/>
          <w:noProof w:val="0"/>
          <w:color w:val="000000" w:themeColor="text1" w:themeTint="FF" w:themeShade="FF"/>
          <w:sz w:val="24"/>
          <w:szCs w:val="24"/>
          <w:u w:val="none"/>
          <w:lang w:val="en-US"/>
        </w:rPr>
        <w:t>is</w:t>
      </w:r>
      <w:bookmarkEnd w:id="422159502"/>
      <w:r w:rsidRPr="08066120" w:rsidR="61B225F1">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the defendant's state of mind so his/her knowledge and belief. According to Saunders, Proudlock and Larner (2020), the Ghosh test, despite being a legal standard, is seen as problematic. Juries struggle to use it, and it can lead to unfair outcomes. For instance, people who </w:t>
      </w:r>
      <w:r w:rsidRPr="08066120" w:rsidR="659FE447">
        <w:rPr>
          <w:rFonts w:ascii="Arial" w:hAnsi="Arial" w:eastAsia="Arial" w:cs="Arial"/>
          <w:b w:val="0"/>
          <w:bCs w:val="0"/>
          <w:i w:val="0"/>
          <w:iCs w:val="0"/>
          <w:strike w:val="0"/>
          <w:dstrike w:val="0"/>
          <w:noProof w:val="0"/>
          <w:color w:val="000000" w:themeColor="text1" w:themeTint="FF" w:themeShade="FF"/>
          <w:sz w:val="24"/>
          <w:szCs w:val="24"/>
          <w:u w:val="none"/>
          <w:lang w:val="en-US"/>
        </w:rPr>
        <w:t>do not</w:t>
      </w:r>
      <w:r w:rsidRPr="08066120" w:rsidR="61B225F1">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understand </w:t>
      </w:r>
      <w:r w:rsidRPr="08066120" w:rsidR="33FEF418">
        <w:rPr>
          <w:rFonts w:ascii="Arial" w:hAnsi="Arial" w:eastAsia="Arial" w:cs="Arial"/>
          <w:b w:val="0"/>
          <w:bCs w:val="0"/>
          <w:i w:val="0"/>
          <w:iCs w:val="0"/>
          <w:strike w:val="0"/>
          <w:dstrike w:val="0"/>
          <w:noProof w:val="0"/>
          <w:color w:val="000000" w:themeColor="text1" w:themeTint="FF" w:themeShade="FF"/>
          <w:sz w:val="24"/>
          <w:szCs w:val="24"/>
          <w:u w:val="none"/>
          <w:lang w:val="en-US"/>
        </w:rPr>
        <w:t>what is</w:t>
      </w:r>
      <w:r w:rsidRPr="08066120" w:rsidR="61B225F1">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considered dishonest in society might not be judged as dishonest, even if their own standards are lower. </w:t>
      </w:r>
    </w:p>
    <w:p xmlns:wp14="http://schemas.microsoft.com/office/word/2010/wordml" w:rsidP="6812E9BD" wp14:paraId="433F3151" wp14:textId="73EB3B16">
      <w:pPr>
        <w:spacing w:before="30" w:beforeAutospacing="off" w:line="360" w:lineRule="auto"/>
        <w:rPr>
          <w:rFonts w:ascii="Arial" w:hAnsi="Arial" w:eastAsia="Arial" w:cs="Arial"/>
          <w:sz w:val="24"/>
          <w:szCs w:val="24"/>
        </w:rPr>
      </w:pPr>
    </w:p>
    <w:p xmlns:wp14="http://schemas.microsoft.com/office/word/2010/wordml" w:rsidP="6812E9BD" wp14:paraId="32A8CCF5" wp14:textId="5F06E5AD">
      <w:pPr>
        <w:spacing w:before="30" w:beforeAutospacing="off" w:line="360" w:lineRule="auto"/>
        <w:rPr>
          <w:rFonts w:ascii="Arial" w:hAnsi="Arial" w:eastAsia="Arial" w:cs="Arial"/>
          <w:sz w:val="24"/>
          <w:szCs w:val="24"/>
        </w:rPr>
      </w:pPr>
    </w:p>
    <w:p xmlns:wp14="http://schemas.microsoft.com/office/word/2010/wordml" w:rsidP="08066120" wp14:paraId="6262BCD1" wp14:textId="05C4B95E">
      <w:pPr>
        <w:spacing w:before="30" w:beforeAutospacing="off" w:after="0" w:afterAutospacing="off" w:line="360" w:lineRule="auto"/>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08066120" w:rsidR="61B225F1">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Oliver and Le Moine discuss (2020), the Ivey v Genting Casinos UK (t/a </w:t>
      </w:r>
      <w:r w:rsidRPr="08066120" w:rsidR="61B225F1">
        <w:rPr>
          <w:rFonts w:ascii="Arial" w:hAnsi="Arial" w:eastAsia="Arial" w:cs="Arial"/>
          <w:b w:val="0"/>
          <w:bCs w:val="0"/>
          <w:i w:val="0"/>
          <w:iCs w:val="0"/>
          <w:strike w:val="0"/>
          <w:dstrike w:val="0"/>
          <w:noProof w:val="0"/>
          <w:color w:val="000000" w:themeColor="text1" w:themeTint="FF" w:themeShade="FF"/>
          <w:sz w:val="24"/>
          <w:szCs w:val="24"/>
          <w:u w:val="none"/>
          <w:lang w:val="en-US"/>
        </w:rPr>
        <w:t>Cockfords</w:t>
      </w:r>
      <w:r w:rsidRPr="08066120" w:rsidR="61B225F1">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Club) [2017] UKSC 67 case introduced </w:t>
      </w:r>
      <w:bookmarkStart w:name="_Int_jAoT6GFF" w:id="436831029"/>
      <w:r w:rsidRPr="08066120" w:rsidR="61B225F1">
        <w:rPr>
          <w:rFonts w:ascii="Arial" w:hAnsi="Arial" w:eastAsia="Arial" w:cs="Arial"/>
          <w:b w:val="0"/>
          <w:bCs w:val="0"/>
          <w:i w:val="0"/>
          <w:iCs w:val="0"/>
          <w:strike w:val="0"/>
          <w:dstrike w:val="0"/>
          <w:noProof w:val="0"/>
          <w:color w:val="000000" w:themeColor="text1" w:themeTint="FF" w:themeShade="FF"/>
          <w:sz w:val="24"/>
          <w:szCs w:val="24"/>
          <w:u w:val="none"/>
          <w:lang w:val="en-US"/>
        </w:rPr>
        <w:t>a new approach</w:t>
      </w:r>
      <w:bookmarkEnd w:id="436831029"/>
      <w:r w:rsidRPr="08066120" w:rsidR="61B225F1">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by </w:t>
      </w:r>
      <w:r w:rsidRPr="08066120" w:rsidR="61B225F1">
        <w:rPr>
          <w:rFonts w:ascii="Arial" w:hAnsi="Arial" w:eastAsia="Arial" w:cs="Arial"/>
          <w:b w:val="0"/>
          <w:bCs w:val="0"/>
          <w:i w:val="0"/>
          <w:iCs w:val="0"/>
          <w:strike w:val="0"/>
          <w:dstrike w:val="0"/>
          <w:noProof w:val="0"/>
          <w:color w:val="000000" w:themeColor="text1" w:themeTint="FF" w:themeShade="FF"/>
          <w:sz w:val="24"/>
          <w:szCs w:val="24"/>
          <w:u w:val="none"/>
          <w:lang w:val="en-US"/>
        </w:rPr>
        <w:t>eliminating</w:t>
      </w:r>
      <w:r w:rsidRPr="08066120" w:rsidR="61B225F1">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the subjective test present in R v Ghosh [1982] QB 1053 (the second limb). Now, the only subjective aspect lies in the jury's evaluation of the defendant's knowledge or genuinely held belief of the facts. Once these facts are </w:t>
      </w:r>
      <w:r w:rsidRPr="08066120" w:rsidR="61B225F1">
        <w:rPr>
          <w:rFonts w:ascii="Arial" w:hAnsi="Arial" w:eastAsia="Arial" w:cs="Arial"/>
          <w:b w:val="0"/>
          <w:bCs w:val="0"/>
          <w:i w:val="0"/>
          <w:iCs w:val="0"/>
          <w:strike w:val="0"/>
          <w:dstrike w:val="0"/>
          <w:noProof w:val="0"/>
          <w:color w:val="000000" w:themeColor="text1" w:themeTint="FF" w:themeShade="FF"/>
          <w:sz w:val="24"/>
          <w:szCs w:val="24"/>
          <w:u w:val="none"/>
          <w:lang w:val="en-US"/>
        </w:rPr>
        <w:t>established</w:t>
      </w:r>
      <w:r w:rsidRPr="08066120" w:rsidR="61B225F1">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the remaining test is </w:t>
      </w:r>
      <w:r w:rsidRPr="08066120" w:rsidR="61B225F1">
        <w:rPr>
          <w:rFonts w:ascii="Arial" w:hAnsi="Arial" w:eastAsia="Arial" w:cs="Arial"/>
          <w:b w:val="0"/>
          <w:bCs w:val="0"/>
          <w:i w:val="0"/>
          <w:iCs w:val="0"/>
          <w:strike w:val="0"/>
          <w:dstrike w:val="0"/>
          <w:noProof w:val="0"/>
          <w:color w:val="000000" w:themeColor="text1" w:themeTint="FF" w:themeShade="FF"/>
          <w:sz w:val="24"/>
          <w:szCs w:val="24"/>
          <w:u w:val="none"/>
          <w:lang w:val="en-US"/>
        </w:rPr>
        <w:t>objective</w:t>
      </w:r>
      <w:r w:rsidRPr="08066120" w:rsidR="61B225F1">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t>
      </w:r>
      <w:r w:rsidRPr="08066120" w:rsidR="61B225F1">
        <w:rPr>
          <w:rFonts w:ascii="Arial" w:hAnsi="Arial" w:eastAsia="Arial" w:cs="Arial"/>
          <w:b w:val="0"/>
          <w:bCs w:val="0"/>
          <w:i w:val="0"/>
          <w:iCs w:val="0"/>
          <w:strike w:val="0"/>
          <w:dstrike w:val="0"/>
          <w:noProof w:val="0"/>
          <w:color w:val="000000" w:themeColor="text1" w:themeTint="FF" w:themeShade="FF"/>
          <w:sz w:val="24"/>
          <w:szCs w:val="24"/>
          <w:u w:val="none"/>
          <w:lang w:val="en-US"/>
        </w:rPr>
        <w:t>determining</w:t>
      </w:r>
      <w:r w:rsidRPr="08066120" w:rsidR="61B225F1">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whether the defendant's actions were dishonest based on the standards of ordinary decent people.</w:t>
      </w:r>
    </w:p>
    <w:p xmlns:wp14="http://schemas.microsoft.com/office/word/2010/wordml" w:rsidP="6812E9BD" wp14:paraId="6C53C312" wp14:textId="1D420FEA">
      <w:pPr>
        <w:spacing w:before="30" w:beforeAutospacing="off" w:line="360" w:lineRule="auto"/>
        <w:rPr>
          <w:rFonts w:ascii="Arial" w:hAnsi="Arial" w:eastAsia="Arial" w:cs="Arial"/>
          <w:sz w:val="24"/>
          <w:szCs w:val="24"/>
        </w:rPr>
      </w:pPr>
    </w:p>
    <w:p xmlns:wp14="http://schemas.microsoft.com/office/word/2010/wordml" w:rsidP="6812E9BD" wp14:paraId="03E3F956" wp14:textId="7935D650">
      <w:pPr>
        <w:spacing w:before="30" w:beforeAutospacing="off" w:after="0" w:afterAutospacing="off" w:line="360" w:lineRule="auto"/>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6812E9BD" w:rsidR="1EA50BC4">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According to Criminal </w:t>
      </w:r>
      <w:r w:rsidRPr="6812E9BD" w:rsidR="1EA50BC4">
        <w:rPr>
          <w:rFonts w:ascii="Arial" w:hAnsi="Arial" w:eastAsia="Arial" w:cs="Arial"/>
          <w:b w:val="0"/>
          <w:bCs w:val="0"/>
          <w:i w:val="0"/>
          <w:iCs w:val="0"/>
          <w:strike w:val="0"/>
          <w:dstrike w:val="0"/>
          <w:noProof w:val="0"/>
          <w:color w:val="000000" w:themeColor="text1" w:themeTint="FF" w:themeShade="FF"/>
          <w:sz w:val="24"/>
          <w:szCs w:val="24"/>
          <w:u w:val="none"/>
          <w:lang w:val="en-US"/>
        </w:rPr>
        <w:t>Defence</w:t>
      </w:r>
      <w:r w:rsidRPr="6812E9BD" w:rsidR="1EA50BC4">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Solicitors (2021), the Ghosh test faced significant criticism over time, with concerns raised about the lack of guidance and potential inconsistencies in how juries applied it. This issue was addressed in the civil case of Ivey by the Supreme Court. In this case, the Supreme Court </w:t>
      </w:r>
      <w:r w:rsidRPr="6812E9BD" w:rsidR="1EA50BC4">
        <w:rPr>
          <w:rFonts w:ascii="Arial" w:hAnsi="Arial" w:eastAsia="Arial" w:cs="Arial"/>
          <w:b w:val="0"/>
          <w:bCs w:val="0"/>
          <w:i w:val="0"/>
          <w:iCs w:val="0"/>
          <w:strike w:val="0"/>
          <w:dstrike w:val="0"/>
          <w:noProof w:val="0"/>
          <w:color w:val="000000" w:themeColor="text1" w:themeTint="FF" w:themeShade="FF"/>
          <w:sz w:val="24"/>
          <w:szCs w:val="24"/>
          <w:u w:val="none"/>
          <w:lang w:val="en-US"/>
        </w:rPr>
        <w:t>eliminated</w:t>
      </w:r>
      <w:r w:rsidRPr="6812E9BD" w:rsidR="1EA50BC4">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the second limb of the Ghosh test, which focused on whether the defendant </w:t>
      </w:r>
      <w:r w:rsidRPr="6812E9BD" w:rsidR="1EA50BC4">
        <w:rPr>
          <w:rFonts w:ascii="Arial" w:hAnsi="Arial" w:eastAsia="Arial" w:cs="Arial"/>
          <w:b w:val="0"/>
          <w:bCs w:val="0"/>
          <w:i w:val="0"/>
          <w:iCs w:val="0"/>
          <w:strike w:val="0"/>
          <w:dstrike w:val="0"/>
          <w:noProof w:val="0"/>
          <w:color w:val="000000" w:themeColor="text1" w:themeTint="FF" w:themeShade="FF"/>
          <w:sz w:val="24"/>
          <w:szCs w:val="24"/>
          <w:u w:val="none"/>
          <w:lang w:val="en-US"/>
        </w:rPr>
        <w:t>realised</w:t>
      </w:r>
      <w:r w:rsidRPr="6812E9BD" w:rsidR="1EA50BC4">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that reasonable and honest people would view their actions as dishonest. Instead, the defendant's judgement is based solely on their actual knowledge or belief about the facts.</w:t>
      </w:r>
    </w:p>
    <w:p xmlns:wp14="http://schemas.microsoft.com/office/word/2010/wordml" w:rsidP="6812E9BD" wp14:paraId="3766244C" wp14:textId="2D235FC7">
      <w:pPr>
        <w:spacing w:before="30" w:beforeAutospacing="off" w:line="360" w:lineRule="auto"/>
        <w:rPr>
          <w:rFonts w:ascii="Arial" w:hAnsi="Arial" w:eastAsia="Arial" w:cs="Arial"/>
          <w:sz w:val="24"/>
          <w:szCs w:val="24"/>
        </w:rPr>
      </w:pPr>
    </w:p>
    <w:p xmlns:wp14="http://schemas.microsoft.com/office/word/2010/wordml" w:rsidP="08066120" wp14:paraId="47C57E93" wp14:textId="5B5BBE5D">
      <w:pPr>
        <w:spacing w:before="30" w:beforeAutospacing="off" w:after="0" w:afterAutospacing="off" w:line="360" w:lineRule="auto"/>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08066120" w:rsidR="61B225F1">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According to Crown Prosecution Service (2020), a significant case prosecuted by the CPS revealed the depths of dishonesty in a care </w:t>
      </w:r>
      <w:r w:rsidRPr="08066120" w:rsidR="38AC07DA">
        <w:rPr>
          <w:rFonts w:ascii="Arial" w:hAnsi="Arial" w:eastAsia="Arial" w:cs="Arial"/>
          <w:b w:val="0"/>
          <w:bCs w:val="0"/>
          <w:i w:val="0"/>
          <w:iCs w:val="0"/>
          <w:strike w:val="0"/>
          <w:dstrike w:val="0"/>
          <w:noProof w:val="0"/>
          <w:color w:val="000000" w:themeColor="text1" w:themeTint="FF" w:themeShade="FF"/>
          <w:sz w:val="24"/>
          <w:szCs w:val="24"/>
          <w:u w:val="none"/>
          <w:lang w:val="en-US"/>
        </w:rPr>
        <w:t>homeowner's</w:t>
      </w:r>
      <w:r w:rsidRPr="08066120" w:rsidR="61B225F1">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actions, leading to a £4m fraud scheme. David Barton, sentenced to 17 years in prison, exploited vulnerable residents by manipulating them into believing he was their sole caregiver, isolating them from family and friends, and restrained them into paying excessive fees and naming him as a beneficiary in their wills. The Court of Appeal clarified the legal test for dishonesty in criminal law as juries must evaluate all facts, including the defendant's knowledge or belief, against the standards of ordinary reasonable people to </w:t>
      </w:r>
      <w:r w:rsidRPr="08066120" w:rsidR="61B225F1">
        <w:rPr>
          <w:rFonts w:ascii="Arial" w:hAnsi="Arial" w:eastAsia="Arial" w:cs="Arial"/>
          <w:b w:val="0"/>
          <w:bCs w:val="0"/>
          <w:i w:val="0"/>
          <w:iCs w:val="0"/>
          <w:strike w:val="0"/>
          <w:dstrike w:val="0"/>
          <w:noProof w:val="0"/>
          <w:color w:val="000000" w:themeColor="text1" w:themeTint="FF" w:themeShade="FF"/>
          <w:sz w:val="24"/>
          <w:szCs w:val="24"/>
          <w:u w:val="none"/>
          <w:lang w:val="en-US"/>
        </w:rPr>
        <w:t>determine</w:t>
      </w:r>
      <w:r w:rsidRPr="08066120" w:rsidR="61B225F1">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dishonest </w:t>
      </w:r>
      <w:r w:rsidRPr="08066120" w:rsidR="61B225F1">
        <w:rPr>
          <w:rFonts w:ascii="Arial" w:hAnsi="Arial" w:eastAsia="Arial" w:cs="Arial"/>
          <w:b w:val="0"/>
          <w:bCs w:val="0"/>
          <w:i w:val="0"/>
          <w:iCs w:val="0"/>
          <w:strike w:val="0"/>
          <w:dstrike w:val="0"/>
          <w:noProof w:val="0"/>
          <w:color w:val="000000" w:themeColor="text1" w:themeTint="FF" w:themeShade="FF"/>
          <w:sz w:val="24"/>
          <w:szCs w:val="24"/>
          <w:u w:val="none"/>
          <w:lang w:val="en-US"/>
        </w:rPr>
        <w:t>behaviour</w:t>
      </w:r>
      <w:r w:rsidRPr="08066120" w:rsidR="61B225F1">
        <w:rPr>
          <w:rFonts w:ascii="Arial" w:hAnsi="Arial" w:eastAsia="Arial" w:cs="Arial"/>
          <w:b w:val="0"/>
          <w:bCs w:val="0"/>
          <w:i w:val="0"/>
          <w:iCs w:val="0"/>
          <w:strike w:val="0"/>
          <w:dstrike w:val="0"/>
          <w:noProof w:val="0"/>
          <w:color w:val="000000" w:themeColor="text1" w:themeTint="FF" w:themeShade="FF"/>
          <w:sz w:val="24"/>
          <w:szCs w:val="24"/>
          <w:u w:val="none"/>
          <w:lang w:val="en-US"/>
        </w:rPr>
        <w:t>. This judgement, affirmed by the Court of Appeal's refusal to consider the case at the Supreme Court, sets a definitive precedent for future cases involving allegations of dishonesty, ensuring accountability and justice in criminal proceedings.</w:t>
      </w:r>
    </w:p>
    <w:p xmlns:wp14="http://schemas.microsoft.com/office/word/2010/wordml" w:rsidP="6812E9BD" wp14:paraId="3A01CA95" wp14:textId="4CBE5F27">
      <w:pPr>
        <w:spacing w:before="30" w:beforeAutospacing="off" w:line="360" w:lineRule="auto"/>
        <w:rPr>
          <w:rFonts w:ascii="Arial" w:hAnsi="Arial" w:eastAsia="Arial" w:cs="Arial"/>
          <w:sz w:val="24"/>
          <w:szCs w:val="24"/>
        </w:rPr>
      </w:pPr>
    </w:p>
    <w:p xmlns:wp14="http://schemas.microsoft.com/office/word/2010/wordml" w:rsidP="08066120" wp14:paraId="237959A3" wp14:textId="09D57A6D">
      <w:pPr>
        <w:spacing w:before="30" w:beforeAutospacing="off" w:after="0" w:afterAutospacing="off" w:line="360" w:lineRule="auto"/>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08066120" w:rsidR="61B225F1">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According to the University of Oxford (2022</w:t>
      </w:r>
      <w:r w:rsidRPr="08066120" w:rsidR="7805B060">
        <w:rPr>
          <w:rFonts w:ascii="Arial" w:hAnsi="Arial" w:eastAsia="Arial" w:cs="Arial"/>
          <w:b w:val="0"/>
          <w:bCs w:val="0"/>
          <w:i w:val="0"/>
          <w:iCs w:val="0"/>
          <w:strike w:val="0"/>
          <w:dstrike w:val="0"/>
          <w:noProof w:val="0"/>
          <w:color w:val="000000" w:themeColor="text1" w:themeTint="FF" w:themeShade="FF"/>
          <w:sz w:val="24"/>
          <w:szCs w:val="24"/>
          <w:u w:val="none"/>
          <w:lang w:val="en-US"/>
        </w:rPr>
        <w:t>), many</w:t>
      </w:r>
      <w:r w:rsidRPr="08066120" w:rsidR="61B225F1">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people find the test for dishonesty in Ghosh and Ivey problematic. They worry </w:t>
      </w:r>
      <w:r w:rsidRPr="08066120" w:rsidR="0ABCA58C">
        <w:rPr>
          <w:rFonts w:ascii="Arial" w:hAnsi="Arial" w:eastAsia="Arial" w:cs="Arial"/>
          <w:b w:val="0"/>
          <w:bCs w:val="0"/>
          <w:i w:val="0"/>
          <w:iCs w:val="0"/>
          <w:strike w:val="0"/>
          <w:dstrike w:val="0"/>
          <w:noProof w:val="0"/>
          <w:color w:val="000000" w:themeColor="text1" w:themeTint="FF" w:themeShade="FF"/>
          <w:sz w:val="24"/>
          <w:szCs w:val="24"/>
          <w:u w:val="none"/>
          <w:lang w:val="en-US"/>
        </w:rPr>
        <w:t>they are</w:t>
      </w:r>
      <w:r w:rsidRPr="08066120" w:rsidR="61B225F1">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too subjective or </w:t>
      </w:r>
      <w:r w:rsidRPr="08066120" w:rsidR="61B225F1">
        <w:rPr>
          <w:rFonts w:ascii="Arial" w:hAnsi="Arial" w:eastAsia="Arial" w:cs="Arial"/>
          <w:b w:val="0"/>
          <w:bCs w:val="0"/>
          <w:i w:val="0"/>
          <w:iCs w:val="0"/>
          <w:strike w:val="0"/>
          <w:dstrike w:val="0"/>
          <w:noProof w:val="0"/>
          <w:color w:val="000000" w:themeColor="text1" w:themeTint="FF" w:themeShade="FF"/>
          <w:sz w:val="24"/>
          <w:szCs w:val="24"/>
          <w:u w:val="none"/>
          <w:lang w:val="en-US"/>
        </w:rPr>
        <w:t>objective</w:t>
      </w:r>
      <w:r w:rsidRPr="08066120" w:rsidR="61B225F1">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require moral judgments from juries, and can lead to differences in how dishonesty is judged. </w:t>
      </w:r>
      <w:r w:rsidRPr="08066120" w:rsidR="61B225F1">
        <w:rPr>
          <w:rFonts w:ascii="Arial" w:hAnsi="Arial" w:eastAsia="Arial" w:cs="Arial"/>
          <w:b w:val="0"/>
          <w:bCs w:val="0"/>
          <w:i w:val="0"/>
          <w:iCs w:val="0"/>
          <w:strike w:val="0"/>
          <w:dstrike w:val="0"/>
          <w:noProof w:val="0"/>
          <w:color w:val="000000" w:themeColor="text1" w:themeTint="FF" w:themeShade="FF"/>
          <w:sz w:val="24"/>
          <w:szCs w:val="24"/>
          <w:u w:val="none"/>
          <w:lang w:val="en-US"/>
        </w:rPr>
        <w:t>But most agree that theft, a major crime in this area, is fundamentally about dishonesty.</w:t>
      </w:r>
    </w:p>
    <w:p xmlns:wp14="http://schemas.microsoft.com/office/word/2010/wordml" w:rsidP="6812E9BD" wp14:paraId="472EF8B3" wp14:textId="797A3E88">
      <w:pPr>
        <w:spacing w:before="30" w:beforeAutospacing="off" w:line="360" w:lineRule="auto"/>
        <w:rPr>
          <w:rFonts w:ascii="Arial" w:hAnsi="Arial" w:eastAsia="Arial" w:cs="Arial"/>
          <w:sz w:val="24"/>
          <w:szCs w:val="24"/>
        </w:rPr>
      </w:pPr>
    </w:p>
    <w:p xmlns:wp14="http://schemas.microsoft.com/office/word/2010/wordml" w:rsidP="08066120" wp14:paraId="228F4A47" wp14:textId="7262FCD1">
      <w:pPr>
        <w:spacing w:before="30" w:beforeAutospacing="off" w:after="0" w:afterAutospacing="off" w:line="360" w:lineRule="auto"/>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08066120" w:rsidR="61B225F1">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According to University of Exeter (2020), the difficulty in defining theft often revolves around the need for someone to act dishonestly. Courts have struggled to explain what it means to act dishonestly and have tried different tests. The latest test is still unclear, saying that dishonest </w:t>
      </w:r>
      <w:r w:rsidRPr="08066120" w:rsidR="61B225F1">
        <w:rPr>
          <w:rFonts w:ascii="Arial" w:hAnsi="Arial" w:eastAsia="Arial" w:cs="Arial"/>
          <w:b w:val="0"/>
          <w:bCs w:val="0"/>
          <w:i w:val="0"/>
          <w:iCs w:val="0"/>
          <w:strike w:val="0"/>
          <w:dstrike w:val="0"/>
          <w:noProof w:val="0"/>
          <w:color w:val="000000" w:themeColor="text1" w:themeTint="FF" w:themeShade="FF"/>
          <w:sz w:val="24"/>
          <w:szCs w:val="24"/>
          <w:u w:val="none"/>
          <w:lang w:val="en-US"/>
        </w:rPr>
        <w:t>behaviour</w:t>
      </w:r>
      <w:r w:rsidRPr="08066120" w:rsidR="61B225F1">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is whatever an honest person would think is dishonest. This </w:t>
      </w:r>
      <w:r w:rsidRPr="08066120" w:rsidR="79AE10A5">
        <w:rPr>
          <w:rFonts w:ascii="Arial" w:hAnsi="Arial" w:eastAsia="Arial" w:cs="Arial"/>
          <w:b w:val="0"/>
          <w:bCs w:val="0"/>
          <w:i w:val="0"/>
          <w:iCs w:val="0"/>
          <w:strike w:val="0"/>
          <w:dstrike w:val="0"/>
          <w:noProof w:val="0"/>
          <w:color w:val="000000" w:themeColor="text1" w:themeTint="FF" w:themeShade="FF"/>
          <w:sz w:val="24"/>
          <w:szCs w:val="24"/>
          <w:u w:val="none"/>
          <w:lang w:val="en-US"/>
        </w:rPr>
        <w:t>does not</w:t>
      </w:r>
      <w:r w:rsidRPr="08066120" w:rsidR="61B225F1">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help much in knowing beforehand if something is dishonest or not. </w:t>
      </w:r>
      <w:r w:rsidRPr="08066120" w:rsidR="0FD3D263">
        <w:rPr>
          <w:rFonts w:ascii="Arial" w:hAnsi="Arial" w:eastAsia="Arial" w:cs="Arial"/>
          <w:b w:val="0"/>
          <w:bCs w:val="0"/>
          <w:i w:val="0"/>
          <w:iCs w:val="0"/>
          <w:strike w:val="0"/>
          <w:dstrike w:val="0"/>
          <w:noProof w:val="0"/>
          <w:color w:val="000000" w:themeColor="text1" w:themeTint="FF" w:themeShade="FF"/>
          <w:sz w:val="24"/>
          <w:szCs w:val="24"/>
          <w:u w:val="none"/>
          <w:lang w:val="en-US"/>
        </w:rPr>
        <w:t>It is</w:t>
      </w:r>
      <w:r w:rsidRPr="08066120" w:rsidR="61B225F1">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unfair to punish someone for </w:t>
      </w:r>
      <w:r w:rsidRPr="08066120" w:rsidR="61B225F1">
        <w:rPr>
          <w:rFonts w:ascii="Arial" w:hAnsi="Arial" w:eastAsia="Arial" w:cs="Arial"/>
          <w:b w:val="0"/>
          <w:bCs w:val="0"/>
          <w:i w:val="0"/>
          <w:iCs w:val="0"/>
          <w:strike w:val="0"/>
          <w:dstrike w:val="0"/>
          <w:noProof w:val="0"/>
          <w:color w:val="000000" w:themeColor="text1" w:themeTint="FF" w:themeShade="FF"/>
          <w:sz w:val="24"/>
          <w:szCs w:val="24"/>
          <w:u w:val="none"/>
          <w:lang w:val="en-US"/>
        </w:rPr>
        <w:t>behaviour</w:t>
      </w:r>
      <w:r w:rsidRPr="08066120" w:rsidR="61B225F1">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they </w:t>
      </w:r>
      <w:r w:rsidRPr="08066120" w:rsidR="02835CA5">
        <w:rPr>
          <w:rFonts w:ascii="Arial" w:hAnsi="Arial" w:eastAsia="Arial" w:cs="Arial"/>
          <w:b w:val="0"/>
          <w:bCs w:val="0"/>
          <w:i w:val="0"/>
          <w:iCs w:val="0"/>
          <w:strike w:val="0"/>
          <w:dstrike w:val="0"/>
          <w:noProof w:val="0"/>
          <w:color w:val="000000" w:themeColor="text1" w:themeTint="FF" w:themeShade="FF"/>
          <w:sz w:val="24"/>
          <w:szCs w:val="24"/>
          <w:u w:val="none"/>
          <w:lang w:val="en-US"/>
        </w:rPr>
        <w:t>did not</w:t>
      </w:r>
      <w:r w:rsidRPr="08066120" w:rsidR="61B225F1">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know was wrong. Also, it </w:t>
      </w:r>
      <w:r w:rsidRPr="08066120" w:rsidR="0451548D">
        <w:rPr>
          <w:rFonts w:ascii="Arial" w:hAnsi="Arial" w:eastAsia="Arial" w:cs="Arial"/>
          <w:b w:val="0"/>
          <w:bCs w:val="0"/>
          <w:i w:val="0"/>
          <w:iCs w:val="0"/>
          <w:strike w:val="0"/>
          <w:dstrike w:val="0"/>
          <w:noProof w:val="0"/>
          <w:color w:val="000000" w:themeColor="text1" w:themeTint="FF" w:themeShade="FF"/>
          <w:sz w:val="24"/>
          <w:szCs w:val="24"/>
          <w:u w:val="none"/>
          <w:lang w:val="en-US"/>
        </w:rPr>
        <w:t>does not</w:t>
      </w:r>
      <w:r w:rsidRPr="08066120" w:rsidR="61B225F1">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stop people from doing dishonest things because </w:t>
      </w:r>
      <w:r w:rsidRPr="08066120" w:rsidR="645160F9">
        <w:rPr>
          <w:rFonts w:ascii="Arial" w:hAnsi="Arial" w:eastAsia="Arial" w:cs="Arial"/>
          <w:b w:val="0"/>
          <w:bCs w:val="0"/>
          <w:i w:val="0"/>
          <w:iCs w:val="0"/>
          <w:strike w:val="0"/>
          <w:dstrike w:val="0"/>
          <w:noProof w:val="0"/>
          <w:color w:val="000000" w:themeColor="text1" w:themeTint="FF" w:themeShade="FF"/>
          <w:sz w:val="24"/>
          <w:szCs w:val="24"/>
          <w:u w:val="none"/>
          <w:lang w:val="en-US"/>
        </w:rPr>
        <w:t>there is</w:t>
      </w:r>
      <w:r w:rsidRPr="08066120" w:rsidR="61B225F1">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no clear rule against it.</w:t>
      </w:r>
    </w:p>
    <w:p xmlns:wp14="http://schemas.microsoft.com/office/word/2010/wordml" w:rsidP="6812E9BD" wp14:paraId="2BD18982" wp14:textId="14490B35">
      <w:pPr>
        <w:spacing w:before="30" w:beforeAutospacing="off" w:line="360" w:lineRule="auto"/>
        <w:rPr>
          <w:rFonts w:ascii="Arial" w:hAnsi="Arial" w:eastAsia="Arial" w:cs="Arial"/>
          <w:sz w:val="24"/>
          <w:szCs w:val="24"/>
        </w:rPr>
      </w:pPr>
    </w:p>
    <w:p xmlns:wp14="http://schemas.microsoft.com/office/word/2010/wordml" w:rsidP="08066120" wp14:paraId="3F3882EB" wp14:textId="3C6D851F">
      <w:pPr>
        <w:spacing w:before="30" w:beforeAutospacing="off" w:after="0" w:afterAutospacing="off" w:line="360" w:lineRule="auto"/>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08066120" w:rsidR="61B225F1">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Spearman (2024), discusses, while examine the uncertainty in civil law, in Royal Brunei Airlines </w:t>
      </w:r>
      <w:r w:rsidRPr="08066120" w:rsidR="61B225F1">
        <w:rPr>
          <w:rFonts w:ascii="Arial" w:hAnsi="Arial" w:eastAsia="Arial" w:cs="Arial"/>
          <w:b w:val="0"/>
          <w:bCs w:val="0"/>
          <w:i w:val="0"/>
          <w:iCs w:val="0"/>
          <w:strike w:val="0"/>
          <w:dstrike w:val="0"/>
          <w:noProof w:val="0"/>
          <w:color w:val="000000" w:themeColor="text1" w:themeTint="FF" w:themeShade="FF"/>
          <w:sz w:val="24"/>
          <w:szCs w:val="24"/>
          <w:u w:val="none"/>
          <w:lang w:val="en-US"/>
        </w:rPr>
        <w:t>Sdn</w:t>
      </w:r>
      <w:r w:rsidRPr="08066120" w:rsidR="61B225F1">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t>
      </w:r>
      <w:r w:rsidRPr="08066120" w:rsidR="61B225F1">
        <w:rPr>
          <w:rFonts w:ascii="Arial" w:hAnsi="Arial" w:eastAsia="Arial" w:cs="Arial"/>
          <w:b w:val="0"/>
          <w:bCs w:val="0"/>
          <w:i w:val="0"/>
          <w:iCs w:val="0"/>
          <w:strike w:val="0"/>
          <w:dstrike w:val="0"/>
          <w:noProof w:val="0"/>
          <w:color w:val="000000" w:themeColor="text1" w:themeTint="FF" w:themeShade="FF"/>
          <w:sz w:val="24"/>
          <w:szCs w:val="24"/>
          <w:u w:val="none"/>
          <w:lang w:val="en-US"/>
        </w:rPr>
        <w:t>Bhd</w:t>
      </w:r>
      <w:r w:rsidRPr="08066120" w:rsidR="61B225F1">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v Tan [1995] 2 AC 378, Lord Nicholls </w:t>
      </w:r>
      <w:r w:rsidRPr="08066120" w:rsidR="61B225F1">
        <w:rPr>
          <w:rFonts w:ascii="Arial" w:hAnsi="Arial" w:eastAsia="Arial" w:cs="Arial"/>
          <w:b w:val="0"/>
          <w:bCs w:val="0"/>
          <w:i w:val="0"/>
          <w:iCs w:val="0"/>
          <w:strike w:val="0"/>
          <w:dstrike w:val="0"/>
          <w:noProof w:val="0"/>
          <w:color w:val="000000" w:themeColor="text1" w:themeTint="FF" w:themeShade="FF"/>
          <w:sz w:val="24"/>
          <w:szCs w:val="24"/>
          <w:u w:val="none"/>
          <w:lang w:val="en-US"/>
        </w:rPr>
        <w:t>stated</w:t>
      </w:r>
      <w:r w:rsidRPr="08066120" w:rsidR="61B225F1">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that in the context of accessory liability, acting dishonestly or lacking probity means not behaving as an honest person would in the given circumstances. </w:t>
      </w:r>
      <w:r w:rsidRPr="08066120" w:rsidR="61B225F1">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This standard is </w:t>
      </w:r>
      <w:r w:rsidRPr="08066120" w:rsidR="61B225F1">
        <w:rPr>
          <w:rFonts w:ascii="Arial" w:hAnsi="Arial" w:eastAsia="Arial" w:cs="Arial"/>
          <w:b w:val="0"/>
          <w:bCs w:val="0"/>
          <w:i w:val="0"/>
          <w:iCs w:val="0"/>
          <w:strike w:val="0"/>
          <w:dstrike w:val="0"/>
          <w:noProof w:val="0"/>
          <w:color w:val="000000" w:themeColor="text1" w:themeTint="FF" w:themeShade="FF"/>
          <w:sz w:val="24"/>
          <w:szCs w:val="24"/>
          <w:u w:val="none"/>
          <w:lang w:val="en-US"/>
        </w:rPr>
        <w:t>objective</w:t>
      </w:r>
      <w:r w:rsidRPr="08066120" w:rsidR="61B225F1">
        <w:rPr>
          <w:rFonts w:ascii="Arial" w:hAnsi="Arial" w:eastAsia="Arial" w:cs="Arial"/>
          <w:b w:val="0"/>
          <w:bCs w:val="0"/>
          <w:i w:val="0"/>
          <w:iCs w:val="0"/>
          <w:strike w:val="0"/>
          <w:dstrike w:val="0"/>
          <w:noProof w:val="0"/>
          <w:color w:val="000000" w:themeColor="text1" w:themeTint="FF" w:themeShade="FF"/>
          <w:sz w:val="24"/>
          <w:szCs w:val="24"/>
          <w:u w:val="none"/>
          <w:lang w:val="en-US"/>
        </w:rPr>
        <w:t>, unlike some criminal contexts such as R v Ghosh.</w:t>
      </w:r>
      <w:r w:rsidRPr="08066120" w:rsidR="61B225F1">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And in </w:t>
      </w:r>
      <w:r w:rsidRPr="08066120" w:rsidR="61B225F1">
        <w:rPr>
          <w:rFonts w:ascii="Arial" w:hAnsi="Arial" w:eastAsia="Arial" w:cs="Arial"/>
          <w:b w:val="0"/>
          <w:bCs w:val="0"/>
          <w:i w:val="0"/>
          <w:iCs w:val="0"/>
          <w:strike w:val="0"/>
          <w:dstrike w:val="0"/>
          <w:noProof w:val="0"/>
          <w:color w:val="000000" w:themeColor="text1" w:themeTint="FF" w:themeShade="FF"/>
          <w:sz w:val="24"/>
          <w:szCs w:val="24"/>
          <w:u w:val="none"/>
          <w:lang w:val="en-US"/>
        </w:rPr>
        <w:t>Twinsectra</w:t>
      </w:r>
      <w:r w:rsidRPr="08066120" w:rsidR="61B225F1">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Ltd v Yardley [2002] 2 AC 164, the House of Lords preferred what Lord Hutton termed the "combined test." This test states that dishonesty requires two things: first, the defendant's conduct must be seen as dishonest by ordinary, honest people; and second, the defendant must have known that their actions were dishonest by these standards. The main difference from the Ghosh test is that it </w:t>
      </w:r>
      <w:r w:rsidRPr="08066120" w:rsidR="61B225F1">
        <w:rPr>
          <w:rFonts w:ascii="Arial" w:hAnsi="Arial" w:eastAsia="Arial" w:cs="Arial"/>
          <w:b w:val="0"/>
          <w:bCs w:val="0"/>
          <w:i w:val="0"/>
          <w:iCs w:val="0"/>
          <w:strike w:val="0"/>
          <w:dstrike w:val="0"/>
          <w:noProof w:val="0"/>
          <w:color w:val="000000" w:themeColor="text1" w:themeTint="FF" w:themeShade="FF"/>
          <w:sz w:val="24"/>
          <w:szCs w:val="24"/>
          <w:u w:val="none"/>
          <w:lang w:val="en-US"/>
        </w:rPr>
        <w:t>emphasises</w:t>
      </w:r>
      <w:r w:rsidRPr="08066120" w:rsidR="61B225F1">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the defendant's personal </w:t>
      </w:r>
      <w:r w:rsidRPr="08066120" w:rsidR="61B225F1">
        <w:rPr>
          <w:rFonts w:ascii="Arial" w:hAnsi="Arial" w:eastAsia="Arial" w:cs="Arial"/>
          <w:b w:val="0"/>
          <w:bCs w:val="0"/>
          <w:i w:val="0"/>
          <w:iCs w:val="0"/>
          <w:strike w:val="0"/>
          <w:dstrike w:val="0"/>
          <w:noProof w:val="0"/>
          <w:color w:val="000000" w:themeColor="text1" w:themeTint="FF" w:themeShade="FF"/>
          <w:sz w:val="24"/>
          <w:szCs w:val="24"/>
          <w:u w:val="none"/>
          <w:lang w:val="en-US"/>
        </w:rPr>
        <w:t>realisation</w:t>
      </w:r>
      <w:r w:rsidRPr="08066120" w:rsidR="61B225F1">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of their dishonesty. Also, Lord Hoffmann </w:t>
      </w:r>
      <w:r w:rsidRPr="08066120" w:rsidR="61B225F1">
        <w:rPr>
          <w:rFonts w:ascii="Arial" w:hAnsi="Arial" w:eastAsia="Arial" w:cs="Arial"/>
          <w:b w:val="0"/>
          <w:bCs w:val="0"/>
          <w:i w:val="0"/>
          <w:iCs w:val="0"/>
          <w:strike w:val="0"/>
          <w:dstrike w:val="0"/>
          <w:noProof w:val="0"/>
          <w:color w:val="000000" w:themeColor="text1" w:themeTint="FF" w:themeShade="FF"/>
          <w:sz w:val="24"/>
          <w:szCs w:val="24"/>
          <w:u w:val="none"/>
          <w:lang w:val="en-US"/>
        </w:rPr>
        <w:t>emphasised</w:t>
      </w:r>
      <w:r w:rsidRPr="08066120" w:rsidR="61B225F1">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that according to the principles in Tan, more than just awareness of the </w:t>
      </w:r>
      <w:r w:rsidRPr="08066120" w:rsidR="4A5F9257">
        <w:rPr>
          <w:rFonts w:ascii="Arial" w:hAnsi="Arial" w:eastAsia="Arial" w:cs="Arial"/>
          <w:b w:val="0"/>
          <w:bCs w:val="0"/>
          <w:i w:val="0"/>
          <w:iCs w:val="0"/>
          <w:strike w:val="0"/>
          <w:dstrike w:val="0"/>
          <w:noProof w:val="0"/>
          <w:color w:val="000000" w:themeColor="text1" w:themeTint="FF" w:themeShade="FF"/>
          <w:sz w:val="24"/>
          <w:szCs w:val="24"/>
          <w:u w:val="none"/>
          <w:lang w:val="en-US"/>
        </w:rPr>
        <w:t>facts of wrongful conduct</w:t>
      </w:r>
      <w:r w:rsidRPr="08066120" w:rsidR="61B225F1">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is needed. He argued that it requires a dishonest state of mind, meaning the awareness of transgressing ordinary standards of honesty. On the other hand, Lord Millett advocated for an objective approach, especially in civil liability cases. He believed that knowing all the facts that made the participation wrongful was sufficient. </w:t>
      </w:r>
      <w:bookmarkStart w:name="_Int_qefYyrnL" w:id="179994525"/>
      <w:r w:rsidRPr="08066120" w:rsidR="61B225F1">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Over time, civil </w:t>
      </w:r>
      <w:r w:rsidRPr="08066120" w:rsidR="13EB11CE">
        <w:rPr>
          <w:rFonts w:ascii="Arial" w:hAnsi="Arial" w:eastAsia="Arial" w:cs="Arial"/>
          <w:b w:val="0"/>
          <w:bCs w:val="0"/>
          <w:i w:val="0"/>
          <w:iCs w:val="0"/>
          <w:strike w:val="0"/>
          <w:dstrike w:val="0"/>
          <w:noProof w:val="0"/>
          <w:color w:val="000000" w:themeColor="text1" w:themeTint="FF" w:themeShade="FF"/>
          <w:sz w:val="24"/>
          <w:szCs w:val="24"/>
          <w:u w:val="none"/>
          <w:lang w:val="en-US"/>
        </w:rPr>
        <w:t>high</w:t>
      </w:r>
      <w:r w:rsidRPr="08066120" w:rsidR="61B225F1">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courts have </w:t>
      </w:r>
      <w:r w:rsidRPr="08066120" w:rsidR="61B225F1">
        <w:rPr>
          <w:rFonts w:ascii="Arial" w:hAnsi="Arial" w:eastAsia="Arial" w:cs="Arial"/>
          <w:b w:val="0"/>
          <w:bCs w:val="0"/>
          <w:i w:val="0"/>
          <w:iCs w:val="0"/>
          <w:strike w:val="0"/>
          <w:dstrike w:val="0"/>
          <w:noProof w:val="0"/>
          <w:color w:val="000000" w:themeColor="text1" w:themeTint="FF" w:themeShade="FF"/>
          <w:sz w:val="24"/>
          <w:szCs w:val="24"/>
          <w:u w:val="none"/>
          <w:lang w:val="en-US"/>
        </w:rPr>
        <w:t>determined</w:t>
      </w:r>
      <w:r w:rsidRPr="08066120" w:rsidR="61B225F1">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that an objective test for dishonesty is fitting for civil law purposes.</w:t>
      </w:r>
      <w:bookmarkEnd w:id="179994525"/>
      <w:r w:rsidRPr="08066120" w:rsidR="61B225F1">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In Barlow Clowes v </w:t>
      </w:r>
      <w:r w:rsidRPr="08066120" w:rsidR="61B225F1">
        <w:rPr>
          <w:rFonts w:ascii="Arial" w:hAnsi="Arial" w:eastAsia="Arial" w:cs="Arial"/>
          <w:b w:val="0"/>
          <w:bCs w:val="0"/>
          <w:i w:val="0"/>
          <w:iCs w:val="0"/>
          <w:strike w:val="0"/>
          <w:dstrike w:val="0"/>
          <w:noProof w:val="0"/>
          <w:color w:val="000000" w:themeColor="text1" w:themeTint="FF" w:themeShade="FF"/>
          <w:sz w:val="24"/>
          <w:szCs w:val="24"/>
          <w:u w:val="none"/>
          <w:lang w:val="en-US"/>
        </w:rPr>
        <w:t>Eurotrust</w:t>
      </w:r>
      <w:r w:rsidRPr="08066120" w:rsidR="61B225F1">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International Ltd [2006] 1 WLR 1476, Lord Hoffmann clarified that a dishonest state of mind involves being aware of actions that violate common standards of honesty, without necessarily considering those standards. Many believe that the Barlow Clowes test was affirmed in civil cases and adopted in criminal proceedings, replacing the Ghosh test, by the Supreme Court in Ivey. However, the idea of dishonesty </w:t>
      </w:r>
      <w:r w:rsidRPr="08066120" w:rsidR="61B225F1">
        <w:rPr>
          <w:rFonts w:ascii="Arial" w:hAnsi="Arial" w:eastAsia="Arial" w:cs="Arial"/>
          <w:b w:val="0"/>
          <w:bCs w:val="0"/>
          <w:i w:val="0"/>
          <w:iCs w:val="0"/>
          <w:strike w:val="0"/>
          <w:dstrike w:val="0"/>
          <w:noProof w:val="0"/>
          <w:color w:val="000000" w:themeColor="text1" w:themeTint="FF" w:themeShade="FF"/>
          <w:sz w:val="24"/>
          <w:szCs w:val="24"/>
          <w:u w:val="none"/>
          <w:lang w:val="en-US"/>
        </w:rPr>
        <w:t>remains</w:t>
      </w:r>
      <w:r w:rsidRPr="08066120" w:rsidR="61B225F1">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unclear. This confusion raises questions about whether the objective standard of "the standards of ordinary decent people" is suitable and practical. While Ivey aimed to address concerns about the Ghosh test, challenges persist </w:t>
      </w:r>
      <w:r w:rsidRPr="08066120" w:rsidR="61B225F1">
        <w:rPr>
          <w:rFonts w:ascii="Arial" w:hAnsi="Arial" w:eastAsia="Arial" w:cs="Arial"/>
          <w:b w:val="0"/>
          <w:bCs w:val="0"/>
          <w:i w:val="0"/>
          <w:iCs w:val="0"/>
          <w:strike w:val="0"/>
          <w:dstrike w:val="0"/>
          <w:noProof w:val="0"/>
          <w:color w:val="000000" w:themeColor="text1" w:themeTint="FF" w:themeShade="FF"/>
          <w:sz w:val="24"/>
          <w:szCs w:val="24"/>
          <w:u w:val="none"/>
          <w:lang w:val="en-US"/>
        </w:rPr>
        <w:t>regarding</w:t>
      </w:r>
      <w:r w:rsidRPr="08066120" w:rsidR="61B225F1">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its application in both civil and criminal law, promising continued debate for the </w:t>
      </w:r>
      <w:r w:rsidRPr="08066120" w:rsidR="2451B58F">
        <w:rPr>
          <w:rFonts w:ascii="Arial" w:hAnsi="Arial" w:eastAsia="Arial" w:cs="Arial"/>
          <w:b w:val="0"/>
          <w:bCs w:val="0"/>
          <w:i w:val="0"/>
          <w:iCs w:val="0"/>
          <w:strike w:val="0"/>
          <w:dstrike w:val="0"/>
          <w:noProof w:val="0"/>
          <w:color w:val="000000" w:themeColor="text1" w:themeTint="FF" w:themeShade="FF"/>
          <w:sz w:val="24"/>
          <w:szCs w:val="24"/>
          <w:u w:val="none"/>
          <w:lang w:val="en-US"/>
        </w:rPr>
        <w:t>near future</w:t>
      </w:r>
      <w:r w:rsidRPr="08066120" w:rsidR="61B225F1">
        <w:rPr>
          <w:rFonts w:ascii="Arial" w:hAnsi="Arial" w:eastAsia="Arial" w:cs="Arial"/>
          <w:b w:val="0"/>
          <w:bCs w:val="0"/>
          <w:i w:val="0"/>
          <w:iCs w:val="0"/>
          <w:strike w:val="0"/>
          <w:dstrike w:val="0"/>
          <w:noProof w:val="0"/>
          <w:color w:val="000000" w:themeColor="text1" w:themeTint="FF" w:themeShade="FF"/>
          <w:sz w:val="24"/>
          <w:szCs w:val="24"/>
          <w:u w:val="none"/>
          <w:lang w:val="en-US"/>
        </w:rPr>
        <w:t>.</w:t>
      </w:r>
    </w:p>
    <w:p xmlns:wp14="http://schemas.microsoft.com/office/word/2010/wordml" w:rsidP="6812E9BD" wp14:paraId="710AF13A" wp14:textId="3906DDC1">
      <w:pPr>
        <w:spacing w:before="30" w:beforeAutospacing="off" w:after="0" w:afterAutospacing="off" w:line="360" w:lineRule="auto"/>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6812E9BD" w:rsidR="1EA50BC4">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t>
      </w:r>
    </w:p>
    <w:p xmlns:wp14="http://schemas.microsoft.com/office/word/2010/wordml" w:rsidP="08066120" wp14:paraId="5C0E502E" wp14:textId="3C067892">
      <w:pPr>
        <w:spacing w:before="30" w:beforeAutospacing="off" w:after="0" w:afterAutospacing="off" w:line="360" w:lineRule="auto"/>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08066120" w:rsidR="61B225F1">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t>
      </w:r>
      <w:r w:rsidRPr="08066120" w:rsidR="4022C2B1">
        <w:rPr>
          <w:rFonts w:ascii="Arial" w:hAnsi="Arial" w:eastAsia="Arial" w:cs="Arial"/>
          <w:b w:val="0"/>
          <w:bCs w:val="0"/>
          <w:i w:val="0"/>
          <w:iCs w:val="0"/>
          <w:strike w:val="0"/>
          <w:dstrike w:val="0"/>
          <w:noProof w:val="0"/>
          <w:color w:val="000000" w:themeColor="text1" w:themeTint="FF" w:themeShade="FF"/>
          <w:sz w:val="24"/>
          <w:szCs w:val="24"/>
          <w:u w:val="none"/>
          <w:lang w:val="en-US"/>
        </w:rPr>
        <w:t>In summary, this study examined the concept of dishonesty and its importance within theft offences in the UK.</w:t>
      </w:r>
      <w:r w:rsidRPr="08066120" w:rsidR="61B225F1">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Through an analysis of key legal cases such as Ivey v Genting Casinos UK Ltd (2017) and R v Ghosh (1982), the evolution of the dishonesty test in common law has been explored. </w:t>
      </w:r>
      <w:r w:rsidRPr="08066120" w:rsidR="13DFB43B">
        <w:rPr>
          <w:rFonts w:ascii="Arial" w:hAnsi="Arial" w:eastAsia="Arial" w:cs="Arial"/>
          <w:b w:val="0"/>
          <w:bCs w:val="0"/>
          <w:i w:val="0"/>
          <w:iCs w:val="0"/>
          <w:strike w:val="0"/>
          <w:dstrike w:val="0"/>
          <w:noProof w:val="0"/>
          <w:color w:val="000000" w:themeColor="text1" w:themeTint="FF" w:themeShade="FF"/>
          <w:sz w:val="24"/>
          <w:szCs w:val="24"/>
          <w:u w:val="none"/>
          <w:lang w:val="en-US"/>
        </w:rPr>
        <w:t>It has been</w:t>
      </w:r>
      <w:r w:rsidRPr="08066120" w:rsidR="61B225F1">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discussed the essential role of </w:t>
      </w:r>
      <w:r w:rsidRPr="08066120" w:rsidR="61B225F1">
        <w:rPr>
          <w:rFonts w:ascii="Arial" w:hAnsi="Arial" w:eastAsia="Arial" w:cs="Arial"/>
          <w:b w:val="0"/>
          <w:bCs w:val="0"/>
          <w:i w:val="0"/>
          <w:iCs w:val="0"/>
          <w:strike w:val="0"/>
          <w:dstrike w:val="0"/>
          <w:noProof w:val="0"/>
          <w:color w:val="000000" w:themeColor="text1" w:themeTint="FF" w:themeShade="FF"/>
          <w:sz w:val="24"/>
          <w:szCs w:val="24"/>
          <w:u w:val="none"/>
          <w:lang w:val="en-US"/>
        </w:rPr>
        <w:t>mens</w:t>
      </w:r>
      <w:r w:rsidRPr="08066120" w:rsidR="61B225F1">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rea in criminal liability, addressing the challenges associated with proving dishonesty and its broader implications for the justice system. Furthermore, the complexities surrounding the definition of dishonesty have been underscored, alongside efforts to reform and clarify legal standards. Recent legal developments, notably in the Ivey case, have aimed to address criticisms of subjective tests like the Ghosh test, moving towards a more objective assessment of dishonesty. However, there are still challenges and questions about whether objective standards are practical for judging dishonest </w:t>
      </w:r>
      <w:r w:rsidRPr="08066120" w:rsidR="61B225F1">
        <w:rPr>
          <w:rFonts w:ascii="Arial" w:hAnsi="Arial" w:eastAsia="Arial" w:cs="Arial"/>
          <w:b w:val="0"/>
          <w:bCs w:val="0"/>
          <w:i w:val="0"/>
          <w:iCs w:val="0"/>
          <w:strike w:val="0"/>
          <w:dstrike w:val="0"/>
          <w:noProof w:val="0"/>
          <w:color w:val="000000" w:themeColor="text1" w:themeTint="FF" w:themeShade="FF"/>
          <w:sz w:val="24"/>
          <w:szCs w:val="24"/>
          <w:u w:val="none"/>
          <w:lang w:val="en-US"/>
        </w:rPr>
        <w:t>behaviour</w:t>
      </w:r>
      <w:r w:rsidRPr="08066120" w:rsidR="61B225F1">
        <w:rPr>
          <w:rFonts w:ascii="Arial" w:hAnsi="Arial" w:eastAsia="Arial" w:cs="Arial"/>
          <w:b w:val="0"/>
          <w:bCs w:val="0"/>
          <w:i w:val="0"/>
          <w:iCs w:val="0"/>
          <w:strike w:val="0"/>
          <w:dstrike w:val="0"/>
          <w:noProof w:val="0"/>
          <w:color w:val="000000" w:themeColor="text1" w:themeTint="FF" w:themeShade="FF"/>
          <w:sz w:val="24"/>
          <w:szCs w:val="24"/>
          <w:u w:val="none"/>
          <w:lang w:val="en-US"/>
        </w:rPr>
        <w:t>. Despite these challenges, ongoing discussion and consideration are crucial for ensuring clear and consistent application of dishonesty standards in both civil and criminal law.</w:t>
      </w:r>
    </w:p>
    <w:p xmlns:wp14="http://schemas.microsoft.com/office/word/2010/wordml" wp14:paraId="230D10A0" wp14:textId="4EFA7389"/>
    <w:p w:rsidR="08066120" w:rsidP="08066120" w:rsidRDefault="08066120" w14:paraId="70994D0E" w14:textId="70CDE0B2">
      <w:pPr>
        <w:pStyle w:val="Normal"/>
      </w:pPr>
    </w:p>
    <w:p w:rsidR="08066120" w:rsidP="08066120" w:rsidRDefault="08066120" w14:paraId="2CE48A33" w14:textId="1D014E6E">
      <w:pPr>
        <w:pStyle w:val="Normal"/>
      </w:pPr>
    </w:p>
    <w:p w:rsidR="08066120" w:rsidP="08066120" w:rsidRDefault="08066120" w14:paraId="07968E8A" w14:textId="1EE2381A">
      <w:pPr>
        <w:pStyle w:val="Normal"/>
      </w:pPr>
    </w:p>
    <w:p w:rsidR="08066120" w:rsidP="08066120" w:rsidRDefault="08066120" w14:paraId="6D97F873" w14:textId="56678EF3">
      <w:pPr>
        <w:pStyle w:val="Normal"/>
      </w:pPr>
    </w:p>
    <w:p w:rsidR="08066120" w:rsidP="08066120" w:rsidRDefault="08066120" w14:paraId="7416DA53" w14:textId="37A68E1A">
      <w:pPr>
        <w:pStyle w:val="Normal"/>
      </w:pPr>
    </w:p>
    <w:p w:rsidR="08066120" w:rsidP="08066120" w:rsidRDefault="08066120" w14:paraId="1191297D" w14:textId="05BCFD32">
      <w:pPr>
        <w:pStyle w:val="Normal"/>
      </w:pPr>
    </w:p>
    <w:p w:rsidR="08066120" w:rsidP="08066120" w:rsidRDefault="08066120" w14:paraId="05845167" w14:textId="009AE318">
      <w:pPr>
        <w:pStyle w:val="Normal"/>
      </w:pPr>
    </w:p>
    <w:p w:rsidR="08066120" w:rsidP="08066120" w:rsidRDefault="08066120" w14:paraId="22B003E3" w14:textId="3B4B52FD">
      <w:pPr>
        <w:pStyle w:val="Normal"/>
      </w:pPr>
    </w:p>
    <w:p w:rsidR="08066120" w:rsidP="08066120" w:rsidRDefault="08066120" w14:paraId="545F91CE" w14:textId="5AFA2451">
      <w:pPr>
        <w:pStyle w:val="Normal"/>
      </w:pPr>
    </w:p>
    <w:p w:rsidR="08066120" w:rsidP="08066120" w:rsidRDefault="08066120" w14:paraId="64976CA5" w14:textId="45424241">
      <w:pPr>
        <w:pStyle w:val="Normal"/>
      </w:pPr>
    </w:p>
    <w:p w:rsidR="08066120" w:rsidP="08066120" w:rsidRDefault="08066120" w14:paraId="585D2C72" w14:textId="4DF5F4C6">
      <w:pPr>
        <w:pStyle w:val="Normal"/>
      </w:pPr>
    </w:p>
    <w:p w:rsidR="08066120" w:rsidP="08066120" w:rsidRDefault="08066120" w14:paraId="5DF745A8" w14:textId="322DC484">
      <w:pPr>
        <w:pStyle w:val="Normal"/>
      </w:pPr>
    </w:p>
    <w:p w:rsidR="08066120" w:rsidP="08066120" w:rsidRDefault="08066120" w14:paraId="033B8791" w14:textId="17AA51E6">
      <w:pPr>
        <w:pStyle w:val="Normal"/>
      </w:pPr>
    </w:p>
    <w:p w:rsidR="08066120" w:rsidP="08066120" w:rsidRDefault="08066120" w14:paraId="3383C11E" w14:textId="0C191493">
      <w:pPr>
        <w:pStyle w:val="Normal"/>
      </w:pPr>
    </w:p>
    <w:p w:rsidR="08066120" w:rsidP="08066120" w:rsidRDefault="08066120" w14:paraId="7CF6F147" w14:textId="30A8961F">
      <w:pPr>
        <w:pStyle w:val="Normal"/>
      </w:pPr>
    </w:p>
    <w:p w:rsidR="08066120" w:rsidP="08066120" w:rsidRDefault="08066120" w14:paraId="5EF6A5D5" w14:textId="437E61BD">
      <w:pPr>
        <w:pStyle w:val="Normal"/>
      </w:pPr>
    </w:p>
    <w:p w:rsidR="08066120" w:rsidP="08066120" w:rsidRDefault="08066120" w14:paraId="5AD897F9" w14:textId="55D2D82C">
      <w:pPr>
        <w:pStyle w:val="Normal"/>
      </w:pPr>
    </w:p>
    <w:p w:rsidR="08066120" w:rsidP="08066120" w:rsidRDefault="08066120" w14:paraId="1E6C3E12" w14:textId="197EB44B">
      <w:pPr>
        <w:pStyle w:val="Normal"/>
      </w:pPr>
    </w:p>
    <w:p w:rsidR="08066120" w:rsidP="08066120" w:rsidRDefault="08066120" w14:paraId="2EBD4D5A" w14:textId="537340E6">
      <w:pPr>
        <w:pStyle w:val="Normal"/>
      </w:pPr>
    </w:p>
    <w:p w:rsidR="08066120" w:rsidP="08066120" w:rsidRDefault="08066120" w14:paraId="663CB1A8" w14:textId="20DFECAF">
      <w:pPr>
        <w:pStyle w:val="Normal"/>
      </w:pPr>
    </w:p>
    <w:p xmlns:wp14="http://schemas.microsoft.com/office/word/2010/wordml" w:rsidP="08066120" wp14:paraId="5133265F" wp14:textId="685B5AA6">
      <w:pPr>
        <w:pStyle w:val="Normal"/>
        <w:rPr>
          <w:rFonts w:ascii="Arial Nova" w:hAnsi="Arial Nova" w:eastAsia="Arial Nova" w:cs="Arial Nova"/>
          <w:b w:val="1"/>
          <w:bCs w:val="1"/>
        </w:rPr>
      </w:pPr>
      <w:r w:rsidRPr="08066120" w:rsidR="60118DBE">
        <w:rPr>
          <w:rFonts w:ascii="Arial Nova" w:hAnsi="Arial Nova" w:eastAsia="Arial Nova" w:cs="Arial Nova"/>
          <w:b w:val="1"/>
          <w:bCs w:val="1"/>
        </w:rPr>
        <w:t>References</w:t>
      </w:r>
    </w:p>
    <w:p xmlns:wp14="http://schemas.microsoft.com/office/word/2010/wordml" w:rsidP="08066120" wp14:paraId="6550808D" wp14:textId="38E6E8C8">
      <w:pPr>
        <w:pStyle w:val="Normal"/>
        <w:rPr>
          <w:rFonts w:ascii="Arial Nova" w:hAnsi="Arial Nova" w:eastAsia="Arial Nova" w:cs="Arial Nova"/>
        </w:rPr>
      </w:pPr>
    </w:p>
    <w:p xmlns:wp14="http://schemas.microsoft.com/office/word/2010/wordml" w:rsidP="08066120" wp14:paraId="7E885A7A" wp14:textId="1E46A1EF">
      <w:pPr>
        <w:pStyle w:val="Normal"/>
        <w:rPr>
          <w:rFonts w:ascii="Arial Nova" w:hAnsi="Arial Nova" w:eastAsia="Arial Nova" w:cs="Arial Nova"/>
        </w:rPr>
      </w:pPr>
      <w:r w:rsidRPr="08066120" w:rsidR="60118DBE">
        <w:rPr>
          <w:rFonts w:ascii="Arial Nova" w:hAnsi="Arial Nova" w:eastAsia="Arial Nova" w:cs="Arial Nova"/>
        </w:rPr>
        <w:t xml:space="preserve">Theft Act 1968, c.60, section 1. Available at: </w:t>
      </w:r>
      <w:hyperlink r:id="R6d63a6a34c8e4f1a">
        <w:r w:rsidRPr="08066120" w:rsidR="60118DBE">
          <w:rPr>
            <w:rStyle w:val="Hyperlink"/>
          </w:rPr>
          <w:t>https://www.legislation.gov.uk/ukpga/1968/60/section/1</w:t>
        </w:r>
      </w:hyperlink>
      <w:r w:rsidRPr="08066120" w:rsidR="21070D33">
        <w:rPr>
          <w:rFonts w:ascii="Arial Nova" w:hAnsi="Arial Nova" w:eastAsia="Arial Nova" w:cs="Arial Nova"/>
        </w:rPr>
        <w:t xml:space="preserve"> </w:t>
      </w:r>
      <w:r w:rsidRPr="08066120" w:rsidR="60118DBE">
        <w:rPr>
          <w:rFonts w:ascii="Arial Nova" w:hAnsi="Arial Nova" w:eastAsia="Arial Nova" w:cs="Arial Nova"/>
        </w:rPr>
        <w:t xml:space="preserve"> (Accessed: 2 May 2024).</w:t>
      </w:r>
    </w:p>
    <w:p xmlns:wp14="http://schemas.microsoft.com/office/word/2010/wordml" w:rsidP="08066120" wp14:paraId="3C9F376E" wp14:textId="39F673BC">
      <w:pPr>
        <w:pStyle w:val="Normal"/>
        <w:rPr>
          <w:rFonts w:ascii="Arial Nova" w:hAnsi="Arial Nova" w:eastAsia="Arial Nova" w:cs="Arial Nova"/>
        </w:rPr>
      </w:pPr>
    </w:p>
    <w:p xmlns:wp14="http://schemas.microsoft.com/office/word/2010/wordml" w:rsidP="08066120" wp14:paraId="0A07F97C" wp14:textId="76DF208C">
      <w:pPr>
        <w:pStyle w:val="Normal"/>
        <w:rPr>
          <w:rFonts w:ascii="Arial Nova" w:hAnsi="Arial Nova" w:eastAsia="Arial Nova" w:cs="Arial Nova"/>
        </w:rPr>
      </w:pPr>
      <w:r w:rsidRPr="08066120" w:rsidR="60118DBE">
        <w:rPr>
          <w:rFonts w:ascii="Arial Nova" w:hAnsi="Arial Nova" w:eastAsia="Arial Nova" w:cs="Arial Nova"/>
        </w:rPr>
        <w:t xml:space="preserve">Theft Act 1968, c.60, section 2. Available at: </w:t>
      </w:r>
      <w:hyperlink r:id="R309564471f674c2f">
        <w:r w:rsidRPr="08066120" w:rsidR="60118DBE">
          <w:rPr>
            <w:rStyle w:val="Hyperlink"/>
          </w:rPr>
          <w:t>https://www.legislation.gov.uk/ukpga/1968/60/section/2</w:t>
        </w:r>
      </w:hyperlink>
      <w:r w:rsidRPr="08066120" w:rsidR="56588475">
        <w:rPr>
          <w:rFonts w:ascii="Arial Nova" w:hAnsi="Arial Nova" w:eastAsia="Arial Nova" w:cs="Arial Nova"/>
        </w:rPr>
        <w:t xml:space="preserve"> </w:t>
      </w:r>
      <w:r w:rsidRPr="08066120" w:rsidR="60118DBE">
        <w:rPr>
          <w:rFonts w:ascii="Arial Nova" w:hAnsi="Arial Nova" w:eastAsia="Arial Nova" w:cs="Arial Nova"/>
        </w:rPr>
        <w:t xml:space="preserve"> (Accessed: 2 May 2024). </w:t>
      </w:r>
    </w:p>
    <w:p xmlns:wp14="http://schemas.microsoft.com/office/word/2010/wordml" w:rsidP="08066120" wp14:paraId="0A895C02" wp14:textId="17B6E433">
      <w:pPr>
        <w:pStyle w:val="Normal"/>
        <w:rPr>
          <w:rFonts w:ascii="Arial Nova" w:hAnsi="Arial Nova" w:eastAsia="Arial Nova" w:cs="Arial Nova"/>
        </w:rPr>
      </w:pPr>
    </w:p>
    <w:p xmlns:wp14="http://schemas.microsoft.com/office/word/2010/wordml" w:rsidP="08066120" wp14:paraId="137BEEDF" wp14:textId="56653DAE">
      <w:pPr>
        <w:pStyle w:val="Normal"/>
        <w:rPr>
          <w:rFonts w:ascii="Arial Nova" w:hAnsi="Arial Nova" w:eastAsia="Arial Nova" w:cs="Arial Nova"/>
        </w:rPr>
      </w:pPr>
      <w:r w:rsidRPr="08066120" w:rsidR="60118DBE">
        <w:rPr>
          <w:rFonts w:ascii="Arial Nova" w:hAnsi="Arial Nova" w:eastAsia="Arial Nova" w:cs="Arial Nova"/>
        </w:rPr>
        <w:t xml:space="preserve">Oxford University Press (2024) Men’s Rea. Available at: </w:t>
      </w:r>
      <w:hyperlink w:anchor=":~:text=actus%20non%20facit%20reum%20nisi%20mens%20sit%20rea%20%5BLatin%3A%20an,mind%20required%20for%20that%20offence%5D" r:id="R3cc4f0165edb4845">
        <w:r w:rsidRPr="08066120" w:rsidR="60118DBE">
          <w:rPr>
            <w:rStyle w:val="Hyperlink"/>
          </w:rPr>
          <w:t>https://www.oxfordreference.com/display/10.1093/acref/9780198802525.001.0001/acref-9780198802525-e-80#:~:text=actus%20non%20facit%20reum%20nisi%20mens%20sit%20rea%20%5BLatin%3A%20an,mind%20required%20for%20that%20offence%5D</w:t>
        </w:r>
      </w:hyperlink>
      <w:r w:rsidRPr="08066120" w:rsidR="28102936">
        <w:rPr>
          <w:rFonts w:ascii="Arial Nova" w:hAnsi="Arial Nova" w:eastAsia="Arial Nova" w:cs="Arial Nova"/>
        </w:rPr>
        <w:t xml:space="preserve"> </w:t>
      </w:r>
      <w:r w:rsidRPr="08066120" w:rsidR="60118DBE">
        <w:rPr>
          <w:rFonts w:ascii="Arial Nova" w:hAnsi="Arial Nova" w:eastAsia="Arial Nova" w:cs="Arial Nova"/>
        </w:rPr>
        <w:t xml:space="preserve"> (Accessed: 2 May 2024)</w:t>
      </w:r>
      <w:r w:rsidRPr="08066120" w:rsidR="60118DBE">
        <w:rPr>
          <w:rFonts w:ascii="Arial Nova" w:hAnsi="Arial Nova" w:eastAsia="Arial Nova" w:cs="Arial Nova"/>
        </w:rPr>
        <w:t xml:space="preserve">.  </w:t>
      </w:r>
    </w:p>
    <w:p xmlns:wp14="http://schemas.microsoft.com/office/word/2010/wordml" w:rsidP="08066120" wp14:paraId="5925FA30" wp14:textId="1CF5402D">
      <w:pPr>
        <w:pStyle w:val="Normal"/>
        <w:rPr>
          <w:rFonts w:ascii="Arial Nova" w:hAnsi="Arial Nova" w:eastAsia="Arial Nova" w:cs="Arial Nova"/>
        </w:rPr>
      </w:pPr>
      <w:r w:rsidRPr="08066120" w:rsidR="60118DBE">
        <w:rPr>
          <w:rFonts w:ascii="Arial Nova" w:hAnsi="Arial Nova" w:eastAsia="Arial Nova" w:cs="Arial Nova"/>
        </w:rPr>
        <w:t xml:space="preserve"> </w:t>
      </w:r>
    </w:p>
    <w:p xmlns:wp14="http://schemas.microsoft.com/office/word/2010/wordml" w:rsidP="08066120" wp14:paraId="0D3C4926" wp14:textId="2B5A63C1">
      <w:pPr>
        <w:pStyle w:val="Normal"/>
        <w:rPr>
          <w:rFonts w:ascii="Arial Nova" w:hAnsi="Arial Nova" w:eastAsia="Arial Nova" w:cs="Arial Nova"/>
        </w:rPr>
      </w:pPr>
      <w:r w:rsidRPr="08066120" w:rsidR="60118DBE">
        <w:rPr>
          <w:rFonts w:ascii="Arial Nova" w:hAnsi="Arial Nova" w:eastAsia="Arial Nova" w:cs="Arial Nova"/>
        </w:rPr>
        <w:t xml:space="preserve">London University (2024) International courses criminal law guide. Available at: </w:t>
      </w:r>
      <w:hyperlink r:id="Rc42cbe94d0234754">
        <w:r w:rsidRPr="08066120" w:rsidR="60118DBE">
          <w:rPr>
            <w:rStyle w:val="Hyperlink"/>
          </w:rPr>
          <w:t>https://www.london.ac.uk/sites/default/files/study-guides/criminal-law-study-guide.pdf</w:t>
        </w:r>
      </w:hyperlink>
      <w:r w:rsidRPr="08066120" w:rsidR="7B7316C2">
        <w:rPr>
          <w:rFonts w:ascii="Arial Nova" w:hAnsi="Arial Nova" w:eastAsia="Arial Nova" w:cs="Arial Nova"/>
        </w:rPr>
        <w:t xml:space="preserve"> </w:t>
      </w:r>
      <w:r w:rsidRPr="08066120" w:rsidR="60118DBE">
        <w:rPr>
          <w:rFonts w:ascii="Arial Nova" w:hAnsi="Arial Nova" w:eastAsia="Arial Nova" w:cs="Arial Nova"/>
        </w:rPr>
        <w:t xml:space="preserve"> (Accessed: 2 May 2024).</w:t>
      </w:r>
    </w:p>
    <w:p xmlns:wp14="http://schemas.microsoft.com/office/word/2010/wordml" w:rsidP="08066120" wp14:paraId="2B26A39D" wp14:textId="0B74073C">
      <w:pPr>
        <w:pStyle w:val="Normal"/>
        <w:rPr>
          <w:rFonts w:ascii="Arial Nova" w:hAnsi="Arial Nova" w:eastAsia="Arial Nova" w:cs="Arial Nova"/>
        </w:rPr>
      </w:pPr>
    </w:p>
    <w:p xmlns:wp14="http://schemas.microsoft.com/office/word/2010/wordml" w:rsidP="08066120" wp14:paraId="05FA1E70" wp14:textId="557DEFDA">
      <w:pPr>
        <w:pStyle w:val="Normal"/>
        <w:rPr>
          <w:rFonts w:ascii="Arial Nova" w:hAnsi="Arial Nova" w:eastAsia="Arial Nova" w:cs="Arial Nova"/>
        </w:rPr>
      </w:pPr>
      <w:r w:rsidRPr="08066120" w:rsidR="60118DBE">
        <w:rPr>
          <w:rFonts w:ascii="Arial Nova" w:hAnsi="Arial Nova" w:eastAsia="Arial Nova" w:cs="Arial Nova"/>
        </w:rPr>
        <w:t>E-</w:t>
      </w:r>
      <w:r w:rsidRPr="08066120" w:rsidR="60118DBE">
        <w:rPr>
          <w:rFonts w:ascii="Arial Nova" w:hAnsi="Arial Nova" w:eastAsia="Arial Nova" w:cs="Arial Nova"/>
        </w:rPr>
        <w:t>lawresources</w:t>
      </w:r>
      <w:r w:rsidRPr="08066120" w:rsidR="60118DBE">
        <w:rPr>
          <w:rFonts w:ascii="Arial Nova" w:hAnsi="Arial Nova" w:eastAsia="Arial Nova" w:cs="Arial Nova"/>
        </w:rPr>
        <w:t xml:space="preserve"> (2024), R v Ghosh [1982] 3 WLR 110 Court of Appeal. Available at: </w:t>
      </w:r>
      <w:hyperlink r:id="Rc581f5f7b6874bdb">
        <w:r w:rsidRPr="08066120" w:rsidR="60118DBE">
          <w:rPr>
            <w:rStyle w:val="Hyperlink"/>
          </w:rPr>
          <w:t>https://www.e-lawresources.co.uk/R-v-Ghosh.php</w:t>
        </w:r>
      </w:hyperlink>
      <w:r w:rsidRPr="08066120" w:rsidR="2700460E">
        <w:rPr>
          <w:rFonts w:ascii="Arial Nova" w:hAnsi="Arial Nova" w:eastAsia="Arial Nova" w:cs="Arial Nova"/>
        </w:rPr>
        <w:t xml:space="preserve"> </w:t>
      </w:r>
      <w:r w:rsidRPr="08066120" w:rsidR="60118DBE">
        <w:rPr>
          <w:rFonts w:ascii="Arial Nova" w:hAnsi="Arial Nova" w:eastAsia="Arial Nova" w:cs="Arial Nova"/>
        </w:rPr>
        <w:t xml:space="preserve"> (Accessed: 2 May 2024).</w:t>
      </w:r>
    </w:p>
    <w:p xmlns:wp14="http://schemas.microsoft.com/office/word/2010/wordml" w:rsidP="08066120" wp14:paraId="1C936C76" wp14:textId="6460A757">
      <w:pPr>
        <w:pStyle w:val="Normal"/>
        <w:rPr>
          <w:rFonts w:ascii="Arial Nova" w:hAnsi="Arial Nova" w:eastAsia="Arial Nova" w:cs="Arial Nova"/>
        </w:rPr>
      </w:pPr>
    </w:p>
    <w:p xmlns:wp14="http://schemas.microsoft.com/office/word/2010/wordml" w:rsidP="08066120" wp14:paraId="7E102C72" wp14:textId="5E0D4C92">
      <w:pPr>
        <w:pStyle w:val="Normal"/>
        <w:rPr>
          <w:rFonts w:ascii="Arial Nova" w:hAnsi="Arial Nova" w:eastAsia="Arial Nova" w:cs="Arial Nova"/>
        </w:rPr>
      </w:pPr>
      <w:r w:rsidRPr="08066120" w:rsidR="60118DBE">
        <w:rPr>
          <w:rFonts w:ascii="Arial Nova" w:hAnsi="Arial Nova" w:eastAsia="Arial Nova" w:cs="Arial Nova"/>
        </w:rPr>
        <w:t xml:space="preserve">Saunders, A, Proudlock, E and Larner J. (2020) Test for dishonesty under English law confirmed – a tale of three cases. Available at: </w:t>
      </w:r>
      <w:hyperlink r:id="R0faa333ed6cb4d76">
        <w:r w:rsidRPr="08066120" w:rsidR="60118DBE">
          <w:rPr>
            <w:rStyle w:val="Hyperlink"/>
          </w:rPr>
          <w:t>https://www.linklaters.com/en/insights/blogs/businesscrimelinks/2020/july/test-for-dishonesty-under-english-law-confirmed-a-tale-of-three-cases</w:t>
        </w:r>
      </w:hyperlink>
      <w:r w:rsidRPr="08066120" w:rsidR="4E0ED397">
        <w:rPr>
          <w:rFonts w:ascii="Arial Nova" w:hAnsi="Arial Nova" w:eastAsia="Arial Nova" w:cs="Arial Nova"/>
        </w:rPr>
        <w:t xml:space="preserve"> </w:t>
      </w:r>
      <w:r w:rsidRPr="08066120" w:rsidR="60118DBE">
        <w:rPr>
          <w:rFonts w:ascii="Arial Nova" w:hAnsi="Arial Nova" w:eastAsia="Arial Nova" w:cs="Arial Nova"/>
        </w:rPr>
        <w:t xml:space="preserve"> (Accessed: 2 May 2024).</w:t>
      </w:r>
    </w:p>
    <w:p xmlns:wp14="http://schemas.microsoft.com/office/word/2010/wordml" w:rsidP="08066120" wp14:paraId="2FB6E3E3" wp14:textId="595861A1">
      <w:pPr>
        <w:pStyle w:val="Normal"/>
        <w:rPr>
          <w:rFonts w:ascii="Arial Nova" w:hAnsi="Arial Nova" w:eastAsia="Arial Nova" w:cs="Arial Nova"/>
        </w:rPr>
      </w:pPr>
    </w:p>
    <w:p xmlns:wp14="http://schemas.microsoft.com/office/word/2010/wordml" w:rsidP="08066120" wp14:paraId="24DE5C0F" wp14:textId="18BB7BF8">
      <w:pPr>
        <w:pStyle w:val="Normal"/>
        <w:rPr>
          <w:rFonts w:ascii="Arial Nova" w:hAnsi="Arial Nova" w:eastAsia="Arial Nova" w:cs="Arial Nova"/>
        </w:rPr>
      </w:pPr>
      <w:r w:rsidRPr="08066120" w:rsidR="60118DBE">
        <w:rPr>
          <w:rFonts w:ascii="Arial Nova" w:hAnsi="Arial Nova" w:eastAsia="Arial Nova" w:cs="Arial Nova"/>
        </w:rPr>
        <w:t xml:space="preserve">Oliver, J and Le Moine A. (2020) Dishonesty? Ghosh, Ivey got a surprise for you! (R v Barton). Available at: </w:t>
      </w:r>
      <w:hyperlink r:id="R743065e99eea42b8">
        <w:r w:rsidRPr="08066120" w:rsidR="60118DBE">
          <w:rPr>
            <w:rStyle w:val="Hyperlink"/>
          </w:rPr>
          <w:t>https://www.5sah.co.uk/knowledge-hub/articles/2020-05-18/dishonesty-ghosh-ivey-got-a-surprise-for-you-r-v-barton-john-oliver-and-alexa-le-moine-for-lexis-nexis</w:t>
        </w:r>
      </w:hyperlink>
      <w:r w:rsidRPr="08066120" w:rsidR="50A50FB2">
        <w:rPr>
          <w:rFonts w:ascii="Arial Nova" w:hAnsi="Arial Nova" w:eastAsia="Arial Nova" w:cs="Arial Nova"/>
        </w:rPr>
        <w:t xml:space="preserve"> </w:t>
      </w:r>
      <w:r w:rsidRPr="08066120" w:rsidR="60118DBE">
        <w:rPr>
          <w:rFonts w:ascii="Arial Nova" w:hAnsi="Arial Nova" w:eastAsia="Arial Nova" w:cs="Arial Nova"/>
        </w:rPr>
        <w:t xml:space="preserve"> (Accessed: 2 May 2024).</w:t>
      </w:r>
    </w:p>
    <w:p xmlns:wp14="http://schemas.microsoft.com/office/word/2010/wordml" w:rsidP="08066120" wp14:paraId="0E3C8322" wp14:textId="6C5A24CF">
      <w:pPr>
        <w:pStyle w:val="Normal"/>
        <w:rPr>
          <w:rFonts w:ascii="Arial Nova" w:hAnsi="Arial Nova" w:eastAsia="Arial Nova" w:cs="Arial Nova"/>
        </w:rPr>
      </w:pPr>
    </w:p>
    <w:p xmlns:wp14="http://schemas.microsoft.com/office/word/2010/wordml" w:rsidP="08066120" wp14:paraId="4D54861C" wp14:textId="6CDF9D1F">
      <w:pPr>
        <w:pStyle w:val="Normal"/>
        <w:rPr>
          <w:rFonts w:ascii="Arial Nova" w:hAnsi="Arial Nova" w:eastAsia="Arial Nova" w:cs="Arial Nova"/>
        </w:rPr>
      </w:pPr>
      <w:r w:rsidRPr="08066120" w:rsidR="60118DBE">
        <w:rPr>
          <w:rFonts w:ascii="Arial Nova" w:hAnsi="Arial Nova" w:eastAsia="Arial Nova" w:cs="Arial Nova"/>
        </w:rPr>
        <w:t xml:space="preserve">Criminal </w:t>
      </w:r>
      <w:r w:rsidRPr="08066120" w:rsidR="60118DBE">
        <w:rPr>
          <w:rFonts w:ascii="Arial Nova" w:hAnsi="Arial Nova" w:eastAsia="Arial Nova" w:cs="Arial Nova"/>
        </w:rPr>
        <w:t>Defence</w:t>
      </w:r>
      <w:r w:rsidRPr="08066120" w:rsidR="60118DBE">
        <w:rPr>
          <w:rFonts w:ascii="Arial Nova" w:hAnsi="Arial Nova" w:eastAsia="Arial Nova" w:cs="Arial Nova"/>
        </w:rPr>
        <w:t xml:space="preserve"> Solicitors (2021), The </w:t>
      </w:r>
      <w:r w:rsidRPr="08066120" w:rsidR="60118DBE">
        <w:rPr>
          <w:rFonts w:ascii="Arial Nova" w:hAnsi="Arial Nova" w:eastAsia="Arial Nova" w:cs="Arial Nova"/>
        </w:rPr>
        <w:t>mens</w:t>
      </w:r>
      <w:r w:rsidRPr="08066120" w:rsidR="60118DBE">
        <w:rPr>
          <w:rFonts w:ascii="Arial Nova" w:hAnsi="Arial Nova" w:eastAsia="Arial Nova" w:cs="Arial Nova"/>
        </w:rPr>
        <w:t xml:space="preserve"> rea of the theft act 1968. Available at: </w:t>
      </w:r>
      <w:hyperlink r:id="R10452bd57b1640b6">
        <w:r w:rsidRPr="08066120" w:rsidR="60118DBE">
          <w:rPr>
            <w:rStyle w:val="Hyperlink"/>
          </w:rPr>
          <w:t>https://blog.criminaldefencesolicitors.co.uk/the-mens-rea-of-the-theft-act-1968/</w:t>
        </w:r>
      </w:hyperlink>
      <w:r w:rsidRPr="08066120" w:rsidR="213167DD">
        <w:rPr>
          <w:rFonts w:ascii="Arial Nova" w:hAnsi="Arial Nova" w:eastAsia="Arial Nova" w:cs="Arial Nova"/>
        </w:rPr>
        <w:t xml:space="preserve"> </w:t>
      </w:r>
      <w:r w:rsidRPr="08066120" w:rsidR="60118DBE">
        <w:rPr>
          <w:rFonts w:ascii="Arial Nova" w:hAnsi="Arial Nova" w:eastAsia="Arial Nova" w:cs="Arial Nova"/>
        </w:rPr>
        <w:t xml:space="preserve"> (Accessed: 3 May 2024).</w:t>
      </w:r>
    </w:p>
    <w:p xmlns:wp14="http://schemas.microsoft.com/office/word/2010/wordml" w:rsidP="08066120" wp14:paraId="5303CAA4" wp14:textId="365EFFF7">
      <w:pPr>
        <w:pStyle w:val="Normal"/>
        <w:rPr>
          <w:rFonts w:ascii="Arial Nova" w:hAnsi="Arial Nova" w:eastAsia="Arial Nova" w:cs="Arial Nova"/>
        </w:rPr>
      </w:pPr>
    </w:p>
    <w:p xmlns:wp14="http://schemas.microsoft.com/office/word/2010/wordml" w:rsidP="08066120" wp14:paraId="6E4D0871" wp14:textId="6A8463BF">
      <w:pPr>
        <w:pStyle w:val="Normal"/>
        <w:rPr>
          <w:rFonts w:ascii="Arial Nova" w:hAnsi="Arial Nova" w:eastAsia="Arial Nova" w:cs="Arial Nova"/>
        </w:rPr>
      </w:pPr>
      <w:r w:rsidRPr="08066120" w:rsidR="60118DBE">
        <w:rPr>
          <w:rFonts w:ascii="Arial Nova" w:hAnsi="Arial Nova" w:eastAsia="Arial Nova" w:cs="Arial Nova"/>
        </w:rPr>
        <w:t xml:space="preserve">Crown Prosecution Service (2020), Update: CPS case redefines the legal test for ‘dishonesty’ in criminal law. Available at: </w:t>
      </w:r>
      <w:hyperlink r:id="R284d531cb23d4053">
        <w:r w:rsidRPr="08066120" w:rsidR="60118DBE">
          <w:rPr>
            <w:rStyle w:val="Hyperlink"/>
          </w:rPr>
          <w:t>https://www.cps.gov.uk/cps/news/update-cps-case-redefines-legal-test-dishonesty-criminal-law</w:t>
        </w:r>
      </w:hyperlink>
      <w:r w:rsidRPr="08066120" w:rsidR="355FDD22">
        <w:rPr>
          <w:rFonts w:ascii="Arial Nova" w:hAnsi="Arial Nova" w:eastAsia="Arial Nova" w:cs="Arial Nova"/>
        </w:rPr>
        <w:t xml:space="preserve">  </w:t>
      </w:r>
      <w:r w:rsidRPr="08066120" w:rsidR="60118DBE">
        <w:rPr>
          <w:rFonts w:ascii="Arial Nova" w:hAnsi="Arial Nova" w:eastAsia="Arial Nova" w:cs="Arial Nova"/>
        </w:rPr>
        <w:t>(Accessed: 3 May 2024).</w:t>
      </w:r>
    </w:p>
    <w:p xmlns:wp14="http://schemas.microsoft.com/office/word/2010/wordml" w:rsidP="08066120" wp14:paraId="4C9562A4" wp14:textId="6AABA671">
      <w:pPr>
        <w:pStyle w:val="Normal"/>
        <w:rPr>
          <w:rFonts w:ascii="Arial Nova" w:hAnsi="Arial Nova" w:eastAsia="Arial Nova" w:cs="Arial Nova"/>
        </w:rPr>
      </w:pPr>
    </w:p>
    <w:p xmlns:wp14="http://schemas.microsoft.com/office/word/2010/wordml" w:rsidP="08066120" wp14:paraId="628938BC" wp14:textId="069B8CA0">
      <w:pPr>
        <w:pStyle w:val="Normal"/>
        <w:rPr>
          <w:rFonts w:ascii="Arial Nova" w:hAnsi="Arial Nova" w:eastAsia="Arial Nova" w:cs="Arial Nova"/>
        </w:rPr>
      </w:pPr>
      <w:r w:rsidRPr="08066120" w:rsidR="60118DBE">
        <w:rPr>
          <w:rFonts w:ascii="Arial Nova" w:hAnsi="Arial Nova" w:eastAsia="Arial Nova" w:cs="Arial Nova"/>
        </w:rPr>
        <w:t xml:space="preserve">University of Oxford (2022) Is Theft Dishonest? Available at: </w:t>
      </w:r>
      <w:hyperlink r:id="Re503a69364a84b10">
        <w:r w:rsidRPr="08066120" w:rsidR="60118DBE">
          <w:rPr>
            <w:rStyle w:val="Hyperlink"/>
          </w:rPr>
          <w:t>https://www.law.ox.ac.uk/content/event/theft-dishonest</w:t>
        </w:r>
      </w:hyperlink>
      <w:r w:rsidRPr="08066120" w:rsidR="14CA3BF3">
        <w:rPr>
          <w:rFonts w:ascii="Arial Nova" w:hAnsi="Arial Nova" w:eastAsia="Arial Nova" w:cs="Arial Nova"/>
        </w:rPr>
        <w:t xml:space="preserve"> </w:t>
      </w:r>
      <w:r w:rsidRPr="08066120" w:rsidR="60118DBE">
        <w:rPr>
          <w:rFonts w:ascii="Arial Nova" w:hAnsi="Arial Nova" w:eastAsia="Arial Nova" w:cs="Arial Nova"/>
        </w:rPr>
        <w:t xml:space="preserve"> (Accessed: 2 May 2024).</w:t>
      </w:r>
    </w:p>
    <w:p xmlns:wp14="http://schemas.microsoft.com/office/word/2010/wordml" w:rsidP="08066120" wp14:paraId="48029F71" wp14:textId="6F603B6B">
      <w:pPr>
        <w:pStyle w:val="Normal"/>
        <w:rPr>
          <w:rFonts w:ascii="Arial Nova" w:hAnsi="Arial Nova" w:eastAsia="Arial Nova" w:cs="Arial Nova"/>
        </w:rPr>
      </w:pPr>
    </w:p>
    <w:p xmlns:wp14="http://schemas.microsoft.com/office/word/2010/wordml" w:rsidP="08066120" wp14:paraId="604E4E8F" wp14:textId="2E6DFF7E">
      <w:pPr>
        <w:pStyle w:val="Normal"/>
        <w:rPr>
          <w:rFonts w:ascii="Arial Nova" w:hAnsi="Arial Nova" w:eastAsia="Arial Nova" w:cs="Arial Nova"/>
        </w:rPr>
      </w:pPr>
      <w:r w:rsidRPr="08066120" w:rsidR="60118DBE">
        <w:rPr>
          <w:rFonts w:ascii="Arial Nova" w:hAnsi="Arial Nova" w:eastAsia="Arial Nova" w:cs="Arial Nova"/>
        </w:rPr>
        <w:t>University of Exeter (2020</w:t>
      </w:r>
      <w:r w:rsidRPr="08066120" w:rsidR="60118DBE">
        <w:rPr>
          <w:rFonts w:ascii="Arial Nova" w:hAnsi="Arial Nova" w:eastAsia="Arial Nova" w:cs="Arial Nova"/>
        </w:rPr>
        <w:t>) Theft</w:t>
      </w:r>
      <w:r w:rsidRPr="08066120" w:rsidR="60118DBE">
        <w:rPr>
          <w:rFonts w:ascii="Arial Nova" w:hAnsi="Arial Nova" w:eastAsia="Arial Nova" w:cs="Arial Nova"/>
        </w:rPr>
        <w:t xml:space="preserve"> law needs reform to reduce the risk of judgements which lack “common sense”, new study warns. Available at: </w:t>
      </w:r>
      <w:hyperlink r:id="R448d2fce29774c1d">
        <w:r w:rsidRPr="08066120" w:rsidR="60118DBE">
          <w:rPr>
            <w:rStyle w:val="Hyperlink"/>
          </w:rPr>
          <w:t>https://news-archive.exeter.ac.uk/research/2020/articles/theftlawneedsreformtoredu.html</w:t>
        </w:r>
      </w:hyperlink>
      <w:r w:rsidRPr="08066120" w:rsidR="5ADC53F7">
        <w:rPr>
          <w:rFonts w:ascii="Arial Nova" w:hAnsi="Arial Nova" w:eastAsia="Arial Nova" w:cs="Arial Nova"/>
        </w:rPr>
        <w:t xml:space="preserve"> </w:t>
      </w:r>
      <w:r w:rsidRPr="08066120" w:rsidR="60118DBE">
        <w:rPr>
          <w:rFonts w:ascii="Arial Nova" w:hAnsi="Arial Nova" w:eastAsia="Arial Nova" w:cs="Arial Nova"/>
        </w:rPr>
        <w:t xml:space="preserve"> (Accessed: 2 May 2024).</w:t>
      </w:r>
    </w:p>
    <w:p xmlns:wp14="http://schemas.microsoft.com/office/word/2010/wordml" w:rsidP="08066120" wp14:paraId="106513ED" wp14:textId="22E5829E">
      <w:pPr>
        <w:pStyle w:val="Normal"/>
        <w:rPr>
          <w:rFonts w:ascii="Arial Nova" w:hAnsi="Arial Nova" w:eastAsia="Arial Nova" w:cs="Arial Nova"/>
        </w:rPr>
      </w:pPr>
    </w:p>
    <w:p xmlns:wp14="http://schemas.microsoft.com/office/word/2010/wordml" w:rsidP="08066120" wp14:paraId="2C078E63" wp14:textId="7A924210">
      <w:pPr>
        <w:pStyle w:val="Normal"/>
        <w:rPr>
          <w:rFonts w:ascii="Arial Nova" w:hAnsi="Arial Nova" w:eastAsia="Arial Nova" w:cs="Arial Nova"/>
        </w:rPr>
      </w:pPr>
      <w:r w:rsidRPr="08066120" w:rsidR="60118DBE">
        <w:rPr>
          <w:rFonts w:ascii="Arial Nova" w:hAnsi="Arial Nova" w:eastAsia="Arial Nova" w:cs="Arial Nova"/>
        </w:rPr>
        <w:t xml:space="preserve">Sperman, R (2024) Ivey v Genting and dishonesty - new down or false horizon? Available at: </w:t>
      </w:r>
      <w:hyperlink r:id="Rabb2a44633b441e8">
        <w:r w:rsidRPr="08066120" w:rsidR="60118DBE">
          <w:rPr>
            <w:rStyle w:val="Hyperlink"/>
          </w:rPr>
          <w:t>https://www.39essex.com/sites/default/files/ChBA-Powerpoint-Ivey-talk-v2.pdf</w:t>
        </w:r>
      </w:hyperlink>
      <w:r w:rsidRPr="08066120" w:rsidR="60118DBE">
        <w:rPr>
          <w:rFonts w:ascii="Arial Nova" w:hAnsi="Arial Nova" w:eastAsia="Arial Nova" w:cs="Arial Nova"/>
        </w:rPr>
        <w:t xml:space="preserve"> </w:t>
      </w:r>
      <w:r w:rsidRPr="08066120" w:rsidR="41D69EC7">
        <w:rPr>
          <w:rFonts w:ascii="Arial Nova" w:hAnsi="Arial Nova" w:eastAsia="Arial Nova" w:cs="Arial Nova"/>
        </w:rPr>
        <w:t xml:space="preserve"> </w:t>
      </w:r>
      <w:r w:rsidRPr="08066120" w:rsidR="60118DBE">
        <w:rPr>
          <w:rFonts w:ascii="Arial Nova" w:hAnsi="Arial Nova" w:eastAsia="Arial Nova" w:cs="Arial Nova"/>
        </w:rPr>
        <w:t>(Accessed; 3 May 2024).</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rSXK2SyMGjO4fR" int2:id="Cnncsiwi">
      <int2:state int2:type="AugLoop_Text_Critique" int2:value="Rejected"/>
    </int2:textHash>
    <int2:textHash int2:hashCode="IknMeE5XC/atct" int2:id="GbVnWmje">
      <int2:state int2:type="AugLoop_Text_Critique" int2:value="Rejected"/>
    </int2:textHash>
    <int2:textHash int2:hashCode="kl129sLlvkmJsd" int2:id="c7xerJcB">
      <int2:state int2:type="AugLoop_Text_Critique" int2:value="Rejected"/>
    </int2:textHash>
    <int2:textHash int2:hashCode="NT12h6See3qwhk" int2:id="B1Udypf8">
      <int2:state int2:type="AugLoop_Text_Critique" int2:value="Rejected"/>
    </int2:textHash>
    <int2:textHash int2:hashCode="h2ZLnwvAAnAoXr" int2:id="4yni5LRu">
      <int2:state int2:type="AugLoop_Text_Critique" int2:value="Rejected"/>
    </int2:textHash>
    <int2:textHash int2:hashCode="959h6AdeH2NhqH" int2:id="JOQIdXGY">
      <int2:state int2:type="AugLoop_Text_Critique" int2:value="Rejected"/>
    </int2:textHash>
    <int2:textHash int2:hashCode="44Ueu7tVZgLzhz" int2:id="Nnp5Gdm2">
      <int2:state int2:type="AugLoop_Text_Critique" int2:value="Rejected"/>
    </int2:textHash>
    <int2:textHash int2:hashCode="v3jXqOAVqWKVSe" int2:id="7cxqOwR5">
      <int2:state int2:type="AugLoop_Text_Critique" int2:value="Rejected"/>
    </int2:textHash>
    <int2:textHash int2:hashCode="jf+rJqVlrR1FG/" int2:id="KmLt2q1n">
      <int2:state int2:type="AugLoop_Text_Critique" int2:value="Rejected"/>
    </int2:textHash>
    <int2:textHash int2:hashCode="X9vN9HPhqUzyGw" int2:id="6Z0rvcbA">
      <int2:state int2:type="AugLoop_Text_Critique" int2:value="Rejected"/>
    </int2:textHash>
    <int2:textHash int2:hashCode="lkvfJgBbN7c2S5" int2:id="SrQ0eJBQ">
      <int2:state int2:type="AugLoop_Text_Critique" int2:value="Rejected"/>
    </int2:textHash>
    <int2:textHash int2:hashCode="8EbYfW9zI8jdWb" int2:id="lusN3n3v">
      <int2:state int2:type="AugLoop_Text_Critique" int2:value="Rejected"/>
    </int2:textHash>
    <int2:textHash int2:hashCode="K6+VKXgqkDlz+i" int2:id="ulJPOIfB">
      <int2:state int2:type="AugLoop_Text_Critique" int2:value="Rejected"/>
    </int2:textHash>
    <int2:textHash int2:hashCode="YSTJgoaO5iBiQc" int2:id="mSLK6Rit">
      <int2:state int2:type="AugLoop_Text_Critique" int2:value="Rejected"/>
    </int2:textHash>
    <int2:textHash int2:hashCode="pP8uEHkNeM+WUc" int2:id="gZUfJdLP">
      <int2:state int2:type="AugLoop_Text_Critique" int2:value="Rejected"/>
    </int2:textHash>
    <int2:textHash int2:hashCode="wtKSqYmrO8qHMS" int2:id="7GYlwL9q">
      <int2:state int2:type="AugLoop_Text_Critique" int2:value="Rejected"/>
    </int2:textHash>
    <int2:textHash int2:hashCode="ypnpCXlvsG9C54" int2:id="UlP5aEIt">
      <int2:state int2:type="AugLoop_Text_Critique" int2:value="Rejected"/>
    </int2:textHash>
    <int2:bookmark int2:bookmarkName="_Int_jAoT6GFF" int2:invalidationBookmarkName="" int2:hashCode="t9YHA+/Ts8M0Uh" int2:id="KShZ77Gd">
      <int2:state int2:type="AugLoop_Text_Critique" int2:value="Rejected"/>
    </int2:bookmark>
    <int2:bookmark int2:bookmarkName="_Int_qefYyrnL" int2:invalidationBookmarkName="" int2:hashCode="P7cqJ6EfBgfVVb" int2:id="fr4ZCOGg">
      <int2:state int2:type="AugLoop_Text_Critique" int2:value="Rejected"/>
    </int2:bookmark>
    <int2:bookmark int2:bookmarkName="_Int_Zos3hTNL" int2:invalidationBookmarkName="" int2:hashCode="l67PHEsaKonRNo" int2:id="hGgfreYr">
      <int2:state int2:type="AugLoop_Text_Critique" int2:value="Rejected"/>
    </int2:bookmark>
    <int2:bookmark int2:bookmarkName="_Int_DrmBVl9o" int2:invalidationBookmarkName="" int2:hashCode="JsDKeT6PcHTT+M" int2:id="wmI7geUC">
      <int2:state int2:type="AugLoop_Text_Critique" int2:value="Rejected"/>
    </int2:bookmark>
    <int2:bookmark int2:bookmarkName="_Int_nUA8yKtB" int2:invalidationBookmarkName="" int2:hashCode="tH82PitDDAZH8U" int2:id="mqNJZkTz">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487F79F"/>
    <w:rsid w:val="02835CA5"/>
    <w:rsid w:val="0451548D"/>
    <w:rsid w:val="08066120"/>
    <w:rsid w:val="0864FF54"/>
    <w:rsid w:val="0ABCA58C"/>
    <w:rsid w:val="0B89B868"/>
    <w:rsid w:val="0D5E9603"/>
    <w:rsid w:val="0FD3D263"/>
    <w:rsid w:val="13DFB43B"/>
    <w:rsid w:val="13EB11CE"/>
    <w:rsid w:val="143712BF"/>
    <w:rsid w:val="14CA3BF3"/>
    <w:rsid w:val="1EA50BC4"/>
    <w:rsid w:val="21070D33"/>
    <w:rsid w:val="213167DD"/>
    <w:rsid w:val="2451B58F"/>
    <w:rsid w:val="2487F79F"/>
    <w:rsid w:val="2700460E"/>
    <w:rsid w:val="27F8D22F"/>
    <w:rsid w:val="28102936"/>
    <w:rsid w:val="2CE3188A"/>
    <w:rsid w:val="318CAED0"/>
    <w:rsid w:val="33FEF418"/>
    <w:rsid w:val="355FDD22"/>
    <w:rsid w:val="37A5B24B"/>
    <w:rsid w:val="38AC07DA"/>
    <w:rsid w:val="3DA13E8F"/>
    <w:rsid w:val="3F2724A4"/>
    <w:rsid w:val="4022C2B1"/>
    <w:rsid w:val="41D69EC7"/>
    <w:rsid w:val="439AA1AA"/>
    <w:rsid w:val="46E372B5"/>
    <w:rsid w:val="4703849C"/>
    <w:rsid w:val="4A5F9257"/>
    <w:rsid w:val="4E0ED397"/>
    <w:rsid w:val="4E65062C"/>
    <w:rsid w:val="4F88C268"/>
    <w:rsid w:val="50A50FB2"/>
    <w:rsid w:val="512A33A1"/>
    <w:rsid w:val="56588475"/>
    <w:rsid w:val="582A3714"/>
    <w:rsid w:val="59576B2D"/>
    <w:rsid w:val="5ADC53F7"/>
    <w:rsid w:val="5E803805"/>
    <w:rsid w:val="5F1237A8"/>
    <w:rsid w:val="60118DBE"/>
    <w:rsid w:val="61B225F1"/>
    <w:rsid w:val="645160F9"/>
    <w:rsid w:val="64E3DDB7"/>
    <w:rsid w:val="651D5FF3"/>
    <w:rsid w:val="659FE447"/>
    <w:rsid w:val="6812E9BD"/>
    <w:rsid w:val="6B9BBC1A"/>
    <w:rsid w:val="6BC85773"/>
    <w:rsid w:val="6CDFF335"/>
    <w:rsid w:val="6D959216"/>
    <w:rsid w:val="7097B8B3"/>
    <w:rsid w:val="75A8F5DD"/>
    <w:rsid w:val="76CBDE15"/>
    <w:rsid w:val="7805B060"/>
    <w:rsid w:val="79AE10A5"/>
    <w:rsid w:val="7B7316C2"/>
    <w:rsid w:val="7D9B5C8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87F79F"/>
  <w15:chartTrackingRefBased/>
  <w15:docId w15:val="{7A5C2B1C-33C4-4B55-9036-23A5E074679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legislation.gov.uk/ukpga/1968/60/section/1" TargetMode="External" Id="R6d63a6a34c8e4f1a" /><Relationship Type="http://schemas.openxmlformats.org/officeDocument/2006/relationships/hyperlink" Target="https://www.legislation.gov.uk/ukpga/1968/60/section/2" TargetMode="External" Id="R309564471f674c2f" /><Relationship Type="http://schemas.openxmlformats.org/officeDocument/2006/relationships/hyperlink" Target="https://www.oxfordreference.com/display/10.1093/acref/9780198802525.001.0001/acref-9780198802525-e-80" TargetMode="External" Id="R3cc4f0165edb4845" /><Relationship Type="http://schemas.openxmlformats.org/officeDocument/2006/relationships/hyperlink" Target="https://www.london.ac.uk/sites/default/files/study-guides/criminal-law-study-guide.pdf" TargetMode="External" Id="Rc42cbe94d0234754" /><Relationship Type="http://schemas.openxmlformats.org/officeDocument/2006/relationships/hyperlink" Target="https://www.e-lawresources.co.uk/R-v-Ghosh.php" TargetMode="External" Id="Rc581f5f7b6874bdb" /><Relationship Type="http://schemas.openxmlformats.org/officeDocument/2006/relationships/hyperlink" Target="https://www.linklaters.com/en/insights/blogs/businesscrimelinks/2020/july/test-for-dishonesty-under-english-law-confirmed-a-tale-of-three-cases" TargetMode="External" Id="R0faa333ed6cb4d76" /><Relationship Type="http://schemas.openxmlformats.org/officeDocument/2006/relationships/hyperlink" Target="https://www.5sah.co.uk/knowledge-hub/articles/2020-05-18/dishonesty-ghosh-ivey-got-a-surprise-for-you-r-v-barton-john-oliver-and-alexa-le-moine-for-lexis-nexis" TargetMode="External" Id="R743065e99eea42b8" /><Relationship Type="http://schemas.openxmlformats.org/officeDocument/2006/relationships/hyperlink" Target="https://blog.criminaldefencesolicitors.co.uk/the-mens-rea-of-the-theft-act-1968/" TargetMode="External" Id="R10452bd57b1640b6" /><Relationship Type="http://schemas.openxmlformats.org/officeDocument/2006/relationships/hyperlink" Target="https://www.cps.gov.uk/cps/news/update-cps-case-redefines-legal-test-dishonesty-criminal-law" TargetMode="External" Id="R284d531cb23d4053" /><Relationship Type="http://schemas.openxmlformats.org/officeDocument/2006/relationships/hyperlink" Target="https://www.law.ox.ac.uk/content/event/theft-dishonest" TargetMode="External" Id="Re503a69364a84b10" /><Relationship Type="http://schemas.openxmlformats.org/officeDocument/2006/relationships/hyperlink" Target="https://news-archive.exeter.ac.uk/research/2020/articles/theftlawneedsreformtoredu.html" TargetMode="External" Id="R448d2fce29774c1d" /><Relationship Type="http://schemas.openxmlformats.org/officeDocument/2006/relationships/hyperlink" Target="https://www.39essex.com/sites/default/files/ChBA-Powerpoint-Ivey-talk-v2.pdf" TargetMode="External" Id="Rabb2a44633b441e8" /><Relationship Type="http://schemas.microsoft.com/office/2020/10/relationships/intelligence" Target="intelligence2.xml" Id="Rb0d94ce3152d4441"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2024-05-03T13:24:34.1932074Z</dcterms:created>
  <dcterms:modified xsi:type="dcterms:W3CDTF">2024-05-03T13:53:54.7485128Z</dcterms:modified>
  <dc:creator>Serkan Sayiner (1816794)</dc:creator>
  <lastModifiedBy>Serkan Sayiner (1816794)</lastModifiedBy>
</coreProperties>
</file>