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0630F" w14:textId="26000997" w:rsidR="00915596" w:rsidRDefault="00D45EB5" w:rsidP="00566CC6">
      <w:pPr>
        <w:rPr>
          <w:rFonts w:ascii="Arial" w:hAnsi="Arial" w:cs="Arial"/>
          <w:b/>
          <w:bCs/>
        </w:rPr>
      </w:pPr>
      <w:r w:rsidRPr="00A406E5">
        <w:rPr>
          <w:rFonts w:ascii="Arial" w:hAnsi="Arial" w:cs="Arial"/>
          <w:noProof/>
        </w:rPr>
        <w:drawing>
          <wp:anchor distT="0" distB="0" distL="114300" distR="114300" simplePos="0" relativeHeight="251659264" behindDoc="0" locked="0" layoutInCell="1" allowOverlap="1" wp14:anchorId="6A7CB49A" wp14:editId="0B86FD58">
            <wp:simplePos x="0" y="0"/>
            <wp:positionH relativeFrom="column">
              <wp:posOffset>-658295</wp:posOffset>
            </wp:positionH>
            <wp:positionV relativeFrom="paragraph">
              <wp:posOffset>67</wp:posOffset>
            </wp:positionV>
            <wp:extent cx="2860675" cy="141859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860675" cy="1418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772CA7" w14:textId="77777777" w:rsidR="00915596" w:rsidRDefault="00915596" w:rsidP="00566CC6">
      <w:pPr>
        <w:rPr>
          <w:rFonts w:ascii="Arial" w:hAnsi="Arial" w:cs="Arial"/>
          <w:b/>
          <w:bCs/>
        </w:rPr>
      </w:pPr>
    </w:p>
    <w:p w14:paraId="1E8F1021" w14:textId="77777777" w:rsidR="009806C2" w:rsidRDefault="009806C2" w:rsidP="00553EA8">
      <w:pPr>
        <w:spacing w:line="480" w:lineRule="auto"/>
        <w:jc w:val="center"/>
        <w:rPr>
          <w:rFonts w:ascii="Arial" w:hAnsi="Arial" w:cs="Arial"/>
          <w:b/>
          <w:bCs/>
          <w:sz w:val="56"/>
          <w:szCs w:val="56"/>
          <w:lang w:val="en-US"/>
        </w:rPr>
      </w:pPr>
    </w:p>
    <w:p w14:paraId="1E28D0E2" w14:textId="77777777" w:rsidR="009806C2" w:rsidRDefault="009806C2" w:rsidP="00553EA8">
      <w:pPr>
        <w:spacing w:line="480" w:lineRule="auto"/>
        <w:jc w:val="center"/>
        <w:rPr>
          <w:rFonts w:ascii="Arial" w:hAnsi="Arial" w:cs="Arial"/>
          <w:b/>
          <w:bCs/>
          <w:sz w:val="56"/>
          <w:szCs w:val="56"/>
          <w:lang w:val="en-US"/>
        </w:rPr>
      </w:pPr>
    </w:p>
    <w:p w14:paraId="10245F82" w14:textId="716A82CC" w:rsidR="00BB55E5" w:rsidRPr="003D168C" w:rsidRDefault="00915596" w:rsidP="00553EA8">
      <w:pPr>
        <w:spacing w:line="480" w:lineRule="auto"/>
        <w:jc w:val="center"/>
        <w:rPr>
          <w:rFonts w:ascii="Arial" w:hAnsi="Arial" w:cs="Arial"/>
          <w:b/>
          <w:bCs/>
          <w:sz w:val="56"/>
          <w:szCs w:val="56"/>
        </w:rPr>
      </w:pPr>
      <w:r w:rsidRPr="003D168C">
        <w:rPr>
          <w:rFonts w:ascii="Arial" w:hAnsi="Arial" w:cs="Arial"/>
          <w:b/>
          <w:bCs/>
          <w:sz w:val="56"/>
          <w:szCs w:val="56"/>
          <w:lang w:val="en-US"/>
        </w:rPr>
        <w:t>Digital Transformation in Health and Care Professions</w:t>
      </w:r>
      <w:r w:rsidRPr="003D168C">
        <w:rPr>
          <w:rFonts w:ascii="Arial" w:hAnsi="Arial" w:cs="Arial"/>
          <w:b/>
          <w:bCs/>
          <w:sz w:val="56"/>
          <w:szCs w:val="56"/>
          <w:lang w:val="en-US"/>
        </w:rPr>
        <w:br/>
        <w:t>BMHP6026</w:t>
      </w:r>
      <w:r w:rsidRPr="003D168C">
        <w:rPr>
          <w:rFonts w:ascii="Arial" w:hAnsi="Arial" w:cs="Arial"/>
          <w:b/>
          <w:bCs/>
          <w:sz w:val="56"/>
          <w:szCs w:val="56"/>
          <w:lang w:val="en-US"/>
        </w:rPr>
        <w:br/>
        <w:t>Student name BAIDAR BEGUM</w:t>
      </w:r>
      <w:r w:rsidRPr="003D168C">
        <w:rPr>
          <w:rFonts w:ascii="Arial" w:hAnsi="Arial" w:cs="Arial"/>
          <w:b/>
          <w:bCs/>
          <w:sz w:val="56"/>
          <w:szCs w:val="56"/>
          <w:lang w:val="en-US"/>
        </w:rPr>
        <w:br/>
        <w:t>student number 2318995</w:t>
      </w:r>
      <w:r w:rsidRPr="003D168C">
        <w:rPr>
          <w:rFonts w:ascii="Arial" w:hAnsi="Arial" w:cs="Arial"/>
          <w:b/>
          <w:bCs/>
          <w:sz w:val="56"/>
          <w:szCs w:val="56"/>
          <w:lang w:val="en-US"/>
        </w:rPr>
        <w:br/>
        <w:t>Lecturer Joanne Davies</w:t>
      </w:r>
    </w:p>
    <w:p w14:paraId="27CEFB4F" w14:textId="77777777" w:rsidR="006F0F7E" w:rsidRPr="003D168C" w:rsidRDefault="006F0F7E" w:rsidP="000E50F9">
      <w:pPr>
        <w:jc w:val="both"/>
        <w:rPr>
          <w:rFonts w:ascii="Arial" w:hAnsi="Arial" w:cs="Arial"/>
          <w:b/>
          <w:bCs/>
          <w:sz w:val="56"/>
          <w:szCs w:val="56"/>
        </w:rPr>
      </w:pPr>
    </w:p>
    <w:p w14:paraId="732281C4" w14:textId="77777777" w:rsidR="006F0F7E" w:rsidRPr="005E120E" w:rsidRDefault="006F0F7E" w:rsidP="00AC3A51">
      <w:pPr>
        <w:jc w:val="center"/>
        <w:rPr>
          <w:rFonts w:ascii="Arial" w:hAnsi="Arial" w:cs="Arial"/>
          <w:b/>
          <w:bCs/>
          <w:sz w:val="32"/>
          <w:szCs w:val="32"/>
        </w:rPr>
      </w:pPr>
    </w:p>
    <w:p w14:paraId="4ADB8AD8" w14:textId="77777777" w:rsidR="00696D5A" w:rsidRDefault="00696D5A" w:rsidP="00AC3A51">
      <w:pPr>
        <w:jc w:val="center"/>
        <w:rPr>
          <w:rFonts w:ascii="Arial" w:hAnsi="Arial" w:cs="Arial"/>
          <w:b/>
          <w:bCs/>
          <w:sz w:val="32"/>
          <w:szCs w:val="32"/>
        </w:rPr>
      </w:pPr>
    </w:p>
    <w:p w14:paraId="0519B7B7" w14:textId="77777777" w:rsidR="00696D5A" w:rsidRDefault="00696D5A" w:rsidP="00AC3A51">
      <w:pPr>
        <w:jc w:val="center"/>
        <w:rPr>
          <w:rFonts w:ascii="Arial" w:hAnsi="Arial" w:cs="Arial"/>
          <w:b/>
          <w:bCs/>
          <w:sz w:val="32"/>
          <w:szCs w:val="32"/>
        </w:rPr>
      </w:pPr>
    </w:p>
    <w:p w14:paraId="5E943C64" w14:textId="77777777" w:rsidR="00696D5A" w:rsidRDefault="00696D5A" w:rsidP="00AC3A51">
      <w:pPr>
        <w:jc w:val="center"/>
        <w:rPr>
          <w:rFonts w:ascii="Arial" w:hAnsi="Arial" w:cs="Arial"/>
          <w:b/>
          <w:bCs/>
          <w:sz w:val="32"/>
          <w:szCs w:val="32"/>
        </w:rPr>
      </w:pPr>
    </w:p>
    <w:p w14:paraId="115D46DA" w14:textId="77777777" w:rsidR="00696D5A" w:rsidRDefault="00696D5A" w:rsidP="00AC3A51">
      <w:pPr>
        <w:jc w:val="center"/>
        <w:rPr>
          <w:rFonts w:ascii="Arial" w:hAnsi="Arial" w:cs="Arial"/>
          <w:b/>
          <w:bCs/>
          <w:sz w:val="32"/>
          <w:szCs w:val="32"/>
        </w:rPr>
      </w:pPr>
    </w:p>
    <w:p w14:paraId="6E26C3AC" w14:textId="77777777" w:rsidR="00696D5A" w:rsidRDefault="00696D5A" w:rsidP="00AC3A51">
      <w:pPr>
        <w:jc w:val="center"/>
        <w:rPr>
          <w:rFonts w:ascii="Arial" w:hAnsi="Arial" w:cs="Arial"/>
          <w:b/>
          <w:bCs/>
          <w:sz w:val="32"/>
          <w:szCs w:val="32"/>
        </w:rPr>
      </w:pPr>
    </w:p>
    <w:p w14:paraId="505502B4" w14:textId="77777777" w:rsidR="00696D5A" w:rsidRDefault="00696D5A" w:rsidP="00AC3A51">
      <w:pPr>
        <w:jc w:val="center"/>
        <w:rPr>
          <w:rFonts w:ascii="Arial" w:hAnsi="Arial" w:cs="Arial"/>
          <w:b/>
          <w:bCs/>
          <w:sz w:val="32"/>
          <w:szCs w:val="32"/>
        </w:rPr>
      </w:pPr>
    </w:p>
    <w:p w14:paraId="341DCD5C" w14:textId="77777777" w:rsidR="00696D5A" w:rsidRDefault="00696D5A" w:rsidP="00AC3A51">
      <w:pPr>
        <w:jc w:val="center"/>
        <w:rPr>
          <w:rFonts w:ascii="Arial" w:hAnsi="Arial" w:cs="Arial"/>
          <w:b/>
          <w:bCs/>
          <w:sz w:val="32"/>
          <w:szCs w:val="32"/>
        </w:rPr>
      </w:pPr>
    </w:p>
    <w:p w14:paraId="2B6A150C" w14:textId="2CB2EA3B" w:rsidR="006F0F7E" w:rsidRPr="006F0F7E" w:rsidRDefault="00921631" w:rsidP="00921631">
      <w:pPr>
        <w:rPr>
          <w:rFonts w:ascii="Arial" w:hAnsi="Arial" w:cs="Arial"/>
          <w:b/>
          <w:bCs/>
          <w:sz w:val="32"/>
          <w:szCs w:val="32"/>
        </w:rPr>
      </w:pPr>
      <w:r>
        <w:rPr>
          <w:rFonts w:ascii="Arial" w:hAnsi="Arial" w:cs="Arial"/>
          <w:b/>
          <w:bCs/>
          <w:sz w:val="32"/>
          <w:szCs w:val="32"/>
        </w:rPr>
        <w:t xml:space="preserve">                                           </w:t>
      </w:r>
      <w:r w:rsidR="006F0F7E" w:rsidRPr="006F0F7E">
        <w:rPr>
          <w:rFonts w:ascii="Arial" w:hAnsi="Arial" w:cs="Arial"/>
          <w:b/>
          <w:bCs/>
          <w:sz w:val="32"/>
          <w:szCs w:val="32"/>
        </w:rPr>
        <w:t>Contents</w:t>
      </w:r>
    </w:p>
    <w:tbl>
      <w:tblPr>
        <w:tblW w:w="11280" w:type="dxa"/>
        <w:tblCellMar>
          <w:top w:w="15" w:type="dxa"/>
          <w:left w:w="15" w:type="dxa"/>
          <w:bottom w:w="15" w:type="dxa"/>
          <w:right w:w="15" w:type="dxa"/>
        </w:tblCellMar>
        <w:tblLook w:val="04A0" w:firstRow="1" w:lastRow="0" w:firstColumn="1" w:lastColumn="0" w:noHBand="0" w:noVBand="1"/>
      </w:tblPr>
      <w:tblGrid>
        <w:gridCol w:w="10757"/>
        <w:gridCol w:w="523"/>
      </w:tblGrid>
      <w:tr w:rsidR="005E0B91" w:rsidRPr="005E120E" w14:paraId="14C9F81F" w14:textId="77777777">
        <w:trPr>
          <w:tblHeader/>
        </w:trPr>
        <w:tc>
          <w:tcPr>
            <w:tcW w:w="0" w:type="auto"/>
            <w:tcBorders>
              <w:top w:val="nil"/>
            </w:tcBorders>
            <w:tcMar>
              <w:top w:w="150" w:type="dxa"/>
              <w:left w:w="0" w:type="dxa"/>
              <w:bottom w:w="150" w:type="dxa"/>
              <w:right w:w="240" w:type="dxa"/>
            </w:tcMar>
            <w:vAlign w:val="center"/>
            <w:hideMark/>
          </w:tcPr>
          <w:p w14:paraId="1FB6257C" w14:textId="48B59C1B" w:rsidR="006F0F7E" w:rsidRPr="006F0F7E" w:rsidRDefault="006F0F7E" w:rsidP="005E120E">
            <w:pPr>
              <w:rPr>
                <w:rFonts w:ascii="Arial" w:hAnsi="Arial" w:cs="Arial"/>
                <w:b/>
                <w:bCs/>
                <w:sz w:val="32"/>
                <w:szCs w:val="32"/>
              </w:rPr>
            </w:pPr>
            <w:r w:rsidRPr="006F0F7E">
              <w:rPr>
                <w:rFonts w:ascii="Arial" w:hAnsi="Arial" w:cs="Arial"/>
                <w:b/>
                <w:bCs/>
                <w:sz w:val="32"/>
                <w:szCs w:val="32"/>
              </w:rPr>
              <w:t>Section</w:t>
            </w:r>
            <w:r w:rsidR="005E0B91" w:rsidRPr="005E120E">
              <w:rPr>
                <w:rFonts w:ascii="Arial" w:hAnsi="Arial" w:cs="Arial"/>
                <w:b/>
                <w:bCs/>
                <w:sz w:val="32"/>
                <w:szCs w:val="32"/>
              </w:rPr>
              <w:t>……………………………………………………………</w:t>
            </w:r>
            <w:r w:rsidR="00AC3A51" w:rsidRPr="005E120E">
              <w:rPr>
                <w:rFonts w:ascii="Arial" w:hAnsi="Arial" w:cs="Arial"/>
                <w:b/>
                <w:bCs/>
                <w:sz w:val="32"/>
                <w:szCs w:val="32"/>
              </w:rPr>
              <w:t>…. page</w:t>
            </w:r>
          </w:p>
        </w:tc>
        <w:tc>
          <w:tcPr>
            <w:tcW w:w="0" w:type="auto"/>
            <w:tcBorders>
              <w:top w:val="nil"/>
            </w:tcBorders>
            <w:tcMar>
              <w:top w:w="150" w:type="dxa"/>
              <w:left w:w="240" w:type="dxa"/>
              <w:bottom w:w="150" w:type="dxa"/>
              <w:right w:w="240" w:type="dxa"/>
            </w:tcMar>
            <w:vAlign w:val="center"/>
            <w:hideMark/>
          </w:tcPr>
          <w:p w14:paraId="29C8BB66" w14:textId="18F74AC9" w:rsidR="006F0F7E" w:rsidRPr="006F0F7E" w:rsidRDefault="006F0F7E" w:rsidP="00AC3A51">
            <w:pPr>
              <w:jc w:val="center"/>
              <w:rPr>
                <w:rFonts w:ascii="Arial" w:hAnsi="Arial" w:cs="Arial"/>
                <w:b/>
                <w:bCs/>
                <w:sz w:val="32"/>
                <w:szCs w:val="32"/>
              </w:rPr>
            </w:pPr>
          </w:p>
        </w:tc>
      </w:tr>
      <w:tr w:rsidR="005E0B91" w:rsidRPr="005E120E" w14:paraId="294DB753" w14:textId="77777777">
        <w:tc>
          <w:tcPr>
            <w:tcW w:w="0" w:type="auto"/>
            <w:tcMar>
              <w:top w:w="150" w:type="dxa"/>
              <w:left w:w="0" w:type="dxa"/>
              <w:bottom w:w="150" w:type="dxa"/>
              <w:right w:w="240" w:type="dxa"/>
            </w:tcMar>
            <w:vAlign w:val="center"/>
            <w:hideMark/>
          </w:tcPr>
          <w:p w14:paraId="23407C5A" w14:textId="13E6255B" w:rsidR="006F0F7E" w:rsidRPr="006F0F7E" w:rsidRDefault="006F0F7E" w:rsidP="005E120E">
            <w:pPr>
              <w:rPr>
                <w:rFonts w:ascii="Arial" w:hAnsi="Arial" w:cs="Arial"/>
                <w:b/>
                <w:bCs/>
                <w:sz w:val="32"/>
                <w:szCs w:val="32"/>
              </w:rPr>
            </w:pPr>
            <w:r w:rsidRPr="006F0F7E">
              <w:rPr>
                <w:rFonts w:ascii="Arial" w:hAnsi="Arial" w:cs="Arial"/>
                <w:b/>
                <w:bCs/>
                <w:sz w:val="32"/>
                <w:szCs w:val="32"/>
              </w:rPr>
              <w:t>Introduction</w:t>
            </w:r>
            <w:r w:rsidR="00EB4C0F" w:rsidRPr="005E120E">
              <w:rPr>
                <w:rFonts w:ascii="Arial" w:hAnsi="Arial" w:cs="Arial"/>
                <w:b/>
                <w:bCs/>
                <w:sz w:val="32"/>
                <w:szCs w:val="32"/>
              </w:rPr>
              <w:t>…………………………………………………………</w:t>
            </w:r>
            <w:r w:rsidR="00AC3A51" w:rsidRPr="005E120E">
              <w:rPr>
                <w:rFonts w:ascii="Arial" w:hAnsi="Arial" w:cs="Arial"/>
                <w:b/>
                <w:bCs/>
                <w:sz w:val="32"/>
                <w:szCs w:val="32"/>
              </w:rPr>
              <w:t>….</w:t>
            </w:r>
            <w:r w:rsidR="000819C4">
              <w:rPr>
                <w:rFonts w:ascii="Arial" w:hAnsi="Arial" w:cs="Arial"/>
                <w:b/>
                <w:bCs/>
                <w:sz w:val="32"/>
                <w:szCs w:val="32"/>
              </w:rPr>
              <w:t>3</w:t>
            </w:r>
          </w:p>
        </w:tc>
        <w:tc>
          <w:tcPr>
            <w:tcW w:w="0" w:type="auto"/>
            <w:tcMar>
              <w:top w:w="150" w:type="dxa"/>
              <w:left w:w="240" w:type="dxa"/>
              <w:bottom w:w="150" w:type="dxa"/>
              <w:right w:w="0" w:type="dxa"/>
            </w:tcMar>
            <w:vAlign w:val="center"/>
            <w:hideMark/>
          </w:tcPr>
          <w:p w14:paraId="7BEF6048" w14:textId="46018667" w:rsidR="006F0F7E" w:rsidRPr="006F0F7E" w:rsidRDefault="006F0F7E" w:rsidP="00AC3A51">
            <w:pPr>
              <w:jc w:val="center"/>
              <w:rPr>
                <w:rFonts w:ascii="Arial" w:hAnsi="Arial" w:cs="Arial"/>
                <w:b/>
                <w:bCs/>
                <w:sz w:val="32"/>
                <w:szCs w:val="32"/>
              </w:rPr>
            </w:pPr>
          </w:p>
        </w:tc>
      </w:tr>
      <w:tr w:rsidR="005E0B91" w:rsidRPr="005E120E" w14:paraId="462FA27A" w14:textId="77777777">
        <w:tc>
          <w:tcPr>
            <w:tcW w:w="0" w:type="auto"/>
            <w:tcMar>
              <w:top w:w="150" w:type="dxa"/>
              <w:left w:w="0" w:type="dxa"/>
              <w:bottom w:w="150" w:type="dxa"/>
              <w:right w:w="240" w:type="dxa"/>
            </w:tcMar>
            <w:vAlign w:val="center"/>
            <w:hideMark/>
          </w:tcPr>
          <w:p w14:paraId="257EA6B9" w14:textId="4C084E97" w:rsidR="006F0F7E" w:rsidRPr="006F0F7E" w:rsidRDefault="006F0F7E" w:rsidP="005E120E">
            <w:pPr>
              <w:rPr>
                <w:rFonts w:ascii="Arial" w:hAnsi="Arial" w:cs="Arial"/>
                <w:b/>
                <w:bCs/>
                <w:sz w:val="32"/>
                <w:szCs w:val="32"/>
              </w:rPr>
            </w:pPr>
            <w:r w:rsidRPr="006F0F7E">
              <w:rPr>
                <w:rFonts w:ascii="Arial" w:hAnsi="Arial" w:cs="Arial"/>
                <w:b/>
                <w:bCs/>
                <w:sz w:val="32"/>
                <w:szCs w:val="32"/>
              </w:rPr>
              <w:t>Impact on the Workforce</w:t>
            </w:r>
            <w:r w:rsidR="00EB4C0F" w:rsidRPr="005E120E">
              <w:rPr>
                <w:rFonts w:ascii="Arial" w:hAnsi="Arial" w:cs="Arial"/>
                <w:b/>
                <w:bCs/>
                <w:sz w:val="32"/>
                <w:szCs w:val="32"/>
              </w:rPr>
              <w:t>…………………………………………</w:t>
            </w:r>
            <w:r w:rsidR="00AC3A51" w:rsidRPr="005E120E">
              <w:rPr>
                <w:rFonts w:ascii="Arial" w:hAnsi="Arial" w:cs="Arial"/>
                <w:b/>
                <w:bCs/>
                <w:sz w:val="32"/>
                <w:szCs w:val="32"/>
              </w:rPr>
              <w:t>….</w:t>
            </w:r>
            <w:r w:rsidR="000819C4">
              <w:rPr>
                <w:rFonts w:ascii="Arial" w:hAnsi="Arial" w:cs="Arial"/>
                <w:b/>
                <w:bCs/>
                <w:sz w:val="32"/>
                <w:szCs w:val="32"/>
              </w:rPr>
              <w:t>3-4</w:t>
            </w:r>
          </w:p>
        </w:tc>
        <w:tc>
          <w:tcPr>
            <w:tcW w:w="0" w:type="auto"/>
            <w:tcMar>
              <w:top w:w="150" w:type="dxa"/>
              <w:left w:w="240" w:type="dxa"/>
              <w:bottom w:w="150" w:type="dxa"/>
              <w:right w:w="0" w:type="dxa"/>
            </w:tcMar>
            <w:vAlign w:val="center"/>
            <w:hideMark/>
          </w:tcPr>
          <w:p w14:paraId="06CECA32" w14:textId="0591D0BD" w:rsidR="006F0F7E" w:rsidRPr="006F0F7E" w:rsidRDefault="006F0F7E" w:rsidP="00AC3A51">
            <w:pPr>
              <w:jc w:val="center"/>
              <w:rPr>
                <w:rFonts w:ascii="Arial" w:hAnsi="Arial" w:cs="Arial"/>
                <w:b/>
                <w:bCs/>
                <w:sz w:val="32"/>
                <w:szCs w:val="32"/>
              </w:rPr>
            </w:pPr>
          </w:p>
        </w:tc>
      </w:tr>
      <w:tr w:rsidR="005E0B91" w:rsidRPr="005E120E" w14:paraId="4DA545F3" w14:textId="77777777">
        <w:tc>
          <w:tcPr>
            <w:tcW w:w="0" w:type="auto"/>
            <w:tcMar>
              <w:top w:w="150" w:type="dxa"/>
              <w:left w:w="0" w:type="dxa"/>
              <w:bottom w:w="150" w:type="dxa"/>
              <w:right w:w="240" w:type="dxa"/>
            </w:tcMar>
            <w:vAlign w:val="center"/>
            <w:hideMark/>
          </w:tcPr>
          <w:p w14:paraId="2C78F2A5" w14:textId="5085019E" w:rsidR="006F0F7E" w:rsidRPr="006F0F7E" w:rsidRDefault="006F0F7E" w:rsidP="005E120E">
            <w:pPr>
              <w:rPr>
                <w:rFonts w:ascii="Arial" w:hAnsi="Arial" w:cs="Arial"/>
                <w:b/>
                <w:bCs/>
                <w:sz w:val="32"/>
                <w:szCs w:val="32"/>
              </w:rPr>
            </w:pPr>
            <w:r w:rsidRPr="006F0F7E">
              <w:rPr>
                <w:rFonts w:ascii="Arial" w:hAnsi="Arial" w:cs="Arial"/>
                <w:b/>
                <w:bCs/>
                <w:sz w:val="32"/>
                <w:szCs w:val="32"/>
              </w:rPr>
              <w:t>Impact on Service Delivery</w:t>
            </w:r>
            <w:r w:rsidR="00EB4C0F" w:rsidRPr="005E120E">
              <w:rPr>
                <w:rFonts w:ascii="Arial" w:hAnsi="Arial" w:cs="Arial"/>
                <w:b/>
                <w:bCs/>
                <w:sz w:val="32"/>
                <w:szCs w:val="32"/>
              </w:rPr>
              <w:t>………………………………………</w:t>
            </w:r>
            <w:r w:rsidR="00AC3A51" w:rsidRPr="005E120E">
              <w:rPr>
                <w:rFonts w:ascii="Arial" w:hAnsi="Arial" w:cs="Arial"/>
                <w:b/>
                <w:bCs/>
                <w:sz w:val="32"/>
                <w:szCs w:val="32"/>
              </w:rPr>
              <w:t>….</w:t>
            </w:r>
            <w:r w:rsidR="00D82C5F">
              <w:rPr>
                <w:rFonts w:ascii="Arial" w:hAnsi="Arial" w:cs="Arial"/>
                <w:b/>
                <w:bCs/>
                <w:sz w:val="32"/>
                <w:szCs w:val="32"/>
              </w:rPr>
              <w:t>4</w:t>
            </w:r>
          </w:p>
        </w:tc>
        <w:tc>
          <w:tcPr>
            <w:tcW w:w="0" w:type="auto"/>
            <w:tcMar>
              <w:top w:w="150" w:type="dxa"/>
              <w:left w:w="240" w:type="dxa"/>
              <w:bottom w:w="150" w:type="dxa"/>
              <w:right w:w="0" w:type="dxa"/>
            </w:tcMar>
            <w:vAlign w:val="center"/>
            <w:hideMark/>
          </w:tcPr>
          <w:p w14:paraId="370172FE" w14:textId="191CEBE1" w:rsidR="006F0F7E" w:rsidRPr="006F0F7E" w:rsidRDefault="006F0F7E" w:rsidP="00AC3A51">
            <w:pPr>
              <w:jc w:val="center"/>
              <w:rPr>
                <w:rFonts w:ascii="Arial" w:hAnsi="Arial" w:cs="Arial"/>
                <w:b/>
                <w:bCs/>
                <w:sz w:val="32"/>
                <w:szCs w:val="32"/>
              </w:rPr>
            </w:pPr>
          </w:p>
        </w:tc>
      </w:tr>
      <w:tr w:rsidR="005E0B91" w:rsidRPr="005E120E" w14:paraId="44AE51D8" w14:textId="77777777">
        <w:tc>
          <w:tcPr>
            <w:tcW w:w="0" w:type="auto"/>
            <w:tcMar>
              <w:top w:w="150" w:type="dxa"/>
              <w:left w:w="0" w:type="dxa"/>
              <w:bottom w:w="150" w:type="dxa"/>
              <w:right w:w="240" w:type="dxa"/>
            </w:tcMar>
            <w:vAlign w:val="center"/>
            <w:hideMark/>
          </w:tcPr>
          <w:p w14:paraId="587966A6" w14:textId="0DFFB948" w:rsidR="006F0F7E" w:rsidRPr="006F0F7E" w:rsidRDefault="006F0F7E" w:rsidP="005E120E">
            <w:pPr>
              <w:rPr>
                <w:rFonts w:ascii="Arial" w:hAnsi="Arial" w:cs="Arial"/>
                <w:b/>
                <w:bCs/>
                <w:sz w:val="32"/>
                <w:szCs w:val="32"/>
              </w:rPr>
            </w:pPr>
            <w:r w:rsidRPr="006F0F7E">
              <w:rPr>
                <w:rFonts w:ascii="Arial" w:hAnsi="Arial" w:cs="Arial"/>
                <w:b/>
                <w:bCs/>
                <w:sz w:val="32"/>
                <w:szCs w:val="32"/>
              </w:rPr>
              <w:t>Impact on Patients and Service Users</w:t>
            </w:r>
            <w:r w:rsidR="00EB4C0F" w:rsidRPr="005E120E">
              <w:rPr>
                <w:rFonts w:ascii="Arial" w:hAnsi="Arial" w:cs="Arial"/>
                <w:b/>
                <w:bCs/>
                <w:sz w:val="32"/>
                <w:szCs w:val="32"/>
              </w:rPr>
              <w:t>…………………………</w:t>
            </w:r>
            <w:r w:rsidR="00AC3A51" w:rsidRPr="005E120E">
              <w:rPr>
                <w:rFonts w:ascii="Arial" w:hAnsi="Arial" w:cs="Arial"/>
                <w:b/>
                <w:bCs/>
                <w:sz w:val="32"/>
                <w:szCs w:val="32"/>
              </w:rPr>
              <w:t>….</w:t>
            </w:r>
            <w:r w:rsidR="00D82C5F">
              <w:rPr>
                <w:rFonts w:ascii="Arial" w:hAnsi="Arial" w:cs="Arial"/>
                <w:b/>
                <w:bCs/>
                <w:sz w:val="32"/>
                <w:szCs w:val="32"/>
              </w:rPr>
              <w:t>5</w:t>
            </w:r>
          </w:p>
        </w:tc>
        <w:tc>
          <w:tcPr>
            <w:tcW w:w="0" w:type="auto"/>
            <w:tcMar>
              <w:top w:w="150" w:type="dxa"/>
              <w:left w:w="240" w:type="dxa"/>
              <w:bottom w:w="150" w:type="dxa"/>
              <w:right w:w="0" w:type="dxa"/>
            </w:tcMar>
            <w:vAlign w:val="center"/>
            <w:hideMark/>
          </w:tcPr>
          <w:p w14:paraId="4463D34F" w14:textId="35F87E95" w:rsidR="006F0F7E" w:rsidRPr="006F0F7E" w:rsidRDefault="006F0F7E" w:rsidP="00AC3A51">
            <w:pPr>
              <w:jc w:val="center"/>
              <w:rPr>
                <w:rFonts w:ascii="Arial" w:hAnsi="Arial" w:cs="Arial"/>
                <w:b/>
                <w:bCs/>
                <w:sz w:val="32"/>
                <w:szCs w:val="32"/>
              </w:rPr>
            </w:pPr>
          </w:p>
        </w:tc>
      </w:tr>
      <w:tr w:rsidR="005E0B91" w:rsidRPr="005E120E" w14:paraId="060EF1F7" w14:textId="77777777">
        <w:tc>
          <w:tcPr>
            <w:tcW w:w="0" w:type="auto"/>
            <w:tcMar>
              <w:top w:w="150" w:type="dxa"/>
              <w:left w:w="0" w:type="dxa"/>
              <w:bottom w:w="150" w:type="dxa"/>
              <w:right w:w="240" w:type="dxa"/>
            </w:tcMar>
            <w:vAlign w:val="center"/>
            <w:hideMark/>
          </w:tcPr>
          <w:p w14:paraId="6E86A4A2" w14:textId="27C3D36A" w:rsidR="006F0F7E" w:rsidRPr="006F0F7E" w:rsidRDefault="006F0F7E" w:rsidP="005E120E">
            <w:pPr>
              <w:rPr>
                <w:rFonts w:ascii="Arial" w:hAnsi="Arial" w:cs="Arial"/>
                <w:b/>
                <w:bCs/>
                <w:sz w:val="32"/>
                <w:szCs w:val="32"/>
              </w:rPr>
            </w:pPr>
            <w:r w:rsidRPr="006F0F7E">
              <w:rPr>
                <w:rFonts w:ascii="Arial" w:hAnsi="Arial" w:cs="Arial"/>
                <w:b/>
                <w:bCs/>
                <w:sz w:val="32"/>
                <w:szCs w:val="32"/>
              </w:rPr>
              <w:t>Recommendations</w:t>
            </w:r>
            <w:r w:rsidR="00BD5C26" w:rsidRPr="005E120E">
              <w:rPr>
                <w:rFonts w:ascii="Arial" w:hAnsi="Arial" w:cs="Arial"/>
                <w:b/>
                <w:bCs/>
                <w:sz w:val="32"/>
                <w:szCs w:val="32"/>
              </w:rPr>
              <w:t>………………………………………</w:t>
            </w:r>
            <w:r w:rsidR="00AB155F" w:rsidRPr="005E120E">
              <w:rPr>
                <w:rFonts w:ascii="Arial" w:hAnsi="Arial" w:cs="Arial"/>
                <w:b/>
                <w:bCs/>
                <w:sz w:val="32"/>
                <w:szCs w:val="32"/>
              </w:rPr>
              <w:t>…</w:t>
            </w:r>
            <w:r w:rsidR="00AB155F">
              <w:rPr>
                <w:rFonts w:ascii="Arial" w:hAnsi="Arial" w:cs="Arial"/>
                <w:b/>
                <w:bCs/>
                <w:sz w:val="32"/>
                <w:szCs w:val="32"/>
              </w:rPr>
              <w:t>...</w:t>
            </w:r>
            <w:r w:rsidR="00BD5C26" w:rsidRPr="005E120E">
              <w:rPr>
                <w:rFonts w:ascii="Arial" w:hAnsi="Arial" w:cs="Arial"/>
                <w:b/>
                <w:bCs/>
                <w:sz w:val="32"/>
                <w:szCs w:val="32"/>
              </w:rPr>
              <w:t>…</w:t>
            </w:r>
            <w:r w:rsidR="00C52E95" w:rsidRPr="005E120E">
              <w:rPr>
                <w:rFonts w:ascii="Arial" w:hAnsi="Arial" w:cs="Arial"/>
                <w:b/>
                <w:bCs/>
                <w:sz w:val="32"/>
                <w:szCs w:val="32"/>
              </w:rPr>
              <w:t>…</w:t>
            </w:r>
            <w:r w:rsidR="00C52E95">
              <w:rPr>
                <w:rFonts w:ascii="Arial" w:hAnsi="Arial" w:cs="Arial"/>
                <w:b/>
                <w:bCs/>
                <w:sz w:val="32"/>
                <w:szCs w:val="32"/>
              </w:rPr>
              <w:t>.</w:t>
            </w:r>
            <w:r w:rsidR="00BD5C26" w:rsidRPr="005E120E">
              <w:rPr>
                <w:rFonts w:ascii="Arial" w:hAnsi="Arial" w:cs="Arial"/>
                <w:b/>
                <w:bCs/>
                <w:sz w:val="32"/>
                <w:szCs w:val="32"/>
              </w:rPr>
              <w:t>….</w:t>
            </w:r>
            <w:r w:rsidR="00D82C5F">
              <w:rPr>
                <w:rFonts w:ascii="Arial" w:hAnsi="Arial" w:cs="Arial"/>
                <w:b/>
                <w:bCs/>
                <w:sz w:val="32"/>
                <w:szCs w:val="32"/>
              </w:rPr>
              <w:t>6</w:t>
            </w:r>
          </w:p>
        </w:tc>
        <w:tc>
          <w:tcPr>
            <w:tcW w:w="0" w:type="auto"/>
            <w:tcMar>
              <w:top w:w="150" w:type="dxa"/>
              <w:left w:w="240" w:type="dxa"/>
              <w:bottom w:w="150" w:type="dxa"/>
              <w:right w:w="0" w:type="dxa"/>
            </w:tcMar>
            <w:vAlign w:val="center"/>
            <w:hideMark/>
          </w:tcPr>
          <w:p w14:paraId="3E66BA89" w14:textId="38E4A0C5" w:rsidR="006F0F7E" w:rsidRPr="006F0F7E" w:rsidRDefault="006F0F7E" w:rsidP="00AC3A51">
            <w:pPr>
              <w:jc w:val="center"/>
              <w:rPr>
                <w:rFonts w:ascii="Arial" w:hAnsi="Arial" w:cs="Arial"/>
                <w:b/>
                <w:bCs/>
                <w:sz w:val="32"/>
                <w:szCs w:val="32"/>
              </w:rPr>
            </w:pPr>
          </w:p>
        </w:tc>
      </w:tr>
      <w:tr w:rsidR="005E0B91" w:rsidRPr="005E120E" w14:paraId="73CEF92F" w14:textId="77777777">
        <w:tc>
          <w:tcPr>
            <w:tcW w:w="0" w:type="auto"/>
            <w:tcMar>
              <w:top w:w="150" w:type="dxa"/>
              <w:left w:w="0" w:type="dxa"/>
              <w:bottom w:w="150" w:type="dxa"/>
              <w:right w:w="240" w:type="dxa"/>
            </w:tcMar>
            <w:vAlign w:val="center"/>
            <w:hideMark/>
          </w:tcPr>
          <w:p w14:paraId="06653C31" w14:textId="0E3DA22B" w:rsidR="006F0F7E" w:rsidRPr="006F0F7E" w:rsidRDefault="006F0F7E" w:rsidP="005E120E">
            <w:pPr>
              <w:rPr>
                <w:rFonts w:ascii="Arial" w:hAnsi="Arial" w:cs="Arial"/>
                <w:b/>
                <w:bCs/>
                <w:sz w:val="32"/>
                <w:szCs w:val="32"/>
              </w:rPr>
            </w:pPr>
            <w:r w:rsidRPr="006F0F7E">
              <w:rPr>
                <w:rFonts w:ascii="Arial" w:hAnsi="Arial" w:cs="Arial"/>
                <w:b/>
                <w:bCs/>
                <w:sz w:val="32"/>
                <w:szCs w:val="32"/>
              </w:rPr>
              <w:t>Conclusion</w:t>
            </w:r>
            <w:r w:rsidR="00BD5C26" w:rsidRPr="005E120E">
              <w:rPr>
                <w:rFonts w:ascii="Arial" w:hAnsi="Arial" w:cs="Arial"/>
                <w:b/>
                <w:bCs/>
                <w:sz w:val="32"/>
                <w:szCs w:val="32"/>
              </w:rPr>
              <w:t>………………………………………………………</w:t>
            </w:r>
            <w:r w:rsidR="00AC3A51" w:rsidRPr="005E120E">
              <w:rPr>
                <w:rFonts w:ascii="Arial" w:hAnsi="Arial" w:cs="Arial"/>
                <w:b/>
                <w:bCs/>
                <w:sz w:val="32"/>
                <w:szCs w:val="32"/>
              </w:rPr>
              <w:t>….</w:t>
            </w:r>
            <w:r w:rsidR="00BD5C26" w:rsidRPr="005E120E">
              <w:rPr>
                <w:rFonts w:ascii="Arial" w:hAnsi="Arial" w:cs="Arial"/>
                <w:b/>
                <w:bCs/>
                <w:sz w:val="32"/>
                <w:szCs w:val="32"/>
              </w:rPr>
              <w:t>…</w:t>
            </w:r>
            <w:r w:rsidR="005E120E">
              <w:rPr>
                <w:rFonts w:ascii="Arial" w:hAnsi="Arial" w:cs="Arial"/>
                <w:b/>
                <w:bCs/>
                <w:sz w:val="32"/>
                <w:szCs w:val="32"/>
              </w:rPr>
              <w:t>.</w:t>
            </w:r>
            <w:r w:rsidR="004D2344">
              <w:rPr>
                <w:rFonts w:ascii="Arial" w:hAnsi="Arial" w:cs="Arial"/>
                <w:b/>
                <w:bCs/>
                <w:sz w:val="32"/>
                <w:szCs w:val="32"/>
              </w:rPr>
              <w:t>7</w:t>
            </w:r>
          </w:p>
        </w:tc>
        <w:tc>
          <w:tcPr>
            <w:tcW w:w="0" w:type="auto"/>
            <w:tcMar>
              <w:top w:w="150" w:type="dxa"/>
              <w:left w:w="240" w:type="dxa"/>
              <w:bottom w:w="150" w:type="dxa"/>
              <w:right w:w="0" w:type="dxa"/>
            </w:tcMar>
            <w:vAlign w:val="center"/>
            <w:hideMark/>
          </w:tcPr>
          <w:p w14:paraId="74C2E4C3" w14:textId="4D791342" w:rsidR="006F0F7E" w:rsidRPr="006F0F7E" w:rsidRDefault="006F0F7E" w:rsidP="00AC3A51">
            <w:pPr>
              <w:jc w:val="center"/>
              <w:rPr>
                <w:rFonts w:ascii="Arial" w:hAnsi="Arial" w:cs="Arial"/>
                <w:b/>
                <w:bCs/>
                <w:sz w:val="32"/>
                <w:szCs w:val="32"/>
              </w:rPr>
            </w:pPr>
          </w:p>
        </w:tc>
      </w:tr>
      <w:tr w:rsidR="005E0B91" w:rsidRPr="005E120E" w14:paraId="120AC2BD" w14:textId="77777777">
        <w:tc>
          <w:tcPr>
            <w:tcW w:w="0" w:type="auto"/>
            <w:tcMar>
              <w:top w:w="150" w:type="dxa"/>
              <w:left w:w="0" w:type="dxa"/>
              <w:bottom w:w="150" w:type="dxa"/>
              <w:right w:w="240" w:type="dxa"/>
            </w:tcMar>
            <w:vAlign w:val="center"/>
            <w:hideMark/>
          </w:tcPr>
          <w:p w14:paraId="663A7316" w14:textId="58D6ED58" w:rsidR="006F0F7E" w:rsidRPr="006F0F7E" w:rsidRDefault="006F0F7E" w:rsidP="005E120E">
            <w:pPr>
              <w:rPr>
                <w:rFonts w:ascii="Arial" w:hAnsi="Arial" w:cs="Arial"/>
                <w:b/>
                <w:bCs/>
                <w:sz w:val="32"/>
                <w:szCs w:val="32"/>
              </w:rPr>
            </w:pPr>
            <w:r w:rsidRPr="006F0F7E">
              <w:rPr>
                <w:rFonts w:ascii="Arial" w:hAnsi="Arial" w:cs="Arial"/>
                <w:b/>
                <w:bCs/>
                <w:sz w:val="32"/>
                <w:szCs w:val="32"/>
              </w:rPr>
              <w:t>Reference List</w:t>
            </w:r>
            <w:r w:rsidR="00BD5C26" w:rsidRPr="005E120E">
              <w:rPr>
                <w:rFonts w:ascii="Arial" w:hAnsi="Arial" w:cs="Arial"/>
                <w:b/>
                <w:bCs/>
                <w:sz w:val="32"/>
                <w:szCs w:val="32"/>
              </w:rPr>
              <w:t>…………………………………………………………</w:t>
            </w:r>
            <w:r w:rsidR="004D2344">
              <w:rPr>
                <w:rFonts w:ascii="Arial" w:hAnsi="Arial" w:cs="Arial"/>
                <w:b/>
                <w:bCs/>
                <w:sz w:val="32"/>
                <w:szCs w:val="32"/>
              </w:rPr>
              <w:t>8</w:t>
            </w:r>
          </w:p>
        </w:tc>
        <w:tc>
          <w:tcPr>
            <w:tcW w:w="0" w:type="auto"/>
            <w:tcMar>
              <w:top w:w="150" w:type="dxa"/>
              <w:left w:w="240" w:type="dxa"/>
              <w:bottom w:w="150" w:type="dxa"/>
              <w:right w:w="0" w:type="dxa"/>
            </w:tcMar>
            <w:vAlign w:val="center"/>
            <w:hideMark/>
          </w:tcPr>
          <w:p w14:paraId="6B5E0C4C" w14:textId="2BE0ABF8" w:rsidR="006F0F7E" w:rsidRPr="006F0F7E" w:rsidRDefault="006F0F7E" w:rsidP="00AC3A51">
            <w:pPr>
              <w:jc w:val="center"/>
              <w:rPr>
                <w:rFonts w:ascii="Arial" w:hAnsi="Arial" w:cs="Arial"/>
                <w:b/>
                <w:bCs/>
                <w:sz w:val="32"/>
                <w:szCs w:val="32"/>
              </w:rPr>
            </w:pPr>
          </w:p>
        </w:tc>
      </w:tr>
    </w:tbl>
    <w:p w14:paraId="62ACEAFE" w14:textId="77777777" w:rsidR="006F0F7E" w:rsidRPr="005E120E" w:rsidRDefault="006F0F7E" w:rsidP="000E50F9">
      <w:pPr>
        <w:jc w:val="both"/>
        <w:rPr>
          <w:rFonts w:ascii="Arial" w:hAnsi="Arial" w:cs="Arial"/>
          <w:b/>
          <w:bCs/>
          <w:sz w:val="32"/>
          <w:szCs w:val="32"/>
        </w:rPr>
      </w:pPr>
    </w:p>
    <w:p w14:paraId="4447C0E8" w14:textId="77777777" w:rsidR="006F0F7E" w:rsidRDefault="006F0F7E" w:rsidP="000E50F9">
      <w:pPr>
        <w:jc w:val="both"/>
        <w:rPr>
          <w:rFonts w:ascii="Arial" w:hAnsi="Arial" w:cs="Arial"/>
          <w:b/>
          <w:bCs/>
        </w:rPr>
      </w:pPr>
    </w:p>
    <w:p w14:paraId="5F83587A" w14:textId="77777777" w:rsidR="006F0F7E" w:rsidRDefault="006F0F7E" w:rsidP="000E50F9">
      <w:pPr>
        <w:jc w:val="both"/>
        <w:rPr>
          <w:rFonts w:ascii="Arial" w:hAnsi="Arial" w:cs="Arial"/>
          <w:b/>
          <w:bCs/>
        </w:rPr>
      </w:pPr>
    </w:p>
    <w:p w14:paraId="37858F04" w14:textId="77777777" w:rsidR="006F0F7E" w:rsidRDefault="006F0F7E" w:rsidP="000E50F9">
      <w:pPr>
        <w:jc w:val="both"/>
        <w:rPr>
          <w:rFonts w:ascii="Arial" w:hAnsi="Arial" w:cs="Arial"/>
          <w:b/>
          <w:bCs/>
        </w:rPr>
      </w:pPr>
    </w:p>
    <w:p w14:paraId="528E30A2" w14:textId="77777777" w:rsidR="006F0F7E" w:rsidRDefault="006F0F7E" w:rsidP="000E50F9">
      <w:pPr>
        <w:jc w:val="both"/>
        <w:rPr>
          <w:rFonts w:ascii="Arial" w:hAnsi="Arial" w:cs="Arial"/>
          <w:b/>
          <w:bCs/>
        </w:rPr>
      </w:pPr>
    </w:p>
    <w:p w14:paraId="14389655" w14:textId="77777777" w:rsidR="006F0F7E" w:rsidRDefault="006F0F7E" w:rsidP="000E50F9">
      <w:pPr>
        <w:jc w:val="both"/>
        <w:rPr>
          <w:rFonts w:ascii="Arial" w:hAnsi="Arial" w:cs="Arial"/>
          <w:b/>
          <w:bCs/>
        </w:rPr>
      </w:pPr>
    </w:p>
    <w:p w14:paraId="1F4838FD" w14:textId="77777777" w:rsidR="00ED33FB" w:rsidRDefault="00ED33FB" w:rsidP="000E50F9">
      <w:pPr>
        <w:jc w:val="both"/>
        <w:rPr>
          <w:rFonts w:ascii="Arial" w:hAnsi="Arial" w:cs="Arial"/>
          <w:b/>
          <w:bCs/>
        </w:rPr>
      </w:pPr>
    </w:p>
    <w:p w14:paraId="7A317571" w14:textId="705C4822" w:rsidR="00566CC6" w:rsidRPr="00356457" w:rsidRDefault="00566CC6" w:rsidP="000E50F9">
      <w:pPr>
        <w:jc w:val="both"/>
        <w:rPr>
          <w:rFonts w:ascii="Arial" w:hAnsi="Arial" w:cs="Arial"/>
          <w:b/>
          <w:bCs/>
        </w:rPr>
      </w:pPr>
      <w:r w:rsidRPr="00356457">
        <w:rPr>
          <w:rFonts w:ascii="Arial" w:hAnsi="Arial" w:cs="Arial"/>
          <w:b/>
          <w:bCs/>
        </w:rPr>
        <w:lastRenderedPageBreak/>
        <w:t>Digital Innovation: Digital Social Care Records (DSCR) in UK Adult Social Care</w:t>
      </w:r>
    </w:p>
    <w:p w14:paraId="2CD90051" w14:textId="3EF94E72" w:rsidR="007B0FF0" w:rsidRPr="00356457" w:rsidRDefault="00566CC6" w:rsidP="000E50F9">
      <w:pPr>
        <w:jc w:val="both"/>
        <w:rPr>
          <w:rFonts w:ascii="Arial" w:hAnsi="Arial" w:cs="Arial"/>
          <w:b/>
          <w:bCs/>
        </w:rPr>
      </w:pPr>
      <w:r w:rsidRPr="00356457">
        <w:rPr>
          <w:rFonts w:ascii="Arial" w:hAnsi="Arial" w:cs="Arial"/>
          <w:b/>
          <w:bCs/>
        </w:rPr>
        <w:t>Introduction</w:t>
      </w:r>
    </w:p>
    <w:p w14:paraId="5CA5F89E" w14:textId="77777777" w:rsidR="007D7850" w:rsidRPr="007D7850" w:rsidRDefault="007D7850" w:rsidP="007D7850">
      <w:pPr>
        <w:jc w:val="both"/>
        <w:rPr>
          <w:rFonts w:ascii="Arial" w:hAnsi="Arial" w:cs="Arial"/>
        </w:rPr>
      </w:pPr>
      <w:r w:rsidRPr="007D7850">
        <w:rPr>
          <w:rFonts w:ascii="Arial" w:hAnsi="Arial" w:cs="Arial"/>
        </w:rPr>
        <w:t>Digital transformation is a central priority across UK health and social care, driven by longstanding concerns about fragmented information sharing and poor interoperability. One major innovation is Digital Social Care Records (DSCR), which replace paper-based documentation with digital systems designed for safer, more consistent, and shareable care information (Department of Health and Social Care (DHSC), 2022). DSCR adoption supports national policy ambitions for integrated care, reducing duplication and enabling social care providers to contribute effectively to multi-agency planning (DHSC, 2022).</w:t>
      </w:r>
    </w:p>
    <w:p w14:paraId="663FAF1F" w14:textId="77777777" w:rsidR="007D7850" w:rsidRPr="007D7850" w:rsidRDefault="007D7850" w:rsidP="007D7850">
      <w:pPr>
        <w:jc w:val="both"/>
        <w:rPr>
          <w:rFonts w:ascii="Arial" w:hAnsi="Arial" w:cs="Arial"/>
        </w:rPr>
      </w:pPr>
      <w:r w:rsidRPr="007D7850">
        <w:rPr>
          <w:rFonts w:ascii="Arial" w:hAnsi="Arial" w:cs="Arial"/>
        </w:rPr>
        <w:t>The government's broader digital strategy, set out in 'A Plan for Digital Health and Social Care' (DHSC, 2022a), and the 'What Good Looks Like' framework (NHS England, 2021) position DSCR as foundational to wider reform.</w:t>
      </w:r>
    </w:p>
    <w:p w14:paraId="342E1D6A" w14:textId="0C4366E6" w:rsidR="007D7850" w:rsidRPr="007D7850" w:rsidRDefault="007D7850" w:rsidP="007D7850">
      <w:pPr>
        <w:jc w:val="both"/>
        <w:rPr>
          <w:rFonts w:ascii="Arial" w:hAnsi="Arial" w:cs="Arial"/>
        </w:rPr>
      </w:pPr>
      <w:r w:rsidRPr="007D7850">
        <w:rPr>
          <w:rFonts w:ascii="Arial" w:hAnsi="Arial" w:cs="Arial"/>
        </w:rPr>
        <w:t xml:space="preserve">This report critically evaluates DSCR within UK social care, focusing on three key areas: workforce, service delivery, and patients/service users. A 2025 scoping review of </w:t>
      </w:r>
      <w:r w:rsidR="00E77ED8" w:rsidRPr="007D7850">
        <w:rPr>
          <w:rFonts w:ascii="Arial" w:hAnsi="Arial" w:cs="Arial"/>
        </w:rPr>
        <w:t>twenty-nine</w:t>
      </w:r>
      <w:r w:rsidRPr="007D7850">
        <w:rPr>
          <w:rFonts w:ascii="Arial" w:hAnsi="Arial" w:cs="Arial"/>
        </w:rPr>
        <w:t xml:space="preserve"> studies identified over </w:t>
      </w:r>
      <w:r w:rsidR="00186B58" w:rsidRPr="007D7850">
        <w:rPr>
          <w:rFonts w:ascii="Arial" w:hAnsi="Arial" w:cs="Arial"/>
        </w:rPr>
        <w:t>one hundred</w:t>
      </w:r>
      <w:r w:rsidRPr="007D7850">
        <w:rPr>
          <w:rFonts w:ascii="Arial" w:hAnsi="Arial" w:cs="Arial"/>
        </w:rPr>
        <w:t xml:space="preserve"> barriers to successful implementation, highlighting the complexity of this transformation (Snow et al., 2025). While DSCR is presented as transformative, implementation remains inconsistent, with social care digitally disadvantaged compared to NHS services (House of Commons Health and Social Care Committee, 2023). This report examines both benefits and limitations, evaluating conditions for successful and equitable implementation.</w:t>
      </w:r>
    </w:p>
    <w:p w14:paraId="1C7705F9" w14:textId="62F27438" w:rsidR="00566CC6" w:rsidRPr="00356457" w:rsidRDefault="00566CC6" w:rsidP="000E50F9">
      <w:pPr>
        <w:jc w:val="both"/>
        <w:rPr>
          <w:rFonts w:ascii="Arial" w:hAnsi="Arial" w:cs="Arial"/>
          <w:b/>
          <w:bCs/>
        </w:rPr>
      </w:pPr>
      <w:r w:rsidRPr="00356457">
        <w:rPr>
          <w:rFonts w:ascii="Arial" w:hAnsi="Arial" w:cs="Arial"/>
          <w:b/>
          <w:bCs/>
        </w:rPr>
        <w:t>Impact on the Workforce</w:t>
      </w:r>
    </w:p>
    <w:p w14:paraId="355DD606" w14:textId="77777777" w:rsidR="00B50F0F" w:rsidRPr="00B50F0F" w:rsidRDefault="00B50F0F" w:rsidP="00B50F0F">
      <w:pPr>
        <w:jc w:val="both"/>
        <w:rPr>
          <w:rFonts w:ascii="Arial" w:hAnsi="Arial" w:cs="Arial"/>
        </w:rPr>
      </w:pPr>
      <w:r w:rsidRPr="00B50F0F">
        <w:rPr>
          <w:rFonts w:ascii="Arial" w:hAnsi="Arial" w:cs="Arial"/>
        </w:rPr>
        <w:t>DSCR has significant implications for the adult social care workforce, particularly regarding staff roles, digital competence, and professional confidence. In principle, DSCR can reduce paperwork, improve accuracy, and enhance information continuity between teams (DHSC, 2022). These benefits may support more efficient working, especially in time-pressured care homes.</w:t>
      </w:r>
    </w:p>
    <w:p w14:paraId="6BE88669" w14:textId="77777777" w:rsidR="00B50F0F" w:rsidRPr="00B50F0F" w:rsidRDefault="00B50F0F" w:rsidP="00B50F0F">
      <w:pPr>
        <w:jc w:val="both"/>
        <w:rPr>
          <w:rFonts w:ascii="Arial" w:hAnsi="Arial" w:cs="Arial"/>
        </w:rPr>
      </w:pPr>
      <w:r w:rsidRPr="00B50F0F">
        <w:rPr>
          <w:rFonts w:ascii="Arial" w:hAnsi="Arial" w:cs="Arial"/>
        </w:rPr>
        <w:t>However, workforce benefits are not evenly realised. A central barrier is the uneven digital maturity of social care providers. Many settings lack stable infrastructure, sufficient devices, or reliable internet, limiting effective DSCR use (House of Commons Health and Social Care Committee, 2023). As a result, DSCR can increase frustration and create new workload pressures.</w:t>
      </w:r>
    </w:p>
    <w:p w14:paraId="52794901" w14:textId="16AAC651" w:rsidR="00B50F0F" w:rsidRPr="00B50F0F" w:rsidRDefault="00B50F0F" w:rsidP="00B50F0F">
      <w:pPr>
        <w:jc w:val="both"/>
        <w:rPr>
          <w:rFonts w:ascii="Arial" w:hAnsi="Arial" w:cs="Arial"/>
        </w:rPr>
      </w:pPr>
      <w:r w:rsidRPr="00B50F0F">
        <w:rPr>
          <w:rFonts w:ascii="Arial" w:hAnsi="Arial" w:cs="Arial"/>
        </w:rPr>
        <w:t xml:space="preserve">Digital skill requirements represent another major impact. While some staff adapt quickly, others, particularly older </w:t>
      </w:r>
      <w:r w:rsidR="00AB155F" w:rsidRPr="00B50F0F">
        <w:rPr>
          <w:rFonts w:ascii="Arial" w:hAnsi="Arial" w:cs="Arial"/>
        </w:rPr>
        <w:t>workers,</w:t>
      </w:r>
      <w:r w:rsidRPr="00B50F0F">
        <w:rPr>
          <w:rFonts w:ascii="Arial" w:hAnsi="Arial" w:cs="Arial"/>
        </w:rPr>
        <w:t xml:space="preserve"> or those with limited technology experience, may experience anxiety and resistance (Skills for Care, 2023). Social care already faces recruitment </w:t>
      </w:r>
      <w:r w:rsidR="00DC782F" w:rsidRPr="00B50F0F">
        <w:rPr>
          <w:rFonts w:ascii="Arial" w:hAnsi="Arial" w:cs="Arial"/>
        </w:rPr>
        <w:t>challenges,</w:t>
      </w:r>
      <w:r w:rsidRPr="00B50F0F">
        <w:rPr>
          <w:rFonts w:ascii="Arial" w:hAnsi="Arial" w:cs="Arial"/>
        </w:rPr>
        <w:t xml:space="preserve"> adding digital expectations without adequate support risks worsening workforce stress and turnover.</w:t>
      </w:r>
    </w:p>
    <w:p w14:paraId="11F283B5" w14:textId="101A0E68" w:rsidR="00B50F0F" w:rsidRPr="00B50F0F" w:rsidRDefault="00B50F0F" w:rsidP="00B50F0F">
      <w:pPr>
        <w:jc w:val="both"/>
        <w:rPr>
          <w:rFonts w:ascii="Arial" w:hAnsi="Arial" w:cs="Arial"/>
        </w:rPr>
      </w:pPr>
      <w:r w:rsidRPr="00B50F0F">
        <w:rPr>
          <w:rFonts w:ascii="Arial" w:hAnsi="Arial" w:cs="Arial"/>
        </w:rPr>
        <w:t xml:space="preserve">Understanding resistance through </w:t>
      </w:r>
      <w:r w:rsidR="00ED65FB">
        <w:rPr>
          <w:rFonts w:ascii="Arial" w:hAnsi="Arial" w:cs="Arial"/>
        </w:rPr>
        <w:t xml:space="preserve">the lens of </w:t>
      </w:r>
      <w:r w:rsidRPr="00B50F0F">
        <w:rPr>
          <w:rFonts w:ascii="Arial" w:hAnsi="Arial" w:cs="Arial"/>
        </w:rPr>
        <w:t>technology acceptance theory is helpful. Research shows staff adopt new systems when they perceive them as useful and easy to use (Stoumpos et al., 2023). Where training is rushed and benefits unclear, resistance hardens. The 2025 scoping review confirmed workforce factors are among the most frequently cited implementation barriers (Snow et al., 2025).</w:t>
      </w:r>
    </w:p>
    <w:p w14:paraId="1FB37027" w14:textId="3AA8BD39" w:rsidR="00B50F0F" w:rsidRPr="00B50F0F" w:rsidRDefault="00B50F0F" w:rsidP="00B50F0F">
      <w:pPr>
        <w:jc w:val="both"/>
        <w:rPr>
          <w:rFonts w:ascii="Arial" w:hAnsi="Arial" w:cs="Arial"/>
        </w:rPr>
      </w:pPr>
      <w:r w:rsidRPr="00B50F0F">
        <w:rPr>
          <w:rFonts w:ascii="Arial" w:hAnsi="Arial" w:cs="Arial"/>
        </w:rPr>
        <w:t xml:space="preserve">Training is consistently highlighted as essential, yet social care training capacity is limited, and staff rarely receive protected time to develop digital competence (House of Commons Health and Social Care Committee, 2023). Training is often informal, leaving staff dependent on peer learning, </w:t>
      </w:r>
      <w:r w:rsidR="00B02412">
        <w:rPr>
          <w:rFonts w:ascii="Arial" w:hAnsi="Arial" w:cs="Arial"/>
        </w:rPr>
        <w:t xml:space="preserve">creating uneven </w:t>
      </w:r>
      <w:r w:rsidR="006137B9">
        <w:rPr>
          <w:rFonts w:ascii="Arial" w:hAnsi="Arial" w:cs="Arial"/>
        </w:rPr>
        <w:t>competence,</w:t>
      </w:r>
      <w:r w:rsidR="00B02412">
        <w:rPr>
          <w:rFonts w:ascii="Arial" w:hAnsi="Arial" w:cs="Arial"/>
        </w:rPr>
        <w:t xml:space="preserve"> and burdening</w:t>
      </w:r>
      <w:r w:rsidRPr="00B50F0F">
        <w:rPr>
          <w:rFonts w:ascii="Arial" w:hAnsi="Arial" w:cs="Arial"/>
        </w:rPr>
        <w:t xml:space="preserve"> confident staff.</w:t>
      </w:r>
    </w:p>
    <w:p w14:paraId="41E240E4" w14:textId="012263C3" w:rsidR="00B50F0F" w:rsidRPr="00B50F0F" w:rsidRDefault="00B50F0F" w:rsidP="00B50F0F">
      <w:pPr>
        <w:jc w:val="both"/>
        <w:rPr>
          <w:rFonts w:ascii="Arial" w:hAnsi="Arial" w:cs="Arial"/>
        </w:rPr>
      </w:pPr>
      <w:r w:rsidRPr="00B50F0F">
        <w:rPr>
          <w:rFonts w:ascii="Arial" w:hAnsi="Arial" w:cs="Arial"/>
        </w:rPr>
        <w:lastRenderedPageBreak/>
        <w:t>A further issue is professional identity. DSCR shifts documentation from informal paper notes to structured templates. While this improves consistency, it may reduce narrative flexibility. If DSCR becomes a tool for audit rather than care quality, staff may view it as surveillance. As Utami et al. (2026) argue, digitisation risks undermining humanistic values if implemented without attention to preserving relational practice.</w:t>
      </w:r>
    </w:p>
    <w:p w14:paraId="1FE03190" w14:textId="77777777" w:rsidR="00B50F0F" w:rsidRPr="00B50F0F" w:rsidRDefault="00B50F0F" w:rsidP="00B50F0F">
      <w:pPr>
        <w:jc w:val="both"/>
        <w:rPr>
          <w:rFonts w:ascii="Arial" w:hAnsi="Arial" w:cs="Arial"/>
        </w:rPr>
      </w:pPr>
      <w:r w:rsidRPr="00B50F0F">
        <w:rPr>
          <w:rFonts w:ascii="Arial" w:hAnsi="Arial" w:cs="Arial"/>
        </w:rPr>
        <w:t>Digital transformation is not simply a technical upgrade but a workforce reform requiring investment in people, time, and support. Without protected learning time and sustained training, DSCR risks becoming a burden rather than an enabler.</w:t>
      </w:r>
    </w:p>
    <w:p w14:paraId="66EE3F11" w14:textId="03BB5832" w:rsidR="00566CC6" w:rsidRPr="00356457" w:rsidRDefault="00566CC6" w:rsidP="000E50F9">
      <w:pPr>
        <w:jc w:val="both"/>
        <w:rPr>
          <w:rFonts w:ascii="Arial" w:hAnsi="Arial" w:cs="Arial"/>
          <w:b/>
          <w:bCs/>
        </w:rPr>
      </w:pPr>
      <w:r w:rsidRPr="00356457">
        <w:rPr>
          <w:rFonts w:ascii="Arial" w:hAnsi="Arial" w:cs="Arial"/>
          <w:b/>
          <w:bCs/>
        </w:rPr>
        <w:t>Impact on Service Delivery</w:t>
      </w:r>
    </w:p>
    <w:p w14:paraId="44F581FD" w14:textId="63B9FF20" w:rsidR="00A64675" w:rsidRPr="00A64675" w:rsidRDefault="00A64675" w:rsidP="00A64675">
      <w:pPr>
        <w:jc w:val="both"/>
        <w:rPr>
          <w:rFonts w:ascii="Arial" w:hAnsi="Arial" w:cs="Arial"/>
        </w:rPr>
      </w:pPr>
      <w:r w:rsidRPr="00A64675">
        <w:rPr>
          <w:rFonts w:ascii="Arial" w:hAnsi="Arial" w:cs="Arial"/>
        </w:rPr>
        <w:t xml:space="preserve">DSCR aims to improve service delivery by strengthening coordination, continuity, and care quality. A key benefit is improved access to accurate information. Digital records updated in real time reduce lost documentation and enable quicker responses to changing needs (DHSC, 2022). The concept of "real-time data for real-time action" (Barnett et al., 2019) applies equally to social care, supporting </w:t>
      </w:r>
      <w:r w:rsidR="006137B9" w:rsidRPr="00A64675">
        <w:rPr>
          <w:rFonts w:ascii="Arial" w:hAnsi="Arial" w:cs="Arial"/>
        </w:rPr>
        <w:t>initiative-taking</w:t>
      </w:r>
      <w:r w:rsidRPr="00A64675">
        <w:rPr>
          <w:rFonts w:ascii="Arial" w:hAnsi="Arial" w:cs="Arial"/>
        </w:rPr>
        <w:t xml:space="preserve"> responses.</w:t>
      </w:r>
    </w:p>
    <w:p w14:paraId="1988ACBE" w14:textId="77777777" w:rsidR="00A64675" w:rsidRPr="00A64675" w:rsidRDefault="00A64675" w:rsidP="00A64675">
      <w:pPr>
        <w:jc w:val="both"/>
        <w:rPr>
          <w:rFonts w:ascii="Arial" w:hAnsi="Arial" w:cs="Arial"/>
        </w:rPr>
      </w:pPr>
      <w:r w:rsidRPr="00A64675">
        <w:rPr>
          <w:rFonts w:ascii="Arial" w:hAnsi="Arial" w:cs="Arial"/>
        </w:rPr>
        <w:t>Another advantage is reduced duplication. Paper records require repeated manual entry, and communication between services is often delayed. DSCR supports faster information exchange, particularly for transitions like hospital discharge, where poor information transfer has historically caused harm.</w:t>
      </w:r>
    </w:p>
    <w:p w14:paraId="2B57B9BC" w14:textId="78A423A9" w:rsidR="00A64675" w:rsidRPr="00A64675" w:rsidRDefault="00A64675" w:rsidP="00A64675">
      <w:pPr>
        <w:jc w:val="both"/>
        <w:rPr>
          <w:rFonts w:ascii="Arial" w:hAnsi="Arial" w:cs="Arial"/>
        </w:rPr>
      </w:pPr>
      <w:r w:rsidRPr="00A64675">
        <w:rPr>
          <w:rFonts w:ascii="Arial" w:hAnsi="Arial" w:cs="Arial"/>
        </w:rPr>
        <w:t xml:space="preserve">Despite these benefits, national evidence indicates DSCR has not delivered consistent improvements at scale. The key limiting factor is interoperability. Even where care homes implement DSCR successfully, systems may not connect with NHS services, local authorities, or community health providers (House of Commons Health and Social Care Committee, 2023). A recent survey found significant variation in digital capability and </w:t>
      </w:r>
      <w:r w:rsidR="00B16425">
        <w:rPr>
          <w:rFonts w:ascii="Arial" w:hAnsi="Arial" w:cs="Arial"/>
        </w:rPr>
        <w:t xml:space="preserve">a </w:t>
      </w:r>
      <w:r w:rsidRPr="00A64675">
        <w:rPr>
          <w:rFonts w:ascii="Arial" w:hAnsi="Arial" w:cs="Arial"/>
        </w:rPr>
        <w:t>lack of consistent standards across England (Bennion et al., 2025). The 2025 scoping review identified interoperability as a persistent barrier, with systems functioning as isolated digital paperwork" rather than integrated care tools (Snow et al., 2025).</w:t>
      </w:r>
    </w:p>
    <w:p w14:paraId="5F7D2A6D" w14:textId="77777777" w:rsidR="00A64675" w:rsidRPr="00A64675" w:rsidRDefault="00A64675" w:rsidP="00A64675">
      <w:pPr>
        <w:jc w:val="both"/>
        <w:rPr>
          <w:rFonts w:ascii="Arial" w:hAnsi="Arial" w:cs="Arial"/>
        </w:rPr>
      </w:pPr>
      <w:r w:rsidRPr="00A64675">
        <w:rPr>
          <w:rFonts w:ascii="Arial" w:hAnsi="Arial" w:cs="Arial"/>
        </w:rPr>
        <w:t>Implementation variability across Integrated Care Systems is another limitation. In some areas, DSCR adoption has received funding and structured support; in others, progress is slower, creating a postcode lottery in digital care provision (House of Commons Health and Social Care Committee, 2023).</w:t>
      </w:r>
    </w:p>
    <w:p w14:paraId="5FD17C3A" w14:textId="23381601" w:rsidR="00A64675" w:rsidRPr="00A64675" w:rsidRDefault="00A64675" w:rsidP="00A64675">
      <w:pPr>
        <w:jc w:val="both"/>
        <w:rPr>
          <w:rFonts w:ascii="Arial" w:hAnsi="Arial" w:cs="Arial"/>
        </w:rPr>
      </w:pPr>
      <w:r w:rsidRPr="00A64675">
        <w:rPr>
          <w:rFonts w:ascii="Arial" w:hAnsi="Arial" w:cs="Arial"/>
        </w:rPr>
        <w:t xml:space="preserve">Operational pressures also affect implementation. DSCR requires workflow redesign and training. In the short term, these changes may reduce efficiency, especially in understaffed homes. Without additional resources, adoption increases </w:t>
      </w:r>
      <w:r w:rsidR="000C7F01">
        <w:rPr>
          <w:rFonts w:ascii="Arial" w:hAnsi="Arial" w:cs="Arial"/>
        </w:rPr>
        <w:t>staff pressure</w:t>
      </w:r>
      <w:r w:rsidRPr="00A64675">
        <w:rPr>
          <w:rFonts w:ascii="Arial" w:hAnsi="Arial" w:cs="Arial"/>
        </w:rPr>
        <w:t xml:space="preserve"> and reduces time for direct care.</w:t>
      </w:r>
    </w:p>
    <w:p w14:paraId="029794BE" w14:textId="2A792C62" w:rsidR="00A64675" w:rsidRPr="00A64675" w:rsidRDefault="00A64675" w:rsidP="00A64675">
      <w:pPr>
        <w:jc w:val="both"/>
        <w:rPr>
          <w:rFonts w:ascii="Arial" w:hAnsi="Arial" w:cs="Arial"/>
        </w:rPr>
      </w:pPr>
      <w:r w:rsidRPr="00A64675">
        <w:rPr>
          <w:rFonts w:ascii="Arial" w:hAnsi="Arial" w:cs="Arial"/>
        </w:rPr>
        <w:t xml:space="preserve">Standardisation raises further concerns. Digital records rely on structured templates, which support consistency but may limit professional judgement and narrative richness. If systems prioritise checklists over person-centred care, delivery becomes more </w:t>
      </w:r>
      <w:r w:rsidR="00C52E95" w:rsidRPr="00A64675">
        <w:rPr>
          <w:rFonts w:ascii="Arial" w:hAnsi="Arial" w:cs="Arial"/>
        </w:rPr>
        <w:t>task oriented</w:t>
      </w:r>
      <w:r w:rsidRPr="00A64675">
        <w:rPr>
          <w:rFonts w:ascii="Arial" w:hAnsi="Arial" w:cs="Arial"/>
        </w:rPr>
        <w:t xml:space="preserve">. This reflects the sociotechnical nature of digital change, </w:t>
      </w:r>
      <w:r w:rsidR="000C7F01">
        <w:rPr>
          <w:rFonts w:ascii="Arial" w:hAnsi="Arial" w:cs="Arial"/>
        </w:rPr>
        <w:t>in which technology and human systems shape one another</w:t>
      </w:r>
      <w:r w:rsidRPr="00A64675">
        <w:rPr>
          <w:rFonts w:ascii="Arial" w:hAnsi="Arial" w:cs="Arial"/>
        </w:rPr>
        <w:t xml:space="preserve"> (Galis &amp; Vlassis, 2025). Implementation must </w:t>
      </w:r>
      <w:r w:rsidR="00C52E95" w:rsidRPr="00A64675">
        <w:rPr>
          <w:rFonts w:ascii="Arial" w:hAnsi="Arial" w:cs="Arial"/>
        </w:rPr>
        <w:t>address</w:t>
      </w:r>
      <w:r w:rsidRPr="00A64675">
        <w:rPr>
          <w:rFonts w:ascii="Arial" w:hAnsi="Arial" w:cs="Arial"/>
        </w:rPr>
        <w:t xml:space="preserve"> workflows, relationships, and professional discretion.</w:t>
      </w:r>
    </w:p>
    <w:p w14:paraId="0C31DE12" w14:textId="6E299D11" w:rsidR="00A64675" w:rsidRPr="00A64675" w:rsidRDefault="00A64675" w:rsidP="00A64675">
      <w:pPr>
        <w:jc w:val="both"/>
        <w:rPr>
          <w:rFonts w:ascii="Arial" w:hAnsi="Arial" w:cs="Arial"/>
        </w:rPr>
      </w:pPr>
      <w:r w:rsidRPr="00A64675">
        <w:rPr>
          <w:rFonts w:ascii="Arial" w:hAnsi="Arial" w:cs="Arial"/>
        </w:rPr>
        <w:t xml:space="preserve">DSCR has clear potential to strengthen service delivery, but outcomes depend on interoperability, consistent funding, and implementation support. Without these, it cannot deliver integrated improvements and may reinforce </w:t>
      </w:r>
      <w:r w:rsidR="00C52E95" w:rsidRPr="00A64675">
        <w:rPr>
          <w:rFonts w:ascii="Arial" w:hAnsi="Arial" w:cs="Arial"/>
        </w:rPr>
        <w:t>fragmentation.</w:t>
      </w:r>
    </w:p>
    <w:p w14:paraId="02F21251" w14:textId="77777777" w:rsidR="005C44F3" w:rsidRDefault="005C44F3" w:rsidP="000E50F9">
      <w:pPr>
        <w:jc w:val="both"/>
        <w:rPr>
          <w:rFonts w:ascii="Arial" w:hAnsi="Arial" w:cs="Arial"/>
          <w:b/>
          <w:bCs/>
        </w:rPr>
      </w:pPr>
    </w:p>
    <w:p w14:paraId="5962AEA0" w14:textId="6313A01B" w:rsidR="00566CC6" w:rsidRPr="00356457" w:rsidRDefault="00566CC6" w:rsidP="000E50F9">
      <w:pPr>
        <w:jc w:val="both"/>
        <w:rPr>
          <w:rFonts w:ascii="Arial" w:hAnsi="Arial" w:cs="Arial"/>
          <w:b/>
          <w:bCs/>
        </w:rPr>
      </w:pPr>
      <w:r w:rsidRPr="00356457">
        <w:rPr>
          <w:rFonts w:ascii="Arial" w:hAnsi="Arial" w:cs="Arial"/>
          <w:b/>
          <w:bCs/>
        </w:rPr>
        <w:lastRenderedPageBreak/>
        <w:t>Impact on Patients and Service Users</w:t>
      </w:r>
    </w:p>
    <w:p w14:paraId="6F0D9DEB" w14:textId="239EA913" w:rsidR="00367E95" w:rsidRDefault="00367E95" w:rsidP="00367E95">
      <w:pPr>
        <w:jc w:val="both"/>
        <w:rPr>
          <w:rFonts w:ascii="Arial" w:hAnsi="Arial" w:cs="Arial"/>
        </w:rPr>
      </w:pPr>
      <w:r w:rsidRPr="00367E95">
        <w:rPr>
          <w:rFonts w:ascii="Arial" w:hAnsi="Arial" w:cs="Arial"/>
        </w:rPr>
        <w:t>The ultimate purpose of DSCR is to improve care experiences and outcomes. A major benefit is improved safety. Digital records support clearer medication documentation, reduce transcription errors, and ensure care plans are consistently accessible (Care Quality Commission (CQC), 2023). DSCR can also support continuity. Service users often have complex needs and receive support from multiple professionals. Improved record quality reduces repeated assessments and inconsistent approaches, particularly important for people with dementia or long-term conditions. Co-production is supported when digital systems offer transparent access and input opportunities (Think Local Act Personal, 2022)</w:t>
      </w:r>
      <w:r w:rsidR="0054679C">
        <w:rPr>
          <w:rFonts w:ascii="Arial" w:hAnsi="Arial" w:cs="Arial"/>
        </w:rPr>
        <w:t>.</w:t>
      </w:r>
    </w:p>
    <w:p w14:paraId="0E53691B" w14:textId="17280FF0" w:rsidR="00367E95" w:rsidRPr="00367E95" w:rsidRDefault="00367E95" w:rsidP="00367E95">
      <w:pPr>
        <w:jc w:val="both"/>
        <w:rPr>
          <w:rFonts w:ascii="Arial" w:hAnsi="Arial" w:cs="Arial"/>
        </w:rPr>
      </w:pPr>
      <w:r w:rsidRPr="00367E95">
        <w:rPr>
          <w:rFonts w:ascii="Arial" w:hAnsi="Arial" w:cs="Arial"/>
        </w:rPr>
        <w:t>However, DSCR introduces significant risks. Digital exclusion is a key issue. Although DSCR is primarily used by providers, transformation can disadvantage service users if communication becomes more digital. Older adults, those with limited digital literacy, and low-income groups face barriers accessing digital information (Age UK, 2023). Around 40% of over-</w:t>
      </w:r>
      <w:r w:rsidR="00186B58" w:rsidRPr="00367E95">
        <w:rPr>
          <w:rFonts w:ascii="Arial" w:hAnsi="Arial" w:cs="Arial"/>
        </w:rPr>
        <w:t>seventy-fives</w:t>
      </w:r>
      <w:r w:rsidRPr="00367E95">
        <w:rPr>
          <w:rFonts w:ascii="Arial" w:hAnsi="Arial" w:cs="Arial"/>
        </w:rPr>
        <w:t xml:space="preserve"> are offline. For these individuals, digital-first communication risks deepening isolation and creating a two-tier system.</w:t>
      </w:r>
    </w:p>
    <w:p w14:paraId="30F3ED80" w14:textId="77777777" w:rsidR="00367E95" w:rsidRPr="00367E95" w:rsidRDefault="00367E95" w:rsidP="00367E95">
      <w:pPr>
        <w:jc w:val="both"/>
        <w:rPr>
          <w:rFonts w:ascii="Arial" w:hAnsi="Arial" w:cs="Arial"/>
        </w:rPr>
      </w:pPr>
      <w:r w:rsidRPr="00367E95">
        <w:rPr>
          <w:rFonts w:ascii="Arial" w:hAnsi="Arial" w:cs="Arial"/>
        </w:rPr>
        <w:t>Trust and privacy are critical. DSCR involves sensitive personal data. Under the Data Protection Act 2018, organisations must ensure lawful processing and confidentiality. In practice, care homes vary in governance capability, and poor data governance can reduce trust.</w:t>
      </w:r>
    </w:p>
    <w:p w14:paraId="18EB2649" w14:textId="49A7C967" w:rsidR="00367E95" w:rsidRPr="00367E95" w:rsidRDefault="00367E95" w:rsidP="00367E95">
      <w:pPr>
        <w:jc w:val="both"/>
        <w:rPr>
          <w:rFonts w:ascii="Arial" w:hAnsi="Arial" w:cs="Arial"/>
        </w:rPr>
      </w:pPr>
      <w:r w:rsidRPr="00367E95">
        <w:rPr>
          <w:rFonts w:ascii="Arial" w:hAnsi="Arial" w:cs="Arial"/>
        </w:rPr>
        <w:t xml:space="preserve">Another risk is that DSCR may shift care priorities. If staff complete extensive documentation, service users may experience reduced interaction time. The 2025 scoping review notes research on service user experiences remains underdeveloped (Snow et al., 2025). This is a significant gap. Utami et al. (2026) warn </w:t>
      </w:r>
      <w:r w:rsidR="000C7F01">
        <w:rPr>
          <w:rFonts w:ascii="Arial" w:hAnsi="Arial" w:cs="Arial"/>
        </w:rPr>
        <w:t xml:space="preserve">that </w:t>
      </w:r>
      <w:r w:rsidRPr="00367E95">
        <w:rPr>
          <w:rFonts w:ascii="Arial" w:hAnsi="Arial" w:cs="Arial"/>
        </w:rPr>
        <w:t>digitisation can make care feel transactional, reducing rich encounters to tick-box exercises.</w:t>
      </w:r>
    </w:p>
    <w:p w14:paraId="10288FBF" w14:textId="7F71BC57" w:rsidR="00367E95" w:rsidRPr="00367E95" w:rsidRDefault="00367E95" w:rsidP="00367E95">
      <w:pPr>
        <w:jc w:val="both"/>
        <w:rPr>
          <w:rFonts w:ascii="Arial" w:hAnsi="Arial" w:cs="Arial"/>
        </w:rPr>
      </w:pPr>
      <w:r w:rsidRPr="00367E95">
        <w:rPr>
          <w:rFonts w:ascii="Arial" w:hAnsi="Arial" w:cs="Arial"/>
        </w:rPr>
        <w:t xml:space="preserve">Furthermore, DSCR does not automatically increase </w:t>
      </w:r>
      <w:r w:rsidR="000C7F01">
        <w:rPr>
          <w:rFonts w:ascii="Arial" w:hAnsi="Arial" w:cs="Arial"/>
        </w:rPr>
        <w:t xml:space="preserve">the </w:t>
      </w:r>
      <w:r w:rsidRPr="00367E95">
        <w:rPr>
          <w:rFonts w:ascii="Arial" w:hAnsi="Arial" w:cs="Arial"/>
        </w:rPr>
        <w:t>service user voice. Digital systems support structured recording but do not guarantee co-production. If users and families are not involved in design and evaluation, innovation may reinforce professional control rather than empowering individuals (Think Local Act Personal, 2022).</w:t>
      </w:r>
    </w:p>
    <w:p w14:paraId="09725793" w14:textId="5D0635CF" w:rsidR="007F5B04" w:rsidRPr="00367E95" w:rsidRDefault="00367E95" w:rsidP="000E50F9">
      <w:pPr>
        <w:jc w:val="both"/>
        <w:rPr>
          <w:rFonts w:ascii="Arial" w:hAnsi="Arial" w:cs="Arial"/>
        </w:rPr>
      </w:pPr>
      <w:r w:rsidRPr="00367E95">
        <w:rPr>
          <w:rFonts w:ascii="Arial" w:hAnsi="Arial" w:cs="Arial"/>
        </w:rPr>
        <w:t>DSCR can improve safety and care quality, but benefits depend on ethical implementation, governance, inclusion safeguards, and commitment to person-centred care. Without these, it risks increasing inequality and shifting care away from relational practice.</w:t>
      </w:r>
    </w:p>
    <w:p w14:paraId="31421E1D" w14:textId="411B24A2" w:rsidR="007824C5" w:rsidRPr="00356457" w:rsidRDefault="00FF524E" w:rsidP="000E50F9">
      <w:pPr>
        <w:jc w:val="both"/>
        <w:rPr>
          <w:rFonts w:ascii="Arial" w:hAnsi="Arial" w:cs="Arial"/>
          <w:b/>
          <w:bCs/>
        </w:rPr>
      </w:pPr>
      <w:r w:rsidRPr="00FF524E">
        <w:rPr>
          <w:rFonts w:ascii="Arial" w:hAnsi="Arial" w:cs="Arial"/>
          <w:b/>
          <w:bCs/>
        </w:rPr>
        <w:t>Recommendation 1</w:t>
      </w:r>
      <w:r w:rsidR="00B52D5A">
        <w:rPr>
          <w:rFonts w:ascii="Arial" w:hAnsi="Arial" w:cs="Arial"/>
          <w:b/>
          <w:bCs/>
        </w:rPr>
        <w:t>:</w:t>
      </w:r>
      <w:r w:rsidR="001D6A59" w:rsidRPr="00356457">
        <w:rPr>
          <w:rFonts w:ascii="Arial" w:hAnsi="Arial" w:cs="Arial"/>
          <w:b/>
          <w:bCs/>
        </w:rPr>
        <w:t xml:space="preserve"> </w:t>
      </w:r>
      <w:r w:rsidR="007824C5" w:rsidRPr="00356457">
        <w:rPr>
          <w:rFonts w:ascii="Arial" w:hAnsi="Arial" w:cs="Arial"/>
          <w:b/>
          <w:bCs/>
        </w:rPr>
        <w:t>Invest in people alongside technology.</w:t>
      </w:r>
    </w:p>
    <w:p w14:paraId="5C7F57D7" w14:textId="11D108C4" w:rsidR="002D7012" w:rsidRPr="00356457" w:rsidRDefault="002D7012" w:rsidP="000E50F9">
      <w:pPr>
        <w:jc w:val="both"/>
        <w:rPr>
          <w:rFonts w:ascii="Arial" w:hAnsi="Arial" w:cs="Arial"/>
        </w:rPr>
      </w:pPr>
      <w:r w:rsidRPr="00356457">
        <w:rPr>
          <w:rFonts w:ascii="Arial" w:hAnsi="Arial" w:cs="Arial"/>
          <w:b/>
          <w:bCs/>
        </w:rPr>
        <w:t>Barrier</w:t>
      </w:r>
      <w:r w:rsidR="005075E7">
        <w:rPr>
          <w:rFonts w:ascii="Arial" w:hAnsi="Arial" w:cs="Arial"/>
          <w:b/>
          <w:bCs/>
        </w:rPr>
        <w:t>:</w:t>
      </w:r>
      <w:r w:rsidRPr="00356457">
        <w:rPr>
          <w:rFonts w:ascii="Arial" w:hAnsi="Arial" w:cs="Arial"/>
        </w:rPr>
        <w:t xml:space="preserve"> Workforce anxiety and variable digital skills undermine adoption. Staff feel deskilled and resistant when training is rushed or irrelevant.</w:t>
      </w:r>
    </w:p>
    <w:p w14:paraId="1C59C992" w14:textId="737B2D2F" w:rsidR="002D7012" w:rsidRPr="00356457" w:rsidRDefault="002D7012" w:rsidP="000E50F9">
      <w:pPr>
        <w:jc w:val="both"/>
        <w:rPr>
          <w:rFonts w:ascii="Arial" w:hAnsi="Arial" w:cs="Arial"/>
        </w:rPr>
      </w:pPr>
      <w:r w:rsidRPr="00356457">
        <w:rPr>
          <w:rFonts w:ascii="Arial" w:hAnsi="Arial" w:cs="Arial"/>
          <w:b/>
          <w:bCs/>
        </w:rPr>
        <w:t>Solution:</w:t>
      </w:r>
      <w:r w:rsidRPr="00356457">
        <w:rPr>
          <w:rFonts w:ascii="Arial" w:hAnsi="Arial" w:cs="Arial"/>
        </w:rPr>
        <w:t xml:space="preserve"> Mandate protected, paid training time for all staff. Establish peer Digital Champion roles where confident staff support colleagues. Involve care workers in shaping how the system is used locally from the start. Align with the 'What Good Looks Like' framework's emphasis on leadership and capability (NHS England, 2021).</w:t>
      </w:r>
    </w:p>
    <w:p w14:paraId="20BA395B" w14:textId="255488AD" w:rsidR="00DA04BE" w:rsidRPr="00356457" w:rsidRDefault="002D7012" w:rsidP="000E50F9">
      <w:pPr>
        <w:jc w:val="both"/>
        <w:rPr>
          <w:rFonts w:ascii="Arial" w:hAnsi="Arial" w:cs="Arial"/>
          <w:b/>
          <w:bCs/>
        </w:rPr>
      </w:pPr>
      <w:r w:rsidRPr="00356457">
        <w:rPr>
          <w:rFonts w:ascii="Arial" w:hAnsi="Arial" w:cs="Arial"/>
          <w:b/>
          <w:bCs/>
        </w:rPr>
        <w:t>Evidence</w:t>
      </w:r>
      <w:r w:rsidR="007C6F6D">
        <w:rPr>
          <w:rFonts w:ascii="Arial" w:hAnsi="Arial" w:cs="Arial"/>
          <w:b/>
          <w:bCs/>
        </w:rPr>
        <w:t>:</w:t>
      </w:r>
      <w:r w:rsidRPr="00356457">
        <w:rPr>
          <w:rFonts w:ascii="Arial" w:hAnsi="Arial" w:cs="Arial"/>
        </w:rPr>
        <w:t xml:space="preserve"> Implementation succeeds when end-users are active participants (Snow et al., 2025). Staff adopt technology when they perceive it as both useful and easy to use </w:t>
      </w:r>
      <w:r w:rsidR="00C628C7">
        <w:rPr>
          <w:rFonts w:ascii="Arial" w:hAnsi="Arial" w:cs="Arial"/>
        </w:rPr>
        <w:t>(</w:t>
      </w:r>
      <w:r w:rsidR="00DA04BE" w:rsidRPr="00356457">
        <w:rPr>
          <w:rFonts w:ascii="Arial" w:hAnsi="Arial" w:cs="Arial"/>
        </w:rPr>
        <w:t>Stoumpos et al., 2023)</w:t>
      </w:r>
    </w:p>
    <w:p w14:paraId="4316340B" w14:textId="77777777" w:rsidR="00B16425" w:rsidRDefault="00B16425" w:rsidP="000E50F9">
      <w:pPr>
        <w:jc w:val="both"/>
        <w:rPr>
          <w:rFonts w:ascii="Arial" w:hAnsi="Arial" w:cs="Arial"/>
          <w:b/>
          <w:bCs/>
        </w:rPr>
      </w:pPr>
    </w:p>
    <w:p w14:paraId="1189F592" w14:textId="77777777" w:rsidR="00FE7A5A" w:rsidRDefault="00FE7A5A" w:rsidP="000E50F9">
      <w:pPr>
        <w:jc w:val="both"/>
        <w:rPr>
          <w:rFonts w:ascii="Arial" w:hAnsi="Arial" w:cs="Arial"/>
          <w:b/>
          <w:bCs/>
        </w:rPr>
      </w:pPr>
    </w:p>
    <w:p w14:paraId="22AB8F9F" w14:textId="4566BDBE" w:rsidR="00F43AC6" w:rsidRPr="00356457" w:rsidRDefault="002D7012" w:rsidP="000E50F9">
      <w:pPr>
        <w:jc w:val="both"/>
        <w:rPr>
          <w:rFonts w:ascii="Arial" w:hAnsi="Arial" w:cs="Arial"/>
          <w:b/>
          <w:bCs/>
        </w:rPr>
      </w:pPr>
      <w:r w:rsidRPr="00FF524E">
        <w:rPr>
          <w:rFonts w:ascii="Arial" w:hAnsi="Arial" w:cs="Arial"/>
          <w:b/>
          <w:bCs/>
        </w:rPr>
        <w:lastRenderedPageBreak/>
        <w:t xml:space="preserve">Recommendation </w:t>
      </w:r>
      <w:r w:rsidRPr="00356457">
        <w:rPr>
          <w:rFonts w:ascii="Arial" w:hAnsi="Arial" w:cs="Arial"/>
          <w:b/>
          <w:bCs/>
        </w:rPr>
        <w:t>2</w:t>
      </w:r>
      <w:r w:rsidR="00F43AC6" w:rsidRPr="00356457">
        <w:rPr>
          <w:rFonts w:ascii="Arial" w:hAnsi="Arial" w:cs="Arial"/>
          <w:b/>
          <w:bCs/>
        </w:rPr>
        <w:t>: Mandate interoperability from the start.</w:t>
      </w:r>
    </w:p>
    <w:p w14:paraId="148911EB" w14:textId="77777777" w:rsidR="00B822A9" w:rsidRDefault="00B822A9" w:rsidP="000E50F9">
      <w:pPr>
        <w:jc w:val="both"/>
        <w:rPr>
          <w:rFonts w:ascii="Arial" w:hAnsi="Arial" w:cs="Arial"/>
        </w:rPr>
      </w:pPr>
      <w:r w:rsidRPr="00B822A9">
        <w:rPr>
          <w:rFonts w:ascii="Arial" w:hAnsi="Arial" w:cs="Arial"/>
          <w:b/>
          <w:bCs/>
        </w:rPr>
        <w:t>Barrier:</w:t>
      </w:r>
      <w:r w:rsidRPr="00B822A9">
        <w:rPr>
          <w:rFonts w:ascii="Arial" w:hAnsi="Arial" w:cs="Arial"/>
        </w:rPr>
        <w:t> Systems that do not connect with health partners create new digital silos. Information cannot flow between the care home, GP, and hospital.</w:t>
      </w:r>
    </w:p>
    <w:p w14:paraId="2B54E989" w14:textId="166AA6AE" w:rsidR="00F87FA5" w:rsidRPr="00356457" w:rsidRDefault="00F87FA5" w:rsidP="000E50F9">
      <w:pPr>
        <w:jc w:val="both"/>
        <w:rPr>
          <w:rFonts w:ascii="Arial" w:hAnsi="Arial" w:cs="Arial"/>
        </w:rPr>
      </w:pPr>
      <w:r w:rsidRPr="00356457">
        <w:rPr>
          <w:rFonts w:ascii="Arial" w:hAnsi="Arial" w:cs="Arial"/>
          <w:b/>
          <w:bCs/>
        </w:rPr>
        <w:t>Solutio</w:t>
      </w:r>
      <w:r w:rsidR="00622A93" w:rsidRPr="00356457">
        <w:rPr>
          <w:rFonts w:ascii="Arial" w:hAnsi="Arial" w:cs="Arial"/>
          <w:b/>
          <w:bCs/>
        </w:rPr>
        <w:t xml:space="preserve">n: </w:t>
      </w:r>
      <w:r w:rsidRPr="00356457">
        <w:rPr>
          <w:rFonts w:ascii="Arial" w:hAnsi="Arial" w:cs="Arial"/>
        </w:rPr>
        <w:t>Make compliance with open standards a contractual requirement for all suppliers. Participate in local Integrated Care System (ICS) digital procurement frameworks to ensure compatibility across the region. This aligns with the government's commitment in 'A Plan for Digital Health and Social Care' to "join up systems and services" (DHSC, 2022a, p. 15).</w:t>
      </w:r>
    </w:p>
    <w:p w14:paraId="5716C842" w14:textId="2236E276" w:rsidR="00F87FA5" w:rsidRPr="00356457" w:rsidRDefault="00F87FA5" w:rsidP="000E50F9">
      <w:pPr>
        <w:jc w:val="both"/>
        <w:rPr>
          <w:rFonts w:ascii="Arial" w:hAnsi="Arial" w:cs="Arial"/>
        </w:rPr>
      </w:pPr>
      <w:r w:rsidRPr="00356457">
        <w:rPr>
          <w:rFonts w:ascii="Arial" w:hAnsi="Arial" w:cs="Arial"/>
          <w:b/>
          <w:bCs/>
        </w:rPr>
        <w:t>Evidence</w:t>
      </w:r>
      <w:r w:rsidR="00F00AE6">
        <w:rPr>
          <w:rFonts w:ascii="Arial" w:hAnsi="Arial" w:cs="Arial"/>
          <w:b/>
          <w:bCs/>
        </w:rPr>
        <w:t>:</w:t>
      </w:r>
      <w:r w:rsidR="00622A93" w:rsidRPr="00356457">
        <w:rPr>
          <w:rFonts w:ascii="Arial" w:hAnsi="Arial" w:cs="Arial"/>
        </w:rPr>
        <w:t xml:space="preserve"> </w:t>
      </w:r>
      <w:r w:rsidRPr="00356457">
        <w:rPr>
          <w:rFonts w:ascii="Arial" w:hAnsi="Arial" w:cs="Arial"/>
        </w:rPr>
        <w:t>A 2025 survey of NHS trusts found significant variation in digital capability and a lack of consistent standards across England (Bennion et al., 2025). Without interoperability, integrated care remains a slogan, not a reality.</w:t>
      </w:r>
    </w:p>
    <w:p w14:paraId="12E2340C" w14:textId="77777777" w:rsidR="00A91C30" w:rsidRPr="00356457" w:rsidRDefault="00A91C30" w:rsidP="000E50F9">
      <w:pPr>
        <w:jc w:val="both"/>
        <w:rPr>
          <w:rFonts w:ascii="Arial" w:hAnsi="Arial" w:cs="Arial"/>
          <w:b/>
          <w:bCs/>
        </w:rPr>
      </w:pPr>
      <w:r w:rsidRPr="00A91C30">
        <w:rPr>
          <w:rFonts w:ascii="Arial" w:hAnsi="Arial" w:cs="Arial"/>
          <w:b/>
          <w:bCs/>
        </w:rPr>
        <w:t>Recommendation 3: Build inclusion into every stage.</w:t>
      </w:r>
    </w:p>
    <w:p w14:paraId="0C580081" w14:textId="2B060D3F" w:rsidR="005D4CD2" w:rsidRPr="00356457" w:rsidRDefault="005D4CD2" w:rsidP="000E50F9">
      <w:pPr>
        <w:jc w:val="both"/>
        <w:rPr>
          <w:rFonts w:ascii="Arial" w:hAnsi="Arial" w:cs="Arial"/>
        </w:rPr>
      </w:pPr>
      <w:r w:rsidRPr="00356457">
        <w:rPr>
          <w:rFonts w:ascii="Arial" w:hAnsi="Arial" w:cs="Arial"/>
          <w:b/>
          <w:bCs/>
        </w:rPr>
        <w:t>Barrier</w:t>
      </w:r>
      <w:r w:rsidR="00F00AE6">
        <w:rPr>
          <w:rFonts w:ascii="Arial" w:hAnsi="Arial" w:cs="Arial"/>
        </w:rPr>
        <w:t xml:space="preserve">: </w:t>
      </w:r>
      <w:r w:rsidRPr="00356457">
        <w:rPr>
          <w:rFonts w:ascii="Arial" w:hAnsi="Arial" w:cs="Arial"/>
        </w:rPr>
        <w:t>Digital exclusion risks leaving vulnerable users behind. Those without internet access or skills may receive poorer, less transparent care.</w:t>
      </w:r>
    </w:p>
    <w:p w14:paraId="0EE998CF" w14:textId="4B19C1F3" w:rsidR="00DA7947" w:rsidRPr="00356457" w:rsidRDefault="005D4CD2" w:rsidP="000E50F9">
      <w:pPr>
        <w:jc w:val="both"/>
        <w:rPr>
          <w:rFonts w:ascii="Arial" w:hAnsi="Arial" w:cs="Arial"/>
        </w:rPr>
      </w:pPr>
      <w:r w:rsidRPr="00356457">
        <w:rPr>
          <w:rFonts w:ascii="Arial" w:hAnsi="Arial" w:cs="Arial"/>
          <w:b/>
          <w:bCs/>
        </w:rPr>
        <w:t>Solution</w:t>
      </w:r>
      <w:r w:rsidR="00821404" w:rsidRPr="00356457">
        <w:rPr>
          <w:rFonts w:ascii="Arial" w:hAnsi="Arial" w:cs="Arial"/>
          <w:b/>
          <w:bCs/>
        </w:rPr>
        <w:t>:</w:t>
      </w:r>
      <w:r w:rsidR="00DA7947" w:rsidRPr="00356457">
        <w:rPr>
          <w:rFonts w:ascii="Arial" w:hAnsi="Arial" w:cs="Arial"/>
        </w:rPr>
        <w:t xml:space="preserve"> </w:t>
      </w:r>
      <w:r w:rsidRPr="00356457">
        <w:rPr>
          <w:rFonts w:ascii="Arial" w:hAnsi="Arial" w:cs="Arial"/>
        </w:rPr>
        <w:t>Offer a 'digital choice' guarantee</w:t>
      </w:r>
      <w:r w:rsidR="00B52D5A">
        <w:rPr>
          <w:rFonts w:ascii="Arial" w:hAnsi="Arial" w:cs="Arial"/>
        </w:rPr>
        <w:t>,</w:t>
      </w:r>
      <w:r w:rsidR="00E409A6">
        <w:rPr>
          <w:rFonts w:ascii="Arial" w:hAnsi="Arial" w:cs="Arial"/>
        </w:rPr>
        <w:t xml:space="preserve"> </w:t>
      </w:r>
      <w:r w:rsidRPr="00356457">
        <w:rPr>
          <w:rFonts w:ascii="Arial" w:hAnsi="Arial" w:cs="Arial"/>
        </w:rPr>
        <w:t>parallel non-digital options for those who need them. Involve service users and families in system design from the outset. Gather data on their experiences to shape ongoing improvement. Ensure data governance meets the requirements of the Data Protection Act 2018 and is clearly communicated to build trust.</w:t>
      </w:r>
    </w:p>
    <w:p w14:paraId="52437FB4" w14:textId="65989143" w:rsidR="00DC782F" w:rsidRDefault="005D4CD2" w:rsidP="000E50F9">
      <w:pPr>
        <w:jc w:val="both"/>
        <w:rPr>
          <w:rFonts w:ascii="Arial" w:hAnsi="Arial" w:cs="Arial"/>
        </w:rPr>
      </w:pPr>
      <w:r w:rsidRPr="00356457">
        <w:rPr>
          <w:rFonts w:ascii="Arial" w:hAnsi="Arial" w:cs="Arial"/>
          <w:b/>
          <w:bCs/>
        </w:rPr>
        <w:t>Evidence</w:t>
      </w:r>
      <w:r w:rsidR="00821404" w:rsidRPr="00356457">
        <w:rPr>
          <w:rFonts w:ascii="Arial" w:hAnsi="Arial" w:cs="Arial"/>
          <w:b/>
          <w:bCs/>
        </w:rPr>
        <w:t>:</w:t>
      </w:r>
      <w:r w:rsidR="00DA7947" w:rsidRPr="00356457">
        <w:rPr>
          <w:rFonts w:ascii="Arial" w:hAnsi="Arial" w:cs="Arial"/>
        </w:rPr>
        <w:t xml:space="preserve"> </w:t>
      </w:r>
      <w:r w:rsidRPr="00356457">
        <w:rPr>
          <w:rFonts w:ascii="Arial" w:hAnsi="Arial" w:cs="Arial"/>
        </w:rPr>
        <w:t>Around 40% of over-</w:t>
      </w:r>
      <w:r w:rsidR="00186B58" w:rsidRPr="00356457">
        <w:rPr>
          <w:rFonts w:ascii="Arial" w:hAnsi="Arial" w:cs="Arial"/>
        </w:rPr>
        <w:t>seventy-fives</w:t>
      </w:r>
      <w:r w:rsidRPr="00356457">
        <w:rPr>
          <w:rFonts w:ascii="Arial" w:hAnsi="Arial" w:cs="Arial"/>
        </w:rPr>
        <w:t xml:space="preserve"> are offline (Age UK, 2023). Research on service user and carer experiences remains underdeveloped</w:t>
      </w:r>
      <w:r w:rsidR="00B52D5A">
        <w:rPr>
          <w:rFonts w:ascii="Arial" w:hAnsi="Arial" w:cs="Arial"/>
        </w:rPr>
        <w:t>,</w:t>
      </w:r>
      <w:r w:rsidR="00E409A6">
        <w:rPr>
          <w:rFonts w:ascii="Arial" w:hAnsi="Arial" w:cs="Arial"/>
        </w:rPr>
        <w:t xml:space="preserve"> </w:t>
      </w:r>
      <w:r w:rsidRPr="00356457">
        <w:rPr>
          <w:rFonts w:ascii="Arial" w:hAnsi="Arial" w:cs="Arial"/>
        </w:rPr>
        <w:t>a gap local services must proactively address (Snow et al., 2025).</w:t>
      </w:r>
    </w:p>
    <w:p w14:paraId="3CD4D7C0" w14:textId="77777777" w:rsidR="00DC782F" w:rsidRDefault="00A246DB" w:rsidP="00F0355E">
      <w:pPr>
        <w:jc w:val="both"/>
        <w:rPr>
          <w:rFonts w:ascii="Arial" w:hAnsi="Arial" w:cs="Arial"/>
        </w:rPr>
      </w:pPr>
      <w:r w:rsidRPr="00A246DB">
        <w:rPr>
          <w:rFonts w:ascii="Arial" w:hAnsi="Arial" w:cs="Arial"/>
          <w:b/>
          <w:bCs/>
        </w:rPr>
        <w:t>Conclusion</w:t>
      </w:r>
    </w:p>
    <w:p w14:paraId="5D8C21CC" w14:textId="0F4A9F7A" w:rsidR="00F0355E" w:rsidRPr="00F0355E" w:rsidRDefault="00F0355E" w:rsidP="00F0355E">
      <w:pPr>
        <w:jc w:val="both"/>
        <w:rPr>
          <w:rFonts w:ascii="Arial" w:hAnsi="Arial" w:cs="Arial"/>
        </w:rPr>
      </w:pPr>
      <w:r w:rsidRPr="00F0355E">
        <w:rPr>
          <w:rFonts w:ascii="Arial" w:hAnsi="Arial" w:cs="Arial"/>
        </w:rPr>
        <w:t>DSCR represents a significant digital innovation within UK adult social care, with strong potential to improve care continuity, safety, and information sharing. The evaluation demonstrates that DSCR can reduce duplication and support coordinated service delivery (DHSC, 2022). As Ingram (2023) frames it, this is a shift from the "anarchy" of fragmented information towards a deliberate "programme for reform."</w:t>
      </w:r>
    </w:p>
    <w:p w14:paraId="63F9673A" w14:textId="23FD115D" w:rsidR="00F0355E" w:rsidRPr="00F0355E" w:rsidRDefault="00F0355E" w:rsidP="00F0355E">
      <w:pPr>
        <w:jc w:val="both"/>
        <w:rPr>
          <w:rFonts w:ascii="Arial" w:hAnsi="Arial" w:cs="Arial"/>
        </w:rPr>
      </w:pPr>
      <w:r w:rsidRPr="00F0355E">
        <w:rPr>
          <w:rFonts w:ascii="Arial" w:hAnsi="Arial" w:cs="Arial"/>
        </w:rPr>
        <w:t xml:space="preserve">However, the innovation remains limited by uneven implementation, weak interoperability, and the persistent digital disadvantage of social care (House of Commons Health and Social Care Committee, 2023). The 2025 scoping review confirms implementation is complex, with over </w:t>
      </w:r>
      <w:r w:rsidR="00186B58" w:rsidRPr="00F0355E">
        <w:rPr>
          <w:rFonts w:ascii="Arial" w:hAnsi="Arial" w:cs="Arial"/>
        </w:rPr>
        <w:t>one hundred</w:t>
      </w:r>
      <w:r w:rsidRPr="00F0355E">
        <w:rPr>
          <w:rFonts w:ascii="Arial" w:hAnsi="Arial" w:cs="Arial"/>
        </w:rPr>
        <w:t xml:space="preserve"> identified barriers (Snow et al., 2025).</w:t>
      </w:r>
    </w:p>
    <w:p w14:paraId="71F9FDED" w14:textId="200A2508" w:rsidR="00F0355E" w:rsidRPr="00F0355E" w:rsidRDefault="00F0355E" w:rsidP="00F0355E">
      <w:pPr>
        <w:jc w:val="both"/>
        <w:rPr>
          <w:rFonts w:ascii="Arial" w:hAnsi="Arial" w:cs="Arial"/>
        </w:rPr>
      </w:pPr>
      <w:r w:rsidRPr="00F0355E">
        <w:rPr>
          <w:rFonts w:ascii="Arial" w:hAnsi="Arial" w:cs="Arial"/>
        </w:rPr>
        <w:t xml:space="preserve">The most critical determinant of success is not the technology itself but the system conditions surrounding it. Workforce training, protected learning time, and digital leadership are essential to prevent DSCR </w:t>
      </w:r>
      <w:r w:rsidR="00B52D5A">
        <w:rPr>
          <w:rFonts w:ascii="Arial" w:hAnsi="Arial" w:cs="Arial"/>
        </w:rPr>
        <w:t xml:space="preserve">from </w:t>
      </w:r>
      <w:r w:rsidRPr="00F0355E">
        <w:rPr>
          <w:rFonts w:ascii="Arial" w:hAnsi="Arial" w:cs="Arial"/>
        </w:rPr>
        <w:t>becoming an additional burden (Skills for Care, 2023). Interoperability standards must be enforced to ensure DSCR supports integrated care. Digital inclusion and data governance must be treated as core ethical responsibilities, ensuring service users are protected and inequalities are not widened (Age UK, 2023; Data Protection Act 2018).</w:t>
      </w:r>
    </w:p>
    <w:p w14:paraId="156C456E" w14:textId="0B268EA8" w:rsidR="00D553C4" w:rsidRDefault="00F0355E" w:rsidP="00F0355E">
      <w:pPr>
        <w:jc w:val="both"/>
        <w:rPr>
          <w:rFonts w:ascii="Arial" w:hAnsi="Arial" w:cs="Arial"/>
        </w:rPr>
      </w:pPr>
      <w:r w:rsidRPr="00F0355E">
        <w:rPr>
          <w:rFonts w:ascii="Arial" w:hAnsi="Arial" w:cs="Arial"/>
        </w:rPr>
        <w:t>The recommendations offered</w:t>
      </w:r>
      <w:r w:rsidR="007A44F4">
        <w:rPr>
          <w:rFonts w:ascii="Arial" w:hAnsi="Arial" w:cs="Arial"/>
        </w:rPr>
        <w:t xml:space="preserve">, </w:t>
      </w:r>
      <w:r w:rsidRPr="00F0355E">
        <w:rPr>
          <w:rFonts w:ascii="Arial" w:hAnsi="Arial" w:cs="Arial"/>
        </w:rPr>
        <w:t>investing in people, mandating interoperability, and building inclusion</w:t>
      </w:r>
      <w:r w:rsidR="007A44F4">
        <w:rPr>
          <w:rFonts w:ascii="Arial" w:hAnsi="Arial" w:cs="Arial"/>
        </w:rPr>
        <w:t xml:space="preserve">, </w:t>
      </w:r>
      <w:r w:rsidRPr="00F0355E">
        <w:rPr>
          <w:rFonts w:ascii="Arial" w:hAnsi="Arial" w:cs="Arial"/>
        </w:rPr>
        <w:t>are fundamental to realising the promise of digital transformation. Implemented thoughtfully, DSCR can help build a safer, more connected, and more humane care system.</w:t>
      </w:r>
    </w:p>
    <w:p w14:paraId="163DA58B" w14:textId="77777777" w:rsidR="00DC782F" w:rsidRDefault="00F0355E" w:rsidP="00DC782F">
      <w:pPr>
        <w:jc w:val="both"/>
        <w:rPr>
          <w:rFonts w:ascii="Arial" w:hAnsi="Arial" w:cs="Arial"/>
        </w:rPr>
      </w:pPr>
      <w:r w:rsidRPr="00F0355E">
        <w:rPr>
          <w:rFonts w:ascii="Arial" w:hAnsi="Arial" w:cs="Arial"/>
        </w:rPr>
        <w:t>Without addressing these barriers, it will remain a policy ambition rather than a fully realised transformation.</w:t>
      </w:r>
    </w:p>
    <w:p w14:paraId="6DEBB77B" w14:textId="77777777" w:rsidR="008F303D" w:rsidRDefault="008F303D" w:rsidP="00DC782F">
      <w:pPr>
        <w:jc w:val="both"/>
        <w:rPr>
          <w:rFonts w:ascii="Arial" w:hAnsi="Arial" w:cs="Arial"/>
          <w:b/>
          <w:bCs/>
          <w:sz w:val="28"/>
          <w:szCs w:val="28"/>
        </w:rPr>
      </w:pPr>
    </w:p>
    <w:p w14:paraId="04FB944D" w14:textId="77398465" w:rsidR="002A006D" w:rsidRPr="00DC782F" w:rsidRDefault="002A006D" w:rsidP="00DC782F">
      <w:pPr>
        <w:jc w:val="both"/>
        <w:rPr>
          <w:rFonts w:ascii="Arial" w:hAnsi="Arial" w:cs="Arial"/>
        </w:rPr>
      </w:pPr>
      <w:r w:rsidRPr="00266B2E">
        <w:rPr>
          <w:rFonts w:ascii="Arial" w:hAnsi="Arial" w:cs="Arial"/>
          <w:b/>
          <w:bCs/>
          <w:sz w:val="28"/>
          <w:szCs w:val="28"/>
        </w:rPr>
        <w:lastRenderedPageBreak/>
        <w:t xml:space="preserve">Reference </w:t>
      </w:r>
    </w:p>
    <w:p w14:paraId="2BDC0522" w14:textId="38A9D385" w:rsidR="0048210A" w:rsidRDefault="002A006D" w:rsidP="0048210A">
      <w:pPr>
        <w:rPr>
          <w:rFonts w:ascii="Arial" w:hAnsi="Arial" w:cs="Arial"/>
        </w:rPr>
      </w:pPr>
      <w:r w:rsidRPr="002A006D">
        <w:rPr>
          <w:rFonts w:ascii="Arial" w:hAnsi="Arial" w:cs="Arial"/>
        </w:rPr>
        <w:t>Age UK (2023) </w:t>
      </w:r>
      <w:r w:rsidRPr="002A006D">
        <w:rPr>
          <w:rFonts w:ascii="Arial" w:hAnsi="Arial" w:cs="Arial"/>
          <w:i/>
          <w:iCs/>
        </w:rPr>
        <w:t>The Digital Divide in Later Life</w:t>
      </w:r>
      <w:r w:rsidRPr="002A006D">
        <w:rPr>
          <w:rFonts w:ascii="Arial" w:hAnsi="Arial" w:cs="Arial"/>
        </w:rPr>
        <w:t>. London: Age UK</w:t>
      </w:r>
    </w:p>
    <w:p w14:paraId="08333213" w14:textId="4A125042" w:rsidR="004D07B9" w:rsidRDefault="002A006D" w:rsidP="0048210A">
      <w:pPr>
        <w:rPr>
          <w:rFonts w:ascii="Arial" w:hAnsi="Arial" w:cs="Arial"/>
        </w:rPr>
      </w:pPr>
      <w:r w:rsidRPr="002A006D">
        <w:rPr>
          <w:rFonts w:ascii="Arial" w:hAnsi="Arial" w:cs="Arial"/>
        </w:rPr>
        <w:t>Barnett, A., Winning, M., Canaris, S., Cleary, M., Staib, A. and Sullivan, C. (2019) 'Digital transformation of hospital quality and safety: real-time data for real-time action', </w:t>
      </w:r>
      <w:r w:rsidRPr="002A006D">
        <w:rPr>
          <w:rFonts w:ascii="Arial" w:hAnsi="Arial" w:cs="Arial"/>
          <w:i/>
          <w:iCs/>
        </w:rPr>
        <w:t>Australian Health Review</w:t>
      </w:r>
      <w:r w:rsidRPr="002A006D">
        <w:rPr>
          <w:rFonts w:ascii="Arial" w:hAnsi="Arial" w:cs="Arial"/>
        </w:rPr>
        <w:t>, 43(6), pp. 656-661.</w:t>
      </w:r>
    </w:p>
    <w:p w14:paraId="1F81C22A" w14:textId="77777777" w:rsidR="002A006D" w:rsidRDefault="002A006D" w:rsidP="0048210A">
      <w:pPr>
        <w:rPr>
          <w:rFonts w:ascii="Arial" w:hAnsi="Arial" w:cs="Arial"/>
        </w:rPr>
      </w:pPr>
      <w:r w:rsidRPr="002A006D">
        <w:rPr>
          <w:rFonts w:ascii="Arial" w:hAnsi="Arial" w:cs="Arial"/>
        </w:rPr>
        <w:t>Bennion, M.R., Spencer, R., Moore, R.K. and Kenyon, R. (2025) 'Digital Capability, Open-Source Use, and Interoperability Standards Within the National Health Service in England: Survey of Health Care Trusts', </w:t>
      </w:r>
      <w:r w:rsidRPr="002A006D">
        <w:rPr>
          <w:rFonts w:ascii="Arial" w:hAnsi="Arial" w:cs="Arial"/>
          <w:i/>
          <w:iCs/>
        </w:rPr>
        <w:t>JMIR Human Factors</w:t>
      </w:r>
      <w:r w:rsidRPr="002A006D">
        <w:rPr>
          <w:rFonts w:ascii="Arial" w:hAnsi="Arial" w:cs="Arial"/>
        </w:rPr>
        <w:t>, 12, p. e66398.</w:t>
      </w:r>
    </w:p>
    <w:p w14:paraId="50027CEE" w14:textId="77777777" w:rsidR="002A006D" w:rsidRDefault="002A006D" w:rsidP="0048210A">
      <w:pPr>
        <w:rPr>
          <w:rFonts w:ascii="Arial" w:hAnsi="Arial" w:cs="Arial"/>
        </w:rPr>
      </w:pPr>
      <w:r w:rsidRPr="002A006D">
        <w:rPr>
          <w:rFonts w:ascii="Arial" w:hAnsi="Arial" w:cs="Arial"/>
        </w:rPr>
        <w:t>Care Quality Commission (CQC) (2023) </w:t>
      </w:r>
      <w:r w:rsidRPr="002A006D">
        <w:rPr>
          <w:rFonts w:ascii="Arial" w:hAnsi="Arial" w:cs="Arial"/>
          <w:i/>
          <w:iCs/>
        </w:rPr>
        <w:t>Key lines of enquiry for adult social care services</w:t>
      </w:r>
      <w:r w:rsidRPr="002A006D">
        <w:rPr>
          <w:rFonts w:ascii="Arial" w:hAnsi="Arial" w:cs="Arial"/>
        </w:rPr>
        <w:t>. Newcastle upon Tyne: CQC.</w:t>
      </w:r>
    </w:p>
    <w:p w14:paraId="0A7F8EBB" w14:textId="644AC667" w:rsidR="002A006D" w:rsidRDefault="002A006D" w:rsidP="0048210A">
      <w:pPr>
        <w:rPr>
          <w:rFonts w:ascii="Arial" w:hAnsi="Arial" w:cs="Arial"/>
        </w:rPr>
      </w:pPr>
      <w:r w:rsidRPr="002A006D">
        <w:rPr>
          <w:rFonts w:ascii="Arial" w:hAnsi="Arial" w:cs="Arial"/>
          <w:i/>
          <w:iCs/>
        </w:rPr>
        <w:t>Data Protection Act 2018</w:t>
      </w:r>
      <w:r w:rsidRPr="002A006D">
        <w:rPr>
          <w:rFonts w:ascii="Arial" w:hAnsi="Arial" w:cs="Arial"/>
        </w:rPr>
        <w:t>, c. 12. Available at: </w:t>
      </w:r>
      <w:hyperlink r:id="rId8" w:tgtFrame="_blank" w:history="1">
        <w:r w:rsidRPr="002A006D">
          <w:rPr>
            <w:rStyle w:val="Hyperlink"/>
            <w:rFonts w:ascii="Arial" w:hAnsi="Arial" w:cs="Arial"/>
          </w:rPr>
          <w:t>https://www.legislation.gov.uk/ukpga/2018/12/contents</w:t>
        </w:r>
      </w:hyperlink>
      <w:r w:rsidRPr="002A006D">
        <w:rPr>
          <w:rFonts w:ascii="Arial" w:hAnsi="Arial" w:cs="Arial"/>
        </w:rPr>
        <w:t> (Accessed: 16 February 2026).</w:t>
      </w:r>
    </w:p>
    <w:p w14:paraId="082D01EC" w14:textId="2ADDB335" w:rsidR="00EA383E" w:rsidRDefault="002A006D" w:rsidP="0048210A">
      <w:pPr>
        <w:rPr>
          <w:rFonts w:ascii="Arial" w:hAnsi="Arial" w:cs="Arial"/>
        </w:rPr>
      </w:pPr>
      <w:r w:rsidRPr="002A006D">
        <w:rPr>
          <w:rFonts w:ascii="Arial" w:hAnsi="Arial" w:cs="Arial"/>
        </w:rPr>
        <w:t>Department of Health and Social Care (DHSC) (2022) </w:t>
      </w:r>
      <w:r w:rsidRPr="002A006D">
        <w:rPr>
          <w:rFonts w:ascii="Arial" w:hAnsi="Arial" w:cs="Arial"/>
          <w:i/>
          <w:iCs/>
        </w:rPr>
        <w:t>Digitising Social Care Records</w:t>
      </w:r>
      <w:r w:rsidRPr="002A006D">
        <w:rPr>
          <w:rFonts w:ascii="Arial" w:hAnsi="Arial" w:cs="Arial"/>
        </w:rPr>
        <w:t>. London: DHSC.</w:t>
      </w:r>
    </w:p>
    <w:p w14:paraId="603202A0" w14:textId="77777777" w:rsidR="002A006D" w:rsidRDefault="002A006D" w:rsidP="0048210A">
      <w:pPr>
        <w:rPr>
          <w:rFonts w:ascii="Arial" w:hAnsi="Arial" w:cs="Arial"/>
        </w:rPr>
      </w:pPr>
      <w:r w:rsidRPr="002A006D">
        <w:rPr>
          <w:rFonts w:ascii="Arial" w:hAnsi="Arial" w:cs="Arial"/>
        </w:rPr>
        <w:t>Department of Health and Social Care (DHSC) (2022a) </w:t>
      </w:r>
      <w:r w:rsidRPr="002A006D">
        <w:rPr>
          <w:rFonts w:ascii="Arial" w:hAnsi="Arial" w:cs="Arial"/>
          <w:i/>
          <w:iCs/>
        </w:rPr>
        <w:t>A plan for digital health and social care</w:t>
      </w:r>
      <w:r w:rsidRPr="002A006D">
        <w:rPr>
          <w:rFonts w:ascii="Arial" w:hAnsi="Arial" w:cs="Arial"/>
        </w:rPr>
        <w:t>. London: DHSC.</w:t>
      </w:r>
    </w:p>
    <w:p w14:paraId="799BA0D8" w14:textId="77777777" w:rsidR="002A006D" w:rsidRDefault="002A006D" w:rsidP="0048210A">
      <w:pPr>
        <w:rPr>
          <w:rFonts w:ascii="Arial" w:hAnsi="Arial" w:cs="Arial"/>
        </w:rPr>
      </w:pPr>
      <w:r w:rsidRPr="002A006D">
        <w:rPr>
          <w:rFonts w:ascii="Arial" w:hAnsi="Arial" w:cs="Arial"/>
        </w:rPr>
        <w:t>Galis, V. and Vlassis, V.S. (eds.) (2025) </w:t>
      </w:r>
      <w:r w:rsidRPr="002A006D">
        <w:rPr>
          <w:rFonts w:ascii="Arial" w:hAnsi="Arial" w:cs="Arial"/>
          <w:i/>
          <w:iCs/>
        </w:rPr>
        <w:t>Digitalization, Data and Welfare: Sociotechnical Approaches to Service Delivery</w:t>
      </w:r>
      <w:r w:rsidRPr="002A006D">
        <w:rPr>
          <w:rFonts w:ascii="Arial" w:hAnsi="Arial" w:cs="Arial"/>
        </w:rPr>
        <w:t>. 1st edn. Cheltenham: Edward Elgar Publishing.</w:t>
      </w:r>
    </w:p>
    <w:p w14:paraId="71C095C3" w14:textId="77777777" w:rsidR="00EA383E" w:rsidRDefault="002A006D" w:rsidP="0048210A">
      <w:pPr>
        <w:rPr>
          <w:rFonts w:ascii="Arial" w:hAnsi="Arial" w:cs="Arial"/>
        </w:rPr>
      </w:pPr>
      <w:r w:rsidRPr="002A006D">
        <w:rPr>
          <w:rFonts w:ascii="Arial" w:hAnsi="Arial" w:cs="Arial"/>
        </w:rPr>
        <w:t>House of Commons Health and Social Care Committee (2023) </w:t>
      </w:r>
      <w:r w:rsidRPr="002A006D">
        <w:rPr>
          <w:rFonts w:ascii="Arial" w:hAnsi="Arial" w:cs="Arial"/>
          <w:i/>
          <w:iCs/>
        </w:rPr>
        <w:t>Digitisation in social care: Fourth report of session 2022–23</w:t>
      </w:r>
      <w:r w:rsidRPr="002A006D">
        <w:rPr>
          <w:rFonts w:ascii="Arial" w:hAnsi="Arial" w:cs="Arial"/>
        </w:rPr>
        <w:t>. London: House of Commons</w:t>
      </w:r>
    </w:p>
    <w:p w14:paraId="745F9B67" w14:textId="54A086E2" w:rsidR="002A006D" w:rsidRDefault="002A006D" w:rsidP="0048210A">
      <w:pPr>
        <w:rPr>
          <w:rFonts w:ascii="Arial" w:hAnsi="Arial" w:cs="Arial"/>
        </w:rPr>
      </w:pPr>
      <w:r w:rsidRPr="002A006D">
        <w:rPr>
          <w:rFonts w:ascii="Arial" w:hAnsi="Arial" w:cs="Arial"/>
        </w:rPr>
        <w:t>Ingram, D. (2023) *Health Care in the Information Society: Volume 2 - from Anarchy of Transition to Programme for Reform*. 1st edn. Cambridge: Open Book Publishers.</w:t>
      </w:r>
    </w:p>
    <w:p w14:paraId="12D9AC44" w14:textId="77777777" w:rsidR="002A006D" w:rsidRDefault="002A006D" w:rsidP="0048210A">
      <w:pPr>
        <w:rPr>
          <w:rFonts w:ascii="Arial" w:hAnsi="Arial" w:cs="Arial"/>
        </w:rPr>
      </w:pPr>
      <w:r w:rsidRPr="002A006D">
        <w:rPr>
          <w:rFonts w:ascii="Arial" w:hAnsi="Arial" w:cs="Arial"/>
        </w:rPr>
        <w:t>NHS England (2021) </w:t>
      </w:r>
      <w:r w:rsidRPr="002A006D">
        <w:rPr>
          <w:rFonts w:ascii="Arial" w:hAnsi="Arial" w:cs="Arial"/>
          <w:i/>
          <w:iCs/>
        </w:rPr>
        <w:t>What good looks like framework</w:t>
      </w:r>
      <w:r w:rsidRPr="002A006D">
        <w:rPr>
          <w:rFonts w:ascii="Arial" w:hAnsi="Arial" w:cs="Arial"/>
        </w:rPr>
        <w:t>. London: NHS England.</w:t>
      </w:r>
    </w:p>
    <w:p w14:paraId="43B26B45" w14:textId="77777777" w:rsidR="002A006D" w:rsidRDefault="002A006D" w:rsidP="0048210A">
      <w:pPr>
        <w:rPr>
          <w:rFonts w:ascii="Arial" w:hAnsi="Arial" w:cs="Arial"/>
        </w:rPr>
      </w:pPr>
      <w:r w:rsidRPr="002A006D">
        <w:rPr>
          <w:rFonts w:ascii="Arial" w:hAnsi="Arial" w:cs="Arial"/>
        </w:rPr>
        <w:t>Skills for Care (2023) </w:t>
      </w:r>
      <w:r w:rsidRPr="002A006D">
        <w:rPr>
          <w:rFonts w:ascii="Arial" w:hAnsi="Arial" w:cs="Arial"/>
          <w:i/>
          <w:iCs/>
        </w:rPr>
        <w:t>The State of the Adult Social Care Sector and Workforce in England</w:t>
      </w:r>
      <w:r w:rsidRPr="002A006D">
        <w:rPr>
          <w:rFonts w:ascii="Arial" w:hAnsi="Arial" w:cs="Arial"/>
        </w:rPr>
        <w:t>. Leeds: Skills for Care.</w:t>
      </w:r>
    </w:p>
    <w:p w14:paraId="2ECA033E" w14:textId="77777777" w:rsidR="002A006D" w:rsidRDefault="002A006D" w:rsidP="0048210A">
      <w:pPr>
        <w:rPr>
          <w:rFonts w:ascii="Arial" w:hAnsi="Arial" w:cs="Arial"/>
        </w:rPr>
      </w:pPr>
      <w:r w:rsidRPr="002A006D">
        <w:rPr>
          <w:rFonts w:ascii="Arial" w:hAnsi="Arial" w:cs="Arial"/>
        </w:rPr>
        <w:t>Snow, M., Silva-Ribeiro, W., Baginsky, M., Di Giorgio, S., Farrelly, N., Larkins, C., Poole, K., Steils, N., Westwood, J. and Malley, J. (2025) 'Best Practices for Implementing Electronic Care Records in Adult Social Care: Rapid Scoping Review', </w:t>
      </w:r>
      <w:r w:rsidRPr="002A006D">
        <w:rPr>
          <w:rFonts w:ascii="Arial" w:hAnsi="Arial" w:cs="Arial"/>
          <w:i/>
          <w:iCs/>
        </w:rPr>
        <w:t>JMIR Aging</w:t>
      </w:r>
      <w:r w:rsidRPr="002A006D">
        <w:rPr>
          <w:rFonts w:ascii="Arial" w:hAnsi="Arial" w:cs="Arial"/>
        </w:rPr>
        <w:t>, 8, p. e60107. doi: 10.2196/60107.</w:t>
      </w:r>
    </w:p>
    <w:p w14:paraId="16EB3ED0" w14:textId="77777777" w:rsidR="002A006D" w:rsidRDefault="002A006D" w:rsidP="0048210A">
      <w:pPr>
        <w:rPr>
          <w:rFonts w:ascii="Arial" w:hAnsi="Arial" w:cs="Arial"/>
        </w:rPr>
      </w:pPr>
      <w:r w:rsidRPr="002A006D">
        <w:rPr>
          <w:rFonts w:ascii="Arial" w:hAnsi="Arial" w:cs="Arial"/>
        </w:rPr>
        <w:t>Stoumpos, A.I., Kitsios, F. and Talias, M.A. (2023) 'Digital Transformation in Healthcare: Technology Acceptance and Its Applications', </w:t>
      </w:r>
      <w:r w:rsidRPr="002A006D">
        <w:rPr>
          <w:rFonts w:ascii="Arial" w:hAnsi="Arial" w:cs="Arial"/>
          <w:i/>
          <w:iCs/>
        </w:rPr>
        <w:t>International Journal of Environmental Research and Public Health</w:t>
      </w:r>
      <w:r w:rsidRPr="002A006D">
        <w:rPr>
          <w:rFonts w:ascii="Arial" w:hAnsi="Arial" w:cs="Arial"/>
        </w:rPr>
        <w:t>, 20(4), p. 3407.</w:t>
      </w:r>
    </w:p>
    <w:p w14:paraId="59D56A82" w14:textId="77777777" w:rsidR="002A006D" w:rsidRDefault="002A006D" w:rsidP="0048210A">
      <w:pPr>
        <w:rPr>
          <w:rFonts w:ascii="Arial" w:hAnsi="Arial" w:cs="Arial"/>
        </w:rPr>
      </w:pPr>
      <w:r w:rsidRPr="002A006D">
        <w:rPr>
          <w:rFonts w:ascii="Arial" w:hAnsi="Arial" w:cs="Arial"/>
        </w:rPr>
        <w:t>Think Local Act Personal (TLAP) (2022) </w:t>
      </w:r>
      <w:r w:rsidRPr="002A006D">
        <w:rPr>
          <w:rFonts w:ascii="Arial" w:hAnsi="Arial" w:cs="Arial"/>
          <w:i/>
          <w:iCs/>
        </w:rPr>
        <w:t>Making it Real: Embedding Co-production</w:t>
      </w:r>
      <w:r w:rsidRPr="002A006D">
        <w:rPr>
          <w:rFonts w:ascii="Arial" w:hAnsi="Arial" w:cs="Arial"/>
        </w:rPr>
        <w:t>. London: TLAP.</w:t>
      </w:r>
    </w:p>
    <w:p w14:paraId="6B63D8DD" w14:textId="77777777" w:rsidR="002A006D" w:rsidRPr="002A006D" w:rsidRDefault="002A006D" w:rsidP="0048210A">
      <w:pPr>
        <w:rPr>
          <w:rFonts w:ascii="Arial" w:hAnsi="Arial" w:cs="Arial"/>
        </w:rPr>
      </w:pPr>
      <w:r w:rsidRPr="002A006D">
        <w:rPr>
          <w:rFonts w:ascii="Arial" w:hAnsi="Arial" w:cs="Arial"/>
        </w:rPr>
        <w:t>Utami, E.W., Shaleh, C., Setyowati, E., Hermawan, H., Amir, H.T., Irtanto, I. and Prasetyo, A. (2026) 'Digitization of hospital administration and public service reform: integration of technology and humanistic values', </w:t>
      </w:r>
      <w:r w:rsidRPr="002A006D">
        <w:rPr>
          <w:rFonts w:ascii="Arial" w:hAnsi="Arial" w:cs="Arial"/>
          <w:i/>
          <w:iCs/>
        </w:rPr>
        <w:t>Frontiers in Public Health</w:t>
      </w:r>
      <w:r w:rsidRPr="002A006D">
        <w:rPr>
          <w:rFonts w:ascii="Arial" w:hAnsi="Arial" w:cs="Arial"/>
        </w:rPr>
        <w:t>, 13.</w:t>
      </w:r>
    </w:p>
    <w:p w14:paraId="1E5ACA78" w14:textId="77777777" w:rsidR="002A006D" w:rsidRPr="00A246DB" w:rsidRDefault="002A006D" w:rsidP="0048210A">
      <w:pPr>
        <w:rPr>
          <w:rFonts w:ascii="Arial" w:hAnsi="Arial" w:cs="Arial"/>
        </w:rPr>
      </w:pPr>
    </w:p>
    <w:p w14:paraId="56C3A90F" w14:textId="77777777" w:rsidR="00566CC6" w:rsidRPr="00DF112B" w:rsidRDefault="00566CC6" w:rsidP="0048210A">
      <w:pPr>
        <w:rPr>
          <w:rFonts w:ascii="Arial" w:hAnsi="Arial" w:cs="Arial"/>
        </w:rPr>
      </w:pPr>
    </w:p>
    <w:sectPr w:rsidR="00566CC6" w:rsidRPr="00DF112B" w:rsidSect="000819C4">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9647A" w14:textId="77777777" w:rsidR="004D7D77" w:rsidRDefault="004D7D77" w:rsidP="005D4CD2">
      <w:pPr>
        <w:spacing w:after="0" w:line="240" w:lineRule="auto"/>
      </w:pPr>
      <w:r>
        <w:separator/>
      </w:r>
    </w:p>
  </w:endnote>
  <w:endnote w:type="continuationSeparator" w:id="0">
    <w:p w14:paraId="175012D1" w14:textId="77777777" w:rsidR="004D7D77" w:rsidRDefault="004D7D77" w:rsidP="005D4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380231"/>
      <w:docPartObj>
        <w:docPartGallery w:val="Page Numbers (Bottom of Page)"/>
        <w:docPartUnique/>
      </w:docPartObj>
    </w:sdtPr>
    <w:sdtContent>
      <w:p w14:paraId="5A624195" w14:textId="323921B4" w:rsidR="00536485" w:rsidRDefault="00536485">
        <w:pPr>
          <w:pStyle w:val="Footer"/>
          <w:jc w:val="right"/>
        </w:pPr>
        <w:r>
          <w:fldChar w:fldCharType="begin"/>
        </w:r>
        <w:r>
          <w:instrText>PAGE   \* MERGEFORMAT</w:instrText>
        </w:r>
        <w:r>
          <w:fldChar w:fldCharType="separate"/>
        </w:r>
        <w:r>
          <w:t>2</w:t>
        </w:r>
        <w:r>
          <w:fldChar w:fldCharType="end"/>
        </w:r>
      </w:p>
    </w:sdtContent>
  </w:sdt>
  <w:p w14:paraId="73AE969C" w14:textId="77777777" w:rsidR="003C142C" w:rsidRDefault="003C1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16107" w14:textId="77777777" w:rsidR="004D7D77" w:rsidRDefault="004D7D77" w:rsidP="005D4CD2">
      <w:pPr>
        <w:spacing w:after="0" w:line="240" w:lineRule="auto"/>
      </w:pPr>
      <w:r>
        <w:separator/>
      </w:r>
    </w:p>
  </w:footnote>
  <w:footnote w:type="continuationSeparator" w:id="0">
    <w:p w14:paraId="28E5BFED" w14:textId="77777777" w:rsidR="004D7D77" w:rsidRDefault="004D7D77" w:rsidP="005D4C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CC6"/>
    <w:rsid w:val="000575DC"/>
    <w:rsid w:val="000744AC"/>
    <w:rsid w:val="000819C4"/>
    <w:rsid w:val="00082B09"/>
    <w:rsid w:val="0009127A"/>
    <w:rsid w:val="000C7F01"/>
    <w:rsid w:val="000E50F9"/>
    <w:rsid w:val="00101E73"/>
    <w:rsid w:val="0012547F"/>
    <w:rsid w:val="00163E39"/>
    <w:rsid w:val="001644EA"/>
    <w:rsid w:val="00186B58"/>
    <w:rsid w:val="001A7B41"/>
    <w:rsid w:val="001D6A59"/>
    <w:rsid w:val="002650FF"/>
    <w:rsid w:val="00266B2E"/>
    <w:rsid w:val="00282B64"/>
    <w:rsid w:val="002A006D"/>
    <w:rsid w:val="002A6CB9"/>
    <w:rsid w:val="002C0DE9"/>
    <w:rsid w:val="002D7012"/>
    <w:rsid w:val="003125DB"/>
    <w:rsid w:val="00323FD2"/>
    <w:rsid w:val="00356457"/>
    <w:rsid w:val="00363841"/>
    <w:rsid w:val="00367E95"/>
    <w:rsid w:val="003822C9"/>
    <w:rsid w:val="0038272D"/>
    <w:rsid w:val="003C142C"/>
    <w:rsid w:val="003C6287"/>
    <w:rsid w:val="003D168C"/>
    <w:rsid w:val="003F5374"/>
    <w:rsid w:val="003F5AB9"/>
    <w:rsid w:val="00435CC8"/>
    <w:rsid w:val="00454594"/>
    <w:rsid w:val="0048210A"/>
    <w:rsid w:val="00494EA1"/>
    <w:rsid w:val="004B4C17"/>
    <w:rsid w:val="004D02C9"/>
    <w:rsid w:val="004D07B9"/>
    <w:rsid w:val="004D2344"/>
    <w:rsid w:val="004D7D77"/>
    <w:rsid w:val="004F4188"/>
    <w:rsid w:val="005075E7"/>
    <w:rsid w:val="00536485"/>
    <w:rsid w:val="00536A09"/>
    <w:rsid w:val="0054679C"/>
    <w:rsid w:val="00553EA8"/>
    <w:rsid w:val="00566CC6"/>
    <w:rsid w:val="00575726"/>
    <w:rsid w:val="005C44F3"/>
    <w:rsid w:val="005D4CD2"/>
    <w:rsid w:val="005E0B91"/>
    <w:rsid w:val="005E120E"/>
    <w:rsid w:val="005E2D5C"/>
    <w:rsid w:val="006137B9"/>
    <w:rsid w:val="00622A93"/>
    <w:rsid w:val="00656AA3"/>
    <w:rsid w:val="00662D8C"/>
    <w:rsid w:val="00696D5A"/>
    <w:rsid w:val="006A5912"/>
    <w:rsid w:val="006E3C10"/>
    <w:rsid w:val="006F0F7E"/>
    <w:rsid w:val="00725F85"/>
    <w:rsid w:val="00743C81"/>
    <w:rsid w:val="007824C5"/>
    <w:rsid w:val="007A44F4"/>
    <w:rsid w:val="007B0FF0"/>
    <w:rsid w:val="007C6F6D"/>
    <w:rsid w:val="007D7850"/>
    <w:rsid w:val="007F5B04"/>
    <w:rsid w:val="0081091E"/>
    <w:rsid w:val="008166D4"/>
    <w:rsid w:val="00821404"/>
    <w:rsid w:val="008339E0"/>
    <w:rsid w:val="00847A43"/>
    <w:rsid w:val="008655A7"/>
    <w:rsid w:val="00874005"/>
    <w:rsid w:val="0087779D"/>
    <w:rsid w:val="008C1D23"/>
    <w:rsid w:val="008C47F2"/>
    <w:rsid w:val="008F303D"/>
    <w:rsid w:val="00911222"/>
    <w:rsid w:val="00915596"/>
    <w:rsid w:val="00921631"/>
    <w:rsid w:val="00970C9C"/>
    <w:rsid w:val="009806C2"/>
    <w:rsid w:val="009D148E"/>
    <w:rsid w:val="009F6398"/>
    <w:rsid w:val="00A246DB"/>
    <w:rsid w:val="00A64675"/>
    <w:rsid w:val="00A91C30"/>
    <w:rsid w:val="00AB155F"/>
    <w:rsid w:val="00AB2B36"/>
    <w:rsid w:val="00AC3A51"/>
    <w:rsid w:val="00AE7FE5"/>
    <w:rsid w:val="00AF4050"/>
    <w:rsid w:val="00B02412"/>
    <w:rsid w:val="00B148B0"/>
    <w:rsid w:val="00B16425"/>
    <w:rsid w:val="00B167B3"/>
    <w:rsid w:val="00B35332"/>
    <w:rsid w:val="00B408B0"/>
    <w:rsid w:val="00B460E2"/>
    <w:rsid w:val="00B50F0F"/>
    <w:rsid w:val="00B52D5A"/>
    <w:rsid w:val="00B74AE5"/>
    <w:rsid w:val="00B76D1C"/>
    <w:rsid w:val="00B822A9"/>
    <w:rsid w:val="00BB55E5"/>
    <w:rsid w:val="00BC1D2C"/>
    <w:rsid w:val="00BD5C26"/>
    <w:rsid w:val="00C10E59"/>
    <w:rsid w:val="00C27899"/>
    <w:rsid w:val="00C36999"/>
    <w:rsid w:val="00C52E95"/>
    <w:rsid w:val="00C628C7"/>
    <w:rsid w:val="00CC12F1"/>
    <w:rsid w:val="00D07B53"/>
    <w:rsid w:val="00D12E42"/>
    <w:rsid w:val="00D45EB5"/>
    <w:rsid w:val="00D46EF4"/>
    <w:rsid w:val="00D553C4"/>
    <w:rsid w:val="00D665F5"/>
    <w:rsid w:val="00D75E68"/>
    <w:rsid w:val="00D82C5F"/>
    <w:rsid w:val="00DA04BE"/>
    <w:rsid w:val="00DA5A34"/>
    <w:rsid w:val="00DA7947"/>
    <w:rsid w:val="00DB65E3"/>
    <w:rsid w:val="00DC782F"/>
    <w:rsid w:val="00DE12C4"/>
    <w:rsid w:val="00DF112B"/>
    <w:rsid w:val="00E03C84"/>
    <w:rsid w:val="00E409A6"/>
    <w:rsid w:val="00E63DFC"/>
    <w:rsid w:val="00E77ED8"/>
    <w:rsid w:val="00E851B8"/>
    <w:rsid w:val="00EA383E"/>
    <w:rsid w:val="00EB4C0F"/>
    <w:rsid w:val="00ED33FB"/>
    <w:rsid w:val="00ED65FB"/>
    <w:rsid w:val="00F00AE6"/>
    <w:rsid w:val="00F0355E"/>
    <w:rsid w:val="00F43AC6"/>
    <w:rsid w:val="00F87FA5"/>
    <w:rsid w:val="00F92CBD"/>
    <w:rsid w:val="00FB0B52"/>
    <w:rsid w:val="00FB2AAE"/>
    <w:rsid w:val="00FC1F3B"/>
    <w:rsid w:val="00FD31F9"/>
    <w:rsid w:val="00FD7B9F"/>
    <w:rsid w:val="00FE7A5A"/>
    <w:rsid w:val="00FF5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58B6D"/>
  <w15:chartTrackingRefBased/>
  <w15:docId w15:val="{7D9B7525-FF01-45D6-A0D9-0D2BDB9C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C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C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6C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C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C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C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C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C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C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C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C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6C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C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C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C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C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C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CC6"/>
    <w:rPr>
      <w:rFonts w:eastAsiaTheme="majorEastAsia" w:cstheme="majorBidi"/>
      <w:color w:val="272727" w:themeColor="text1" w:themeTint="D8"/>
    </w:rPr>
  </w:style>
  <w:style w:type="paragraph" w:styleId="Title">
    <w:name w:val="Title"/>
    <w:basedOn w:val="Normal"/>
    <w:next w:val="Normal"/>
    <w:link w:val="TitleChar"/>
    <w:uiPriority w:val="10"/>
    <w:qFormat/>
    <w:rsid w:val="00566C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C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C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C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CC6"/>
    <w:pPr>
      <w:spacing w:before="160"/>
      <w:jc w:val="center"/>
    </w:pPr>
    <w:rPr>
      <w:i/>
      <w:iCs/>
      <w:color w:val="404040" w:themeColor="text1" w:themeTint="BF"/>
    </w:rPr>
  </w:style>
  <w:style w:type="character" w:customStyle="1" w:styleId="QuoteChar">
    <w:name w:val="Quote Char"/>
    <w:basedOn w:val="DefaultParagraphFont"/>
    <w:link w:val="Quote"/>
    <w:uiPriority w:val="29"/>
    <w:rsid w:val="00566CC6"/>
    <w:rPr>
      <w:i/>
      <w:iCs/>
      <w:color w:val="404040" w:themeColor="text1" w:themeTint="BF"/>
    </w:rPr>
  </w:style>
  <w:style w:type="paragraph" w:styleId="ListParagraph">
    <w:name w:val="List Paragraph"/>
    <w:basedOn w:val="Normal"/>
    <w:uiPriority w:val="34"/>
    <w:qFormat/>
    <w:rsid w:val="00566CC6"/>
    <w:pPr>
      <w:ind w:left="720"/>
      <w:contextualSpacing/>
    </w:pPr>
  </w:style>
  <w:style w:type="character" w:styleId="IntenseEmphasis">
    <w:name w:val="Intense Emphasis"/>
    <w:basedOn w:val="DefaultParagraphFont"/>
    <w:uiPriority w:val="21"/>
    <w:qFormat/>
    <w:rsid w:val="00566CC6"/>
    <w:rPr>
      <w:i/>
      <w:iCs/>
      <w:color w:val="0F4761" w:themeColor="accent1" w:themeShade="BF"/>
    </w:rPr>
  </w:style>
  <w:style w:type="paragraph" w:styleId="IntenseQuote">
    <w:name w:val="Intense Quote"/>
    <w:basedOn w:val="Normal"/>
    <w:next w:val="Normal"/>
    <w:link w:val="IntenseQuoteChar"/>
    <w:uiPriority w:val="30"/>
    <w:qFormat/>
    <w:rsid w:val="00566C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CC6"/>
    <w:rPr>
      <w:i/>
      <w:iCs/>
      <w:color w:val="0F4761" w:themeColor="accent1" w:themeShade="BF"/>
    </w:rPr>
  </w:style>
  <w:style w:type="character" w:styleId="IntenseReference">
    <w:name w:val="Intense Reference"/>
    <w:basedOn w:val="DefaultParagraphFont"/>
    <w:uiPriority w:val="32"/>
    <w:qFormat/>
    <w:rsid w:val="00566CC6"/>
    <w:rPr>
      <w:b/>
      <w:bCs/>
      <w:smallCaps/>
      <w:color w:val="0F4761" w:themeColor="accent1" w:themeShade="BF"/>
      <w:spacing w:val="5"/>
    </w:rPr>
  </w:style>
  <w:style w:type="paragraph" w:styleId="Header">
    <w:name w:val="header"/>
    <w:basedOn w:val="Normal"/>
    <w:link w:val="HeaderChar"/>
    <w:uiPriority w:val="99"/>
    <w:unhideWhenUsed/>
    <w:rsid w:val="005D4C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CD2"/>
  </w:style>
  <w:style w:type="paragraph" w:styleId="Footer">
    <w:name w:val="footer"/>
    <w:basedOn w:val="Normal"/>
    <w:link w:val="FooterChar"/>
    <w:uiPriority w:val="99"/>
    <w:unhideWhenUsed/>
    <w:rsid w:val="005D4C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CD2"/>
  </w:style>
  <w:style w:type="character" w:styleId="Hyperlink">
    <w:name w:val="Hyperlink"/>
    <w:basedOn w:val="DefaultParagraphFont"/>
    <w:uiPriority w:val="99"/>
    <w:unhideWhenUsed/>
    <w:rsid w:val="002A006D"/>
    <w:rPr>
      <w:color w:val="467886" w:themeColor="hyperlink"/>
      <w:u w:val="single"/>
    </w:rPr>
  </w:style>
  <w:style w:type="character" w:styleId="UnresolvedMention">
    <w:name w:val="Unresolved Mention"/>
    <w:basedOn w:val="DefaultParagraphFont"/>
    <w:uiPriority w:val="99"/>
    <w:semiHidden/>
    <w:unhideWhenUsed/>
    <w:rsid w:val="002A0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7</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Baidar Begum</dc:creator>
  <cp:keywords/>
  <dc:description/>
  <cp:lastModifiedBy>Baidar Begum</cp:lastModifiedBy>
  <cp:revision>127</cp:revision>
  <dcterms:created xsi:type="dcterms:W3CDTF">2026-02-16T15:43:00Z</dcterms:created>
  <dcterms:modified xsi:type="dcterms:W3CDTF">2026-02-27T10:29:00Z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faab871e-182b-411b-848a-04068cb6a6f5</vt:lpwstr>
  </property>
</Properties>
</file>