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intelligence.xml" ContentType="application/vnd.ms-office.intelligence+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252A" w:rsidRDefault="7F9B0FF6" w:rsidP="30C00371">
      <w:pPr>
        <w:jc w:val="center"/>
      </w:pPr>
      <w:r>
        <w:rPr>
          <w:noProof/>
          <w:lang w:val="en-US"/>
        </w:rPr>
        <w:drawing>
          <wp:inline distT="0" distB="0" distL="0" distR="0">
            <wp:extent cx="2828925" cy="1285875"/>
            <wp:effectExtent l="0" t="0" r="0" b="0"/>
            <wp:docPr id="104369517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extLst>
                        <a:ext uri="{28A0092B-C50C-407E-A947-70E740481C1C}">
                          <a14:useLocalDpi xmlns:wp14="http://schemas.microsoft.com/office/word/2010/wordprocessingDrawing"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828925" cy="1285875"/>
                    </a:xfrm>
                    <a:prstGeom prst="rect">
                      <a:avLst/>
                    </a:prstGeom>
                  </pic:spPr>
                </pic:pic>
              </a:graphicData>
            </a:graphic>
          </wp:inline>
        </w:drawing>
      </w:r>
    </w:p>
    <w:p w:rsidR="30C00371" w:rsidRDefault="30C00371" w:rsidP="30C00371">
      <w:pPr>
        <w:jc w:val="center"/>
      </w:pPr>
    </w:p>
    <w:p w:rsidR="7F9B0FF6" w:rsidRDefault="7F9B0FF6" w:rsidP="30C00371">
      <w:pPr>
        <w:jc w:val="center"/>
        <w:rPr>
          <w:rFonts w:ascii="Arial" w:eastAsia="Arial" w:hAnsi="Arial" w:cs="Arial"/>
          <w:color w:val="000000" w:themeColor="text1"/>
          <w:sz w:val="28"/>
          <w:szCs w:val="28"/>
        </w:rPr>
      </w:pPr>
      <w:r w:rsidRPr="30C00371">
        <w:rPr>
          <w:rFonts w:ascii="Arial" w:eastAsia="Arial" w:hAnsi="Arial" w:cs="Arial"/>
          <w:b/>
          <w:bCs/>
          <w:color w:val="000000" w:themeColor="text1"/>
          <w:sz w:val="28"/>
          <w:szCs w:val="28"/>
        </w:rPr>
        <w:t>Principles of Health and Social Care Practice</w:t>
      </w:r>
    </w:p>
    <w:p w:rsidR="7F9B0FF6" w:rsidRDefault="7F9B0FF6" w:rsidP="30C00371">
      <w:pPr>
        <w:jc w:val="center"/>
        <w:rPr>
          <w:rFonts w:ascii="Arial" w:eastAsia="Arial" w:hAnsi="Arial" w:cs="Arial"/>
          <w:color w:val="000000" w:themeColor="text1"/>
          <w:sz w:val="28"/>
          <w:szCs w:val="28"/>
        </w:rPr>
      </w:pPr>
      <w:r w:rsidRPr="30C00371">
        <w:rPr>
          <w:rFonts w:ascii="Arial" w:eastAsia="Arial" w:hAnsi="Arial" w:cs="Arial"/>
          <w:b/>
          <w:bCs/>
          <w:color w:val="000000" w:themeColor="text1"/>
          <w:sz w:val="28"/>
          <w:szCs w:val="28"/>
        </w:rPr>
        <w:t>(BMHP5002_LON)</w:t>
      </w:r>
    </w:p>
    <w:p w:rsidR="7F9B0FF6" w:rsidRDefault="7F9B0FF6" w:rsidP="30C00371">
      <w:pPr>
        <w:jc w:val="center"/>
        <w:rPr>
          <w:rFonts w:ascii="Arial" w:eastAsia="Arial" w:hAnsi="Arial" w:cs="Arial"/>
          <w:color w:val="000000" w:themeColor="text1"/>
          <w:sz w:val="28"/>
          <w:szCs w:val="28"/>
        </w:rPr>
      </w:pPr>
      <w:r w:rsidRPr="30C00371">
        <w:rPr>
          <w:rFonts w:ascii="Arial" w:eastAsia="Arial" w:hAnsi="Arial" w:cs="Arial"/>
          <w:b/>
          <w:bCs/>
          <w:color w:val="000000" w:themeColor="text1"/>
          <w:sz w:val="28"/>
          <w:szCs w:val="28"/>
        </w:rPr>
        <w:t xml:space="preserve"> </w:t>
      </w:r>
    </w:p>
    <w:p w:rsidR="7F9B0FF6" w:rsidRDefault="7F9B0FF6" w:rsidP="30C00371">
      <w:pPr>
        <w:jc w:val="center"/>
        <w:rPr>
          <w:rFonts w:ascii="Arial" w:eastAsia="Arial" w:hAnsi="Arial" w:cs="Arial"/>
          <w:color w:val="000000" w:themeColor="text1"/>
          <w:sz w:val="28"/>
          <w:szCs w:val="28"/>
        </w:rPr>
      </w:pPr>
      <w:r w:rsidRPr="30C00371">
        <w:rPr>
          <w:rFonts w:ascii="Arial" w:eastAsia="Arial" w:hAnsi="Arial" w:cs="Arial"/>
          <w:b/>
          <w:bCs/>
          <w:color w:val="000000" w:themeColor="text1"/>
          <w:sz w:val="28"/>
          <w:szCs w:val="28"/>
        </w:rPr>
        <w:t xml:space="preserve"> </w:t>
      </w:r>
    </w:p>
    <w:p w:rsidR="7F9B0FF6" w:rsidRDefault="7F9B0FF6" w:rsidP="30C00371">
      <w:pPr>
        <w:jc w:val="center"/>
        <w:rPr>
          <w:rFonts w:ascii="Arial" w:eastAsia="Arial" w:hAnsi="Arial" w:cs="Arial"/>
          <w:color w:val="000000" w:themeColor="text1"/>
          <w:sz w:val="28"/>
          <w:szCs w:val="28"/>
        </w:rPr>
      </w:pPr>
      <w:r w:rsidRPr="30C00371">
        <w:rPr>
          <w:rFonts w:ascii="Arial" w:eastAsia="Arial" w:hAnsi="Arial" w:cs="Arial"/>
          <w:b/>
          <w:bCs/>
          <w:color w:val="000000" w:themeColor="text1"/>
          <w:sz w:val="28"/>
          <w:szCs w:val="28"/>
          <w:u w:val="single"/>
        </w:rPr>
        <w:t xml:space="preserve">Assessment Component 2 </w:t>
      </w:r>
    </w:p>
    <w:p w:rsidR="7F9B0FF6" w:rsidRDefault="7F9B0FF6" w:rsidP="30C00371">
      <w:pPr>
        <w:jc w:val="center"/>
        <w:rPr>
          <w:rFonts w:ascii="Arial" w:eastAsia="Arial" w:hAnsi="Arial" w:cs="Arial"/>
          <w:color w:val="000000" w:themeColor="text1"/>
          <w:sz w:val="28"/>
          <w:szCs w:val="28"/>
        </w:rPr>
      </w:pPr>
      <w:r w:rsidRPr="30C00371">
        <w:rPr>
          <w:rFonts w:ascii="Arial" w:eastAsia="Arial" w:hAnsi="Arial" w:cs="Arial"/>
          <w:b/>
          <w:bCs/>
          <w:color w:val="000000" w:themeColor="text1"/>
          <w:sz w:val="28"/>
          <w:szCs w:val="28"/>
        </w:rPr>
        <w:t xml:space="preserve"> </w:t>
      </w:r>
    </w:p>
    <w:p w:rsidR="7F9B0FF6" w:rsidRDefault="7F9B0FF6" w:rsidP="30C00371">
      <w:pPr>
        <w:jc w:val="center"/>
        <w:rPr>
          <w:rFonts w:ascii="Arial" w:eastAsia="Arial" w:hAnsi="Arial" w:cs="Arial"/>
          <w:color w:val="000000" w:themeColor="text1"/>
          <w:sz w:val="28"/>
          <w:szCs w:val="28"/>
        </w:rPr>
      </w:pPr>
      <w:r w:rsidRPr="30C00371">
        <w:rPr>
          <w:rFonts w:ascii="Arial" w:eastAsia="Arial" w:hAnsi="Arial" w:cs="Arial"/>
          <w:b/>
          <w:bCs/>
          <w:color w:val="000000" w:themeColor="text1"/>
          <w:sz w:val="28"/>
          <w:szCs w:val="28"/>
          <w:u w:val="single"/>
        </w:rPr>
        <w:t>Written Essay</w:t>
      </w:r>
    </w:p>
    <w:p w:rsidR="30C00371" w:rsidRDefault="30C00371" w:rsidP="32853F47">
      <w:pPr>
        <w:rPr>
          <w:rFonts w:ascii="Arial" w:eastAsia="Arial" w:hAnsi="Arial" w:cs="Arial"/>
          <w:b/>
          <w:bCs/>
          <w:color w:val="000000" w:themeColor="text1"/>
          <w:sz w:val="28"/>
          <w:szCs w:val="28"/>
          <w:u w:val="single"/>
        </w:rPr>
      </w:pPr>
    </w:p>
    <w:p w:rsidR="32853F47" w:rsidRDefault="32853F47" w:rsidP="32853F47">
      <w:pPr>
        <w:rPr>
          <w:rFonts w:ascii="Arial" w:eastAsia="Arial" w:hAnsi="Arial" w:cs="Arial"/>
          <w:b/>
          <w:bCs/>
          <w:color w:val="000000" w:themeColor="text1"/>
          <w:sz w:val="28"/>
          <w:szCs w:val="28"/>
          <w:u w:val="single"/>
        </w:rPr>
      </w:pPr>
    </w:p>
    <w:p w:rsidR="7F9B0FF6" w:rsidRDefault="7F9B0FF6" w:rsidP="30C00371">
      <w:pPr>
        <w:spacing w:line="257" w:lineRule="auto"/>
        <w:rPr>
          <w:rFonts w:ascii="Arial" w:eastAsia="Arial" w:hAnsi="Arial" w:cs="Arial"/>
          <w:color w:val="000000" w:themeColor="text1"/>
          <w:sz w:val="24"/>
          <w:szCs w:val="24"/>
        </w:rPr>
      </w:pPr>
      <w:r w:rsidRPr="30C00371">
        <w:rPr>
          <w:rFonts w:ascii="Arial" w:eastAsia="Arial" w:hAnsi="Arial" w:cs="Arial"/>
          <w:b/>
          <w:bCs/>
          <w:color w:val="000000" w:themeColor="text1"/>
          <w:sz w:val="24"/>
          <w:szCs w:val="24"/>
        </w:rPr>
        <w:t>Student name: Ivelina Parker</w:t>
      </w:r>
    </w:p>
    <w:p w:rsidR="7F9B0FF6" w:rsidRDefault="7F9B0FF6" w:rsidP="30C00371">
      <w:pPr>
        <w:spacing w:line="257" w:lineRule="auto"/>
        <w:rPr>
          <w:rFonts w:ascii="Arial" w:eastAsia="Arial" w:hAnsi="Arial" w:cs="Arial"/>
          <w:color w:val="000000" w:themeColor="text1"/>
          <w:sz w:val="24"/>
          <w:szCs w:val="24"/>
        </w:rPr>
      </w:pPr>
      <w:r w:rsidRPr="30C00371">
        <w:rPr>
          <w:rFonts w:ascii="Arial" w:eastAsia="Arial" w:hAnsi="Arial" w:cs="Arial"/>
          <w:b/>
          <w:bCs/>
          <w:color w:val="000000" w:themeColor="text1"/>
          <w:sz w:val="24"/>
          <w:szCs w:val="24"/>
        </w:rPr>
        <w:t>Student number: 1921483</w:t>
      </w:r>
    </w:p>
    <w:p w:rsidR="7F9B0FF6" w:rsidRDefault="7F9B0FF6" w:rsidP="30C00371">
      <w:pPr>
        <w:spacing w:line="257" w:lineRule="auto"/>
        <w:rPr>
          <w:rFonts w:ascii="Arial" w:eastAsia="Arial" w:hAnsi="Arial" w:cs="Arial"/>
          <w:color w:val="000000" w:themeColor="text1"/>
          <w:sz w:val="24"/>
          <w:szCs w:val="24"/>
        </w:rPr>
      </w:pPr>
      <w:r w:rsidRPr="30C00371">
        <w:rPr>
          <w:rFonts w:ascii="Arial" w:eastAsia="Arial" w:hAnsi="Arial" w:cs="Arial"/>
          <w:b/>
          <w:bCs/>
          <w:color w:val="000000" w:themeColor="text1"/>
          <w:sz w:val="24"/>
          <w:szCs w:val="24"/>
        </w:rPr>
        <w:t>Group: 2</w:t>
      </w:r>
    </w:p>
    <w:p w:rsidR="7F9B0FF6" w:rsidRDefault="7F9B0FF6" w:rsidP="30C00371">
      <w:pPr>
        <w:spacing w:line="257" w:lineRule="auto"/>
        <w:rPr>
          <w:rFonts w:ascii="Arial" w:eastAsia="Arial" w:hAnsi="Arial" w:cs="Arial"/>
          <w:color w:val="000000" w:themeColor="text1"/>
          <w:sz w:val="24"/>
          <w:szCs w:val="24"/>
        </w:rPr>
      </w:pPr>
      <w:r w:rsidRPr="30C00371">
        <w:rPr>
          <w:rFonts w:ascii="Arial" w:eastAsia="Arial" w:hAnsi="Arial" w:cs="Arial"/>
          <w:b/>
          <w:bCs/>
          <w:color w:val="000000" w:themeColor="text1"/>
          <w:sz w:val="24"/>
          <w:szCs w:val="24"/>
        </w:rPr>
        <w:t xml:space="preserve">Lecturer name: </w:t>
      </w:r>
      <w:proofErr w:type="spellStart"/>
      <w:r w:rsidRPr="30C00371">
        <w:rPr>
          <w:rFonts w:ascii="Arial" w:eastAsia="Arial" w:hAnsi="Arial" w:cs="Arial"/>
          <w:b/>
          <w:bCs/>
          <w:color w:val="000000" w:themeColor="text1"/>
          <w:sz w:val="24"/>
          <w:szCs w:val="24"/>
        </w:rPr>
        <w:t>Diya</w:t>
      </w:r>
      <w:proofErr w:type="spellEnd"/>
      <w:r w:rsidRPr="30C00371">
        <w:rPr>
          <w:rFonts w:ascii="Arial" w:eastAsia="Arial" w:hAnsi="Arial" w:cs="Arial"/>
          <w:b/>
          <w:bCs/>
          <w:color w:val="000000" w:themeColor="text1"/>
          <w:sz w:val="24"/>
          <w:szCs w:val="24"/>
        </w:rPr>
        <w:t xml:space="preserve"> </w:t>
      </w:r>
      <w:proofErr w:type="spellStart"/>
      <w:r w:rsidRPr="30C00371">
        <w:rPr>
          <w:rFonts w:ascii="Arial" w:eastAsia="Arial" w:hAnsi="Arial" w:cs="Arial"/>
          <w:b/>
          <w:bCs/>
          <w:color w:val="000000" w:themeColor="text1"/>
          <w:sz w:val="24"/>
          <w:szCs w:val="24"/>
        </w:rPr>
        <w:t>Ganguly</w:t>
      </w:r>
      <w:proofErr w:type="spellEnd"/>
    </w:p>
    <w:p w:rsidR="7F9B0FF6" w:rsidRDefault="7F9B0FF6" w:rsidP="30C00371">
      <w:pPr>
        <w:spacing w:line="257" w:lineRule="auto"/>
        <w:rPr>
          <w:rFonts w:ascii="Arial" w:eastAsia="Arial" w:hAnsi="Arial" w:cs="Arial"/>
          <w:color w:val="000000" w:themeColor="text1"/>
          <w:sz w:val="24"/>
          <w:szCs w:val="24"/>
        </w:rPr>
      </w:pPr>
      <w:r w:rsidRPr="30C00371">
        <w:rPr>
          <w:rFonts w:ascii="Arial" w:eastAsia="Arial" w:hAnsi="Arial" w:cs="Arial"/>
          <w:b/>
          <w:bCs/>
          <w:color w:val="000000" w:themeColor="text1"/>
          <w:sz w:val="24"/>
          <w:szCs w:val="24"/>
        </w:rPr>
        <w:t>Submission Date: 06/09/2021</w:t>
      </w:r>
    </w:p>
    <w:p w:rsidR="7F9B0FF6" w:rsidRDefault="7F9B0FF6" w:rsidP="30C00371">
      <w:r w:rsidRPr="32853F47">
        <w:rPr>
          <w:rFonts w:ascii="Arial" w:eastAsia="Arial" w:hAnsi="Arial" w:cs="Arial"/>
          <w:b/>
          <w:bCs/>
          <w:color w:val="000000" w:themeColor="text1"/>
          <w:sz w:val="24"/>
          <w:szCs w:val="24"/>
        </w:rPr>
        <w:t xml:space="preserve">Word count: </w:t>
      </w:r>
      <w:r w:rsidR="40C25CAF" w:rsidRPr="32853F47">
        <w:rPr>
          <w:rFonts w:ascii="Arial" w:eastAsia="Arial" w:hAnsi="Arial" w:cs="Arial"/>
          <w:b/>
          <w:bCs/>
          <w:color w:val="000000" w:themeColor="text1"/>
          <w:sz w:val="24"/>
          <w:szCs w:val="24"/>
        </w:rPr>
        <w:t>2604</w:t>
      </w:r>
    </w:p>
    <w:p w:rsidR="30C00371" w:rsidRDefault="30C00371" w:rsidP="30C00371">
      <w:pPr>
        <w:rPr>
          <w:rFonts w:ascii="Arial" w:eastAsia="Arial" w:hAnsi="Arial" w:cs="Arial"/>
          <w:b/>
          <w:bCs/>
          <w:color w:val="000000" w:themeColor="text1"/>
          <w:sz w:val="24"/>
          <w:szCs w:val="24"/>
        </w:rPr>
      </w:pPr>
    </w:p>
    <w:tbl>
      <w:tblPr>
        <w:tblStyle w:val="TableGrid"/>
        <w:tblW w:w="0" w:type="auto"/>
        <w:tblLayout w:type="fixed"/>
        <w:tblLook w:val="04A0"/>
      </w:tblPr>
      <w:tblGrid>
        <w:gridCol w:w="9000"/>
      </w:tblGrid>
      <w:tr w:rsidR="30C00371" w:rsidTr="30C00371">
        <w:tc>
          <w:tcPr>
            <w:tcW w:w="9000" w:type="dxa"/>
            <w:tcBorders>
              <w:top w:val="single" w:sz="6" w:space="0" w:color="auto"/>
              <w:left w:val="single" w:sz="6" w:space="0" w:color="auto"/>
              <w:bottom w:val="single" w:sz="6" w:space="0" w:color="auto"/>
              <w:right w:val="single" w:sz="6" w:space="0" w:color="auto"/>
            </w:tcBorders>
          </w:tcPr>
          <w:p w:rsidR="30C00371" w:rsidRDefault="30C00371" w:rsidP="30C00371">
            <w:pPr>
              <w:spacing w:line="259" w:lineRule="auto"/>
              <w:rPr>
                <w:rFonts w:ascii="Arial" w:eastAsia="Arial" w:hAnsi="Arial" w:cs="Arial"/>
                <w:b/>
                <w:bCs/>
              </w:rPr>
            </w:pPr>
          </w:p>
          <w:p w:rsidR="30C00371" w:rsidRDefault="30C00371" w:rsidP="30C00371">
            <w:pPr>
              <w:spacing w:line="259" w:lineRule="auto"/>
              <w:rPr>
                <w:rFonts w:ascii="Arial" w:eastAsia="Arial" w:hAnsi="Arial" w:cs="Arial"/>
              </w:rPr>
            </w:pPr>
            <w:r w:rsidRPr="30C00371">
              <w:rPr>
                <w:rFonts w:ascii="Arial" w:eastAsia="Arial" w:hAnsi="Arial" w:cs="Arial"/>
                <w:b/>
                <w:bCs/>
              </w:rPr>
              <w:t>Learner declaration</w:t>
            </w:r>
          </w:p>
          <w:p w:rsidR="30C00371" w:rsidRDefault="30C00371" w:rsidP="30C00371">
            <w:pPr>
              <w:spacing w:line="259" w:lineRule="auto"/>
              <w:rPr>
                <w:rFonts w:ascii="Arial" w:eastAsia="Arial" w:hAnsi="Arial" w:cs="Arial"/>
              </w:rPr>
            </w:pPr>
            <w:r w:rsidRPr="30C00371">
              <w:rPr>
                <w:rFonts w:ascii="Arial" w:eastAsia="Arial" w:hAnsi="Arial" w:cs="Arial"/>
              </w:rPr>
              <w:t xml:space="preserve"> </w:t>
            </w:r>
          </w:p>
        </w:tc>
      </w:tr>
      <w:tr w:rsidR="30C00371" w:rsidTr="30C00371">
        <w:tc>
          <w:tcPr>
            <w:tcW w:w="9000" w:type="dxa"/>
            <w:tcBorders>
              <w:top w:val="single" w:sz="6" w:space="0" w:color="auto"/>
              <w:left w:val="single" w:sz="6" w:space="0" w:color="auto"/>
              <w:bottom w:val="single" w:sz="6" w:space="0" w:color="auto"/>
              <w:right w:val="single" w:sz="6" w:space="0" w:color="auto"/>
            </w:tcBorders>
          </w:tcPr>
          <w:p w:rsidR="30C00371" w:rsidRDefault="30C00371" w:rsidP="30C00371">
            <w:pPr>
              <w:spacing w:line="259" w:lineRule="auto"/>
              <w:rPr>
                <w:rFonts w:ascii="Arial" w:eastAsia="Arial" w:hAnsi="Arial" w:cs="Arial"/>
              </w:rPr>
            </w:pPr>
            <w:r w:rsidRPr="30C00371">
              <w:rPr>
                <w:rFonts w:ascii="Arial" w:eastAsia="Arial" w:hAnsi="Arial" w:cs="Arial"/>
              </w:rPr>
              <w:t xml:space="preserve"> </w:t>
            </w:r>
          </w:p>
          <w:p w:rsidR="30C00371" w:rsidRDefault="30C00371" w:rsidP="30C00371">
            <w:pPr>
              <w:spacing w:line="259" w:lineRule="auto"/>
              <w:rPr>
                <w:rFonts w:ascii="Arial" w:eastAsia="Arial" w:hAnsi="Arial" w:cs="Arial"/>
              </w:rPr>
            </w:pPr>
            <w:r w:rsidRPr="30C00371">
              <w:rPr>
                <w:rFonts w:ascii="Arial" w:eastAsia="Arial" w:hAnsi="Arial" w:cs="Arial"/>
              </w:rPr>
              <w:t xml:space="preserve">This assignment is my own original work. No part of this work has been copied from any other source or person except where due acknowledgement is made, and no part of the work has been previously submitted for assessment at this or any other institution. </w:t>
            </w:r>
          </w:p>
          <w:p w:rsidR="30C00371" w:rsidRDefault="30C00371" w:rsidP="30C00371">
            <w:pPr>
              <w:spacing w:line="259" w:lineRule="auto"/>
              <w:rPr>
                <w:rFonts w:ascii="Arial" w:eastAsia="Arial" w:hAnsi="Arial" w:cs="Arial"/>
              </w:rPr>
            </w:pPr>
            <w:r w:rsidRPr="30C00371">
              <w:rPr>
                <w:rFonts w:ascii="Arial" w:eastAsia="Arial" w:hAnsi="Arial" w:cs="Arial"/>
              </w:rPr>
              <w:t xml:space="preserve">I have read the Student Academic Integrity Policy and understand its implications. </w:t>
            </w:r>
          </w:p>
          <w:p w:rsidR="30C00371" w:rsidRDefault="30C00371" w:rsidP="30C00371">
            <w:pPr>
              <w:spacing w:line="259" w:lineRule="auto"/>
              <w:rPr>
                <w:rFonts w:ascii="Arial" w:eastAsia="Arial" w:hAnsi="Arial" w:cs="Arial"/>
              </w:rPr>
            </w:pPr>
            <w:r w:rsidRPr="30C00371">
              <w:rPr>
                <w:rFonts w:ascii="Arial" w:eastAsia="Arial" w:hAnsi="Arial" w:cs="Arial"/>
              </w:rPr>
              <w:t xml:space="preserve"> </w:t>
            </w:r>
          </w:p>
          <w:p w:rsidR="30C00371" w:rsidRDefault="30C00371" w:rsidP="30C00371">
            <w:pPr>
              <w:spacing w:line="259" w:lineRule="auto"/>
              <w:rPr>
                <w:rFonts w:ascii="Arial" w:eastAsia="Arial" w:hAnsi="Arial" w:cs="Arial"/>
              </w:rPr>
            </w:pPr>
            <w:r w:rsidRPr="30C00371">
              <w:rPr>
                <w:rFonts w:ascii="Arial" w:eastAsia="Arial" w:hAnsi="Arial" w:cs="Arial"/>
              </w:rPr>
              <w:t>Student signature:       Ivelina Parker                                       Date:</w:t>
            </w:r>
            <w:r w:rsidR="3E74D614" w:rsidRPr="30C00371">
              <w:rPr>
                <w:rFonts w:ascii="Arial" w:eastAsia="Arial" w:hAnsi="Arial" w:cs="Arial"/>
              </w:rPr>
              <w:t>06</w:t>
            </w:r>
            <w:r w:rsidRPr="30C00371">
              <w:rPr>
                <w:rFonts w:ascii="Arial" w:eastAsia="Arial" w:hAnsi="Arial" w:cs="Arial"/>
              </w:rPr>
              <w:t>/0</w:t>
            </w:r>
            <w:r w:rsidR="0B2E62AA" w:rsidRPr="30C00371">
              <w:rPr>
                <w:rFonts w:ascii="Arial" w:eastAsia="Arial" w:hAnsi="Arial" w:cs="Arial"/>
              </w:rPr>
              <w:t>9</w:t>
            </w:r>
            <w:r w:rsidRPr="30C00371">
              <w:rPr>
                <w:rFonts w:ascii="Arial" w:eastAsia="Arial" w:hAnsi="Arial" w:cs="Arial"/>
              </w:rPr>
              <w:t>/2021</w:t>
            </w:r>
          </w:p>
        </w:tc>
      </w:tr>
    </w:tbl>
    <w:p w:rsidR="30C00371" w:rsidRDefault="30C00371" w:rsidP="30C00371">
      <w:pPr>
        <w:spacing w:line="257" w:lineRule="auto"/>
        <w:jc w:val="center"/>
        <w:rPr>
          <w:rFonts w:ascii="Arial" w:eastAsia="Arial" w:hAnsi="Arial" w:cs="Arial"/>
          <w:color w:val="000000" w:themeColor="text1"/>
          <w:sz w:val="24"/>
          <w:szCs w:val="24"/>
        </w:rPr>
      </w:pPr>
    </w:p>
    <w:p w:rsidR="30C00371" w:rsidRDefault="30C00371" w:rsidP="30C00371">
      <w:pPr>
        <w:rPr>
          <w:rFonts w:ascii="Arial" w:eastAsia="Arial" w:hAnsi="Arial" w:cs="Arial"/>
          <w:b/>
          <w:bCs/>
          <w:color w:val="000000" w:themeColor="text1"/>
          <w:sz w:val="24"/>
          <w:szCs w:val="24"/>
        </w:rPr>
      </w:pPr>
    </w:p>
    <w:p w:rsidR="30C00371" w:rsidRDefault="30C00371" w:rsidP="30C00371">
      <w:pPr>
        <w:jc w:val="center"/>
      </w:pPr>
    </w:p>
    <w:p w:rsidR="247ECCCC" w:rsidRDefault="247ECCCC" w:rsidP="32853F47">
      <w:pPr>
        <w:jc w:val="center"/>
        <w:rPr>
          <w:rFonts w:ascii="Arial" w:eastAsia="Arial" w:hAnsi="Arial" w:cs="Arial"/>
          <w:b/>
          <w:bCs/>
          <w:sz w:val="24"/>
          <w:szCs w:val="24"/>
        </w:rPr>
      </w:pPr>
      <w:r w:rsidRPr="32853F47">
        <w:rPr>
          <w:rFonts w:ascii="Arial" w:eastAsia="Arial" w:hAnsi="Arial" w:cs="Arial"/>
          <w:b/>
          <w:bCs/>
          <w:sz w:val="24"/>
          <w:szCs w:val="24"/>
        </w:rPr>
        <w:t>Person Centred Care</w:t>
      </w:r>
      <w:r w:rsidR="6906163F" w:rsidRPr="32853F47">
        <w:rPr>
          <w:rFonts w:ascii="Arial" w:eastAsia="Arial" w:hAnsi="Arial" w:cs="Arial"/>
          <w:b/>
          <w:bCs/>
          <w:sz w:val="24"/>
          <w:szCs w:val="24"/>
        </w:rPr>
        <w:t xml:space="preserve"> </w:t>
      </w:r>
      <w:r w:rsidR="6955CA32" w:rsidRPr="32853F47">
        <w:rPr>
          <w:rFonts w:ascii="Arial" w:eastAsia="Arial" w:hAnsi="Arial" w:cs="Arial"/>
          <w:b/>
          <w:bCs/>
          <w:sz w:val="24"/>
          <w:szCs w:val="24"/>
        </w:rPr>
        <w:t>for People with Dementia</w:t>
      </w:r>
    </w:p>
    <w:p w:rsidR="32853F47" w:rsidRDefault="32853F47" w:rsidP="32853F47">
      <w:pPr>
        <w:jc w:val="center"/>
      </w:pPr>
    </w:p>
    <w:p w:rsidR="0FC60154" w:rsidRDefault="0FC60154" w:rsidP="32853F47">
      <w:pPr>
        <w:pStyle w:val="Heading1"/>
        <w:spacing w:line="360" w:lineRule="auto"/>
        <w:rPr>
          <w:rFonts w:ascii="Arial" w:eastAsia="Arial" w:hAnsi="Arial" w:cs="Arial"/>
          <w:b/>
          <w:bCs/>
          <w:color w:val="auto"/>
          <w:sz w:val="24"/>
          <w:szCs w:val="24"/>
        </w:rPr>
      </w:pPr>
      <w:r w:rsidRPr="32853F47">
        <w:rPr>
          <w:rFonts w:ascii="Arial" w:eastAsia="Arial" w:hAnsi="Arial" w:cs="Arial"/>
          <w:b/>
          <w:bCs/>
          <w:color w:val="auto"/>
          <w:sz w:val="24"/>
          <w:szCs w:val="24"/>
        </w:rPr>
        <w:t xml:space="preserve">Introduction </w:t>
      </w:r>
    </w:p>
    <w:p w:rsidR="32853F47" w:rsidRDefault="32853F47" w:rsidP="32853F47">
      <w:pPr>
        <w:spacing w:line="360" w:lineRule="auto"/>
      </w:pPr>
    </w:p>
    <w:p w:rsidR="0FC60154" w:rsidRDefault="0FC60154" w:rsidP="32853F47">
      <w:pPr>
        <w:spacing w:line="360" w:lineRule="auto"/>
      </w:pPr>
      <w:r w:rsidRPr="32853F47">
        <w:rPr>
          <w:rFonts w:ascii="Arial" w:eastAsia="Arial" w:hAnsi="Arial" w:cs="Arial"/>
          <w:sz w:val="24"/>
          <w:szCs w:val="24"/>
        </w:rPr>
        <w:t>Person-centred care (PCC) in health and social care refers to a care system that supports a patient in making informed decisions concerning their health and delivers care with respect to their goals, abilities, lifestyles, and preferences (</w:t>
      </w:r>
      <w:proofErr w:type="spellStart"/>
      <w:r w:rsidRPr="32853F47">
        <w:rPr>
          <w:rFonts w:ascii="Arial" w:eastAsia="Arial" w:hAnsi="Arial" w:cs="Arial"/>
          <w:sz w:val="24"/>
          <w:szCs w:val="24"/>
        </w:rPr>
        <w:t>Gondek</w:t>
      </w:r>
      <w:proofErr w:type="spellEnd"/>
      <w:r w:rsidRPr="32853F47">
        <w:rPr>
          <w:rFonts w:ascii="Arial" w:eastAsia="Arial" w:hAnsi="Arial" w:cs="Arial"/>
          <w:sz w:val="24"/>
          <w:szCs w:val="24"/>
        </w:rPr>
        <w:t xml:space="preserve"> </w:t>
      </w:r>
      <w:r w:rsidRPr="32853F47">
        <w:rPr>
          <w:rFonts w:ascii="Arial" w:eastAsia="Arial" w:hAnsi="Arial" w:cs="Arial"/>
          <w:i/>
          <w:iCs/>
          <w:sz w:val="24"/>
          <w:szCs w:val="24"/>
        </w:rPr>
        <w:t>et al.</w:t>
      </w:r>
      <w:r w:rsidRPr="32853F47">
        <w:rPr>
          <w:rFonts w:ascii="Arial" w:eastAsia="Arial" w:hAnsi="Arial" w:cs="Arial"/>
          <w:sz w:val="24"/>
          <w:szCs w:val="24"/>
        </w:rPr>
        <w:t>, 2017). It places focus on the person and promotes dignity, compassion, and respect. Terminologies used to describe PCC interlink with terms such as patient engagement and shared decision making.</w:t>
      </w:r>
    </w:p>
    <w:p w:rsidR="53FEBACB" w:rsidRDefault="53FEBACB" w:rsidP="32853F47">
      <w:pPr>
        <w:spacing w:line="360" w:lineRule="auto"/>
      </w:pPr>
      <w:r w:rsidRPr="32853F47">
        <w:rPr>
          <w:rFonts w:ascii="Arial" w:eastAsia="Arial" w:hAnsi="Arial" w:cs="Arial"/>
          <w:sz w:val="24"/>
          <w:szCs w:val="24"/>
        </w:rPr>
        <w:t xml:space="preserve">According to AGE UK, current PCC practice does not only involve the patient and the care givers, but also support groups where people can meet and share their experiences. Support may be informed of carer’s groups, online groups, memory cafes and day centres (UK, 2021). Dementia refers to a mental disorder caused by injury or disease affecting the brain, commonly signified by memory loss, impaired reasoning, loss of language and other thinking capabilities. The increase in number of dementia cases and resultant effects have been reported across numerous studies (Blake, Berry and Brown, 2020; Ho </w:t>
      </w:r>
      <w:r w:rsidRPr="32853F47">
        <w:rPr>
          <w:rFonts w:ascii="Arial" w:eastAsia="Arial" w:hAnsi="Arial" w:cs="Arial"/>
          <w:i/>
          <w:iCs/>
          <w:sz w:val="24"/>
          <w:szCs w:val="24"/>
        </w:rPr>
        <w:t>et al.</w:t>
      </w:r>
      <w:r w:rsidRPr="32853F47">
        <w:rPr>
          <w:rFonts w:ascii="Arial" w:eastAsia="Arial" w:hAnsi="Arial" w:cs="Arial"/>
          <w:sz w:val="24"/>
          <w:szCs w:val="24"/>
        </w:rPr>
        <w:t xml:space="preserve">, 2021; Sampson </w:t>
      </w:r>
      <w:r w:rsidRPr="32853F47">
        <w:rPr>
          <w:rFonts w:ascii="Arial" w:eastAsia="Arial" w:hAnsi="Arial" w:cs="Arial"/>
          <w:i/>
          <w:iCs/>
          <w:sz w:val="24"/>
          <w:szCs w:val="24"/>
        </w:rPr>
        <w:t>et al.</w:t>
      </w:r>
      <w:r w:rsidRPr="32853F47">
        <w:rPr>
          <w:rFonts w:ascii="Arial" w:eastAsia="Arial" w:hAnsi="Arial" w:cs="Arial"/>
          <w:sz w:val="24"/>
          <w:szCs w:val="24"/>
        </w:rPr>
        <w:t>, 2020).</w:t>
      </w:r>
    </w:p>
    <w:p w:rsidR="62B23342" w:rsidRDefault="62B23342" w:rsidP="32853F47">
      <w:pPr>
        <w:spacing w:line="360" w:lineRule="auto"/>
        <w:rPr>
          <w:rFonts w:ascii="Times New Roman" w:eastAsia="Times New Roman" w:hAnsi="Times New Roman" w:cs="Times New Roman"/>
          <w:sz w:val="24"/>
          <w:szCs w:val="24"/>
        </w:rPr>
      </w:pPr>
      <w:r w:rsidRPr="32853F47">
        <w:rPr>
          <w:rFonts w:ascii="Arial" w:eastAsia="Arial" w:hAnsi="Arial" w:cs="Arial"/>
          <w:sz w:val="24"/>
          <w:szCs w:val="24"/>
        </w:rPr>
        <w:t>PCC for people with Dementia is an integrated approach which is designed to improve the quality of life while maintaining the wellbeing of patients. It is designed to include the patient, family, carers, and the elements of care. This way, a person with dementia is involved in decision making and taking part in activities of their choosing.</w:t>
      </w:r>
    </w:p>
    <w:p w:rsidR="32853F47" w:rsidRDefault="32853F47" w:rsidP="32853F47">
      <w:pPr>
        <w:spacing w:line="360" w:lineRule="auto"/>
        <w:rPr>
          <w:rFonts w:ascii="Arial" w:eastAsia="Arial" w:hAnsi="Arial" w:cs="Arial"/>
          <w:sz w:val="24"/>
          <w:szCs w:val="24"/>
        </w:rPr>
      </w:pPr>
    </w:p>
    <w:p w:rsidR="0D4BA84C" w:rsidRDefault="0D4BA84C" w:rsidP="32853F47">
      <w:pPr>
        <w:pStyle w:val="Heading2"/>
        <w:spacing w:line="360" w:lineRule="auto"/>
        <w:rPr>
          <w:rFonts w:ascii="Arial" w:eastAsia="Arial" w:hAnsi="Arial" w:cs="Arial"/>
          <w:b/>
          <w:bCs/>
          <w:color w:val="auto"/>
          <w:sz w:val="24"/>
          <w:szCs w:val="24"/>
        </w:rPr>
      </w:pPr>
      <w:r w:rsidRPr="32853F47">
        <w:rPr>
          <w:rFonts w:ascii="Arial" w:eastAsia="Arial" w:hAnsi="Arial" w:cs="Arial"/>
          <w:b/>
          <w:bCs/>
          <w:color w:val="auto"/>
          <w:sz w:val="24"/>
          <w:szCs w:val="24"/>
        </w:rPr>
        <w:t>Underlying concept of person - centred care</w:t>
      </w:r>
    </w:p>
    <w:p w:rsidR="50B72FB4" w:rsidRDefault="50B72FB4" w:rsidP="32853F47">
      <w:pPr>
        <w:spacing w:line="360" w:lineRule="auto"/>
      </w:pPr>
      <w:r w:rsidRPr="32853F47">
        <w:rPr>
          <w:rFonts w:ascii="Arial" w:eastAsia="Arial" w:hAnsi="Arial" w:cs="Arial"/>
          <w:sz w:val="24"/>
          <w:szCs w:val="24"/>
        </w:rPr>
        <w:t xml:space="preserve">American psychologist Carl Rogers founded the term ‘person centred’ in relation to psychiatry in 1961, which formed the basis of PCC adapted within the healthcare system. </w:t>
      </w:r>
      <w:proofErr w:type="gramStart"/>
      <w:r w:rsidRPr="32853F47">
        <w:rPr>
          <w:rFonts w:ascii="Arial" w:eastAsia="Arial" w:hAnsi="Arial" w:cs="Arial"/>
          <w:sz w:val="24"/>
          <w:szCs w:val="24"/>
        </w:rPr>
        <w:t>(Byrne, Baldwin and Harvey, 2020).</w:t>
      </w:r>
      <w:proofErr w:type="gramEnd"/>
      <w:r w:rsidRPr="32853F47">
        <w:rPr>
          <w:rFonts w:ascii="Arial" w:eastAsia="Arial" w:hAnsi="Arial" w:cs="Arial"/>
          <w:sz w:val="24"/>
          <w:szCs w:val="24"/>
        </w:rPr>
        <w:t xml:space="preserve"> Michael and </w:t>
      </w:r>
      <w:proofErr w:type="spellStart"/>
      <w:r w:rsidRPr="32853F47">
        <w:rPr>
          <w:rFonts w:ascii="Arial" w:eastAsia="Arial" w:hAnsi="Arial" w:cs="Arial"/>
          <w:sz w:val="24"/>
          <w:szCs w:val="24"/>
        </w:rPr>
        <w:t>Edin</w:t>
      </w:r>
      <w:proofErr w:type="spellEnd"/>
      <w:r w:rsidRPr="32853F47">
        <w:rPr>
          <w:rFonts w:ascii="Arial" w:eastAsia="Arial" w:hAnsi="Arial" w:cs="Arial"/>
          <w:sz w:val="24"/>
          <w:szCs w:val="24"/>
        </w:rPr>
        <w:t xml:space="preserve"> </w:t>
      </w:r>
      <w:proofErr w:type="spellStart"/>
      <w:r w:rsidRPr="32853F47">
        <w:rPr>
          <w:rFonts w:ascii="Arial" w:eastAsia="Arial" w:hAnsi="Arial" w:cs="Arial"/>
          <w:sz w:val="24"/>
          <w:szCs w:val="24"/>
        </w:rPr>
        <w:t>Balint</w:t>
      </w:r>
      <w:proofErr w:type="spellEnd"/>
      <w:r w:rsidRPr="32853F47">
        <w:rPr>
          <w:rFonts w:ascii="Arial" w:eastAsia="Arial" w:hAnsi="Arial" w:cs="Arial"/>
          <w:sz w:val="24"/>
          <w:szCs w:val="24"/>
        </w:rPr>
        <w:t xml:space="preserve">, who formed the </w:t>
      </w:r>
      <w:proofErr w:type="spellStart"/>
      <w:r w:rsidRPr="32853F47">
        <w:rPr>
          <w:rFonts w:ascii="Arial" w:eastAsia="Arial" w:hAnsi="Arial" w:cs="Arial"/>
          <w:sz w:val="24"/>
          <w:szCs w:val="24"/>
        </w:rPr>
        <w:t>Balint</w:t>
      </w:r>
      <w:proofErr w:type="spellEnd"/>
      <w:r w:rsidRPr="32853F47">
        <w:rPr>
          <w:rFonts w:ascii="Arial" w:eastAsia="Arial" w:hAnsi="Arial" w:cs="Arial"/>
          <w:sz w:val="24"/>
          <w:szCs w:val="24"/>
        </w:rPr>
        <w:t xml:space="preserve"> group, later depicted person-centred medicine in 1969 by understanding the patient as a unique human being (Santana </w:t>
      </w:r>
      <w:r w:rsidRPr="32853F47">
        <w:rPr>
          <w:rFonts w:ascii="Arial" w:eastAsia="Arial" w:hAnsi="Arial" w:cs="Arial"/>
          <w:i/>
          <w:iCs/>
          <w:sz w:val="24"/>
          <w:szCs w:val="24"/>
        </w:rPr>
        <w:t>et al.</w:t>
      </w:r>
      <w:r w:rsidRPr="32853F47">
        <w:rPr>
          <w:rFonts w:ascii="Arial" w:eastAsia="Arial" w:hAnsi="Arial" w:cs="Arial"/>
          <w:sz w:val="24"/>
          <w:szCs w:val="24"/>
        </w:rPr>
        <w:t xml:space="preserve">, 2018). The concept of PCC has </w:t>
      </w:r>
      <w:r w:rsidRPr="32853F47">
        <w:rPr>
          <w:rFonts w:ascii="Arial" w:eastAsia="Arial" w:hAnsi="Arial" w:cs="Arial"/>
          <w:sz w:val="24"/>
          <w:szCs w:val="24"/>
        </w:rPr>
        <w:lastRenderedPageBreak/>
        <w:t>evolved over time and adopted terms such as personalised care, patient</w:t>
      </w:r>
      <w:r w:rsidR="76A234F1" w:rsidRPr="32853F47">
        <w:rPr>
          <w:rFonts w:ascii="Arial" w:eastAsia="Arial" w:hAnsi="Arial" w:cs="Arial"/>
          <w:sz w:val="24"/>
          <w:szCs w:val="24"/>
        </w:rPr>
        <w:t>-</w:t>
      </w:r>
      <w:r w:rsidRPr="32853F47">
        <w:rPr>
          <w:rFonts w:ascii="Arial" w:eastAsia="Arial" w:hAnsi="Arial" w:cs="Arial"/>
          <w:sz w:val="24"/>
          <w:szCs w:val="24"/>
        </w:rPr>
        <w:t xml:space="preserve">centred care, client-centred </w:t>
      </w:r>
      <w:r w:rsidR="3B63A43E" w:rsidRPr="32853F47">
        <w:rPr>
          <w:rFonts w:ascii="Arial" w:eastAsia="Arial" w:hAnsi="Arial" w:cs="Arial"/>
          <w:sz w:val="24"/>
          <w:szCs w:val="24"/>
        </w:rPr>
        <w:t>care,</w:t>
      </w:r>
      <w:r w:rsidRPr="32853F47">
        <w:rPr>
          <w:rFonts w:ascii="Arial" w:eastAsia="Arial" w:hAnsi="Arial" w:cs="Arial"/>
          <w:sz w:val="24"/>
          <w:szCs w:val="24"/>
        </w:rPr>
        <w:t xml:space="preserve"> and relationship</w:t>
      </w:r>
      <w:r w:rsidR="2AED4A1F" w:rsidRPr="32853F47">
        <w:rPr>
          <w:rFonts w:ascii="Arial" w:eastAsia="Arial" w:hAnsi="Arial" w:cs="Arial"/>
          <w:sz w:val="24"/>
          <w:szCs w:val="24"/>
        </w:rPr>
        <w:t>-</w:t>
      </w:r>
      <w:r w:rsidRPr="32853F47">
        <w:rPr>
          <w:rFonts w:ascii="Arial" w:eastAsia="Arial" w:hAnsi="Arial" w:cs="Arial"/>
          <w:sz w:val="24"/>
          <w:szCs w:val="24"/>
        </w:rPr>
        <w:t xml:space="preserve">centred care. </w:t>
      </w:r>
    </w:p>
    <w:p w:rsidR="50B72FB4" w:rsidRDefault="50B72FB4" w:rsidP="32853F47">
      <w:pPr>
        <w:spacing w:line="360" w:lineRule="auto"/>
      </w:pPr>
      <w:r w:rsidRPr="32853F47">
        <w:rPr>
          <w:rFonts w:ascii="Arial" w:eastAsia="Arial" w:hAnsi="Arial" w:cs="Arial"/>
          <w:sz w:val="24"/>
          <w:szCs w:val="24"/>
        </w:rPr>
        <w:t xml:space="preserve">The concept is used to describe the way care is provided and the role of the patient within the healthcare system. It has been developed for different chronic diseases such as HIV, obesity, cancer, heart disease, chronic respiratory </w:t>
      </w:r>
      <w:r w:rsidR="7CAC83DB" w:rsidRPr="32853F47">
        <w:rPr>
          <w:rFonts w:ascii="Arial" w:eastAsia="Arial" w:hAnsi="Arial" w:cs="Arial"/>
          <w:sz w:val="24"/>
          <w:szCs w:val="24"/>
        </w:rPr>
        <w:t>diseases,</w:t>
      </w:r>
      <w:r w:rsidRPr="32853F47">
        <w:rPr>
          <w:rFonts w:ascii="Arial" w:eastAsia="Arial" w:hAnsi="Arial" w:cs="Arial"/>
          <w:sz w:val="24"/>
          <w:szCs w:val="24"/>
        </w:rPr>
        <w:t xml:space="preserve"> and dementia. PCC for dementia patients was adapted by </w:t>
      </w:r>
      <w:proofErr w:type="spellStart"/>
      <w:r w:rsidRPr="32853F47">
        <w:rPr>
          <w:rFonts w:ascii="Arial" w:eastAsia="Arial" w:hAnsi="Arial" w:cs="Arial"/>
          <w:sz w:val="24"/>
          <w:szCs w:val="24"/>
        </w:rPr>
        <w:t>Kitwood</w:t>
      </w:r>
      <w:proofErr w:type="spellEnd"/>
      <w:r w:rsidRPr="32853F47">
        <w:rPr>
          <w:rFonts w:ascii="Arial" w:eastAsia="Arial" w:hAnsi="Arial" w:cs="Arial"/>
          <w:sz w:val="24"/>
          <w:szCs w:val="24"/>
        </w:rPr>
        <w:t xml:space="preserve"> in the 1990s (</w:t>
      </w:r>
      <w:proofErr w:type="spellStart"/>
      <w:r w:rsidRPr="32853F47">
        <w:rPr>
          <w:rFonts w:ascii="Arial" w:eastAsia="Arial" w:hAnsi="Arial" w:cs="Arial"/>
          <w:sz w:val="24"/>
          <w:szCs w:val="24"/>
        </w:rPr>
        <w:t>Quasdorf</w:t>
      </w:r>
      <w:proofErr w:type="spellEnd"/>
      <w:r w:rsidRPr="32853F47">
        <w:rPr>
          <w:rFonts w:ascii="Arial" w:eastAsia="Arial" w:hAnsi="Arial" w:cs="Arial"/>
          <w:sz w:val="24"/>
          <w:szCs w:val="24"/>
        </w:rPr>
        <w:t xml:space="preserve"> </w:t>
      </w:r>
      <w:r w:rsidRPr="32853F47">
        <w:rPr>
          <w:rFonts w:ascii="Arial" w:eastAsia="Arial" w:hAnsi="Arial" w:cs="Arial"/>
          <w:i/>
          <w:iCs/>
          <w:sz w:val="24"/>
          <w:szCs w:val="24"/>
        </w:rPr>
        <w:t>et al.</w:t>
      </w:r>
      <w:r w:rsidRPr="32853F47">
        <w:rPr>
          <w:rFonts w:ascii="Arial" w:eastAsia="Arial" w:hAnsi="Arial" w:cs="Arial"/>
          <w:sz w:val="24"/>
          <w:szCs w:val="24"/>
        </w:rPr>
        <w:t>, 2017). Different approaches such as Dementia Care Mapping have since been developed.</w:t>
      </w:r>
    </w:p>
    <w:p w:rsidR="283D6DFE" w:rsidRDefault="283D6DFE" w:rsidP="32853F47">
      <w:pPr>
        <w:spacing w:line="360" w:lineRule="auto"/>
      </w:pPr>
      <w:r w:rsidRPr="32853F47">
        <w:rPr>
          <w:rFonts w:ascii="Arial" w:eastAsia="Arial" w:hAnsi="Arial" w:cs="Arial"/>
          <w:sz w:val="24"/>
          <w:szCs w:val="24"/>
        </w:rPr>
        <w:t>The concept of PCC considers a patient as a person who possesses free will regardless of their cognitive or physical state. It is aimed at creating a positive social environment by influencing the power relations within healthcare. This is achieved by giving a person free will to act and take responsibility in making choices and involving family members in decisions concerning the care of a person. Engaging the patient and offering shared decision making among patients, family members and healthcare professionals changes focus from the notion of diagnosing a patient to the person with a diagnosis (</w:t>
      </w:r>
      <w:proofErr w:type="spellStart"/>
      <w:r w:rsidRPr="32853F47">
        <w:rPr>
          <w:rFonts w:ascii="Arial" w:eastAsia="Arial" w:hAnsi="Arial" w:cs="Arial"/>
          <w:sz w:val="24"/>
          <w:szCs w:val="24"/>
        </w:rPr>
        <w:t>De</w:t>
      </w:r>
      <w:r w:rsidR="00665DE2">
        <w:rPr>
          <w:rFonts w:ascii="Arial" w:eastAsia="Arial" w:hAnsi="Arial" w:cs="Arial"/>
          <w:sz w:val="24"/>
          <w:szCs w:val="24"/>
        </w:rPr>
        <w:t>llenborg</w:t>
      </w:r>
      <w:proofErr w:type="spellEnd"/>
      <w:r w:rsidR="00665DE2">
        <w:rPr>
          <w:rFonts w:ascii="Arial" w:eastAsia="Arial" w:hAnsi="Arial" w:cs="Arial"/>
          <w:sz w:val="24"/>
          <w:szCs w:val="24"/>
        </w:rPr>
        <w:t xml:space="preserve">, </w:t>
      </w:r>
      <w:proofErr w:type="spellStart"/>
      <w:r w:rsidR="00665DE2">
        <w:rPr>
          <w:rFonts w:ascii="Arial" w:eastAsia="Arial" w:hAnsi="Arial" w:cs="Arial"/>
          <w:sz w:val="24"/>
          <w:szCs w:val="24"/>
        </w:rPr>
        <w:t>Wikström</w:t>
      </w:r>
      <w:proofErr w:type="spellEnd"/>
      <w:r w:rsidR="00665DE2">
        <w:rPr>
          <w:rFonts w:ascii="Arial" w:eastAsia="Arial" w:hAnsi="Arial" w:cs="Arial"/>
          <w:sz w:val="24"/>
          <w:szCs w:val="24"/>
        </w:rPr>
        <w:t xml:space="preserve"> and</w:t>
      </w:r>
      <w:r w:rsidRPr="32853F47">
        <w:rPr>
          <w:rFonts w:ascii="Arial" w:eastAsia="Arial" w:hAnsi="Arial" w:cs="Arial"/>
          <w:sz w:val="24"/>
          <w:szCs w:val="24"/>
        </w:rPr>
        <w:t xml:space="preserve"> </w:t>
      </w:r>
      <w:proofErr w:type="spellStart"/>
      <w:r w:rsidRPr="32853F47">
        <w:rPr>
          <w:rFonts w:ascii="Arial" w:eastAsia="Arial" w:hAnsi="Arial" w:cs="Arial"/>
          <w:sz w:val="24"/>
          <w:szCs w:val="24"/>
        </w:rPr>
        <w:t>Erichsen</w:t>
      </w:r>
      <w:proofErr w:type="spellEnd"/>
      <w:r w:rsidRPr="32853F47">
        <w:rPr>
          <w:rFonts w:ascii="Arial" w:eastAsia="Arial" w:hAnsi="Arial" w:cs="Arial"/>
          <w:sz w:val="24"/>
          <w:szCs w:val="24"/>
        </w:rPr>
        <w:t xml:space="preserve">, 2019). </w:t>
      </w:r>
    </w:p>
    <w:p w:rsidR="283D6DFE" w:rsidRDefault="283D6DFE" w:rsidP="32853F47">
      <w:pPr>
        <w:spacing w:line="360" w:lineRule="auto"/>
      </w:pPr>
      <w:r w:rsidRPr="32853F47">
        <w:rPr>
          <w:rFonts w:ascii="Arial" w:eastAsia="Arial" w:hAnsi="Arial" w:cs="Arial"/>
          <w:sz w:val="24"/>
          <w:szCs w:val="24"/>
        </w:rPr>
        <w:t>PCC ensures that the clinical decisions are made under the guidance of the patient’s values. It takes an individual’s values, needs</w:t>
      </w:r>
      <w:r w:rsidR="6CC4B771" w:rsidRPr="32853F47">
        <w:rPr>
          <w:rFonts w:ascii="Arial" w:eastAsia="Arial" w:hAnsi="Arial" w:cs="Arial"/>
          <w:sz w:val="24"/>
          <w:szCs w:val="24"/>
        </w:rPr>
        <w:t>,</w:t>
      </w:r>
      <w:r w:rsidRPr="32853F47">
        <w:rPr>
          <w:rFonts w:ascii="Arial" w:eastAsia="Arial" w:hAnsi="Arial" w:cs="Arial"/>
          <w:sz w:val="24"/>
          <w:szCs w:val="24"/>
        </w:rPr>
        <w:t xml:space="preserve"> and preferences into account creating a partnership between the healthcare professionals and their patients. For example, instead of providing patients with fixed standard meals, they are given a choice. Similarly, the clothes they wear and choices of what to watch </w:t>
      </w:r>
      <w:proofErr w:type="gramStart"/>
      <w:r w:rsidR="586024B0" w:rsidRPr="32853F47">
        <w:rPr>
          <w:rFonts w:ascii="Arial" w:eastAsia="Arial" w:hAnsi="Arial" w:cs="Arial"/>
          <w:sz w:val="24"/>
          <w:szCs w:val="24"/>
        </w:rPr>
        <w:t>is</w:t>
      </w:r>
      <w:proofErr w:type="gramEnd"/>
      <w:r w:rsidRPr="32853F47">
        <w:rPr>
          <w:rFonts w:ascii="Arial" w:eastAsia="Arial" w:hAnsi="Arial" w:cs="Arial"/>
          <w:sz w:val="24"/>
          <w:szCs w:val="24"/>
        </w:rPr>
        <w:t xml:space="preserve"> agreed upon by the patient and their carers. </w:t>
      </w:r>
    </w:p>
    <w:p w:rsidR="283D6DFE" w:rsidRDefault="283D6DFE" w:rsidP="32853F47">
      <w:pPr>
        <w:spacing w:line="360" w:lineRule="auto"/>
      </w:pPr>
      <w:proofErr w:type="gramStart"/>
      <w:r w:rsidRPr="32853F47">
        <w:rPr>
          <w:rFonts w:ascii="Arial" w:eastAsia="Arial" w:hAnsi="Arial" w:cs="Arial"/>
          <w:sz w:val="24"/>
          <w:szCs w:val="24"/>
        </w:rPr>
        <w:t>When dementia cases advance to the point where a person needs 24-hour care, AGE UK, the Alzheimer’s Society</w:t>
      </w:r>
      <w:r w:rsidR="4FB96234" w:rsidRPr="32853F47">
        <w:rPr>
          <w:rFonts w:ascii="Arial" w:eastAsia="Arial" w:hAnsi="Arial" w:cs="Arial"/>
          <w:sz w:val="24"/>
          <w:szCs w:val="24"/>
        </w:rPr>
        <w:t>,</w:t>
      </w:r>
      <w:r w:rsidRPr="32853F47">
        <w:rPr>
          <w:rFonts w:ascii="Arial" w:eastAsia="Arial" w:hAnsi="Arial" w:cs="Arial"/>
          <w:sz w:val="24"/>
          <w:szCs w:val="24"/>
        </w:rPr>
        <w:t xml:space="preserve"> and National Health Service (NHS) advice on the consideration of residential care.</w:t>
      </w:r>
      <w:proofErr w:type="gramEnd"/>
      <w:r w:rsidRPr="32853F47">
        <w:rPr>
          <w:rFonts w:ascii="Arial" w:eastAsia="Arial" w:hAnsi="Arial" w:cs="Arial"/>
          <w:sz w:val="24"/>
          <w:szCs w:val="24"/>
        </w:rPr>
        <w:t xml:space="preserve"> The types of residential care appropriate for people with dementia include retirement housing, assisted living, nursing homes, Alzheimer’s special care units</w:t>
      </w:r>
      <w:r w:rsidR="527DC06E" w:rsidRPr="32853F47">
        <w:rPr>
          <w:rFonts w:ascii="Arial" w:eastAsia="Arial" w:hAnsi="Arial" w:cs="Arial"/>
          <w:sz w:val="24"/>
          <w:szCs w:val="24"/>
        </w:rPr>
        <w:t>,</w:t>
      </w:r>
      <w:r w:rsidRPr="32853F47">
        <w:rPr>
          <w:rFonts w:ascii="Arial" w:eastAsia="Arial" w:hAnsi="Arial" w:cs="Arial"/>
          <w:sz w:val="24"/>
          <w:szCs w:val="24"/>
        </w:rPr>
        <w:t xml:space="preserve"> and continuing care retirement communities.</w:t>
      </w:r>
    </w:p>
    <w:p w:rsidR="32853F47" w:rsidRDefault="32853F47" w:rsidP="32853F47">
      <w:pPr>
        <w:spacing w:line="360" w:lineRule="auto"/>
        <w:rPr>
          <w:rFonts w:ascii="Arial" w:eastAsia="Arial" w:hAnsi="Arial" w:cs="Arial"/>
          <w:sz w:val="24"/>
          <w:szCs w:val="24"/>
        </w:rPr>
      </w:pPr>
    </w:p>
    <w:p w:rsidR="32853F47" w:rsidRDefault="32853F47" w:rsidP="32853F47">
      <w:pPr>
        <w:spacing w:line="360" w:lineRule="auto"/>
        <w:rPr>
          <w:rFonts w:ascii="Arial" w:eastAsia="Arial" w:hAnsi="Arial" w:cs="Arial"/>
          <w:sz w:val="24"/>
          <w:szCs w:val="24"/>
        </w:rPr>
      </w:pPr>
    </w:p>
    <w:p w:rsidR="0244114A" w:rsidRDefault="0244114A" w:rsidP="32853F47">
      <w:pPr>
        <w:pStyle w:val="Heading2"/>
        <w:rPr>
          <w:rFonts w:ascii="Arial" w:eastAsia="Arial" w:hAnsi="Arial" w:cs="Arial"/>
          <w:b/>
          <w:bCs/>
          <w:color w:val="auto"/>
          <w:sz w:val="24"/>
          <w:szCs w:val="24"/>
        </w:rPr>
      </w:pPr>
      <w:r w:rsidRPr="32853F47">
        <w:rPr>
          <w:rFonts w:ascii="Arial" w:eastAsia="Arial" w:hAnsi="Arial" w:cs="Arial"/>
          <w:b/>
          <w:bCs/>
          <w:color w:val="auto"/>
          <w:sz w:val="24"/>
          <w:szCs w:val="24"/>
        </w:rPr>
        <w:t>Theoretical underpinning of person-centred care</w:t>
      </w:r>
    </w:p>
    <w:p w:rsidR="32853F47" w:rsidRDefault="32853F47" w:rsidP="32853F47"/>
    <w:p w:rsidR="0244114A" w:rsidRDefault="0244114A" w:rsidP="32853F47">
      <w:pPr>
        <w:pStyle w:val="Heading3"/>
        <w:spacing w:line="360" w:lineRule="auto"/>
        <w:rPr>
          <w:rFonts w:ascii="Arial" w:eastAsia="Arial" w:hAnsi="Arial" w:cs="Arial"/>
          <w:color w:val="auto"/>
          <w:u w:val="single"/>
        </w:rPr>
      </w:pPr>
      <w:proofErr w:type="spellStart"/>
      <w:r w:rsidRPr="32853F47">
        <w:rPr>
          <w:rFonts w:ascii="Arial" w:eastAsia="Arial" w:hAnsi="Arial" w:cs="Arial"/>
          <w:color w:val="auto"/>
          <w:u w:val="single"/>
        </w:rPr>
        <w:lastRenderedPageBreak/>
        <w:t>Bronfenbrenner</w:t>
      </w:r>
      <w:proofErr w:type="spellEnd"/>
      <w:r w:rsidRPr="32853F47">
        <w:rPr>
          <w:rFonts w:ascii="Arial" w:eastAsia="Arial" w:hAnsi="Arial" w:cs="Arial"/>
          <w:color w:val="auto"/>
          <w:u w:val="single"/>
        </w:rPr>
        <w:t xml:space="preserve"> Ecological Theory of Human Development</w:t>
      </w:r>
    </w:p>
    <w:p w:rsidR="0244114A" w:rsidRDefault="0244114A" w:rsidP="32853F47">
      <w:pPr>
        <w:spacing w:line="360" w:lineRule="auto"/>
      </w:pPr>
      <w:r w:rsidRPr="32853F47">
        <w:rPr>
          <w:rFonts w:ascii="Arial" w:eastAsia="Arial" w:hAnsi="Arial" w:cs="Arial"/>
          <w:sz w:val="24"/>
          <w:szCs w:val="24"/>
        </w:rPr>
        <w:t xml:space="preserve">The Ecology systems theory was developed in 1989 by </w:t>
      </w:r>
      <w:proofErr w:type="spellStart"/>
      <w:r w:rsidRPr="32853F47">
        <w:rPr>
          <w:rFonts w:ascii="Arial" w:eastAsia="Arial" w:hAnsi="Arial" w:cs="Arial"/>
          <w:sz w:val="24"/>
          <w:szCs w:val="24"/>
        </w:rPr>
        <w:t>Bronfenbrenner</w:t>
      </w:r>
      <w:proofErr w:type="spellEnd"/>
      <w:r w:rsidRPr="32853F47">
        <w:rPr>
          <w:rFonts w:ascii="Arial" w:eastAsia="Arial" w:hAnsi="Arial" w:cs="Arial"/>
          <w:sz w:val="24"/>
          <w:szCs w:val="24"/>
        </w:rPr>
        <w:t xml:space="preserve"> (</w:t>
      </w:r>
      <w:proofErr w:type="spellStart"/>
      <w:r w:rsidRPr="32853F47">
        <w:rPr>
          <w:rFonts w:ascii="Arial" w:eastAsia="Arial" w:hAnsi="Arial" w:cs="Arial"/>
          <w:sz w:val="24"/>
          <w:szCs w:val="24"/>
        </w:rPr>
        <w:t>Hertler</w:t>
      </w:r>
      <w:proofErr w:type="spellEnd"/>
      <w:r w:rsidRPr="32853F47">
        <w:rPr>
          <w:rFonts w:ascii="Arial" w:eastAsia="Arial" w:hAnsi="Arial" w:cs="Arial"/>
          <w:sz w:val="24"/>
          <w:szCs w:val="24"/>
        </w:rPr>
        <w:t xml:space="preserve"> et al., 2018). According to the theory, the development of a person is affected by everything in the environment, focusing on its context and quality. According to the theory, the environment surrounding a person can be divided into the </w:t>
      </w:r>
      <w:proofErr w:type="spellStart"/>
      <w:r w:rsidRPr="32853F47">
        <w:rPr>
          <w:rFonts w:ascii="Arial" w:eastAsia="Arial" w:hAnsi="Arial" w:cs="Arial"/>
          <w:sz w:val="24"/>
          <w:szCs w:val="24"/>
        </w:rPr>
        <w:t>macrosystem</w:t>
      </w:r>
      <w:proofErr w:type="spellEnd"/>
      <w:r w:rsidRPr="32853F47">
        <w:rPr>
          <w:rFonts w:ascii="Arial" w:eastAsia="Arial" w:hAnsi="Arial" w:cs="Arial"/>
          <w:sz w:val="24"/>
          <w:szCs w:val="24"/>
        </w:rPr>
        <w:t xml:space="preserve">, </w:t>
      </w:r>
      <w:proofErr w:type="spellStart"/>
      <w:r w:rsidRPr="32853F47">
        <w:rPr>
          <w:rFonts w:ascii="Arial" w:eastAsia="Arial" w:hAnsi="Arial" w:cs="Arial"/>
          <w:sz w:val="24"/>
          <w:szCs w:val="24"/>
        </w:rPr>
        <w:t>microsystem</w:t>
      </w:r>
      <w:proofErr w:type="spellEnd"/>
      <w:r w:rsidRPr="32853F47">
        <w:rPr>
          <w:rFonts w:ascii="Arial" w:eastAsia="Arial" w:hAnsi="Arial" w:cs="Arial"/>
          <w:sz w:val="24"/>
          <w:szCs w:val="24"/>
        </w:rPr>
        <w:t xml:space="preserve">, </w:t>
      </w:r>
      <w:proofErr w:type="spellStart"/>
      <w:r w:rsidRPr="32853F47">
        <w:rPr>
          <w:rFonts w:ascii="Arial" w:eastAsia="Arial" w:hAnsi="Arial" w:cs="Arial"/>
          <w:sz w:val="24"/>
          <w:szCs w:val="24"/>
        </w:rPr>
        <w:t>chronosystem</w:t>
      </w:r>
      <w:proofErr w:type="spellEnd"/>
      <w:r w:rsidRPr="32853F47">
        <w:rPr>
          <w:rFonts w:ascii="Arial" w:eastAsia="Arial" w:hAnsi="Arial" w:cs="Arial"/>
          <w:sz w:val="24"/>
          <w:szCs w:val="24"/>
        </w:rPr>
        <w:t xml:space="preserve">, </w:t>
      </w:r>
      <w:proofErr w:type="spellStart"/>
      <w:r w:rsidRPr="32853F47">
        <w:rPr>
          <w:rFonts w:ascii="Arial" w:eastAsia="Arial" w:hAnsi="Arial" w:cs="Arial"/>
          <w:sz w:val="24"/>
          <w:szCs w:val="24"/>
        </w:rPr>
        <w:t>e</w:t>
      </w:r>
      <w:r w:rsidR="65E20041" w:rsidRPr="32853F47">
        <w:rPr>
          <w:rFonts w:ascii="Arial" w:eastAsia="Arial" w:hAnsi="Arial" w:cs="Arial"/>
          <w:sz w:val="24"/>
          <w:szCs w:val="24"/>
        </w:rPr>
        <w:t>x</w:t>
      </w:r>
      <w:r w:rsidRPr="32853F47">
        <w:rPr>
          <w:rFonts w:ascii="Arial" w:eastAsia="Arial" w:hAnsi="Arial" w:cs="Arial"/>
          <w:sz w:val="24"/>
          <w:szCs w:val="24"/>
        </w:rPr>
        <w:t>osystem</w:t>
      </w:r>
      <w:proofErr w:type="spellEnd"/>
      <w:r w:rsidR="5A9A3981" w:rsidRPr="32853F47">
        <w:rPr>
          <w:rFonts w:ascii="Arial" w:eastAsia="Arial" w:hAnsi="Arial" w:cs="Arial"/>
          <w:sz w:val="24"/>
          <w:szCs w:val="24"/>
        </w:rPr>
        <w:t>,</w:t>
      </w:r>
      <w:r w:rsidRPr="32853F47">
        <w:rPr>
          <w:rFonts w:ascii="Arial" w:eastAsia="Arial" w:hAnsi="Arial" w:cs="Arial"/>
          <w:sz w:val="24"/>
          <w:szCs w:val="24"/>
        </w:rPr>
        <w:t xml:space="preserve"> and </w:t>
      </w:r>
      <w:proofErr w:type="spellStart"/>
      <w:r w:rsidRPr="32853F47">
        <w:rPr>
          <w:rFonts w:ascii="Arial" w:eastAsia="Arial" w:hAnsi="Arial" w:cs="Arial"/>
          <w:sz w:val="24"/>
          <w:szCs w:val="24"/>
        </w:rPr>
        <w:t>mesosystem</w:t>
      </w:r>
      <w:proofErr w:type="spellEnd"/>
      <w:r w:rsidRPr="32853F47">
        <w:rPr>
          <w:rFonts w:ascii="Arial" w:eastAsia="Arial" w:hAnsi="Arial" w:cs="Arial"/>
          <w:sz w:val="24"/>
          <w:szCs w:val="24"/>
        </w:rPr>
        <w:t xml:space="preserve"> (Crawford, 2020). </w:t>
      </w:r>
      <w:proofErr w:type="spellStart"/>
      <w:r w:rsidRPr="32853F47">
        <w:rPr>
          <w:rFonts w:ascii="Arial" w:eastAsia="Arial" w:hAnsi="Arial" w:cs="Arial"/>
          <w:sz w:val="24"/>
          <w:szCs w:val="24"/>
        </w:rPr>
        <w:t>Bronfenbrenner</w:t>
      </w:r>
      <w:proofErr w:type="spellEnd"/>
      <w:r w:rsidRPr="32853F47">
        <w:rPr>
          <w:rFonts w:ascii="Arial" w:eastAsia="Arial" w:hAnsi="Arial" w:cs="Arial"/>
          <w:sz w:val="24"/>
          <w:szCs w:val="24"/>
        </w:rPr>
        <w:t xml:space="preserve"> proposed that these different systems impact a person’s life differently. </w:t>
      </w:r>
    </w:p>
    <w:p w:rsidR="0244114A" w:rsidRDefault="0244114A" w:rsidP="32853F47">
      <w:pPr>
        <w:spacing w:line="360" w:lineRule="auto"/>
      </w:pPr>
      <w:r w:rsidRPr="32853F47">
        <w:rPr>
          <w:rFonts w:ascii="Arial" w:eastAsia="Arial" w:hAnsi="Arial" w:cs="Arial"/>
          <w:sz w:val="24"/>
          <w:szCs w:val="24"/>
        </w:rPr>
        <w:t>The theory was built upon two propositions under which the interaction between an individual and the environment leads to human development. This includes proximal processes which denote complex interactions between an organism, object, person</w:t>
      </w:r>
      <w:r w:rsidR="1F2182F5" w:rsidRPr="32853F47">
        <w:rPr>
          <w:rFonts w:ascii="Arial" w:eastAsia="Arial" w:hAnsi="Arial" w:cs="Arial"/>
          <w:sz w:val="24"/>
          <w:szCs w:val="24"/>
        </w:rPr>
        <w:t>,</w:t>
      </w:r>
      <w:r w:rsidRPr="32853F47">
        <w:rPr>
          <w:rFonts w:ascii="Arial" w:eastAsia="Arial" w:hAnsi="Arial" w:cs="Arial"/>
          <w:sz w:val="24"/>
          <w:szCs w:val="24"/>
        </w:rPr>
        <w:t xml:space="preserve"> or elements in the immediate environment. This interaction </w:t>
      </w:r>
      <w:r w:rsidR="7F26E6BA" w:rsidRPr="32853F47">
        <w:rPr>
          <w:rFonts w:ascii="Arial" w:eastAsia="Arial" w:hAnsi="Arial" w:cs="Arial"/>
          <w:sz w:val="24"/>
          <w:szCs w:val="24"/>
        </w:rPr>
        <w:t>has to</w:t>
      </w:r>
      <w:r w:rsidRPr="32853F47">
        <w:rPr>
          <w:rFonts w:ascii="Arial" w:eastAsia="Arial" w:hAnsi="Arial" w:cs="Arial"/>
          <w:sz w:val="24"/>
          <w:szCs w:val="24"/>
        </w:rPr>
        <w:t xml:space="preserve"> occur regularly for it to be effective. The other is the direction and power of these joint proximal processes which vary significantly depending on the characteristics of the person and environment under which interactions take place (Woodland </w:t>
      </w:r>
      <w:r w:rsidRPr="32853F47">
        <w:rPr>
          <w:rFonts w:ascii="Arial" w:eastAsia="Arial" w:hAnsi="Arial" w:cs="Arial"/>
          <w:i/>
          <w:iCs/>
          <w:sz w:val="24"/>
          <w:szCs w:val="24"/>
        </w:rPr>
        <w:t>et al.</w:t>
      </w:r>
      <w:r w:rsidRPr="32853F47">
        <w:rPr>
          <w:rFonts w:ascii="Arial" w:eastAsia="Arial" w:hAnsi="Arial" w:cs="Arial"/>
          <w:sz w:val="24"/>
          <w:szCs w:val="24"/>
        </w:rPr>
        <w:t xml:space="preserve">, 2021). </w:t>
      </w:r>
    </w:p>
    <w:p w:rsidR="0244114A" w:rsidRDefault="0244114A" w:rsidP="32853F47">
      <w:pPr>
        <w:spacing w:line="360" w:lineRule="auto"/>
      </w:pPr>
      <w:r w:rsidRPr="32853F47">
        <w:rPr>
          <w:rFonts w:ascii="Arial" w:eastAsia="Arial" w:hAnsi="Arial" w:cs="Arial"/>
          <w:sz w:val="24"/>
          <w:szCs w:val="24"/>
        </w:rPr>
        <w:t xml:space="preserve">The idea that </w:t>
      </w:r>
      <w:r w:rsidR="167E9845" w:rsidRPr="32853F47">
        <w:rPr>
          <w:rFonts w:ascii="Arial" w:eastAsia="Arial" w:hAnsi="Arial" w:cs="Arial"/>
          <w:sz w:val="24"/>
          <w:szCs w:val="24"/>
        </w:rPr>
        <w:t xml:space="preserve">the </w:t>
      </w:r>
      <w:r w:rsidRPr="32853F47">
        <w:rPr>
          <w:rFonts w:ascii="Arial" w:eastAsia="Arial" w:hAnsi="Arial" w:cs="Arial"/>
          <w:sz w:val="24"/>
          <w:szCs w:val="24"/>
        </w:rPr>
        <w:t xml:space="preserve">development of a person is influenced by and interacts with their immediate environment supports PCC. The extent and direction to which the surroundings of a patient are provided can </w:t>
      </w:r>
      <w:r w:rsidR="1DDF156B" w:rsidRPr="32853F47">
        <w:rPr>
          <w:rFonts w:ascii="Arial" w:eastAsia="Arial" w:hAnsi="Arial" w:cs="Arial"/>
          <w:sz w:val="24"/>
          <w:szCs w:val="24"/>
        </w:rPr>
        <w:t>influence</w:t>
      </w:r>
      <w:r w:rsidRPr="32853F47">
        <w:rPr>
          <w:rFonts w:ascii="Arial" w:eastAsia="Arial" w:hAnsi="Arial" w:cs="Arial"/>
          <w:sz w:val="24"/>
          <w:szCs w:val="24"/>
        </w:rPr>
        <w:t xml:space="preserve"> their development and wellbeing. An ecological approach can help health professionals understand how to use a patient’s environment to adapt and how disrupting their environment can cause an increase in illness.</w:t>
      </w:r>
    </w:p>
    <w:p w:rsidR="57E403E4" w:rsidRDefault="57E403E4" w:rsidP="32853F47">
      <w:pPr>
        <w:pStyle w:val="Heading3"/>
        <w:spacing w:line="360" w:lineRule="auto"/>
        <w:rPr>
          <w:rFonts w:ascii="Arial" w:eastAsia="Arial" w:hAnsi="Arial" w:cs="Arial"/>
          <w:color w:val="auto"/>
          <w:u w:val="single"/>
        </w:rPr>
      </w:pPr>
      <w:r w:rsidRPr="32853F47">
        <w:rPr>
          <w:rFonts w:ascii="Arial" w:eastAsia="Arial" w:hAnsi="Arial" w:cs="Arial"/>
          <w:color w:val="auto"/>
          <w:u w:val="single"/>
        </w:rPr>
        <w:t>Maslow's Hierarchy of Need 1943</w:t>
      </w:r>
    </w:p>
    <w:p w:rsidR="57E403E4" w:rsidRDefault="57E403E4" w:rsidP="32853F47">
      <w:pPr>
        <w:spacing w:line="360" w:lineRule="auto"/>
      </w:pPr>
      <w:r w:rsidRPr="32853F47">
        <w:rPr>
          <w:rFonts w:ascii="Arial" w:eastAsia="Arial" w:hAnsi="Arial" w:cs="Arial"/>
          <w:sz w:val="24"/>
          <w:szCs w:val="24"/>
        </w:rPr>
        <w:t>Psychologist Abraham Maslow (1908-1970) developed the Maslow’s hierarchy of needs in 1943. He developed the theory based on the intrinsic need for human beings to self-actualise. The hierarchy represents a structure where the fulfilment of one need propels an individual to meet a higher need. According to the theory, there are five levels of motivation: Physiological, safety, love and belonging, esteem and self-actu</w:t>
      </w:r>
      <w:r w:rsidR="00665DE2">
        <w:rPr>
          <w:rFonts w:ascii="Arial" w:eastAsia="Arial" w:hAnsi="Arial" w:cs="Arial"/>
          <w:sz w:val="24"/>
          <w:szCs w:val="24"/>
        </w:rPr>
        <w:t>alisation (Ștefan, Popa and Florentina</w:t>
      </w:r>
      <w:r w:rsidRPr="32853F47">
        <w:rPr>
          <w:rFonts w:ascii="Arial" w:eastAsia="Arial" w:hAnsi="Arial" w:cs="Arial"/>
          <w:sz w:val="24"/>
          <w:szCs w:val="24"/>
        </w:rPr>
        <w:t xml:space="preserve">, 2020). </w:t>
      </w:r>
    </w:p>
    <w:p w:rsidR="57E403E4" w:rsidRDefault="57E403E4" w:rsidP="32853F47">
      <w:pPr>
        <w:spacing w:line="360" w:lineRule="auto"/>
      </w:pPr>
      <w:r w:rsidRPr="32853F47">
        <w:rPr>
          <w:rFonts w:ascii="Arial" w:eastAsia="Arial" w:hAnsi="Arial" w:cs="Arial"/>
          <w:sz w:val="24"/>
          <w:szCs w:val="24"/>
        </w:rPr>
        <w:t xml:space="preserve">The theory explains how human behaviour is influenced by </w:t>
      </w:r>
      <w:r w:rsidR="632BCAA4" w:rsidRPr="32853F47">
        <w:rPr>
          <w:rFonts w:ascii="Arial" w:eastAsia="Arial" w:hAnsi="Arial" w:cs="Arial"/>
          <w:sz w:val="24"/>
          <w:szCs w:val="24"/>
        </w:rPr>
        <w:t>several</w:t>
      </w:r>
      <w:r w:rsidRPr="32853F47">
        <w:rPr>
          <w:rFonts w:ascii="Arial" w:eastAsia="Arial" w:hAnsi="Arial" w:cs="Arial"/>
          <w:sz w:val="24"/>
          <w:szCs w:val="24"/>
        </w:rPr>
        <w:t xml:space="preserve"> fundamental needs which should be met in a sequential order. Based on the hierarchy, Maslow stated that a when a lower need is met or overtaken by a higher need, one feels no longer motivated to fulfil that need. To develop an improved PCC within the </w:t>
      </w:r>
      <w:r w:rsidRPr="32853F47">
        <w:rPr>
          <w:rFonts w:ascii="Arial" w:eastAsia="Arial" w:hAnsi="Arial" w:cs="Arial"/>
          <w:sz w:val="24"/>
          <w:szCs w:val="24"/>
        </w:rPr>
        <w:lastRenderedPageBreak/>
        <w:t xml:space="preserve">healthcare system, it is necessary to understand the hierarchy of a patient’s needs within the healthcare system. </w:t>
      </w:r>
    </w:p>
    <w:p w:rsidR="57E403E4" w:rsidRDefault="57E403E4" w:rsidP="32853F47">
      <w:pPr>
        <w:spacing w:line="360" w:lineRule="auto"/>
        <w:rPr>
          <w:rFonts w:ascii="Arial" w:eastAsia="Arial" w:hAnsi="Arial" w:cs="Arial"/>
          <w:sz w:val="24"/>
          <w:szCs w:val="24"/>
        </w:rPr>
      </w:pPr>
      <w:r w:rsidRPr="32853F47">
        <w:rPr>
          <w:rFonts w:ascii="Arial" w:eastAsia="Arial" w:hAnsi="Arial" w:cs="Arial"/>
          <w:sz w:val="24"/>
          <w:szCs w:val="24"/>
        </w:rPr>
        <w:t>To achieve this, the physiological needs have to be realised from the patient’s preferences which include the type of clothing, sleeping time, type of food</w:t>
      </w:r>
      <w:r w:rsidR="13D2B379" w:rsidRPr="32853F47">
        <w:rPr>
          <w:rFonts w:ascii="Arial" w:eastAsia="Arial" w:hAnsi="Arial" w:cs="Arial"/>
          <w:sz w:val="24"/>
          <w:szCs w:val="24"/>
        </w:rPr>
        <w:t>,</w:t>
      </w:r>
      <w:r w:rsidRPr="32853F47">
        <w:rPr>
          <w:rFonts w:ascii="Arial" w:eastAsia="Arial" w:hAnsi="Arial" w:cs="Arial"/>
          <w:sz w:val="24"/>
          <w:szCs w:val="24"/>
        </w:rPr>
        <w:t xml:space="preserve"> and drink</w:t>
      </w:r>
      <w:r w:rsidR="630CFD14" w:rsidRPr="32853F47">
        <w:rPr>
          <w:rFonts w:ascii="Arial" w:eastAsia="Arial" w:hAnsi="Arial" w:cs="Arial"/>
          <w:sz w:val="24"/>
          <w:szCs w:val="24"/>
        </w:rPr>
        <w:t>,</w:t>
      </w:r>
      <w:r w:rsidRPr="32853F47">
        <w:rPr>
          <w:rFonts w:ascii="Arial" w:eastAsia="Arial" w:hAnsi="Arial" w:cs="Arial"/>
          <w:sz w:val="24"/>
          <w:szCs w:val="24"/>
        </w:rPr>
        <w:t xml:space="preserve"> among others. Then safety, where a person</w:t>
      </w:r>
      <w:r w:rsidR="5E989890" w:rsidRPr="32853F47">
        <w:rPr>
          <w:rFonts w:ascii="Arial" w:eastAsia="Arial" w:hAnsi="Arial" w:cs="Arial"/>
          <w:sz w:val="24"/>
          <w:szCs w:val="24"/>
        </w:rPr>
        <w:t>-</w:t>
      </w:r>
      <w:r w:rsidRPr="32853F47">
        <w:rPr>
          <w:rFonts w:ascii="Arial" w:eastAsia="Arial" w:hAnsi="Arial" w:cs="Arial"/>
          <w:sz w:val="24"/>
          <w:szCs w:val="24"/>
        </w:rPr>
        <w:t xml:space="preserve">environment feels safe and </w:t>
      </w:r>
      <w:r w:rsidR="1605EE03" w:rsidRPr="32853F47">
        <w:rPr>
          <w:rFonts w:ascii="Arial" w:eastAsia="Arial" w:hAnsi="Arial" w:cs="Arial"/>
          <w:sz w:val="24"/>
          <w:szCs w:val="24"/>
        </w:rPr>
        <w:t>comfortable</w:t>
      </w:r>
      <w:r w:rsidRPr="32853F47">
        <w:rPr>
          <w:rFonts w:ascii="Arial" w:eastAsia="Arial" w:hAnsi="Arial" w:cs="Arial"/>
          <w:sz w:val="24"/>
          <w:szCs w:val="24"/>
        </w:rPr>
        <w:t xml:space="preserve"> should be established. This can be at hospitals, own home or in residential homes. Family and friendship should also play a significant role in person</w:t>
      </w:r>
      <w:r w:rsidR="73252611" w:rsidRPr="32853F47">
        <w:rPr>
          <w:rFonts w:ascii="Arial" w:eastAsia="Arial" w:hAnsi="Arial" w:cs="Arial"/>
          <w:sz w:val="24"/>
          <w:szCs w:val="24"/>
        </w:rPr>
        <w:t>-</w:t>
      </w:r>
      <w:r w:rsidRPr="32853F47">
        <w:rPr>
          <w:rFonts w:ascii="Arial" w:eastAsia="Arial" w:hAnsi="Arial" w:cs="Arial"/>
          <w:sz w:val="24"/>
          <w:szCs w:val="24"/>
        </w:rPr>
        <w:t>centred care to give the person a feeling of love and belonging. Fulfil</w:t>
      </w:r>
      <w:r w:rsidR="2837463A" w:rsidRPr="32853F47">
        <w:rPr>
          <w:rFonts w:ascii="Arial" w:eastAsia="Arial" w:hAnsi="Arial" w:cs="Arial"/>
          <w:sz w:val="24"/>
          <w:szCs w:val="24"/>
        </w:rPr>
        <w:t>l</w:t>
      </w:r>
      <w:r w:rsidRPr="32853F47">
        <w:rPr>
          <w:rFonts w:ascii="Arial" w:eastAsia="Arial" w:hAnsi="Arial" w:cs="Arial"/>
          <w:sz w:val="24"/>
          <w:szCs w:val="24"/>
        </w:rPr>
        <w:t>ment of these functions lead</w:t>
      </w:r>
      <w:r w:rsidR="508BBB0E" w:rsidRPr="32853F47">
        <w:rPr>
          <w:rFonts w:ascii="Arial" w:eastAsia="Arial" w:hAnsi="Arial" w:cs="Arial"/>
          <w:sz w:val="24"/>
          <w:szCs w:val="24"/>
        </w:rPr>
        <w:t>s</w:t>
      </w:r>
      <w:r w:rsidRPr="32853F47">
        <w:rPr>
          <w:rFonts w:ascii="Arial" w:eastAsia="Arial" w:hAnsi="Arial" w:cs="Arial"/>
          <w:sz w:val="24"/>
          <w:szCs w:val="24"/>
        </w:rPr>
        <w:t xml:space="preserve"> to esteem needs where a patient</w:t>
      </w:r>
      <w:r w:rsidR="527798AA" w:rsidRPr="32853F47">
        <w:rPr>
          <w:rFonts w:ascii="Arial" w:eastAsia="Arial" w:hAnsi="Arial" w:cs="Arial"/>
          <w:sz w:val="24"/>
          <w:szCs w:val="24"/>
        </w:rPr>
        <w:t>’</w:t>
      </w:r>
      <w:r w:rsidRPr="32853F47">
        <w:rPr>
          <w:rFonts w:ascii="Arial" w:eastAsia="Arial" w:hAnsi="Arial" w:cs="Arial"/>
          <w:sz w:val="24"/>
          <w:szCs w:val="24"/>
        </w:rPr>
        <w:t>s feeling of accomplishment</w:t>
      </w:r>
      <w:r w:rsidR="6DA9F5AB" w:rsidRPr="32853F47">
        <w:rPr>
          <w:rFonts w:ascii="Arial" w:eastAsia="Arial" w:hAnsi="Arial" w:cs="Arial"/>
          <w:sz w:val="24"/>
          <w:szCs w:val="24"/>
        </w:rPr>
        <w:t>s</w:t>
      </w:r>
      <w:r w:rsidRPr="32853F47">
        <w:rPr>
          <w:rFonts w:ascii="Arial" w:eastAsia="Arial" w:hAnsi="Arial" w:cs="Arial"/>
          <w:sz w:val="24"/>
          <w:szCs w:val="24"/>
        </w:rPr>
        <w:t xml:space="preserve"> such as respect, recognition, strength, status</w:t>
      </w:r>
      <w:r w:rsidR="7E6CECD1" w:rsidRPr="32853F47">
        <w:rPr>
          <w:rFonts w:ascii="Arial" w:eastAsia="Arial" w:hAnsi="Arial" w:cs="Arial"/>
          <w:sz w:val="24"/>
          <w:szCs w:val="24"/>
        </w:rPr>
        <w:t>,</w:t>
      </w:r>
      <w:r w:rsidRPr="32853F47">
        <w:rPr>
          <w:rFonts w:ascii="Arial" w:eastAsia="Arial" w:hAnsi="Arial" w:cs="Arial"/>
          <w:sz w:val="24"/>
          <w:szCs w:val="24"/>
        </w:rPr>
        <w:t xml:space="preserve"> and freedom are realised. Ultimately, self-actualisation through motivation to become the best they can </w:t>
      </w:r>
      <w:proofErr w:type="gramStart"/>
      <w:r w:rsidRPr="32853F47">
        <w:rPr>
          <w:rFonts w:ascii="Arial" w:eastAsia="Arial" w:hAnsi="Arial" w:cs="Arial"/>
          <w:sz w:val="24"/>
          <w:szCs w:val="24"/>
        </w:rPr>
        <w:t>be,</w:t>
      </w:r>
      <w:proofErr w:type="gramEnd"/>
      <w:r w:rsidRPr="32853F47">
        <w:rPr>
          <w:rFonts w:ascii="Arial" w:eastAsia="Arial" w:hAnsi="Arial" w:cs="Arial"/>
          <w:sz w:val="24"/>
          <w:szCs w:val="24"/>
        </w:rPr>
        <w:t xml:space="preserve"> is achieved</w:t>
      </w:r>
      <w:r w:rsidR="721E42E7" w:rsidRPr="32853F47">
        <w:rPr>
          <w:rFonts w:ascii="Arial" w:eastAsia="Arial" w:hAnsi="Arial" w:cs="Arial"/>
          <w:sz w:val="24"/>
          <w:szCs w:val="24"/>
        </w:rPr>
        <w:t xml:space="preserve"> by</w:t>
      </w:r>
      <w:r w:rsidRPr="32853F47">
        <w:rPr>
          <w:rFonts w:ascii="Arial" w:eastAsia="Arial" w:hAnsi="Arial" w:cs="Arial"/>
          <w:sz w:val="24"/>
          <w:szCs w:val="24"/>
        </w:rPr>
        <w:t xml:space="preserve"> promoting PCC.</w:t>
      </w:r>
    </w:p>
    <w:p w:rsidR="7E752C9C" w:rsidRDefault="7E752C9C" w:rsidP="32853F47">
      <w:pPr>
        <w:pStyle w:val="Heading3"/>
        <w:spacing w:line="360" w:lineRule="auto"/>
        <w:rPr>
          <w:rFonts w:ascii="Arial" w:eastAsia="Arial" w:hAnsi="Arial" w:cs="Arial"/>
          <w:color w:val="auto"/>
          <w:u w:val="single"/>
        </w:rPr>
      </w:pPr>
      <w:proofErr w:type="spellStart"/>
      <w:r w:rsidRPr="32853F47">
        <w:rPr>
          <w:rFonts w:ascii="Arial" w:eastAsia="Arial" w:hAnsi="Arial" w:cs="Arial"/>
          <w:color w:val="auto"/>
          <w:u w:val="single"/>
        </w:rPr>
        <w:t>Alderfer’s</w:t>
      </w:r>
      <w:proofErr w:type="spellEnd"/>
      <w:r w:rsidRPr="32853F47">
        <w:rPr>
          <w:rFonts w:ascii="Arial" w:eastAsia="Arial" w:hAnsi="Arial" w:cs="Arial"/>
          <w:color w:val="auto"/>
          <w:u w:val="single"/>
        </w:rPr>
        <w:t xml:space="preserve"> ERG Theory of Motivation 1969</w:t>
      </w:r>
      <w:r w:rsidRPr="32853F47">
        <w:rPr>
          <w:rFonts w:ascii="Arial" w:eastAsia="Arial" w:hAnsi="Arial" w:cs="Arial"/>
          <w:color w:val="auto"/>
        </w:rPr>
        <w:t xml:space="preserve"> </w:t>
      </w:r>
    </w:p>
    <w:p w:rsidR="7E752C9C" w:rsidRDefault="7E752C9C" w:rsidP="32853F47">
      <w:pPr>
        <w:spacing w:line="360" w:lineRule="auto"/>
      </w:pPr>
      <w:r w:rsidRPr="32853F47">
        <w:rPr>
          <w:rFonts w:ascii="Arial" w:eastAsia="Arial" w:hAnsi="Arial" w:cs="Arial"/>
          <w:sz w:val="24"/>
          <w:szCs w:val="24"/>
        </w:rPr>
        <w:t xml:space="preserve">The theory was formulated by Clayton P. </w:t>
      </w:r>
      <w:proofErr w:type="spellStart"/>
      <w:r w:rsidRPr="32853F47">
        <w:rPr>
          <w:rFonts w:ascii="Arial" w:eastAsia="Arial" w:hAnsi="Arial" w:cs="Arial"/>
          <w:sz w:val="24"/>
          <w:szCs w:val="24"/>
        </w:rPr>
        <w:t>Alderfer</w:t>
      </w:r>
      <w:proofErr w:type="spellEnd"/>
      <w:r w:rsidRPr="32853F47">
        <w:rPr>
          <w:rFonts w:ascii="Arial" w:eastAsia="Arial" w:hAnsi="Arial" w:cs="Arial"/>
          <w:sz w:val="24"/>
          <w:szCs w:val="24"/>
        </w:rPr>
        <w:t xml:space="preserve"> as a motivation theory similar to that of Maslow’s in terms of fulfilment of needs (</w:t>
      </w:r>
      <w:proofErr w:type="spellStart"/>
      <w:r w:rsidRPr="32853F47">
        <w:rPr>
          <w:rFonts w:ascii="Arial" w:eastAsia="Arial" w:hAnsi="Arial" w:cs="Arial"/>
          <w:sz w:val="24"/>
          <w:szCs w:val="24"/>
        </w:rPr>
        <w:t>Kiniman</w:t>
      </w:r>
      <w:proofErr w:type="spellEnd"/>
      <w:r w:rsidRPr="32853F47">
        <w:rPr>
          <w:rFonts w:ascii="Arial" w:eastAsia="Arial" w:hAnsi="Arial" w:cs="Arial"/>
          <w:sz w:val="24"/>
          <w:szCs w:val="24"/>
        </w:rPr>
        <w:t xml:space="preserve"> and </w:t>
      </w:r>
      <w:proofErr w:type="spellStart"/>
      <w:r w:rsidRPr="32853F47">
        <w:rPr>
          <w:rFonts w:ascii="Arial" w:eastAsia="Arial" w:hAnsi="Arial" w:cs="Arial"/>
          <w:sz w:val="24"/>
          <w:szCs w:val="24"/>
        </w:rPr>
        <w:t>Cherdchom</w:t>
      </w:r>
      <w:proofErr w:type="spellEnd"/>
      <w:r w:rsidRPr="32853F47">
        <w:rPr>
          <w:rFonts w:ascii="Arial" w:eastAsia="Arial" w:hAnsi="Arial" w:cs="Arial"/>
          <w:sz w:val="24"/>
          <w:szCs w:val="24"/>
        </w:rPr>
        <w:t>, 2019). The ERG represents the needs which are grouped into three, Existence, Relatedness and Growth. Existences needs are related to safety and refer to physical or physiological needs. Relatedness refers to needs for social interaction and relationship with the society, family, friends</w:t>
      </w:r>
      <w:r w:rsidR="42FC7610" w:rsidRPr="32853F47">
        <w:rPr>
          <w:rFonts w:ascii="Arial" w:eastAsia="Arial" w:hAnsi="Arial" w:cs="Arial"/>
          <w:sz w:val="24"/>
          <w:szCs w:val="24"/>
        </w:rPr>
        <w:t>,</w:t>
      </w:r>
      <w:r w:rsidRPr="32853F47">
        <w:rPr>
          <w:rFonts w:ascii="Arial" w:eastAsia="Arial" w:hAnsi="Arial" w:cs="Arial"/>
          <w:sz w:val="24"/>
          <w:szCs w:val="24"/>
        </w:rPr>
        <w:t xml:space="preserve"> and a longing to be accepted and loved. </w:t>
      </w:r>
    </w:p>
    <w:p w:rsidR="7E752C9C" w:rsidRDefault="7E752C9C" w:rsidP="32853F47">
      <w:pPr>
        <w:spacing w:line="360" w:lineRule="auto"/>
      </w:pPr>
      <w:r w:rsidRPr="32853F47">
        <w:rPr>
          <w:rFonts w:ascii="Arial" w:eastAsia="Arial" w:hAnsi="Arial" w:cs="Arial"/>
          <w:sz w:val="24"/>
          <w:szCs w:val="24"/>
        </w:rPr>
        <w:t xml:space="preserve">The need for growth refers to the intrinsic ability to develop a career where a person can use their knowledge and understanding to further their professionalism. It also relates to personal efforts to achieve self-fulfilment and confidence in activities they </w:t>
      </w:r>
      <w:proofErr w:type="gramStart"/>
      <w:r w:rsidRPr="32853F47">
        <w:rPr>
          <w:rFonts w:ascii="Arial" w:eastAsia="Arial" w:hAnsi="Arial" w:cs="Arial"/>
          <w:sz w:val="24"/>
          <w:szCs w:val="24"/>
        </w:rPr>
        <w:t>are wanting</w:t>
      </w:r>
      <w:proofErr w:type="gramEnd"/>
      <w:r w:rsidRPr="32853F47">
        <w:rPr>
          <w:rFonts w:ascii="Arial" w:eastAsia="Arial" w:hAnsi="Arial" w:cs="Arial"/>
          <w:sz w:val="24"/>
          <w:szCs w:val="24"/>
        </w:rPr>
        <w:t xml:space="preserve"> to achieve (Han and </w:t>
      </w:r>
      <w:proofErr w:type="spellStart"/>
      <w:r w:rsidRPr="32853F47">
        <w:rPr>
          <w:rFonts w:ascii="Arial" w:eastAsia="Arial" w:hAnsi="Arial" w:cs="Arial"/>
          <w:sz w:val="24"/>
          <w:szCs w:val="24"/>
        </w:rPr>
        <w:t>Yeo</w:t>
      </w:r>
      <w:proofErr w:type="spellEnd"/>
      <w:r w:rsidRPr="32853F47">
        <w:rPr>
          <w:rFonts w:ascii="Arial" w:eastAsia="Arial" w:hAnsi="Arial" w:cs="Arial"/>
          <w:sz w:val="24"/>
          <w:szCs w:val="24"/>
        </w:rPr>
        <w:t xml:space="preserve">, 2021). Motivation to get better through fulfilment of needs based on the ERG theory can result in better performance of a patient. The theory can help inform and develop on the person-centred care since it puts a person at the centre of healthcare. </w:t>
      </w:r>
    </w:p>
    <w:p w:rsidR="7E752C9C" w:rsidRDefault="7E752C9C" w:rsidP="32853F47">
      <w:pPr>
        <w:spacing w:line="360" w:lineRule="auto"/>
      </w:pPr>
      <w:r w:rsidRPr="32853F47">
        <w:rPr>
          <w:rFonts w:ascii="Arial" w:eastAsia="Arial" w:hAnsi="Arial" w:cs="Arial"/>
          <w:sz w:val="24"/>
          <w:szCs w:val="24"/>
        </w:rPr>
        <w:t>The ERG theory differs from Maslow’s theory in that needs do not have to be gratified in hierarchical form and that the order in which needs are to be fulfilled differ for different people (</w:t>
      </w:r>
      <w:proofErr w:type="spellStart"/>
      <w:r w:rsidRPr="32853F47">
        <w:rPr>
          <w:rFonts w:ascii="Arial" w:eastAsia="Arial" w:hAnsi="Arial" w:cs="Arial"/>
          <w:sz w:val="24"/>
          <w:szCs w:val="24"/>
        </w:rPr>
        <w:t>Shanmugapriya</w:t>
      </w:r>
      <w:proofErr w:type="spellEnd"/>
      <w:r w:rsidRPr="32853F47">
        <w:rPr>
          <w:rFonts w:ascii="Arial" w:eastAsia="Arial" w:hAnsi="Arial" w:cs="Arial"/>
          <w:sz w:val="24"/>
          <w:szCs w:val="24"/>
        </w:rPr>
        <w:t>, 2021).</w:t>
      </w:r>
    </w:p>
    <w:p w:rsidR="01A15B42" w:rsidRDefault="01A15B42" w:rsidP="32853F47">
      <w:pPr>
        <w:pStyle w:val="Heading3"/>
        <w:spacing w:line="360" w:lineRule="auto"/>
        <w:rPr>
          <w:rFonts w:ascii="Arial" w:eastAsia="Arial" w:hAnsi="Arial" w:cs="Arial"/>
          <w:color w:val="auto"/>
          <w:u w:val="single"/>
        </w:rPr>
      </w:pPr>
      <w:r w:rsidRPr="32853F47">
        <w:rPr>
          <w:rFonts w:ascii="Arial" w:eastAsia="Arial" w:hAnsi="Arial" w:cs="Arial"/>
          <w:color w:val="auto"/>
          <w:u w:val="single"/>
        </w:rPr>
        <w:t>Bradshaw's Taxonomy of Social Needs 1972</w:t>
      </w:r>
    </w:p>
    <w:p w:rsidR="01A15B42" w:rsidRDefault="01A15B42" w:rsidP="32853F47">
      <w:pPr>
        <w:spacing w:line="360" w:lineRule="auto"/>
      </w:pPr>
      <w:r w:rsidRPr="32853F47">
        <w:rPr>
          <w:rFonts w:ascii="Arial" w:eastAsia="Arial" w:hAnsi="Arial" w:cs="Arial"/>
          <w:sz w:val="24"/>
          <w:szCs w:val="24"/>
        </w:rPr>
        <w:t xml:space="preserve">The theory was proposed by Jonathan Bradshaw in 1972 denoting four categories of needs (Bradshaw, 1972). These categories can be used to address the different perspectives within healthcare which include normative needs, expressed needs, felt </w:t>
      </w:r>
      <w:r w:rsidRPr="32853F47">
        <w:rPr>
          <w:rFonts w:ascii="Arial" w:eastAsia="Arial" w:hAnsi="Arial" w:cs="Arial"/>
          <w:sz w:val="24"/>
          <w:szCs w:val="24"/>
        </w:rPr>
        <w:lastRenderedPageBreak/>
        <w:t xml:space="preserve">need and comparative need. A normative need in healthcare is defined based on the normal processes undertaken within a healthcare institution, by a medical professional. </w:t>
      </w:r>
    </w:p>
    <w:p w:rsidR="01A15B42" w:rsidRDefault="01A15B42" w:rsidP="32853F47">
      <w:pPr>
        <w:spacing w:line="360" w:lineRule="auto"/>
      </w:pPr>
      <w:r w:rsidRPr="32853F47">
        <w:rPr>
          <w:rFonts w:ascii="Arial" w:eastAsia="Arial" w:hAnsi="Arial" w:cs="Arial"/>
          <w:sz w:val="24"/>
          <w:szCs w:val="24"/>
        </w:rPr>
        <w:t>A felt need is defined by a person’s wishes and desires. An expressed need is defined by demand for something, which may or may not underestimate the real need. Comparative need is defined by differences in opinion in comparison to how a given service is rendered (</w:t>
      </w:r>
      <w:proofErr w:type="spellStart"/>
      <w:r w:rsidRPr="32853F47">
        <w:rPr>
          <w:rFonts w:ascii="Arial" w:eastAsia="Arial" w:hAnsi="Arial" w:cs="Arial"/>
          <w:sz w:val="24"/>
          <w:szCs w:val="24"/>
        </w:rPr>
        <w:t>Bierhals</w:t>
      </w:r>
      <w:proofErr w:type="spellEnd"/>
      <w:r w:rsidRPr="32853F47">
        <w:rPr>
          <w:rFonts w:ascii="Arial" w:eastAsia="Arial" w:hAnsi="Arial" w:cs="Arial"/>
          <w:sz w:val="24"/>
          <w:szCs w:val="24"/>
        </w:rPr>
        <w:t xml:space="preserve"> </w:t>
      </w:r>
      <w:r w:rsidRPr="32853F47">
        <w:rPr>
          <w:rFonts w:ascii="Arial" w:eastAsia="Arial" w:hAnsi="Arial" w:cs="Arial"/>
          <w:i/>
          <w:iCs/>
          <w:sz w:val="24"/>
          <w:szCs w:val="24"/>
        </w:rPr>
        <w:t>et al.</w:t>
      </w:r>
      <w:r w:rsidRPr="32853F47">
        <w:rPr>
          <w:rFonts w:ascii="Arial" w:eastAsia="Arial" w:hAnsi="Arial" w:cs="Arial"/>
          <w:sz w:val="24"/>
          <w:szCs w:val="24"/>
        </w:rPr>
        <w:t xml:space="preserve">, 2017). Person-centred care can use this theory to determine the taxonomy in which a patient’s needs should be addressed depending on their state. It can also be used to address </w:t>
      </w:r>
      <w:proofErr w:type="gramStart"/>
      <w:r w:rsidRPr="32853F47">
        <w:rPr>
          <w:rFonts w:ascii="Arial" w:eastAsia="Arial" w:hAnsi="Arial" w:cs="Arial"/>
          <w:sz w:val="24"/>
          <w:szCs w:val="24"/>
        </w:rPr>
        <w:t>a carers</w:t>
      </w:r>
      <w:proofErr w:type="gramEnd"/>
      <w:r w:rsidRPr="32853F47">
        <w:rPr>
          <w:rFonts w:ascii="Arial" w:eastAsia="Arial" w:hAnsi="Arial" w:cs="Arial"/>
          <w:sz w:val="24"/>
          <w:szCs w:val="24"/>
        </w:rPr>
        <w:t xml:space="preserve"> normative and felt needs since all components of PCC should be addressed.</w:t>
      </w:r>
    </w:p>
    <w:p w:rsidR="324515CF" w:rsidRDefault="324515CF" w:rsidP="32853F47">
      <w:pPr>
        <w:pStyle w:val="Heading2"/>
        <w:spacing w:line="360" w:lineRule="auto"/>
        <w:rPr>
          <w:rFonts w:ascii="Arial" w:eastAsia="Arial" w:hAnsi="Arial" w:cs="Arial"/>
          <w:b/>
          <w:bCs/>
          <w:color w:val="auto"/>
          <w:sz w:val="24"/>
          <w:szCs w:val="24"/>
        </w:rPr>
      </w:pPr>
      <w:r w:rsidRPr="32853F47">
        <w:rPr>
          <w:rFonts w:ascii="Arial" w:eastAsia="Arial" w:hAnsi="Arial" w:cs="Arial"/>
          <w:b/>
          <w:bCs/>
          <w:color w:val="auto"/>
          <w:sz w:val="24"/>
          <w:szCs w:val="24"/>
        </w:rPr>
        <w:t>Ethical underpinning of person-centred care</w:t>
      </w:r>
    </w:p>
    <w:p w:rsidR="324515CF" w:rsidRDefault="324515CF" w:rsidP="32853F47">
      <w:pPr>
        <w:spacing w:line="360" w:lineRule="auto"/>
      </w:pPr>
      <w:r w:rsidRPr="32853F47">
        <w:rPr>
          <w:rFonts w:ascii="Arial" w:eastAsia="Arial" w:hAnsi="Arial" w:cs="Arial"/>
          <w:sz w:val="24"/>
          <w:szCs w:val="24"/>
        </w:rPr>
        <w:t>Ethics in healthcare refers to doing the right thing, destroying what is wrong, and establishing the right relationships based on the fundamental principles and concepts which guide human conduct (</w:t>
      </w:r>
      <w:proofErr w:type="spellStart"/>
      <w:r w:rsidRPr="32853F47">
        <w:rPr>
          <w:rFonts w:ascii="Arial" w:eastAsia="Arial" w:hAnsi="Arial" w:cs="Arial"/>
          <w:sz w:val="24"/>
          <w:szCs w:val="24"/>
        </w:rPr>
        <w:t>Tomaselli</w:t>
      </w:r>
      <w:proofErr w:type="spellEnd"/>
      <w:r w:rsidRPr="32853F47">
        <w:rPr>
          <w:rFonts w:ascii="Arial" w:eastAsia="Arial" w:hAnsi="Arial" w:cs="Arial"/>
          <w:sz w:val="24"/>
          <w:szCs w:val="24"/>
        </w:rPr>
        <w:t xml:space="preserve"> </w:t>
      </w:r>
      <w:r w:rsidRPr="32853F47">
        <w:rPr>
          <w:rFonts w:ascii="Arial" w:eastAsia="Arial" w:hAnsi="Arial" w:cs="Arial"/>
          <w:i/>
          <w:iCs/>
          <w:sz w:val="24"/>
          <w:szCs w:val="24"/>
        </w:rPr>
        <w:t>et al.</w:t>
      </w:r>
      <w:r w:rsidRPr="32853F47">
        <w:rPr>
          <w:rFonts w:ascii="Arial" w:eastAsia="Arial" w:hAnsi="Arial" w:cs="Arial"/>
          <w:sz w:val="24"/>
          <w:szCs w:val="24"/>
        </w:rPr>
        <w:t xml:space="preserve">, 2020). </w:t>
      </w:r>
    </w:p>
    <w:p w:rsidR="324515CF" w:rsidRDefault="324515CF" w:rsidP="32853F47">
      <w:pPr>
        <w:spacing w:line="360" w:lineRule="auto"/>
      </w:pPr>
      <w:r w:rsidRPr="32853F47">
        <w:rPr>
          <w:rFonts w:ascii="Arial" w:eastAsia="Arial" w:hAnsi="Arial" w:cs="Arial"/>
          <w:sz w:val="24"/>
          <w:szCs w:val="24"/>
        </w:rPr>
        <w:t xml:space="preserve">PCC considers a patient’s preference, lifestyle, family situations, </w:t>
      </w:r>
      <w:proofErr w:type="gramStart"/>
      <w:r w:rsidRPr="32853F47">
        <w:rPr>
          <w:rFonts w:ascii="Arial" w:eastAsia="Arial" w:hAnsi="Arial" w:cs="Arial"/>
          <w:sz w:val="24"/>
          <w:szCs w:val="24"/>
        </w:rPr>
        <w:t>cultural</w:t>
      </w:r>
      <w:proofErr w:type="gramEnd"/>
      <w:r w:rsidRPr="32853F47">
        <w:rPr>
          <w:rFonts w:ascii="Arial" w:eastAsia="Arial" w:hAnsi="Arial" w:cs="Arial"/>
          <w:sz w:val="24"/>
          <w:szCs w:val="24"/>
        </w:rPr>
        <w:t xml:space="preserve"> traditions and is guided in part by the ethical principle of autonomy. This coincides with the healthcare principle of self-fragility and coherence where the relationship between health providers and patient considers a patient as persons. Autonomy may however be impeded when a patient is not involved in discussing different treatment options due to information overload. </w:t>
      </w:r>
    </w:p>
    <w:p w:rsidR="324515CF" w:rsidRDefault="324515CF" w:rsidP="32853F47">
      <w:pPr>
        <w:spacing w:line="360" w:lineRule="auto"/>
      </w:pPr>
      <w:r w:rsidRPr="32853F47">
        <w:rPr>
          <w:rFonts w:ascii="Arial" w:eastAsia="Arial" w:hAnsi="Arial" w:cs="Arial"/>
          <w:sz w:val="24"/>
          <w:szCs w:val="24"/>
        </w:rPr>
        <w:t>The confidentiality policy for PCC extends to family members and not just between the patient and the healthcare professional like in the traditional system. This gives the family the ability to make decisions on behalf of the patient in cases where the patient is not capable. However, a person’s narrative may be considered embarrassing and containing sensitive information in relation to history, personal feelings</w:t>
      </w:r>
      <w:r w:rsidR="72C6A160" w:rsidRPr="32853F47">
        <w:rPr>
          <w:rFonts w:ascii="Arial" w:eastAsia="Arial" w:hAnsi="Arial" w:cs="Arial"/>
          <w:sz w:val="24"/>
          <w:szCs w:val="24"/>
        </w:rPr>
        <w:t>,</w:t>
      </w:r>
      <w:r w:rsidRPr="32853F47">
        <w:rPr>
          <w:rFonts w:ascii="Arial" w:eastAsia="Arial" w:hAnsi="Arial" w:cs="Arial"/>
          <w:sz w:val="24"/>
          <w:szCs w:val="24"/>
        </w:rPr>
        <w:t xml:space="preserve"> and related aspects. Exposing such information may lead to reduced trust. </w:t>
      </w:r>
    </w:p>
    <w:p w:rsidR="324515CF" w:rsidRDefault="324515CF" w:rsidP="32853F47">
      <w:pPr>
        <w:spacing w:line="360" w:lineRule="auto"/>
      </w:pPr>
      <w:r w:rsidRPr="32853F47">
        <w:rPr>
          <w:rFonts w:ascii="Arial" w:eastAsia="Arial" w:hAnsi="Arial" w:cs="Arial"/>
          <w:sz w:val="24"/>
          <w:szCs w:val="24"/>
        </w:rPr>
        <w:t>Allocation and limits of responsibility policy in PCC is guided by decision making between a patient and their care giver. Care provided may not be based on best treatment defined by clinical standards but by agreement between the patient and the carer. Though this may be agreeable in PCC, it would be morally wrong for a healthcare professional to offer substandard treatment.</w:t>
      </w:r>
    </w:p>
    <w:p w:rsidR="707C2F52" w:rsidRDefault="707C2F52" w:rsidP="32853F47">
      <w:pPr>
        <w:pStyle w:val="Heading2"/>
        <w:spacing w:line="360" w:lineRule="auto"/>
        <w:rPr>
          <w:rFonts w:ascii="Arial" w:eastAsia="Arial" w:hAnsi="Arial" w:cs="Arial"/>
          <w:b/>
          <w:bCs/>
          <w:color w:val="auto"/>
          <w:sz w:val="24"/>
          <w:szCs w:val="24"/>
        </w:rPr>
      </w:pPr>
      <w:r w:rsidRPr="32853F47">
        <w:rPr>
          <w:rFonts w:ascii="Arial" w:eastAsia="Arial" w:hAnsi="Arial" w:cs="Arial"/>
          <w:b/>
          <w:bCs/>
          <w:color w:val="auto"/>
          <w:sz w:val="24"/>
          <w:szCs w:val="24"/>
        </w:rPr>
        <w:lastRenderedPageBreak/>
        <w:t>Benefits and limitations of person-centred care for dementia services</w:t>
      </w:r>
    </w:p>
    <w:p w:rsidR="707C2F52" w:rsidRDefault="707C2F52" w:rsidP="32853F47">
      <w:pPr>
        <w:spacing w:line="360" w:lineRule="auto"/>
      </w:pPr>
      <w:r w:rsidRPr="32853F47">
        <w:rPr>
          <w:rFonts w:ascii="Arial" w:eastAsia="Arial" w:hAnsi="Arial" w:cs="Arial"/>
          <w:sz w:val="24"/>
          <w:szCs w:val="24"/>
        </w:rPr>
        <w:t xml:space="preserve">There are variety of dementia services which can be offered to patients and their careers. According to AGE UK, some examples of dementia services available include memory cafes, online groups, day centres and carer groups. Different societies provide </w:t>
      </w:r>
      <w:proofErr w:type="spellStart"/>
      <w:r w:rsidRPr="32853F47">
        <w:rPr>
          <w:rFonts w:ascii="Arial" w:eastAsia="Arial" w:hAnsi="Arial" w:cs="Arial"/>
          <w:sz w:val="24"/>
          <w:szCs w:val="24"/>
        </w:rPr>
        <w:t>helplines</w:t>
      </w:r>
      <w:proofErr w:type="spellEnd"/>
      <w:r w:rsidRPr="32853F47">
        <w:rPr>
          <w:rFonts w:ascii="Arial" w:eastAsia="Arial" w:hAnsi="Arial" w:cs="Arial"/>
          <w:sz w:val="24"/>
          <w:szCs w:val="24"/>
        </w:rPr>
        <w:t xml:space="preserve"> for carers such as the Alzheimer’s Society’s National Dementia, Carers UK, Dementia UK Admiral Nurse Dementia and Age UK Advice Line.</w:t>
      </w:r>
    </w:p>
    <w:p w:rsidR="72601881" w:rsidRDefault="72601881" w:rsidP="32853F47">
      <w:pPr>
        <w:pStyle w:val="Heading3"/>
        <w:spacing w:line="360" w:lineRule="auto"/>
        <w:rPr>
          <w:rFonts w:ascii="Arial" w:eastAsia="Arial" w:hAnsi="Arial" w:cs="Arial"/>
          <w:color w:val="auto"/>
        </w:rPr>
      </w:pPr>
      <w:r w:rsidRPr="32853F47">
        <w:rPr>
          <w:rFonts w:ascii="Arial" w:eastAsia="Arial" w:hAnsi="Arial" w:cs="Arial"/>
          <w:color w:val="auto"/>
          <w:u w:val="single"/>
        </w:rPr>
        <w:t>Benefits</w:t>
      </w:r>
      <w:r w:rsidRPr="32853F47">
        <w:rPr>
          <w:rFonts w:ascii="Arial" w:eastAsia="Arial" w:hAnsi="Arial" w:cs="Arial"/>
          <w:color w:val="auto"/>
        </w:rPr>
        <w:t xml:space="preserve"> </w:t>
      </w:r>
    </w:p>
    <w:p w:rsidR="72601881" w:rsidRDefault="72601881" w:rsidP="32853F47">
      <w:pPr>
        <w:pStyle w:val="ListParagraph"/>
        <w:numPr>
          <w:ilvl w:val="0"/>
          <w:numId w:val="7"/>
        </w:numPr>
        <w:spacing w:line="360" w:lineRule="auto"/>
        <w:rPr>
          <w:rFonts w:ascii="Arial" w:eastAsia="Arial" w:hAnsi="Arial" w:cs="Arial"/>
          <w:sz w:val="24"/>
          <w:szCs w:val="24"/>
        </w:rPr>
      </w:pPr>
      <w:r w:rsidRPr="32853F47">
        <w:rPr>
          <w:rFonts w:ascii="Arial" w:eastAsia="Arial" w:hAnsi="Arial" w:cs="Arial"/>
          <w:sz w:val="24"/>
          <w:szCs w:val="24"/>
        </w:rPr>
        <w:t>Reducing anxiety and depression – Attending available dementia services provides insights into what other patients go through</w:t>
      </w:r>
      <w:r w:rsidR="420B64D6" w:rsidRPr="32853F47">
        <w:rPr>
          <w:rFonts w:ascii="Arial" w:eastAsia="Arial" w:hAnsi="Arial" w:cs="Arial"/>
          <w:sz w:val="24"/>
          <w:szCs w:val="24"/>
        </w:rPr>
        <w:t xml:space="preserve"> and</w:t>
      </w:r>
      <w:r w:rsidR="792DEA47" w:rsidRPr="32853F47">
        <w:rPr>
          <w:rFonts w:ascii="Arial" w:eastAsia="Arial" w:hAnsi="Arial" w:cs="Arial"/>
          <w:sz w:val="24"/>
          <w:szCs w:val="24"/>
        </w:rPr>
        <w:t xml:space="preserve"> creates a community where the patient realise is not alone.</w:t>
      </w:r>
      <w:r w:rsidRPr="32853F47">
        <w:rPr>
          <w:rFonts w:ascii="Arial" w:eastAsia="Arial" w:hAnsi="Arial" w:cs="Arial"/>
          <w:sz w:val="24"/>
          <w:szCs w:val="24"/>
        </w:rPr>
        <w:t xml:space="preserve"> </w:t>
      </w:r>
      <w:r w:rsidR="7ACDE5C5" w:rsidRPr="32853F47">
        <w:rPr>
          <w:rFonts w:ascii="Arial" w:eastAsia="Arial" w:hAnsi="Arial" w:cs="Arial"/>
          <w:sz w:val="24"/>
          <w:szCs w:val="24"/>
        </w:rPr>
        <w:t xml:space="preserve">To express oneself freely to a </w:t>
      </w:r>
      <w:proofErr w:type="gramStart"/>
      <w:r w:rsidR="7ACDE5C5" w:rsidRPr="32853F47">
        <w:rPr>
          <w:rFonts w:ascii="Arial" w:eastAsia="Arial" w:hAnsi="Arial" w:cs="Arial"/>
          <w:sz w:val="24"/>
          <w:szCs w:val="24"/>
        </w:rPr>
        <w:t>person</w:t>
      </w:r>
      <w:proofErr w:type="gramEnd"/>
      <w:r w:rsidR="7ACDE5C5" w:rsidRPr="32853F47">
        <w:rPr>
          <w:rFonts w:ascii="Arial" w:eastAsia="Arial" w:hAnsi="Arial" w:cs="Arial"/>
          <w:sz w:val="24"/>
          <w:szCs w:val="24"/>
        </w:rPr>
        <w:t xml:space="preserve"> who understands, reduces depression and anxiety.</w:t>
      </w:r>
    </w:p>
    <w:p w:rsidR="72601881" w:rsidRDefault="72601881" w:rsidP="32853F47">
      <w:pPr>
        <w:pStyle w:val="ListParagraph"/>
        <w:numPr>
          <w:ilvl w:val="0"/>
          <w:numId w:val="7"/>
        </w:numPr>
        <w:spacing w:line="360" w:lineRule="auto"/>
        <w:rPr>
          <w:rFonts w:ascii="Arial" w:eastAsia="Arial" w:hAnsi="Arial" w:cs="Arial"/>
          <w:sz w:val="24"/>
          <w:szCs w:val="24"/>
        </w:rPr>
      </w:pPr>
      <w:r w:rsidRPr="32853F47">
        <w:rPr>
          <w:rFonts w:ascii="Arial" w:eastAsia="Arial" w:hAnsi="Arial" w:cs="Arial"/>
          <w:sz w:val="24"/>
          <w:szCs w:val="24"/>
        </w:rPr>
        <w:t xml:space="preserve">Obtaining advice and information – These services often offer a guide or a professional who runs programs on educating the public. This way, one </w:t>
      </w:r>
      <w:r w:rsidR="426336E2" w:rsidRPr="32853F47">
        <w:rPr>
          <w:rFonts w:ascii="Arial" w:eastAsia="Arial" w:hAnsi="Arial" w:cs="Arial"/>
          <w:sz w:val="24"/>
          <w:szCs w:val="24"/>
        </w:rPr>
        <w:t>can</w:t>
      </w:r>
      <w:r w:rsidRPr="32853F47">
        <w:rPr>
          <w:rFonts w:ascii="Arial" w:eastAsia="Arial" w:hAnsi="Arial" w:cs="Arial"/>
          <w:sz w:val="24"/>
          <w:szCs w:val="24"/>
        </w:rPr>
        <w:t xml:space="preserve"> gain information and seek advice on various issues. </w:t>
      </w:r>
    </w:p>
    <w:p w:rsidR="72601881" w:rsidRDefault="72601881" w:rsidP="32853F47">
      <w:pPr>
        <w:pStyle w:val="ListParagraph"/>
        <w:numPr>
          <w:ilvl w:val="0"/>
          <w:numId w:val="7"/>
        </w:numPr>
        <w:spacing w:line="360" w:lineRule="auto"/>
      </w:pPr>
      <w:r w:rsidRPr="32853F47">
        <w:rPr>
          <w:rFonts w:ascii="Arial" w:eastAsia="Arial" w:hAnsi="Arial" w:cs="Arial"/>
          <w:sz w:val="24"/>
          <w:szCs w:val="24"/>
        </w:rPr>
        <w:t xml:space="preserve">Emotional support – At times, a patient or care giver may be overwhelmed by emotions about their current situation. Being in touch with someone who is going through similar situation can offer a sense of relief. </w:t>
      </w:r>
    </w:p>
    <w:p w:rsidR="72601881" w:rsidRDefault="72601881" w:rsidP="32853F47">
      <w:pPr>
        <w:pStyle w:val="ListParagraph"/>
        <w:numPr>
          <w:ilvl w:val="0"/>
          <w:numId w:val="7"/>
        </w:numPr>
        <w:spacing w:line="360" w:lineRule="auto"/>
      </w:pPr>
      <w:r w:rsidRPr="32853F47">
        <w:rPr>
          <w:rFonts w:ascii="Arial" w:eastAsia="Arial" w:hAnsi="Arial" w:cs="Arial"/>
          <w:sz w:val="24"/>
          <w:szCs w:val="24"/>
        </w:rPr>
        <w:t>Improve quality of life – Advice and information offered on such meetings often lead to healthier living. Controlling anxiety and emotions and offering the best service for both a carer and the patient improves their living standards.</w:t>
      </w:r>
    </w:p>
    <w:p w:rsidR="165CE56C" w:rsidRDefault="165CE56C" w:rsidP="32853F47">
      <w:pPr>
        <w:pStyle w:val="Heading3"/>
        <w:spacing w:line="360" w:lineRule="auto"/>
        <w:rPr>
          <w:rFonts w:ascii="Arial" w:eastAsia="Arial" w:hAnsi="Arial" w:cs="Arial"/>
          <w:color w:val="auto"/>
          <w:u w:val="single"/>
        </w:rPr>
      </w:pPr>
      <w:r w:rsidRPr="32853F47">
        <w:rPr>
          <w:rFonts w:ascii="Arial" w:eastAsia="Arial" w:hAnsi="Arial" w:cs="Arial"/>
          <w:color w:val="auto"/>
          <w:u w:val="single"/>
        </w:rPr>
        <w:t>Limitations</w:t>
      </w:r>
    </w:p>
    <w:p w:rsidR="165CE56C" w:rsidRDefault="165CE56C" w:rsidP="32853F47">
      <w:pPr>
        <w:pStyle w:val="ListParagraph"/>
        <w:numPr>
          <w:ilvl w:val="0"/>
          <w:numId w:val="6"/>
        </w:numPr>
        <w:spacing w:line="360" w:lineRule="auto"/>
      </w:pPr>
      <w:r w:rsidRPr="32853F47">
        <w:rPr>
          <w:rFonts w:ascii="Arial" w:eastAsia="Arial" w:hAnsi="Arial" w:cs="Arial"/>
          <w:sz w:val="24"/>
          <w:szCs w:val="24"/>
        </w:rPr>
        <w:t xml:space="preserve">Fear of discrimination – The success of dementia services may be impeded by discrimination. Often, family members and their patients may be reluctant to attend such forums to avoid being excluded. </w:t>
      </w:r>
    </w:p>
    <w:p w:rsidR="165CE56C" w:rsidRDefault="165CE56C" w:rsidP="32853F47">
      <w:pPr>
        <w:pStyle w:val="ListParagraph"/>
        <w:numPr>
          <w:ilvl w:val="0"/>
          <w:numId w:val="6"/>
        </w:numPr>
        <w:spacing w:line="360" w:lineRule="auto"/>
      </w:pPr>
      <w:r w:rsidRPr="32853F47">
        <w:rPr>
          <w:rFonts w:ascii="Arial" w:eastAsia="Arial" w:hAnsi="Arial" w:cs="Arial"/>
          <w:sz w:val="24"/>
          <w:szCs w:val="24"/>
        </w:rPr>
        <w:t xml:space="preserve">Financial constraints – Caring for dementia patients’ cost a lot since at times they need extra care. This plus the extra costs to attend dementia services may be limited by the resources available. </w:t>
      </w:r>
    </w:p>
    <w:p w:rsidR="165CE56C" w:rsidRDefault="165CE56C" w:rsidP="32853F47">
      <w:pPr>
        <w:pStyle w:val="ListParagraph"/>
        <w:numPr>
          <w:ilvl w:val="0"/>
          <w:numId w:val="6"/>
        </w:numPr>
        <w:spacing w:line="360" w:lineRule="auto"/>
      </w:pPr>
      <w:r w:rsidRPr="32853F47">
        <w:rPr>
          <w:rFonts w:ascii="Arial" w:eastAsia="Arial" w:hAnsi="Arial" w:cs="Arial"/>
          <w:sz w:val="24"/>
          <w:szCs w:val="24"/>
        </w:rPr>
        <w:t>Lack of time – Often, the care for a person with dementia takes time and since the carer may have a busy schedule, it may be hard to create time to attend groups and support forums.</w:t>
      </w:r>
    </w:p>
    <w:p w:rsidR="32853F47" w:rsidRDefault="32853F47" w:rsidP="32853F47">
      <w:pPr>
        <w:spacing w:line="360" w:lineRule="auto"/>
        <w:rPr>
          <w:rFonts w:ascii="Arial" w:eastAsia="Arial" w:hAnsi="Arial" w:cs="Arial"/>
          <w:sz w:val="24"/>
          <w:szCs w:val="24"/>
        </w:rPr>
      </w:pPr>
    </w:p>
    <w:p w:rsidR="63743429" w:rsidRDefault="63743429" w:rsidP="32853F47">
      <w:pPr>
        <w:pStyle w:val="Heading2"/>
        <w:spacing w:line="360" w:lineRule="auto"/>
        <w:rPr>
          <w:rFonts w:ascii="Arial" w:eastAsia="Arial" w:hAnsi="Arial" w:cs="Arial"/>
          <w:b/>
          <w:bCs/>
          <w:color w:val="auto"/>
          <w:sz w:val="24"/>
          <w:szCs w:val="24"/>
        </w:rPr>
      </w:pPr>
      <w:r w:rsidRPr="32853F47">
        <w:rPr>
          <w:rFonts w:ascii="Arial" w:eastAsia="Arial" w:hAnsi="Arial" w:cs="Arial"/>
          <w:b/>
          <w:bCs/>
          <w:color w:val="auto"/>
          <w:sz w:val="24"/>
          <w:szCs w:val="24"/>
        </w:rPr>
        <w:lastRenderedPageBreak/>
        <w:t>Applying t</w:t>
      </w:r>
      <w:r w:rsidR="6C88E6B4" w:rsidRPr="32853F47">
        <w:rPr>
          <w:rFonts w:ascii="Arial" w:eastAsia="Arial" w:hAnsi="Arial" w:cs="Arial"/>
          <w:b/>
          <w:bCs/>
          <w:color w:val="auto"/>
          <w:sz w:val="24"/>
          <w:szCs w:val="24"/>
        </w:rPr>
        <w:t>heoretical principles of person-centred care for people with Dementia to real life situation</w:t>
      </w:r>
    </w:p>
    <w:p w:rsidR="6C88E6B4" w:rsidRDefault="6C88E6B4" w:rsidP="32853F47">
      <w:pPr>
        <w:spacing w:line="360" w:lineRule="auto"/>
        <w:rPr>
          <w:rFonts w:ascii="Arial" w:eastAsia="Arial" w:hAnsi="Arial" w:cs="Arial"/>
          <w:sz w:val="24"/>
          <w:szCs w:val="24"/>
        </w:rPr>
      </w:pPr>
      <w:r w:rsidRPr="32853F47">
        <w:rPr>
          <w:rFonts w:ascii="Arial" w:eastAsia="Arial" w:hAnsi="Arial" w:cs="Arial"/>
          <w:sz w:val="24"/>
          <w:szCs w:val="24"/>
        </w:rPr>
        <w:t xml:space="preserve">Keith Oliver was diagnosed with Dementia at 55 and has been living with the condition for 5 years according to AGE UK. He still lives with his wife at home and attends various lectures where he educates others about the condition. According to the ecology principle, Keith’s environment effectively supports his life. He is still involved in the same living conditions as before and carries out activities with his wife, though to a minimal extent due to his condition. The interactions he </w:t>
      </w:r>
      <w:r w:rsidR="6D0D18D6" w:rsidRPr="32853F47">
        <w:rPr>
          <w:rFonts w:ascii="Arial" w:eastAsia="Arial" w:hAnsi="Arial" w:cs="Arial"/>
          <w:sz w:val="24"/>
          <w:szCs w:val="24"/>
        </w:rPr>
        <w:t>has</w:t>
      </w:r>
      <w:r w:rsidRPr="32853F47">
        <w:rPr>
          <w:rFonts w:ascii="Arial" w:eastAsia="Arial" w:hAnsi="Arial" w:cs="Arial"/>
          <w:sz w:val="24"/>
          <w:szCs w:val="24"/>
        </w:rPr>
        <w:t xml:space="preserve"> with his community and surrounding environment</w:t>
      </w:r>
      <w:r w:rsidR="018AA0CF" w:rsidRPr="32853F47">
        <w:rPr>
          <w:rFonts w:ascii="Arial" w:eastAsia="Arial" w:hAnsi="Arial" w:cs="Arial"/>
          <w:sz w:val="24"/>
          <w:szCs w:val="24"/>
        </w:rPr>
        <w:t>,</w:t>
      </w:r>
      <w:r w:rsidRPr="32853F47">
        <w:rPr>
          <w:rFonts w:ascii="Arial" w:eastAsia="Arial" w:hAnsi="Arial" w:cs="Arial"/>
          <w:sz w:val="24"/>
          <w:szCs w:val="24"/>
        </w:rPr>
        <w:t xml:space="preserve"> helps </w:t>
      </w:r>
      <w:r w:rsidR="5DE0D455" w:rsidRPr="32853F47">
        <w:rPr>
          <w:rFonts w:ascii="Arial" w:eastAsia="Arial" w:hAnsi="Arial" w:cs="Arial"/>
          <w:sz w:val="24"/>
          <w:szCs w:val="24"/>
        </w:rPr>
        <w:t xml:space="preserve">him </w:t>
      </w:r>
      <w:r w:rsidRPr="32853F47">
        <w:rPr>
          <w:rFonts w:ascii="Arial" w:eastAsia="Arial" w:hAnsi="Arial" w:cs="Arial"/>
          <w:sz w:val="24"/>
          <w:szCs w:val="24"/>
        </w:rPr>
        <w:t xml:space="preserve">stay connected with familial surroundings. </w:t>
      </w:r>
    </w:p>
    <w:p w:rsidR="6C88E6B4" w:rsidRDefault="6C88E6B4" w:rsidP="32853F47">
      <w:pPr>
        <w:spacing w:line="360" w:lineRule="auto"/>
        <w:rPr>
          <w:rFonts w:ascii="Arial" w:eastAsia="Arial" w:hAnsi="Arial" w:cs="Arial"/>
          <w:sz w:val="24"/>
          <w:szCs w:val="24"/>
        </w:rPr>
      </w:pPr>
      <w:r w:rsidRPr="32853F47">
        <w:rPr>
          <w:rFonts w:ascii="Arial" w:eastAsia="Arial" w:hAnsi="Arial" w:cs="Arial"/>
          <w:sz w:val="24"/>
          <w:szCs w:val="24"/>
        </w:rPr>
        <w:t xml:space="preserve">Based on Maslow’s theory, Oliver has undergone self-actualisation by accepting his condition. He </w:t>
      </w:r>
      <w:r w:rsidR="73392C83" w:rsidRPr="32853F47">
        <w:rPr>
          <w:rFonts w:ascii="Arial" w:eastAsia="Arial" w:hAnsi="Arial" w:cs="Arial"/>
          <w:sz w:val="24"/>
          <w:szCs w:val="24"/>
        </w:rPr>
        <w:t>can</w:t>
      </w:r>
      <w:r w:rsidRPr="32853F47">
        <w:rPr>
          <w:rFonts w:ascii="Arial" w:eastAsia="Arial" w:hAnsi="Arial" w:cs="Arial"/>
          <w:sz w:val="24"/>
          <w:szCs w:val="24"/>
        </w:rPr>
        <w:t xml:space="preserve"> access his basic needs and has a choice in what materials and activities he engages in. Love and belonging from his wife keep him satisfied plus he gains his esteem by being an ambassador for Kent and Medway Health Trust. </w:t>
      </w:r>
      <w:r w:rsidR="10E6D4E3" w:rsidRPr="32853F47">
        <w:rPr>
          <w:rFonts w:ascii="Arial" w:eastAsia="Arial" w:hAnsi="Arial" w:cs="Arial"/>
          <w:sz w:val="24"/>
          <w:szCs w:val="24"/>
        </w:rPr>
        <w:t>Alt</w:t>
      </w:r>
      <w:r w:rsidRPr="32853F47">
        <w:rPr>
          <w:rFonts w:ascii="Arial" w:eastAsia="Arial" w:hAnsi="Arial" w:cs="Arial"/>
          <w:sz w:val="24"/>
          <w:szCs w:val="24"/>
        </w:rPr>
        <w:t xml:space="preserve">hough he gave up his work of being a primary school </w:t>
      </w:r>
      <w:proofErr w:type="spellStart"/>
      <w:r w:rsidRPr="32853F47">
        <w:rPr>
          <w:rFonts w:ascii="Arial" w:eastAsia="Arial" w:hAnsi="Arial" w:cs="Arial"/>
          <w:sz w:val="24"/>
          <w:szCs w:val="24"/>
        </w:rPr>
        <w:t>headteacher</w:t>
      </w:r>
      <w:proofErr w:type="spellEnd"/>
      <w:r w:rsidRPr="32853F47">
        <w:rPr>
          <w:rFonts w:ascii="Arial" w:eastAsia="Arial" w:hAnsi="Arial" w:cs="Arial"/>
          <w:sz w:val="24"/>
          <w:szCs w:val="24"/>
        </w:rPr>
        <w:t xml:space="preserve">, he accepts his situation and gives lectures to educate others on coping with their situation. </w:t>
      </w:r>
    </w:p>
    <w:p w:rsidR="6C88E6B4" w:rsidRDefault="6C88E6B4" w:rsidP="32853F47">
      <w:pPr>
        <w:spacing w:line="360" w:lineRule="auto"/>
      </w:pPr>
      <w:r w:rsidRPr="32853F47">
        <w:rPr>
          <w:rFonts w:ascii="Arial" w:eastAsia="Arial" w:hAnsi="Arial" w:cs="Arial"/>
          <w:sz w:val="24"/>
          <w:szCs w:val="24"/>
        </w:rPr>
        <w:t xml:space="preserve">Based on his story, theoretical principles can play a huge role in making PCC a success. A person should be involved deciding on their conditions, which makes self-actualisation and fulfilment easier. According to Oliver, </w:t>
      </w:r>
      <w:r w:rsidR="63F04CD5" w:rsidRPr="32853F47">
        <w:rPr>
          <w:rFonts w:ascii="Arial" w:eastAsia="Arial" w:hAnsi="Arial" w:cs="Arial"/>
          <w:sz w:val="24"/>
          <w:szCs w:val="24"/>
        </w:rPr>
        <w:t>al</w:t>
      </w:r>
      <w:r w:rsidRPr="32853F47">
        <w:rPr>
          <w:rFonts w:ascii="Arial" w:eastAsia="Arial" w:hAnsi="Arial" w:cs="Arial"/>
          <w:sz w:val="24"/>
          <w:szCs w:val="24"/>
        </w:rPr>
        <w:t xml:space="preserve">though his memory fades </w:t>
      </w:r>
      <w:proofErr w:type="gramStart"/>
      <w:r w:rsidRPr="32853F47">
        <w:rPr>
          <w:rFonts w:ascii="Arial" w:eastAsia="Arial" w:hAnsi="Arial" w:cs="Arial"/>
          <w:sz w:val="24"/>
          <w:szCs w:val="24"/>
        </w:rPr>
        <w:t>resulting</w:t>
      </w:r>
      <w:proofErr w:type="gramEnd"/>
      <w:r w:rsidRPr="32853F47">
        <w:rPr>
          <w:rFonts w:ascii="Arial" w:eastAsia="Arial" w:hAnsi="Arial" w:cs="Arial"/>
          <w:sz w:val="24"/>
          <w:szCs w:val="24"/>
        </w:rPr>
        <w:t xml:space="preserve"> him to repeat similar words, his wife, makes notes for him so he can remember to carry out some activities. </w:t>
      </w:r>
    </w:p>
    <w:p w:rsidR="6C88E6B4" w:rsidRDefault="6C88E6B4" w:rsidP="32853F47">
      <w:pPr>
        <w:spacing w:line="360" w:lineRule="auto"/>
      </w:pPr>
      <w:r w:rsidRPr="32853F47">
        <w:rPr>
          <w:rFonts w:ascii="Arial" w:eastAsia="Arial" w:hAnsi="Arial" w:cs="Arial"/>
          <w:sz w:val="24"/>
          <w:szCs w:val="24"/>
        </w:rPr>
        <w:t xml:space="preserve">The theoretical principles should therefore be incorporated in PCC to determine a person’s care as a guide. </w:t>
      </w:r>
      <w:r w:rsidR="6A9EC090" w:rsidRPr="32853F47">
        <w:rPr>
          <w:rFonts w:ascii="Arial" w:eastAsia="Arial" w:hAnsi="Arial" w:cs="Arial"/>
          <w:sz w:val="24"/>
          <w:szCs w:val="24"/>
        </w:rPr>
        <w:t>PCC</w:t>
      </w:r>
      <w:r w:rsidRPr="32853F47">
        <w:rPr>
          <w:rFonts w:ascii="Arial" w:eastAsia="Arial" w:hAnsi="Arial" w:cs="Arial"/>
          <w:sz w:val="24"/>
          <w:szCs w:val="24"/>
        </w:rPr>
        <w:t xml:space="preserve"> can inform on the hierarchy through which a person’s needs may be fulfilled, inferring on their preferences</w:t>
      </w:r>
      <w:r w:rsidR="6835522C" w:rsidRPr="32853F47">
        <w:rPr>
          <w:rFonts w:ascii="Arial" w:eastAsia="Arial" w:hAnsi="Arial" w:cs="Arial"/>
          <w:sz w:val="24"/>
          <w:szCs w:val="24"/>
        </w:rPr>
        <w:t>,</w:t>
      </w:r>
      <w:r w:rsidRPr="32853F47">
        <w:rPr>
          <w:rFonts w:ascii="Arial" w:eastAsia="Arial" w:hAnsi="Arial" w:cs="Arial"/>
          <w:sz w:val="24"/>
          <w:szCs w:val="24"/>
        </w:rPr>
        <w:t xml:space="preserve"> and proving the best care practice.</w:t>
      </w:r>
    </w:p>
    <w:p w:rsidR="3DA83883" w:rsidRDefault="3DA83883" w:rsidP="32853F47">
      <w:pPr>
        <w:pStyle w:val="Heading1"/>
        <w:spacing w:line="360" w:lineRule="auto"/>
        <w:rPr>
          <w:rFonts w:ascii="Arial" w:eastAsia="Arial" w:hAnsi="Arial" w:cs="Arial"/>
          <w:b/>
          <w:bCs/>
          <w:color w:val="auto"/>
          <w:sz w:val="24"/>
          <w:szCs w:val="24"/>
        </w:rPr>
      </w:pPr>
      <w:r w:rsidRPr="32853F47">
        <w:rPr>
          <w:rFonts w:ascii="Arial" w:eastAsia="Arial" w:hAnsi="Arial" w:cs="Arial"/>
          <w:b/>
          <w:bCs/>
          <w:color w:val="auto"/>
          <w:sz w:val="24"/>
          <w:szCs w:val="24"/>
        </w:rPr>
        <w:t>Recommendations</w:t>
      </w:r>
    </w:p>
    <w:p w:rsidR="3DA83883" w:rsidRDefault="3DA83883" w:rsidP="32853F47">
      <w:pPr>
        <w:spacing w:line="360" w:lineRule="auto"/>
      </w:pPr>
      <w:r w:rsidRPr="32853F47">
        <w:rPr>
          <w:rFonts w:ascii="Arial" w:eastAsia="Arial" w:hAnsi="Arial" w:cs="Arial"/>
          <w:sz w:val="24"/>
          <w:szCs w:val="24"/>
        </w:rPr>
        <w:t>Feasible training methods for educating staff and carers should be established (</w:t>
      </w:r>
      <w:proofErr w:type="spellStart"/>
      <w:r w:rsidRPr="32853F47">
        <w:rPr>
          <w:rFonts w:ascii="Arial" w:eastAsia="Arial" w:hAnsi="Arial" w:cs="Arial"/>
          <w:sz w:val="24"/>
          <w:szCs w:val="24"/>
        </w:rPr>
        <w:t>Rokstad</w:t>
      </w:r>
      <w:proofErr w:type="spellEnd"/>
      <w:r w:rsidRPr="32853F47">
        <w:rPr>
          <w:rFonts w:ascii="Arial" w:eastAsia="Arial" w:hAnsi="Arial" w:cs="Arial"/>
          <w:sz w:val="24"/>
          <w:szCs w:val="24"/>
        </w:rPr>
        <w:t xml:space="preserve"> </w:t>
      </w:r>
      <w:r w:rsidRPr="32853F47">
        <w:rPr>
          <w:rFonts w:ascii="Arial" w:eastAsia="Arial" w:hAnsi="Arial" w:cs="Arial"/>
          <w:i/>
          <w:iCs/>
          <w:sz w:val="24"/>
          <w:szCs w:val="24"/>
        </w:rPr>
        <w:t>et al.</w:t>
      </w:r>
      <w:r w:rsidRPr="32853F47">
        <w:rPr>
          <w:rFonts w:ascii="Arial" w:eastAsia="Arial" w:hAnsi="Arial" w:cs="Arial"/>
          <w:sz w:val="24"/>
          <w:szCs w:val="24"/>
        </w:rPr>
        <w:t>, 2017). This is aimed at increasing knowledge and capabilities for staff to meet the needs of people living with Dementia. The training methods may include self-reflection groups, workshops, and written materials that can be easily understood. Training staff can also help identify and retain competent caregivers, which can improve the service within PCC.</w:t>
      </w:r>
    </w:p>
    <w:p w:rsidR="3DA83883" w:rsidRDefault="3DA83883" w:rsidP="32853F47">
      <w:pPr>
        <w:spacing w:line="360" w:lineRule="auto"/>
        <w:rPr>
          <w:rFonts w:ascii="Arial" w:eastAsia="Arial" w:hAnsi="Arial" w:cs="Arial"/>
          <w:sz w:val="24"/>
          <w:szCs w:val="24"/>
        </w:rPr>
      </w:pPr>
      <w:r w:rsidRPr="32853F47">
        <w:rPr>
          <w:rFonts w:ascii="Arial" w:eastAsia="Arial" w:hAnsi="Arial" w:cs="Arial"/>
          <w:sz w:val="24"/>
          <w:szCs w:val="24"/>
        </w:rPr>
        <w:lastRenderedPageBreak/>
        <w:t xml:space="preserve">In the process of PCC, the role of relationships between a patient and family, with that of the healthcare professional should be addressed. </w:t>
      </w:r>
      <w:proofErr w:type="gramStart"/>
      <w:r w:rsidRPr="32853F47">
        <w:rPr>
          <w:rFonts w:ascii="Arial" w:eastAsia="Arial" w:hAnsi="Arial" w:cs="Arial"/>
          <w:sz w:val="24"/>
          <w:szCs w:val="24"/>
        </w:rPr>
        <w:t>At times, the care that the patient and family desire does not align with the appropriate medical approval, which can be morally unacceptable by the medical practitioner.</w:t>
      </w:r>
      <w:proofErr w:type="gramEnd"/>
      <w:r w:rsidRPr="32853F47">
        <w:rPr>
          <w:rFonts w:ascii="Arial" w:eastAsia="Arial" w:hAnsi="Arial" w:cs="Arial"/>
          <w:sz w:val="24"/>
          <w:szCs w:val="24"/>
        </w:rPr>
        <w:t xml:space="preserve"> Professionals should therefore be supported to use PCC in a flexible manner that meets a patient’s needs depending on situation (</w:t>
      </w:r>
      <w:proofErr w:type="spellStart"/>
      <w:r w:rsidRPr="32853F47">
        <w:rPr>
          <w:rFonts w:ascii="Arial" w:eastAsia="Arial" w:hAnsi="Arial" w:cs="Arial"/>
          <w:sz w:val="24"/>
          <w:szCs w:val="24"/>
        </w:rPr>
        <w:t>Gondek</w:t>
      </w:r>
      <w:proofErr w:type="spellEnd"/>
      <w:r w:rsidRPr="32853F47">
        <w:rPr>
          <w:rFonts w:ascii="Arial" w:eastAsia="Arial" w:hAnsi="Arial" w:cs="Arial"/>
          <w:sz w:val="24"/>
          <w:szCs w:val="24"/>
        </w:rPr>
        <w:t xml:space="preserve"> </w:t>
      </w:r>
      <w:r w:rsidRPr="32853F47">
        <w:rPr>
          <w:rFonts w:ascii="Arial" w:eastAsia="Arial" w:hAnsi="Arial" w:cs="Arial"/>
          <w:i/>
          <w:iCs/>
          <w:sz w:val="24"/>
          <w:szCs w:val="24"/>
        </w:rPr>
        <w:t>et al.</w:t>
      </w:r>
      <w:r w:rsidRPr="32853F47">
        <w:rPr>
          <w:rFonts w:ascii="Arial" w:eastAsia="Arial" w:hAnsi="Arial" w:cs="Arial"/>
          <w:sz w:val="24"/>
          <w:szCs w:val="24"/>
        </w:rPr>
        <w:t>, 2017).</w:t>
      </w:r>
    </w:p>
    <w:p w:rsidR="32853F47" w:rsidRDefault="32853F47" w:rsidP="32853F47">
      <w:pPr>
        <w:spacing w:line="360" w:lineRule="auto"/>
        <w:rPr>
          <w:rFonts w:ascii="Arial" w:eastAsia="Arial" w:hAnsi="Arial" w:cs="Arial"/>
          <w:sz w:val="24"/>
          <w:szCs w:val="24"/>
        </w:rPr>
      </w:pPr>
    </w:p>
    <w:p w:rsidR="4F5695A7" w:rsidRDefault="4F5695A7" w:rsidP="32853F47">
      <w:pPr>
        <w:pStyle w:val="Heading1"/>
        <w:spacing w:line="360" w:lineRule="auto"/>
        <w:rPr>
          <w:rFonts w:ascii="Arial" w:eastAsia="Arial" w:hAnsi="Arial" w:cs="Arial"/>
          <w:color w:val="auto"/>
          <w:sz w:val="24"/>
          <w:szCs w:val="24"/>
        </w:rPr>
      </w:pPr>
      <w:r w:rsidRPr="32853F47">
        <w:rPr>
          <w:rFonts w:ascii="Arial" w:eastAsia="Arial" w:hAnsi="Arial" w:cs="Arial"/>
          <w:b/>
          <w:bCs/>
          <w:color w:val="auto"/>
          <w:sz w:val="24"/>
          <w:szCs w:val="24"/>
        </w:rPr>
        <w:t>Conclusion</w:t>
      </w:r>
      <w:r w:rsidRPr="32853F47">
        <w:rPr>
          <w:rFonts w:ascii="Arial" w:eastAsia="Arial" w:hAnsi="Arial" w:cs="Arial"/>
          <w:color w:val="auto"/>
          <w:sz w:val="24"/>
          <w:szCs w:val="24"/>
        </w:rPr>
        <w:t xml:space="preserve"> </w:t>
      </w:r>
    </w:p>
    <w:p w:rsidR="4F5695A7" w:rsidRDefault="4F5695A7" w:rsidP="32853F47">
      <w:pPr>
        <w:spacing w:line="360" w:lineRule="auto"/>
        <w:rPr>
          <w:rFonts w:ascii="Arial" w:eastAsia="Arial" w:hAnsi="Arial" w:cs="Arial"/>
          <w:sz w:val="24"/>
          <w:szCs w:val="24"/>
        </w:rPr>
      </w:pPr>
      <w:r w:rsidRPr="32853F47">
        <w:rPr>
          <w:rFonts w:ascii="Arial" w:eastAsia="Arial" w:hAnsi="Arial" w:cs="Arial"/>
          <w:sz w:val="24"/>
          <w:szCs w:val="24"/>
        </w:rPr>
        <w:t xml:space="preserve">In summary, </w:t>
      </w:r>
      <w:r w:rsidR="4F191022" w:rsidRPr="32853F47">
        <w:rPr>
          <w:rFonts w:ascii="Arial" w:eastAsia="Arial" w:hAnsi="Arial" w:cs="Arial"/>
          <w:sz w:val="24"/>
          <w:szCs w:val="24"/>
        </w:rPr>
        <w:t>P</w:t>
      </w:r>
      <w:r w:rsidRPr="32853F47">
        <w:rPr>
          <w:rFonts w:ascii="Arial" w:eastAsia="Arial" w:hAnsi="Arial" w:cs="Arial"/>
          <w:sz w:val="24"/>
          <w:szCs w:val="24"/>
        </w:rPr>
        <w:t xml:space="preserve">erson </w:t>
      </w:r>
      <w:r w:rsidR="65ED1CE3" w:rsidRPr="32853F47">
        <w:rPr>
          <w:rFonts w:ascii="Arial" w:eastAsia="Arial" w:hAnsi="Arial" w:cs="Arial"/>
          <w:sz w:val="24"/>
          <w:szCs w:val="24"/>
        </w:rPr>
        <w:t>C</w:t>
      </w:r>
      <w:r w:rsidRPr="32853F47">
        <w:rPr>
          <w:rFonts w:ascii="Arial" w:eastAsia="Arial" w:hAnsi="Arial" w:cs="Arial"/>
          <w:sz w:val="24"/>
          <w:szCs w:val="24"/>
        </w:rPr>
        <w:t xml:space="preserve">entred </w:t>
      </w:r>
      <w:r w:rsidR="0E4FDC0D" w:rsidRPr="32853F47">
        <w:rPr>
          <w:rFonts w:ascii="Arial" w:eastAsia="Arial" w:hAnsi="Arial" w:cs="Arial"/>
          <w:sz w:val="24"/>
          <w:szCs w:val="24"/>
        </w:rPr>
        <w:t>C</w:t>
      </w:r>
      <w:r w:rsidRPr="32853F47">
        <w:rPr>
          <w:rFonts w:ascii="Arial" w:eastAsia="Arial" w:hAnsi="Arial" w:cs="Arial"/>
          <w:sz w:val="24"/>
          <w:szCs w:val="24"/>
        </w:rPr>
        <w:t xml:space="preserve">are is an effective framework for treatment of people living with dementia. It entails the person, family, society, and health care providers, who share the responsibility for decision making in matters concerning treatment. It is a concept which comes with critical changes on how care should be delivered, and how a patient interacts with their care providers. </w:t>
      </w:r>
      <w:r w:rsidR="50CE11D9" w:rsidRPr="32853F47">
        <w:rPr>
          <w:rFonts w:ascii="Arial" w:eastAsia="Arial" w:hAnsi="Arial" w:cs="Arial"/>
          <w:sz w:val="24"/>
          <w:szCs w:val="24"/>
        </w:rPr>
        <w:t xml:space="preserve">Person Centred Care model </w:t>
      </w:r>
      <w:r w:rsidR="3C697F18" w:rsidRPr="32853F47">
        <w:rPr>
          <w:rFonts w:ascii="Arial" w:eastAsia="Arial" w:hAnsi="Arial" w:cs="Arial"/>
          <w:sz w:val="24"/>
          <w:szCs w:val="24"/>
        </w:rPr>
        <w:t>aims at</w:t>
      </w:r>
      <w:r w:rsidR="50CE11D9" w:rsidRPr="32853F47">
        <w:rPr>
          <w:rFonts w:ascii="Arial" w:eastAsia="Arial" w:hAnsi="Arial" w:cs="Arial"/>
          <w:sz w:val="24"/>
          <w:szCs w:val="24"/>
        </w:rPr>
        <w:t xml:space="preserve"> r</w:t>
      </w:r>
      <w:r w:rsidR="36C74A16" w:rsidRPr="32853F47">
        <w:rPr>
          <w:rFonts w:ascii="Arial" w:eastAsia="Arial" w:hAnsi="Arial" w:cs="Arial"/>
          <w:sz w:val="24"/>
          <w:szCs w:val="24"/>
        </w:rPr>
        <w:t>eduction in hospital visits, better time management</w:t>
      </w:r>
      <w:r w:rsidR="6F0598E3" w:rsidRPr="32853F47">
        <w:rPr>
          <w:rFonts w:ascii="Arial" w:eastAsia="Arial" w:hAnsi="Arial" w:cs="Arial"/>
          <w:sz w:val="24"/>
          <w:szCs w:val="24"/>
        </w:rPr>
        <w:t>, flexibility, and fast response</w:t>
      </w:r>
      <w:r w:rsidR="4D432F7C" w:rsidRPr="32853F47">
        <w:rPr>
          <w:rFonts w:ascii="Arial" w:eastAsia="Arial" w:hAnsi="Arial" w:cs="Arial"/>
          <w:sz w:val="24"/>
          <w:szCs w:val="24"/>
        </w:rPr>
        <w:t>.</w:t>
      </w:r>
    </w:p>
    <w:p w:rsidR="4F5695A7" w:rsidRDefault="4F5695A7" w:rsidP="32853F47">
      <w:pPr>
        <w:spacing w:line="360" w:lineRule="auto"/>
        <w:rPr>
          <w:rFonts w:ascii="Arial" w:eastAsia="Arial" w:hAnsi="Arial" w:cs="Arial"/>
          <w:sz w:val="24"/>
          <w:szCs w:val="24"/>
        </w:rPr>
      </w:pPr>
      <w:r w:rsidRPr="32853F47">
        <w:rPr>
          <w:rFonts w:ascii="Arial" w:eastAsia="Arial" w:hAnsi="Arial" w:cs="Arial"/>
          <w:sz w:val="24"/>
          <w:szCs w:val="24"/>
        </w:rPr>
        <w:t>P</w:t>
      </w:r>
      <w:r w:rsidR="7227B985" w:rsidRPr="32853F47">
        <w:rPr>
          <w:rFonts w:ascii="Arial" w:eastAsia="Arial" w:hAnsi="Arial" w:cs="Arial"/>
          <w:sz w:val="24"/>
          <w:szCs w:val="24"/>
        </w:rPr>
        <w:t xml:space="preserve">erson </w:t>
      </w:r>
      <w:r w:rsidRPr="32853F47">
        <w:rPr>
          <w:rFonts w:ascii="Arial" w:eastAsia="Arial" w:hAnsi="Arial" w:cs="Arial"/>
          <w:sz w:val="24"/>
          <w:szCs w:val="24"/>
        </w:rPr>
        <w:t>C</w:t>
      </w:r>
      <w:r w:rsidR="6B88274F" w:rsidRPr="32853F47">
        <w:rPr>
          <w:rFonts w:ascii="Arial" w:eastAsia="Arial" w:hAnsi="Arial" w:cs="Arial"/>
          <w:sz w:val="24"/>
          <w:szCs w:val="24"/>
        </w:rPr>
        <w:t xml:space="preserve">entred </w:t>
      </w:r>
      <w:r w:rsidRPr="32853F47">
        <w:rPr>
          <w:rFonts w:ascii="Arial" w:eastAsia="Arial" w:hAnsi="Arial" w:cs="Arial"/>
          <w:sz w:val="24"/>
          <w:szCs w:val="24"/>
        </w:rPr>
        <w:t>C</w:t>
      </w:r>
      <w:r w:rsidR="35454EF6" w:rsidRPr="32853F47">
        <w:rPr>
          <w:rFonts w:ascii="Arial" w:eastAsia="Arial" w:hAnsi="Arial" w:cs="Arial"/>
          <w:sz w:val="24"/>
          <w:szCs w:val="24"/>
        </w:rPr>
        <w:t>are</w:t>
      </w:r>
      <w:r w:rsidRPr="32853F47">
        <w:rPr>
          <w:rFonts w:ascii="Arial" w:eastAsia="Arial" w:hAnsi="Arial" w:cs="Arial"/>
          <w:sz w:val="24"/>
          <w:szCs w:val="24"/>
        </w:rPr>
        <w:t xml:space="preserve"> can be guided by various theoretical principles which infer on the best way to treat and carry out activities, relevant to the patient and medical practice. Different services are offered for dementia care, which support both the patient and their caregivers. PCC is guided by policies and ethical principles, which like any healthcare practice, govern how it should be carried out.</w:t>
      </w:r>
    </w:p>
    <w:p w:rsidR="32853F47" w:rsidRDefault="32853F47" w:rsidP="32853F47"/>
    <w:p w:rsidR="38321303" w:rsidRDefault="38321303" w:rsidP="32853F47">
      <w:pPr>
        <w:rPr>
          <w:rFonts w:ascii="Arial" w:eastAsia="Arial" w:hAnsi="Arial" w:cs="Arial"/>
          <w:b/>
          <w:bCs/>
          <w:sz w:val="24"/>
          <w:szCs w:val="24"/>
        </w:rPr>
      </w:pPr>
      <w:r w:rsidRPr="32853F47">
        <w:rPr>
          <w:rFonts w:ascii="Arial" w:eastAsia="Arial" w:hAnsi="Arial" w:cs="Arial"/>
          <w:b/>
          <w:bCs/>
          <w:sz w:val="24"/>
          <w:szCs w:val="24"/>
        </w:rPr>
        <w:t>References</w:t>
      </w:r>
    </w:p>
    <w:p w:rsidR="32853F47" w:rsidRDefault="32853F47" w:rsidP="32853F47"/>
    <w:p w:rsidR="38321303" w:rsidRDefault="38321303" w:rsidP="32853F47">
      <w:pPr>
        <w:spacing w:line="360" w:lineRule="auto"/>
        <w:ind w:left="720" w:hanging="720"/>
      </w:pPr>
      <w:r w:rsidRPr="32853F47">
        <w:rPr>
          <w:rFonts w:ascii="Arial" w:eastAsia="Arial" w:hAnsi="Arial" w:cs="Arial"/>
          <w:sz w:val="24"/>
          <w:szCs w:val="24"/>
        </w:rPr>
        <w:t xml:space="preserve">Age UK (2021) </w:t>
      </w:r>
      <w:proofErr w:type="gramStart"/>
      <w:r w:rsidRPr="32853F47">
        <w:rPr>
          <w:rFonts w:ascii="Arial" w:eastAsia="Arial" w:hAnsi="Arial" w:cs="Arial"/>
          <w:i/>
          <w:iCs/>
          <w:sz w:val="24"/>
          <w:szCs w:val="24"/>
        </w:rPr>
        <w:t>Caring</w:t>
      </w:r>
      <w:proofErr w:type="gramEnd"/>
      <w:r w:rsidRPr="32853F47">
        <w:rPr>
          <w:rFonts w:ascii="Arial" w:eastAsia="Arial" w:hAnsi="Arial" w:cs="Arial"/>
          <w:i/>
          <w:iCs/>
          <w:sz w:val="24"/>
          <w:szCs w:val="24"/>
        </w:rPr>
        <w:t xml:space="preserve"> for someone with dementia</w:t>
      </w:r>
      <w:r w:rsidRPr="32853F47">
        <w:rPr>
          <w:rFonts w:ascii="Arial" w:eastAsia="Arial" w:hAnsi="Arial" w:cs="Arial"/>
          <w:sz w:val="24"/>
          <w:szCs w:val="24"/>
        </w:rPr>
        <w:t xml:space="preserve"> Available at: </w:t>
      </w:r>
      <w:hyperlink r:id="rId6">
        <w:r w:rsidRPr="32853F47">
          <w:rPr>
            <w:rStyle w:val="Hyperlink"/>
            <w:rFonts w:ascii="Arial" w:eastAsia="Arial" w:hAnsi="Arial" w:cs="Arial"/>
            <w:sz w:val="24"/>
            <w:szCs w:val="24"/>
          </w:rPr>
          <w:t>https://www.ageuk.org.uk/information-advice/care/helping-a-loved-one/caring-dementia/</w:t>
        </w:r>
      </w:hyperlink>
      <w:r w:rsidRPr="32853F47">
        <w:rPr>
          <w:rFonts w:ascii="Arial" w:eastAsia="Arial" w:hAnsi="Arial" w:cs="Arial"/>
          <w:sz w:val="24"/>
          <w:szCs w:val="24"/>
        </w:rPr>
        <w:t xml:space="preserve"> (Accessed 30 August 2021).</w:t>
      </w:r>
    </w:p>
    <w:p w:rsidR="32853F47" w:rsidRDefault="32853F47" w:rsidP="32853F47">
      <w:pPr>
        <w:spacing w:line="360" w:lineRule="auto"/>
        <w:ind w:left="720" w:hanging="720"/>
        <w:rPr>
          <w:rFonts w:ascii="Arial" w:eastAsia="Arial" w:hAnsi="Arial" w:cs="Arial"/>
          <w:sz w:val="24"/>
          <w:szCs w:val="24"/>
        </w:rPr>
      </w:pPr>
    </w:p>
    <w:p w:rsidR="608EBE8B" w:rsidRDefault="608EBE8B" w:rsidP="32853F47">
      <w:pPr>
        <w:spacing w:line="360" w:lineRule="auto"/>
        <w:ind w:left="720" w:hanging="720"/>
      </w:pPr>
      <w:proofErr w:type="spellStart"/>
      <w:r w:rsidRPr="32853F47">
        <w:rPr>
          <w:rFonts w:ascii="Arial" w:eastAsia="Arial" w:hAnsi="Arial" w:cs="Arial"/>
          <w:color w:val="222222"/>
          <w:sz w:val="24"/>
          <w:szCs w:val="24"/>
        </w:rPr>
        <w:t>Bierhals</w:t>
      </w:r>
      <w:proofErr w:type="spellEnd"/>
      <w:r w:rsidRPr="32853F47">
        <w:rPr>
          <w:rFonts w:ascii="Arial" w:eastAsia="Arial" w:hAnsi="Arial" w:cs="Arial"/>
          <w:color w:val="222222"/>
          <w:sz w:val="24"/>
          <w:szCs w:val="24"/>
        </w:rPr>
        <w:t xml:space="preserve">, C.C.B.K. </w:t>
      </w:r>
      <w:r w:rsidRPr="32853F47">
        <w:rPr>
          <w:rFonts w:ascii="Arial" w:eastAsia="Arial" w:hAnsi="Arial" w:cs="Arial"/>
          <w:i/>
          <w:iCs/>
          <w:color w:val="222222"/>
          <w:sz w:val="24"/>
          <w:szCs w:val="24"/>
        </w:rPr>
        <w:t xml:space="preserve">et al. </w:t>
      </w:r>
      <w:r w:rsidRPr="32853F47">
        <w:rPr>
          <w:rFonts w:ascii="Arial" w:eastAsia="Arial" w:hAnsi="Arial" w:cs="Arial"/>
          <w:color w:val="222222"/>
          <w:sz w:val="24"/>
          <w:szCs w:val="24"/>
        </w:rPr>
        <w:t xml:space="preserve">(2017) ‘Needs of family caregivers in home care for older adults’, </w:t>
      </w:r>
      <w:r w:rsidRPr="32853F47">
        <w:rPr>
          <w:rFonts w:ascii="Arial" w:eastAsia="Arial" w:hAnsi="Arial" w:cs="Arial"/>
          <w:i/>
          <w:iCs/>
          <w:color w:val="222222"/>
          <w:sz w:val="24"/>
          <w:szCs w:val="24"/>
        </w:rPr>
        <w:t xml:space="preserve">Rev Lat Am </w:t>
      </w:r>
      <w:proofErr w:type="spellStart"/>
      <w:r w:rsidRPr="32853F47">
        <w:rPr>
          <w:rFonts w:ascii="Arial" w:eastAsia="Arial" w:hAnsi="Arial" w:cs="Arial"/>
          <w:i/>
          <w:iCs/>
          <w:color w:val="222222"/>
          <w:sz w:val="24"/>
          <w:szCs w:val="24"/>
        </w:rPr>
        <w:t>Enfermagem</w:t>
      </w:r>
      <w:proofErr w:type="spellEnd"/>
      <w:r w:rsidRPr="32853F47">
        <w:rPr>
          <w:rFonts w:ascii="Arial" w:eastAsia="Arial" w:hAnsi="Arial" w:cs="Arial"/>
          <w:i/>
          <w:iCs/>
          <w:color w:val="222222"/>
          <w:sz w:val="24"/>
          <w:szCs w:val="24"/>
        </w:rPr>
        <w:t xml:space="preserve">, </w:t>
      </w:r>
      <w:r w:rsidRPr="32853F47">
        <w:rPr>
          <w:rFonts w:ascii="Arial" w:eastAsia="Arial" w:hAnsi="Arial" w:cs="Arial"/>
          <w:color w:val="222222"/>
          <w:sz w:val="24"/>
          <w:szCs w:val="24"/>
        </w:rPr>
        <w:t xml:space="preserve">Available at: </w:t>
      </w:r>
      <w:hyperlink r:id="rId7" w:anchor="fn1">
        <w:r w:rsidRPr="32853F47">
          <w:rPr>
            <w:rStyle w:val="Hyperlink"/>
            <w:rFonts w:ascii="Arial" w:eastAsia="Arial" w:hAnsi="Arial" w:cs="Arial"/>
            <w:sz w:val="24"/>
            <w:szCs w:val="24"/>
          </w:rPr>
          <w:t>https://www.ncbi.nlm.nih.gov/pmc/articles/PMC5396486/#fn1</w:t>
        </w:r>
      </w:hyperlink>
      <w:r w:rsidRPr="32853F47">
        <w:rPr>
          <w:rFonts w:ascii="Arial" w:eastAsia="Arial" w:hAnsi="Arial" w:cs="Arial"/>
          <w:color w:val="222222"/>
          <w:sz w:val="24"/>
          <w:szCs w:val="24"/>
        </w:rPr>
        <w:t>(Accessed: 30 August 2021).</w:t>
      </w:r>
    </w:p>
    <w:p w:rsidR="32853F47" w:rsidRDefault="32853F47" w:rsidP="32853F47">
      <w:pPr>
        <w:spacing w:line="360" w:lineRule="auto"/>
        <w:ind w:left="720" w:hanging="720"/>
        <w:rPr>
          <w:rFonts w:ascii="Arial" w:eastAsia="Arial" w:hAnsi="Arial" w:cs="Arial"/>
          <w:color w:val="222222"/>
          <w:sz w:val="24"/>
          <w:szCs w:val="24"/>
        </w:rPr>
      </w:pPr>
    </w:p>
    <w:p w:rsidR="17A03FDB" w:rsidRDefault="17A03FDB" w:rsidP="32853F47">
      <w:pPr>
        <w:spacing w:line="360" w:lineRule="auto"/>
      </w:pPr>
      <w:proofErr w:type="gramStart"/>
      <w:r w:rsidRPr="32853F47">
        <w:rPr>
          <w:rFonts w:ascii="Arial" w:eastAsia="Arial" w:hAnsi="Arial" w:cs="Arial"/>
          <w:color w:val="222222"/>
          <w:sz w:val="24"/>
          <w:szCs w:val="24"/>
        </w:rPr>
        <w:t xml:space="preserve">Blake, D. </w:t>
      </w:r>
      <w:r w:rsidR="44504942" w:rsidRPr="32853F47">
        <w:rPr>
          <w:rFonts w:ascii="Arial" w:eastAsia="Arial" w:hAnsi="Arial" w:cs="Arial"/>
          <w:i/>
          <w:iCs/>
          <w:color w:val="222222"/>
          <w:sz w:val="24"/>
          <w:szCs w:val="24"/>
        </w:rPr>
        <w:t xml:space="preserve">et al. </w:t>
      </w:r>
      <w:r w:rsidRPr="32853F47">
        <w:rPr>
          <w:rFonts w:ascii="Arial" w:eastAsia="Arial" w:hAnsi="Arial" w:cs="Arial"/>
          <w:color w:val="222222"/>
          <w:sz w:val="24"/>
          <w:szCs w:val="24"/>
        </w:rPr>
        <w:t xml:space="preserve">(2020) ‘A systematic review of the impact of person‐centred care interventions on the behaviour of staff working in dementia care’, </w:t>
      </w:r>
      <w:r w:rsidRPr="32853F47">
        <w:rPr>
          <w:rFonts w:ascii="Arial" w:eastAsia="Arial" w:hAnsi="Arial" w:cs="Arial"/>
          <w:i/>
          <w:iCs/>
          <w:color w:val="222222"/>
          <w:sz w:val="24"/>
          <w:szCs w:val="24"/>
        </w:rPr>
        <w:t>Journal of advanced nursing</w:t>
      </w:r>
      <w:r w:rsidRPr="32853F47">
        <w:rPr>
          <w:rFonts w:ascii="Arial" w:eastAsia="Arial" w:hAnsi="Arial" w:cs="Arial"/>
          <w:color w:val="222222"/>
          <w:sz w:val="24"/>
          <w:szCs w:val="24"/>
        </w:rPr>
        <w:t>, 76(2), pp.426-444.</w:t>
      </w:r>
      <w:proofErr w:type="gramEnd"/>
      <w:r w:rsidRPr="32853F47">
        <w:rPr>
          <w:rFonts w:ascii="Arial" w:eastAsia="Arial" w:hAnsi="Arial" w:cs="Arial"/>
          <w:color w:val="222222"/>
          <w:sz w:val="24"/>
          <w:szCs w:val="24"/>
        </w:rPr>
        <w:t xml:space="preserve"> </w:t>
      </w:r>
      <w:r w:rsidRPr="32853F47">
        <w:rPr>
          <w:rFonts w:ascii="Arial" w:eastAsia="Arial" w:hAnsi="Arial" w:cs="Arial"/>
          <w:color w:val="212121"/>
          <w:sz w:val="24"/>
          <w:szCs w:val="24"/>
        </w:rPr>
        <w:t xml:space="preserve">DOI: </w:t>
      </w:r>
      <w:hyperlink r:id="rId8">
        <w:r w:rsidRPr="32853F47">
          <w:rPr>
            <w:rStyle w:val="Hyperlink"/>
            <w:rFonts w:ascii="Arial" w:eastAsia="Arial" w:hAnsi="Arial" w:cs="Arial"/>
            <w:sz w:val="24"/>
            <w:szCs w:val="24"/>
          </w:rPr>
          <w:t>10.1111/jan.14251</w:t>
        </w:r>
        <w:r w:rsidR="1761FA2D" w:rsidRPr="32853F47">
          <w:rPr>
            <w:rStyle w:val="Hyperlink"/>
            <w:rFonts w:ascii="Arial" w:eastAsia="Arial" w:hAnsi="Arial" w:cs="Arial"/>
            <w:sz w:val="24"/>
            <w:szCs w:val="24"/>
          </w:rPr>
          <w:t>.</w:t>
        </w:r>
      </w:hyperlink>
    </w:p>
    <w:p w:rsidR="32853F47" w:rsidRDefault="32853F47" w:rsidP="32853F47">
      <w:pPr>
        <w:spacing w:line="360" w:lineRule="auto"/>
        <w:rPr>
          <w:rFonts w:ascii="Arial" w:eastAsia="Arial" w:hAnsi="Arial" w:cs="Arial"/>
          <w:sz w:val="24"/>
          <w:szCs w:val="24"/>
        </w:rPr>
      </w:pPr>
    </w:p>
    <w:p w:rsidR="0BC123FD" w:rsidRDefault="0BC123FD" w:rsidP="32853F47">
      <w:pPr>
        <w:spacing w:line="257" w:lineRule="auto"/>
        <w:ind w:left="720" w:hanging="720"/>
      </w:pPr>
      <w:r w:rsidRPr="32853F47">
        <w:rPr>
          <w:rFonts w:ascii="Arial" w:eastAsia="Arial" w:hAnsi="Arial" w:cs="Arial"/>
          <w:color w:val="222222"/>
          <w:sz w:val="24"/>
          <w:szCs w:val="24"/>
        </w:rPr>
        <w:t xml:space="preserve">Bradshaw, J. (1972) </w:t>
      </w:r>
      <w:r w:rsidRPr="32853F47">
        <w:rPr>
          <w:rFonts w:ascii="Arial" w:eastAsia="Arial" w:hAnsi="Arial" w:cs="Arial"/>
          <w:i/>
          <w:iCs/>
          <w:color w:val="222222"/>
          <w:sz w:val="24"/>
          <w:szCs w:val="24"/>
        </w:rPr>
        <w:t>Taxonomy of social need.</w:t>
      </w:r>
      <w:r w:rsidRPr="32853F47">
        <w:rPr>
          <w:rFonts w:ascii="Arial" w:eastAsia="Arial" w:hAnsi="Arial" w:cs="Arial"/>
          <w:color w:val="222222"/>
          <w:sz w:val="24"/>
          <w:szCs w:val="24"/>
        </w:rPr>
        <w:t xml:space="preserve"> </w:t>
      </w:r>
      <w:proofErr w:type="gramStart"/>
      <w:r w:rsidRPr="32853F47">
        <w:rPr>
          <w:rFonts w:ascii="Arial" w:eastAsia="Arial" w:hAnsi="Arial" w:cs="Arial"/>
          <w:color w:val="222222"/>
          <w:sz w:val="24"/>
          <w:szCs w:val="24"/>
        </w:rPr>
        <w:t>Oxford University Press</w:t>
      </w:r>
      <w:r w:rsidR="5B064865" w:rsidRPr="32853F47">
        <w:rPr>
          <w:rFonts w:ascii="Arial" w:eastAsia="Arial" w:hAnsi="Arial" w:cs="Arial"/>
          <w:color w:val="222222"/>
          <w:sz w:val="24"/>
          <w:szCs w:val="24"/>
        </w:rPr>
        <w:t>.</w:t>
      </w:r>
      <w:proofErr w:type="gramEnd"/>
    </w:p>
    <w:p w:rsidR="32853F47" w:rsidRDefault="32853F47" w:rsidP="32853F47">
      <w:pPr>
        <w:spacing w:line="257" w:lineRule="auto"/>
        <w:ind w:left="720" w:hanging="720"/>
        <w:rPr>
          <w:rFonts w:ascii="Arial" w:eastAsia="Arial" w:hAnsi="Arial" w:cs="Arial"/>
          <w:color w:val="222222"/>
          <w:sz w:val="24"/>
          <w:szCs w:val="24"/>
        </w:rPr>
      </w:pPr>
    </w:p>
    <w:p w:rsidR="1CB7F355" w:rsidRDefault="1CB7F355" w:rsidP="32853F47">
      <w:pPr>
        <w:spacing w:line="360" w:lineRule="auto"/>
        <w:ind w:left="720" w:hanging="720"/>
      </w:pPr>
      <w:r w:rsidRPr="32853F47">
        <w:rPr>
          <w:rFonts w:ascii="Arial" w:eastAsia="Arial" w:hAnsi="Arial" w:cs="Arial"/>
          <w:color w:val="222222"/>
          <w:sz w:val="24"/>
          <w:szCs w:val="24"/>
        </w:rPr>
        <w:t xml:space="preserve">Byrne, A.L., Baldwin, A. and Harvey, C. (2020) ‘Whose centre is it anyway? </w:t>
      </w:r>
      <w:proofErr w:type="gramStart"/>
      <w:r w:rsidRPr="32853F47">
        <w:rPr>
          <w:rFonts w:ascii="Arial" w:eastAsia="Arial" w:hAnsi="Arial" w:cs="Arial"/>
          <w:color w:val="222222"/>
          <w:sz w:val="24"/>
          <w:szCs w:val="24"/>
        </w:rPr>
        <w:t>Defining person-centred care in nursing: An integrative review’</w:t>
      </w:r>
      <w:r w:rsidR="5E06C56E" w:rsidRPr="32853F47">
        <w:rPr>
          <w:rFonts w:ascii="Arial" w:eastAsia="Arial" w:hAnsi="Arial" w:cs="Arial"/>
          <w:color w:val="222222"/>
          <w:sz w:val="24"/>
          <w:szCs w:val="24"/>
        </w:rPr>
        <w:t>,</w:t>
      </w:r>
      <w:r w:rsidRPr="32853F47">
        <w:rPr>
          <w:rFonts w:ascii="Arial" w:eastAsia="Arial" w:hAnsi="Arial" w:cs="Arial"/>
          <w:color w:val="222222"/>
          <w:sz w:val="24"/>
          <w:szCs w:val="24"/>
        </w:rPr>
        <w:t xml:space="preserve"> </w:t>
      </w:r>
      <w:r w:rsidRPr="32853F47">
        <w:rPr>
          <w:rFonts w:ascii="Arial" w:eastAsia="Arial" w:hAnsi="Arial" w:cs="Arial"/>
          <w:i/>
          <w:iCs/>
          <w:color w:val="222222"/>
          <w:sz w:val="24"/>
          <w:szCs w:val="24"/>
        </w:rPr>
        <w:t>PLOS ONE</w:t>
      </w:r>
      <w:r w:rsidRPr="32853F47">
        <w:rPr>
          <w:rFonts w:ascii="Arial" w:eastAsia="Arial" w:hAnsi="Arial" w:cs="Arial"/>
          <w:color w:val="222222"/>
          <w:sz w:val="24"/>
          <w:szCs w:val="24"/>
        </w:rPr>
        <w:t>, 15(3), p.e0229923.</w:t>
      </w:r>
      <w:proofErr w:type="gramEnd"/>
      <w:r w:rsidRPr="32853F47">
        <w:rPr>
          <w:rFonts w:ascii="Arial" w:eastAsia="Arial" w:hAnsi="Arial" w:cs="Arial"/>
          <w:color w:val="000000" w:themeColor="text1"/>
          <w:sz w:val="24"/>
          <w:szCs w:val="24"/>
        </w:rPr>
        <w:t xml:space="preserve"> DOI: </w:t>
      </w:r>
      <w:hyperlink r:id="rId9">
        <w:r w:rsidRPr="32853F47">
          <w:rPr>
            <w:rStyle w:val="Hyperlink"/>
            <w:rFonts w:ascii="Arial" w:eastAsia="Arial" w:hAnsi="Arial" w:cs="Arial"/>
            <w:sz w:val="24"/>
            <w:szCs w:val="24"/>
          </w:rPr>
          <w:t>10.1371/journal.pone.0229923</w:t>
        </w:r>
        <w:r w:rsidR="562BAB0E" w:rsidRPr="32853F47">
          <w:rPr>
            <w:rStyle w:val="Hyperlink"/>
            <w:rFonts w:ascii="Arial" w:eastAsia="Arial" w:hAnsi="Arial" w:cs="Arial"/>
            <w:sz w:val="24"/>
            <w:szCs w:val="24"/>
          </w:rPr>
          <w:t>.</w:t>
        </w:r>
      </w:hyperlink>
    </w:p>
    <w:p w:rsidR="32853F47" w:rsidRDefault="32853F47" w:rsidP="32853F47">
      <w:pPr>
        <w:spacing w:line="360" w:lineRule="auto"/>
        <w:ind w:left="720" w:hanging="720"/>
        <w:rPr>
          <w:rFonts w:ascii="Arial" w:eastAsia="Arial" w:hAnsi="Arial" w:cs="Arial"/>
          <w:sz w:val="24"/>
          <w:szCs w:val="24"/>
        </w:rPr>
      </w:pPr>
    </w:p>
    <w:p w:rsidR="6C7097CB" w:rsidRDefault="6C7097CB" w:rsidP="32853F47">
      <w:pPr>
        <w:spacing w:line="360" w:lineRule="auto"/>
        <w:ind w:left="720" w:hanging="720"/>
      </w:pPr>
      <w:r w:rsidRPr="32853F47">
        <w:rPr>
          <w:rFonts w:ascii="Arial" w:eastAsia="Arial" w:hAnsi="Arial" w:cs="Arial"/>
          <w:color w:val="222222"/>
          <w:sz w:val="24"/>
          <w:szCs w:val="24"/>
        </w:rPr>
        <w:t xml:space="preserve">Crawford, M. (2020) ‘Ecological Systems Theory: Exploring the Development of the Theoretical Framework as Conceived by </w:t>
      </w:r>
      <w:proofErr w:type="spellStart"/>
      <w:r w:rsidRPr="32853F47">
        <w:rPr>
          <w:rFonts w:ascii="Arial" w:eastAsia="Arial" w:hAnsi="Arial" w:cs="Arial"/>
          <w:color w:val="222222"/>
          <w:sz w:val="24"/>
          <w:szCs w:val="24"/>
        </w:rPr>
        <w:t>Bronfenbrenner</w:t>
      </w:r>
      <w:proofErr w:type="spellEnd"/>
      <w:r w:rsidRPr="32853F47">
        <w:rPr>
          <w:rFonts w:ascii="Arial" w:eastAsia="Arial" w:hAnsi="Arial" w:cs="Arial"/>
          <w:color w:val="222222"/>
          <w:sz w:val="24"/>
          <w:szCs w:val="24"/>
        </w:rPr>
        <w:t xml:space="preserve">’, </w:t>
      </w:r>
      <w:r w:rsidRPr="32853F47">
        <w:rPr>
          <w:rFonts w:ascii="Arial" w:eastAsia="Arial" w:hAnsi="Arial" w:cs="Arial"/>
          <w:i/>
          <w:iCs/>
          <w:color w:val="222222"/>
          <w:sz w:val="24"/>
          <w:szCs w:val="24"/>
        </w:rPr>
        <w:t>Journal of Public Health Issues Practices</w:t>
      </w:r>
      <w:r w:rsidRPr="32853F47">
        <w:rPr>
          <w:rFonts w:ascii="Arial" w:eastAsia="Arial" w:hAnsi="Arial" w:cs="Arial"/>
          <w:color w:val="222222"/>
          <w:sz w:val="24"/>
          <w:szCs w:val="24"/>
        </w:rPr>
        <w:t xml:space="preserve">, 4(2), p.170. Available at: </w:t>
      </w:r>
      <w:hyperlink r:id="rId10">
        <w:r w:rsidRPr="32853F47">
          <w:rPr>
            <w:rStyle w:val="Hyperlink"/>
            <w:rFonts w:ascii="Arial" w:eastAsia="Arial" w:hAnsi="Arial" w:cs="Arial"/>
            <w:sz w:val="24"/>
            <w:szCs w:val="24"/>
          </w:rPr>
          <w:t>https://doi.org/10.33790/jphip1100170</w:t>
        </w:r>
      </w:hyperlink>
      <w:r w:rsidRPr="32853F47">
        <w:rPr>
          <w:rFonts w:ascii="Arial" w:eastAsia="Arial" w:hAnsi="Arial" w:cs="Arial"/>
          <w:sz w:val="24"/>
          <w:szCs w:val="24"/>
        </w:rPr>
        <w:t xml:space="preserve"> (Accessed: 24 August 2021)</w:t>
      </w:r>
      <w:r w:rsidR="459812FB" w:rsidRPr="32853F47">
        <w:rPr>
          <w:rFonts w:ascii="Arial" w:eastAsia="Arial" w:hAnsi="Arial" w:cs="Arial"/>
          <w:sz w:val="24"/>
          <w:szCs w:val="24"/>
        </w:rPr>
        <w:t>.</w:t>
      </w:r>
    </w:p>
    <w:p w:rsidR="32853F47" w:rsidRDefault="32853F47" w:rsidP="32853F47">
      <w:pPr>
        <w:spacing w:line="360" w:lineRule="auto"/>
        <w:ind w:left="720" w:hanging="720"/>
        <w:rPr>
          <w:rFonts w:ascii="Arial" w:eastAsia="Arial" w:hAnsi="Arial" w:cs="Arial"/>
          <w:sz w:val="24"/>
          <w:szCs w:val="24"/>
        </w:rPr>
      </w:pPr>
    </w:p>
    <w:p w:rsidR="5116DDB5" w:rsidRDefault="5116DDB5" w:rsidP="32853F47">
      <w:pPr>
        <w:spacing w:line="360" w:lineRule="auto"/>
      </w:pPr>
      <w:proofErr w:type="spellStart"/>
      <w:r w:rsidRPr="32853F47">
        <w:rPr>
          <w:rFonts w:ascii="Arial" w:eastAsia="Arial" w:hAnsi="Arial" w:cs="Arial"/>
          <w:color w:val="222222"/>
          <w:sz w:val="24"/>
          <w:szCs w:val="24"/>
        </w:rPr>
        <w:t>Dellenborg</w:t>
      </w:r>
      <w:proofErr w:type="spellEnd"/>
      <w:r w:rsidRPr="32853F47">
        <w:rPr>
          <w:rFonts w:ascii="Arial" w:eastAsia="Arial" w:hAnsi="Arial" w:cs="Arial"/>
          <w:color w:val="222222"/>
          <w:sz w:val="24"/>
          <w:szCs w:val="24"/>
        </w:rPr>
        <w:t xml:space="preserve">, L., </w:t>
      </w:r>
      <w:proofErr w:type="spellStart"/>
      <w:r w:rsidRPr="32853F47">
        <w:rPr>
          <w:rFonts w:ascii="Arial" w:eastAsia="Arial" w:hAnsi="Arial" w:cs="Arial"/>
          <w:color w:val="222222"/>
          <w:sz w:val="24"/>
          <w:szCs w:val="24"/>
        </w:rPr>
        <w:t>Wikström</w:t>
      </w:r>
      <w:proofErr w:type="spellEnd"/>
      <w:r w:rsidRPr="32853F47">
        <w:rPr>
          <w:rFonts w:ascii="Arial" w:eastAsia="Arial" w:hAnsi="Arial" w:cs="Arial"/>
          <w:color w:val="222222"/>
          <w:sz w:val="24"/>
          <w:szCs w:val="24"/>
        </w:rPr>
        <w:t xml:space="preserve">, E. and </w:t>
      </w:r>
      <w:proofErr w:type="spellStart"/>
      <w:r w:rsidRPr="32853F47">
        <w:rPr>
          <w:rFonts w:ascii="Arial" w:eastAsia="Arial" w:hAnsi="Arial" w:cs="Arial"/>
          <w:color w:val="222222"/>
          <w:sz w:val="24"/>
          <w:szCs w:val="24"/>
        </w:rPr>
        <w:t>Erichsen</w:t>
      </w:r>
      <w:proofErr w:type="spellEnd"/>
      <w:r w:rsidRPr="32853F47">
        <w:rPr>
          <w:rFonts w:ascii="Arial" w:eastAsia="Arial" w:hAnsi="Arial" w:cs="Arial"/>
          <w:color w:val="222222"/>
          <w:sz w:val="24"/>
          <w:szCs w:val="24"/>
        </w:rPr>
        <w:t>, A.A. (2019) ‘Factors that may promote</w:t>
      </w:r>
      <w:r w:rsidR="2ED49497" w:rsidRPr="32853F47">
        <w:rPr>
          <w:rFonts w:ascii="Arial" w:eastAsia="Arial" w:hAnsi="Arial" w:cs="Arial"/>
          <w:color w:val="222222"/>
          <w:sz w:val="24"/>
          <w:szCs w:val="24"/>
        </w:rPr>
        <w:t xml:space="preserve"> </w:t>
      </w:r>
      <w:r w:rsidRPr="32853F47">
        <w:rPr>
          <w:rFonts w:ascii="Arial" w:eastAsia="Arial" w:hAnsi="Arial" w:cs="Arial"/>
          <w:color w:val="222222"/>
          <w:sz w:val="24"/>
          <w:szCs w:val="24"/>
        </w:rPr>
        <w:t xml:space="preserve">the learning of person-centred care: an ethnographic study of an implementation programme for healthcare professionals in a medical emergency ward in Sweden’, </w:t>
      </w:r>
      <w:r w:rsidRPr="32853F47">
        <w:rPr>
          <w:rFonts w:ascii="Arial" w:eastAsia="Arial" w:hAnsi="Arial" w:cs="Arial"/>
          <w:i/>
          <w:iCs/>
          <w:color w:val="222222"/>
          <w:sz w:val="24"/>
          <w:szCs w:val="24"/>
        </w:rPr>
        <w:t>Advances in health sciences education Theory and Practice</w:t>
      </w:r>
      <w:r w:rsidRPr="32853F47">
        <w:rPr>
          <w:rFonts w:ascii="Arial" w:eastAsia="Arial" w:hAnsi="Arial" w:cs="Arial"/>
          <w:color w:val="222222"/>
          <w:sz w:val="24"/>
          <w:szCs w:val="24"/>
        </w:rPr>
        <w:t xml:space="preserve">, 24(2), pp.353-381. </w:t>
      </w:r>
      <w:r w:rsidRPr="32853F47">
        <w:rPr>
          <w:rFonts w:ascii="Arial" w:eastAsia="Arial" w:hAnsi="Arial" w:cs="Arial"/>
          <w:color w:val="212121"/>
          <w:sz w:val="24"/>
          <w:szCs w:val="24"/>
        </w:rPr>
        <w:t xml:space="preserve">DOI: </w:t>
      </w:r>
      <w:hyperlink r:id="rId11">
        <w:r w:rsidRPr="32853F47">
          <w:rPr>
            <w:rStyle w:val="Hyperlink"/>
            <w:rFonts w:ascii="Arial" w:eastAsia="Arial" w:hAnsi="Arial" w:cs="Arial"/>
            <w:sz w:val="24"/>
            <w:szCs w:val="24"/>
          </w:rPr>
          <w:t>10.1007/s10459-018-09869-y</w:t>
        </w:r>
      </w:hyperlink>
    </w:p>
    <w:p w:rsidR="32853F47" w:rsidRDefault="32853F47" w:rsidP="32853F47">
      <w:pPr>
        <w:spacing w:line="257" w:lineRule="auto"/>
        <w:ind w:left="720" w:hanging="720"/>
        <w:rPr>
          <w:rFonts w:ascii="Arial" w:eastAsia="Arial" w:hAnsi="Arial" w:cs="Arial"/>
          <w:sz w:val="24"/>
          <w:szCs w:val="24"/>
        </w:rPr>
      </w:pPr>
    </w:p>
    <w:p w:rsidR="02DF4070" w:rsidRDefault="02DF4070" w:rsidP="32853F47">
      <w:pPr>
        <w:spacing w:line="360" w:lineRule="auto"/>
      </w:pPr>
      <w:proofErr w:type="spellStart"/>
      <w:proofErr w:type="gramStart"/>
      <w:r w:rsidRPr="32853F47">
        <w:rPr>
          <w:rFonts w:ascii="Arial" w:eastAsia="Arial" w:hAnsi="Arial" w:cs="Arial"/>
          <w:color w:val="222222"/>
          <w:sz w:val="24"/>
          <w:szCs w:val="24"/>
        </w:rPr>
        <w:t>Gondek</w:t>
      </w:r>
      <w:proofErr w:type="spellEnd"/>
      <w:r w:rsidRPr="32853F47">
        <w:rPr>
          <w:rFonts w:ascii="Arial" w:eastAsia="Arial" w:hAnsi="Arial" w:cs="Arial"/>
          <w:color w:val="222222"/>
          <w:sz w:val="24"/>
          <w:szCs w:val="24"/>
        </w:rPr>
        <w:t xml:space="preserve">, D </w:t>
      </w:r>
      <w:r w:rsidRPr="32853F47">
        <w:rPr>
          <w:rFonts w:ascii="Arial" w:eastAsia="Arial" w:hAnsi="Arial" w:cs="Arial"/>
          <w:i/>
          <w:iCs/>
          <w:color w:val="222222"/>
          <w:sz w:val="24"/>
          <w:szCs w:val="24"/>
        </w:rPr>
        <w:t>et al.</w:t>
      </w:r>
      <w:proofErr w:type="gramEnd"/>
      <w:r w:rsidRPr="32853F47">
        <w:rPr>
          <w:rFonts w:ascii="Arial" w:eastAsia="Arial" w:hAnsi="Arial" w:cs="Arial"/>
          <w:i/>
          <w:iCs/>
          <w:color w:val="222222"/>
          <w:sz w:val="24"/>
          <w:szCs w:val="24"/>
        </w:rPr>
        <w:t xml:space="preserve"> </w:t>
      </w:r>
      <w:r w:rsidRPr="32853F47">
        <w:rPr>
          <w:rFonts w:ascii="Arial" w:eastAsia="Arial" w:hAnsi="Arial" w:cs="Arial"/>
          <w:color w:val="222222"/>
          <w:sz w:val="24"/>
          <w:szCs w:val="24"/>
        </w:rPr>
        <w:t xml:space="preserve"> (2017) ‘Facilitators and barriers to person‐centred care in child and young people mental health services: A systematic review’, </w:t>
      </w:r>
      <w:r w:rsidRPr="32853F47">
        <w:rPr>
          <w:rFonts w:ascii="Arial" w:eastAsia="Arial" w:hAnsi="Arial" w:cs="Arial"/>
          <w:i/>
          <w:iCs/>
          <w:color w:val="222222"/>
          <w:sz w:val="24"/>
          <w:szCs w:val="24"/>
        </w:rPr>
        <w:t>Clinical psychology &amp; psychotherapy</w:t>
      </w:r>
      <w:r w:rsidRPr="32853F47">
        <w:rPr>
          <w:rFonts w:ascii="Arial" w:eastAsia="Arial" w:hAnsi="Arial" w:cs="Arial"/>
          <w:color w:val="222222"/>
          <w:sz w:val="24"/>
          <w:szCs w:val="24"/>
        </w:rPr>
        <w:t>, 24(4), pp.870-886.</w:t>
      </w:r>
      <w:r w:rsidRPr="32853F47">
        <w:rPr>
          <w:rFonts w:ascii="Arial" w:eastAsia="Arial" w:hAnsi="Arial" w:cs="Arial"/>
          <w:color w:val="212121"/>
          <w:sz w:val="24"/>
          <w:szCs w:val="24"/>
        </w:rPr>
        <w:t xml:space="preserve"> DOI: </w:t>
      </w:r>
      <w:hyperlink r:id="rId12">
        <w:r w:rsidRPr="32853F47">
          <w:rPr>
            <w:rStyle w:val="Hyperlink"/>
            <w:rFonts w:ascii="Arial" w:eastAsia="Arial" w:hAnsi="Arial" w:cs="Arial"/>
            <w:sz w:val="24"/>
            <w:szCs w:val="24"/>
          </w:rPr>
          <w:t>10.1002/cpp.2052</w:t>
        </w:r>
        <w:r w:rsidR="00E3E7DA" w:rsidRPr="32853F47">
          <w:rPr>
            <w:rStyle w:val="Hyperlink"/>
            <w:rFonts w:ascii="Arial" w:eastAsia="Arial" w:hAnsi="Arial" w:cs="Arial"/>
            <w:sz w:val="24"/>
            <w:szCs w:val="24"/>
          </w:rPr>
          <w:t>.</w:t>
        </w:r>
      </w:hyperlink>
    </w:p>
    <w:p w:rsidR="32853F47" w:rsidRDefault="32853F47" w:rsidP="32853F47">
      <w:pPr>
        <w:spacing w:line="360" w:lineRule="auto"/>
        <w:rPr>
          <w:rFonts w:ascii="Arial" w:eastAsia="Arial" w:hAnsi="Arial" w:cs="Arial"/>
          <w:sz w:val="24"/>
          <w:szCs w:val="24"/>
        </w:rPr>
      </w:pPr>
    </w:p>
    <w:p w:rsidR="307037E7" w:rsidRDefault="307037E7" w:rsidP="32853F47">
      <w:pPr>
        <w:spacing w:line="360" w:lineRule="auto"/>
        <w:ind w:left="720" w:hanging="720"/>
        <w:rPr>
          <w:rFonts w:ascii="Arial" w:eastAsia="Arial" w:hAnsi="Arial" w:cs="Arial"/>
          <w:sz w:val="24"/>
          <w:szCs w:val="24"/>
        </w:rPr>
      </w:pPr>
      <w:proofErr w:type="gramStart"/>
      <w:r w:rsidRPr="32853F47">
        <w:rPr>
          <w:rFonts w:ascii="Arial" w:eastAsia="Arial" w:hAnsi="Arial" w:cs="Arial"/>
          <w:color w:val="222222"/>
          <w:sz w:val="24"/>
          <w:szCs w:val="24"/>
        </w:rPr>
        <w:t xml:space="preserve">Han, Y.K. and </w:t>
      </w:r>
      <w:proofErr w:type="spellStart"/>
      <w:r w:rsidRPr="32853F47">
        <w:rPr>
          <w:rFonts w:ascii="Arial" w:eastAsia="Arial" w:hAnsi="Arial" w:cs="Arial"/>
          <w:color w:val="222222"/>
          <w:sz w:val="24"/>
          <w:szCs w:val="24"/>
        </w:rPr>
        <w:t>Yeo</w:t>
      </w:r>
      <w:proofErr w:type="spellEnd"/>
      <w:r w:rsidRPr="32853F47">
        <w:rPr>
          <w:rFonts w:ascii="Arial" w:eastAsia="Arial" w:hAnsi="Arial" w:cs="Arial"/>
          <w:color w:val="222222"/>
          <w:sz w:val="24"/>
          <w:szCs w:val="24"/>
        </w:rPr>
        <w:t xml:space="preserve">, A.N. (2021) ‘A Study on Dental Hygiene and Career Maturity of Students Based on </w:t>
      </w:r>
      <w:proofErr w:type="spellStart"/>
      <w:r w:rsidRPr="32853F47">
        <w:rPr>
          <w:rFonts w:ascii="Arial" w:eastAsia="Arial" w:hAnsi="Arial" w:cs="Arial"/>
          <w:color w:val="222222"/>
          <w:sz w:val="24"/>
          <w:szCs w:val="24"/>
        </w:rPr>
        <w:t>Alderfer's</w:t>
      </w:r>
      <w:proofErr w:type="spellEnd"/>
      <w:r w:rsidRPr="32853F47">
        <w:rPr>
          <w:rFonts w:ascii="Arial" w:eastAsia="Arial" w:hAnsi="Arial" w:cs="Arial"/>
          <w:color w:val="222222"/>
          <w:sz w:val="24"/>
          <w:szCs w:val="24"/>
        </w:rPr>
        <w:t xml:space="preserve"> ERG Theory’</w:t>
      </w:r>
      <w:r w:rsidR="5B331B58" w:rsidRPr="32853F47">
        <w:rPr>
          <w:rFonts w:ascii="Arial" w:eastAsia="Arial" w:hAnsi="Arial" w:cs="Arial"/>
          <w:color w:val="222222"/>
          <w:sz w:val="24"/>
          <w:szCs w:val="24"/>
        </w:rPr>
        <w:t>,</w:t>
      </w:r>
      <w:r w:rsidRPr="32853F47">
        <w:rPr>
          <w:rFonts w:ascii="Arial" w:eastAsia="Arial" w:hAnsi="Arial" w:cs="Arial"/>
          <w:color w:val="222222"/>
          <w:sz w:val="24"/>
          <w:szCs w:val="24"/>
        </w:rPr>
        <w:t xml:space="preserve"> </w:t>
      </w:r>
      <w:r w:rsidRPr="32853F47">
        <w:rPr>
          <w:rFonts w:ascii="Arial" w:eastAsia="Arial" w:hAnsi="Arial" w:cs="Arial"/>
          <w:i/>
          <w:iCs/>
          <w:color w:val="222222"/>
          <w:sz w:val="24"/>
          <w:szCs w:val="24"/>
        </w:rPr>
        <w:t xml:space="preserve">Journal of Dental Hygiene </w:t>
      </w:r>
      <w:r w:rsidRPr="32853F47">
        <w:rPr>
          <w:rFonts w:ascii="Arial" w:eastAsia="Arial" w:hAnsi="Arial" w:cs="Arial"/>
          <w:i/>
          <w:iCs/>
          <w:color w:val="222222"/>
          <w:sz w:val="24"/>
          <w:szCs w:val="24"/>
        </w:rPr>
        <w:lastRenderedPageBreak/>
        <w:t>Science</w:t>
      </w:r>
      <w:r w:rsidRPr="32853F47">
        <w:rPr>
          <w:rFonts w:ascii="Arial" w:eastAsia="Arial" w:hAnsi="Arial" w:cs="Arial"/>
          <w:color w:val="222222"/>
          <w:sz w:val="24"/>
          <w:szCs w:val="24"/>
        </w:rPr>
        <w:t>, 21(2), pp.86-95.</w:t>
      </w:r>
      <w:proofErr w:type="gramEnd"/>
      <w:r w:rsidRPr="32853F47">
        <w:rPr>
          <w:rFonts w:ascii="Arial" w:eastAsia="Arial" w:hAnsi="Arial" w:cs="Arial"/>
          <w:color w:val="222222"/>
          <w:sz w:val="24"/>
          <w:szCs w:val="24"/>
        </w:rPr>
        <w:t xml:space="preserve"> Available at: </w:t>
      </w:r>
      <w:hyperlink r:id="rId13">
        <w:r w:rsidRPr="32853F47">
          <w:rPr>
            <w:rStyle w:val="Hyperlink"/>
            <w:rFonts w:ascii="Arial" w:eastAsia="Arial" w:hAnsi="Arial" w:cs="Arial"/>
            <w:sz w:val="24"/>
            <w:szCs w:val="24"/>
          </w:rPr>
          <w:t>https://doi.org/10.17135/jdhs.2021.21.2.86</w:t>
        </w:r>
      </w:hyperlink>
      <w:r w:rsidRPr="32853F47">
        <w:rPr>
          <w:rFonts w:ascii="Arial" w:eastAsia="Arial" w:hAnsi="Arial" w:cs="Arial"/>
          <w:sz w:val="24"/>
          <w:szCs w:val="24"/>
        </w:rPr>
        <w:t xml:space="preserve"> (Accessed: 28 August 2021)</w:t>
      </w:r>
      <w:r w:rsidR="79829250" w:rsidRPr="32853F47">
        <w:rPr>
          <w:rFonts w:ascii="Arial" w:eastAsia="Arial" w:hAnsi="Arial" w:cs="Arial"/>
          <w:sz w:val="24"/>
          <w:szCs w:val="24"/>
        </w:rPr>
        <w:t>.</w:t>
      </w:r>
    </w:p>
    <w:p w:rsidR="32853F47" w:rsidRDefault="32853F47" w:rsidP="32853F47">
      <w:pPr>
        <w:spacing w:line="360" w:lineRule="auto"/>
        <w:ind w:left="720" w:hanging="720"/>
        <w:rPr>
          <w:rFonts w:ascii="Arial" w:eastAsia="Arial" w:hAnsi="Arial" w:cs="Arial"/>
          <w:sz w:val="24"/>
          <w:szCs w:val="24"/>
        </w:rPr>
      </w:pPr>
    </w:p>
    <w:p w:rsidR="79829250" w:rsidRDefault="79829250" w:rsidP="32853F47">
      <w:pPr>
        <w:spacing w:line="257" w:lineRule="auto"/>
        <w:ind w:left="720" w:hanging="720"/>
      </w:pPr>
      <w:proofErr w:type="spellStart"/>
      <w:r w:rsidRPr="32853F47">
        <w:rPr>
          <w:rFonts w:ascii="Arial" w:eastAsia="Arial" w:hAnsi="Arial" w:cs="Arial"/>
          <w:color w:val="222222"/>
          <w:sz w:val="24"/>
          <w:szCs w:val="24"/>
        </w:rPr>
        <w:t>Hertler</w:t>
      </w:r>
      <w:proofErr w:type="spellEnd"/>
      <w:r w:rsidRPr="32853F47">
        <w:rPr>
          <w:rFonts w:ascii="Arial" w:eastAsia="Arial" w:hAnsi="Arial" w:cs="Arial"/>
          <w:color w:val="222222"/>
          <w:sz w:val="24"/>
          <w:szCs w:val="24"/>
        </w:rPr>
        <w:t xml:space="preserve">, S.C </w:t>
      </w:r>
      <w:r w:rsidRPr="32853F47">
        <w:rPr>
          <w:rFonts w:ascii="Arial" w:eastAsia="Arial" w:hAnsi="Arial" w:cs="Arial"/>
          <w:i/>
          <w:iCs/>
          <w:color w:val="222222"/>
          <w:sz w:val="24"/>
          <w:szCs w:val="24"/>
        </w:rPr>
        <w:t>et al.</w:t>
      </w:r>
      <w:r w:rsidRPr="32853F47">
        <w:rPr>
          <w:rFonts w:ascii="Arial" w:eastAsia="Arial" w:hAnsi="Arial" w:cs="Arial"/>
          <w:color w:val="222222"/>
          <w:sz w:val="24"/>
          <w:szCs w:val="24"/>
        </w:rPr>
        <w:t xml:space="preserve"> (2018) </w:t>
      </w:r>
      <w:r w:rsidRPr="32853F47">
        <w:rPr>
          <w:rFonts w:ascii="Arial" w:eastAsia="Arial" w:hAnsi="Arial" w:cs="Arial"/>
          <w:i/>
          <w:iCs/>
          <w:color w:val="222222"/>
          <w:sz w:val="24"/>
          <w:szCs w:val="24"/>
        </w:rPr>
        <w:t>Life History Evolution</w:t>
      </w:r>
      <w:r w:rsidRPr="32853F47">
        <w:rPr>
          <w:rFonts w:ascii="Arial" w:eastAsia="Arial" w:hAnsi="Arial" w:cs="Arial"/>
          <w:color w:val="222222"/>
          <w:sz w:val="24"/>
          <w:szCs w:val="24"/>
        </w:rPr>
        <w:t xml:space="preserve">. </w:t>
      </w:r>
      <w:proofErr w:type="gramStart"/>
      <w:r w:rsidRPr="32853F47">
        <w:rPr>
          <w:rFonts w:ascii="Arial" w:eastAsia="Arial" w:hAnsi="Arial" w:cs="Arial"/>
          <w:color w:val="222222"/>
          <w:sz w:val="24"/>
          <w:szCs w:val="24"/>
        </w:rPr>
        <w:t>1</w:t>
      </w:r>
      <w:r w:rsidRPr="32853F47">
        <w:rPr>
          <w:rFonts w:ascii="Arial" w:eastAsia="Arial" w:hAnsi="Arial" w:cs="Arial"/>
          <w:color w:val="222222"/>
          <w:sz w:val="24"/>
          <w:szCs w:val="24"/>
          <w:vertAlign w:val="superscript"/>
        </w:rPr>
        <w:t>st</w:t>
      </w:r>
      <w:r w:rsidRPr="32853F47">
        <w:rPr>
          <w:rFonts w:ascii="Arial" w:eastAsia="Arial" w:hAnsi="Arial" w:cs="Arial"/>
          <w:color w:val="222222"/>
          <w:sz w:val="24"/>
          <w:szCs w:val="24"/>
        </w:rPr>
        <w:t xml:space="preserve"> </w:t>
      </w:r>
      <w:proofErr w:type="spellStart"/>
      <w:r w:rsidRPr="32853F47">
        <w:rPr>
          <w:rFonts w:ascii="Arial" w:eastAsia="Arial" w:hAnsi="Arial" w:cs="Arial"/>
          <w:color w:val="222222"/>
          <w:sz w:val="24"/>
          <w:szCs w:val="24"/>
        </w:rPr>
        <w:t>edn</w:t>
      </w:r>
      <w:proofErr w:type="spellEnd"/>
      <w:r w:rsidRPr="32853F47">
        <w:rPr>
          <w:rFonts w:ascii="Arial" w:eastAsia="Arial" w:hAnsi="Arial" w:cs="Arial"/>
          <w:color w:val="222222"/>
          <w:sz w:val="24"/>
          <w:szCs w:val="24"/>
        </w:rPr>
        <w:t>.</w:t>
      </w:r>
      <w:proofErr w:type="gramEnd"/>
      <w:r w:rsidRPr="32853F47">
        <w:rPr>
          <w:rFonts w:ascii="Arial" w:eastAsia="Arial" w:hAnsi="Arial" w:cs="Arial"/>
          <w:color w:val="222222"/>
          <w:sz w:val="24"/>
          <w:szCs w:val="24"/>
        </w:rPr>
        <w:t xml:space="preserve"> </w:t>
      </w:r>
      <w:r w:rsidRPr="32853F47">
        <w:rPr>
          <w:rFonts w:ascii="Arial" w:eastAsia="Arial" w:hAnsi="Arial" w:cs="Arial"/>
          <w:sz w:val="24"/>
          <w:szCs w:val="24"/>
        </w:rPr>
        <w:t>Palgrave Macmillan.</w:t>
      </w:r>
    </w:p>
    <w:p w:rsidR="32853F47" w:rsidRDefault="32853F47" w:rsidP="32853F47">
      <w:pPr>
        <w:spacing w:line="257" w:lineRule="auto"/>
        <w:ind w:left="720" w:hanging="720"/>
        <w:rPr>
          <w:rFonts w:ascii="Arial" w:eastAsia="Arial" w:hAnsi="Arial" w:cs="Arial"/>
          <w:sz w:val="24"/>
          <w:szCs w:val="24"/>
        </w:rPr>
      </w:pPr>
    </w:p>
    <w:p w:rsidR="2F3DC731" w:rsidRDefault="2F3DC731" w:rsidP="32853F47">
      <w:pPr>
        <w:spacing w:line="360" w:lineRule="auto"/>
        <w:ind w:left="720" w:hanging="720"/>
        <w:rPr>
          <w:rFonts w:ascii="Arial" w:eastAsia="Arial" w:hAnsi="Arial" w:cs="Arial"/>
          <w:sz w:val="24"/>
          <w:szCs w:val="24"/>
        </w:rPr>
      </w:pPr>
      <w:r w:rsidRPr="32853F47">
        <w:rPr>
          <w:rFonts w:ascii="Arial" w:eastAsia="Arial" w:hAnsi="Arial" w:cs="Arial"/>
          <w:color w:val="222222"/>
          <w:sz w:val="24"/>
          <w:szCs w:val="24"/>
        </w:rPr>
        <w:t xml:space="preserve">Ho, P. </w:t>
      </w:r>
      <w:r w:rsidRPr="32853F47">
        <w:rPr>
          <w:rFonts w:ascii="Arial" w:eastAsia="Arial" w:hAnsi="Arial" w:cs="Arial"/>
          <w:i/>
          <w:iCs/>
          <w:color w:val="222222"/>
          <w:sz w:val="24"/>
          <w:szCs w:val="24"/>
        </w:rPr>
        <w:t>et al.</w:t>
      </w:r>
      <w:r w:rsidRPr="32853F47">
        <w:rPr>
          <w:rFonts w:ascii="Arial" w:eastAsia="Arial" w:hAnsi="Arial" w:cs="Arial"/>
          <w:color w:val="222222"/>
          <w:sz w:val="24"/>
          <w:szCs w:val="24"/>
        </w:rPr>
        <w:t xml:space="preserve"> (2021) ‘Person-Centred Care Transformation in a Nursing Home for Residents with Dementia’, </w:t>
      </w:r>
      <w:r w:rsidRPr="32853F47">
        <w:rPr>
          <w:rFonts w:ascii="Arial" w:eastAsia="Arial" w:hAnsi="Arial" w:cs="Arial"/>
          <w:i/>
          <w:iCs/>
          <w:color w:val="222222"/>
          <w:sz w:val="24"/>
          <w:szCs w:val="24"/>
        </w:rPr>
        <w:t>Dementia and Geriatric Cognitive Disorders Extra</w:t>
      </w:r>
      <w:r w:rsidRPr="32853F47">
        <w:rPr>
          <w:rFonts w:ascii="Arial" w:eastAsia="Arial" w:hAnsi="Arial" w:cs="Arial"/>
          <w:color w:val="222222"/>
          <w:sz w:val="24"/>
          <w:szCs w:val="24"/>
        </w:rPr>
        <w:t xml:space="preserve">, 11(1), pp.1-9. Available at: </w:t>
      </w:r>
      <w:hyperlink r:id="rId14">
        <w:r w:rsidRPr="32853F47">
          <w:rPr>
            <w:rStyle w:val="Hyperlink"/>
            <w:rFonts w:ascii="Arial" w:eastAsia="Arial" w:hAnsi="Arial" w:cs="Arial"/>
            <w:sz w:val="24"/>
            <w:szCs w:val="24"/>
          </w:rPr>
          <w:t>https://doi.org/10.1159/000513069</w:t>
        </w:r>
      </w:hyperlink>
      <w:r w:rsidRPr="32853F47">
        <w:rPr>
          <w:rFonts w:ascii="Arial" w:eastAsia="Arial" w:hAnsi="Arial" w:cs="Arial"/>
          <w:sz w:val="24"/>
          <w:szCs w:val="24"/>
        </w:rPr>
        <w:t xml:space="preserve"> (Accessed: 02/09/2021).</w:t>
      </w:r>
    </w:p>
    <w:p w:rsidR="32853F47" w:rsidRDefault="32853F47" w:rsidP="32853F47">
      <w:pPr>
        <w:spacing w:line="360" w:lineRule="auto"/>
        <w:ind w:left="720" w:hanging="720"/>
        <w:rPr>
          <w:rFonts w:ascii="Arial" w:eastAsia="Arial" w:hAnsi="Arial" w:cs="Arial"/>
          <w:sz w:val="24"/>
          <w:szCs w:val="24"/>
        </w:rPr>
      </w:pPr>
    </w:p>
    <w:p w:rsidR="43D7A601" w:rsidRDefault="43D7A601" w:rsidP="32853F47">
      <w:pPr>
        <w:spacing w:line="360" w:lineRule="auto"/>
        <w:ind w:left="720" w:hanging="720"/>
      </w:pPr>
      <w:proofErr w:type="spellStart"/>
      <w:r w:rsidRPr="32853F47">
        <w:rPr>
          <w:rFonts w:ascii="Arial" w:eastAsia="Arial" w:hAnsi="Arial" w:cs="Arial"/>
          <w:color w:val="222222"/>
          <w:sz w:val="24"/>
          <w:szCs w:val="24"/>
        </w:rPr>
        <w:t>Kiniman</w:t>
      </w:r>
      <w:proofErr w:type="spellEnd"/>
      <w:r w:rsidRPr="32853F47">
        <w:rPr>
          <w:rFonts w:ascii="Arial" w:eastAsia="Arial" w:hAnsi="Arial" w:cs="Arial"/>
          <w:color w:val="222222"/>
          <w:sz w:val="24"/>
          <w:szCs w:val="24"/>
        </w:rPr>
        <w:t xml:space="preserve">, K. and </w:t>
      </w:r>
      <w:proofErr w:type="spellStart"/>
      <w:r w:rsidRPr="32853F47">
        <w:rPr>
          <w:rFonts w:ascii="Arial" w:eastAsia="Arial" w:hAnsi="Arial" w:cs="Arial"/>
          <w:color w:val="222222"/>
          <w:sz w:val="24"/>
          <w:szCs w:val="24"/>
        </w:rPr>
        <w:t>Cherdchom</w:t>
      </w:r>
      <w:proofErr w:type="spellEnd"/>
      <w:r w:rsidRPr="32853F47">
        <w:rPr>
          <w:rFonts w:ascii="Arial" w:eastAsia="Arial" w:hAnsi="Arial" w:cs="Arial"/>
          <w:color w:val="222222"/>
          <w:sz w:val="24"/>
          <w:szCs w:val="24"/>
        </w:rPr>
        <w:t xml:space="preserve">, N. (2019) ‘Work Motivation of Registered Nurses in Generation Z in a Private Hospital in </w:t>
      </w:r>
      <w:proofErr w:type="spellStart"/>
      <w:r w:rsidRPr="32853F47">
        <w:rPr>
          <w:rFonts w:ascii="Arial" w:eastAsia="Arial" w:hAnsi="Arial" w:cs="Arial"/>
          <w:color w:val="222222"/>
          <w:sz w:val="24"/>
          <w:szCs w:val="24"/>
        </w:rPr>
        <w:t>Chonburi</w:t>
      </w:r>
      <w:proofErr w:type="spellEnd"/>
      <w:r w:rsidRPr="32853F47">
        <w:rPr>
          <w:rFonts w:ascii="Arial" w:eastAsia="Arial" w:hAnsi="Arial" w:cs="Arial"/>
          <w:color w:val="222222"/>
          <w:sz w:val="24"/>
          <w:szCs w:val="24"/>
        </w:rPr>
        <w:t xml:space="preserve"> Province’, </w:t>
      </w:r>
      <w:r w:rsidRPr="32853F47">
        <w:rPr>
          <w:rFonts w:ascii="Arial" w:eastAsia="Arial" w:hAnsi="Arial" w:cs="Arial"/>
          <w:i/>
          <w:iCs/>
          <w:color w:val="222222"/>
          <w:sz w:val="24"/>
          <w:szCs w:val="24"/>
        </w:rPr>
        <w:t>HRD JOURNAL</w:t>
      </w:r>
      <w:r w:rsidRPr="32853F47">
        <w:rPr>
          <w:rFonts w:ascii="Arial" w:eastAsia="Arial" w:hAnsi="Arial" w:cs="Arial"/>
          <w:color w:val="222222"/>
          <w:sz w:val="24"/>
          <w:szCs w:val="24"/>
        </w:rPr>
        <w:t xml:space="preserve">, 10(2), pp.96-109. Available at: </w:t>
      </w:r>
      <w:hyperlink r:id="rId15">
        <w:r w:rsidRPr="32853F47">
          <w:rPr>
            <w:rStyle w:val="Hyperlink"/>
            <w:rFonts w:ascii="Arial" w:eastAsia="Arial" w:hAnsi="Arial" w:cs="Arial"/>
            <w:sz w:val="24"/>
            <w:szCs w:val="24"/>
          </w:rPr>
          <w:t>http://ojslib3.buu.in.th/index.php/hrd/article/view/6597</w:t>
        </w:r>
      </w:hyperlink>
      <w:r w:rsidRPr="32853F47">
        <w:rPr>
          <w:rFonts w:ascii="Arial" w:eastAsia="Arial" w:hAnsi="Arial" w:cs="Arial"/>
          <w:color w:val="222222"/>
          <w:sz w:val="24"/>
          <w:szCs w:val="24"/>
        </w:rPr>
        <w:t xml:space="preserve"> (Accessed: 2 September 2021)</w:t>
      </w:r>
    </w:p>
    <w:p w:rsidR="32853F47" w:rsidRDefault="32853F47" w:rsidP="32853F47">
      <w:pPr>
        <w:spacing w:line="360" w:lineRule="auto"/>
        <w:ind w:left="720" w:hanging="720"/>
        <w:rPr>
          <w:rFonts w:ascii="Arial" w:eastAsia="Arial" w:hAnsi="Arial" w:cs="Arial"/>
          <w:color w:val="222222"/>
          <w:sz w:val="24"/>
          <w:szCs w:val="24"/>
        </w:rPr>
      </w:pPr>
    </w:p>
    <w:p w:rsidR="60859677" w:rsidRDefault="60859677" w:rsidP="32853F47">
      <w:pPr>
        <w:spacing w:line="360" w:lineRule="auto"/>
        <w:rPr>
          <w:rFonts w:ascii="Arial" w:eastAsia="Arial" w:hAnsi="Arial" w:cs="Arial"/>
        </w:rPr>
      </w:pPr>
      <w:proofErr w:type="spellStart"/>
      <w:r w:rsidRPr="32853F47">
        <w:rPr>
          <w:rFonts w:ascii="Arial" w:eastAsia="Arial" w:hAnsi="Arial" w:cs="Arial"/>
          <w:color w:val="222222"/>
          <w:sz w:val="24"/>
          <w:szCs w:val="24"/>
        </w:rPr>
        <w:t>Quasdorf</w:t>
      </w:r>
      <w:proofErr w:type="spellEnd"/>
      <w:r w:rsidRPr="32853F47">
        <w:rPr>
          <w:rFonts w:ascii="Arial" w:eastAsia="Arial" w:hAnsi="Arial" w:cs="Arial"/>
          <w:color w:val="222222"/>
          <w:sz w:val="24"/>
          <w:szCs w:val="24"/>
        </w:rPr>
        <w:t xml:space="preserve">, T. </w:t>
      </w:r>
      <w:r w:rsidRPr="32853F47">
        <w:rPr>
          <w:rFonts w:ascii="Arial" w:eastAsia="Arial" w:hAnsi="Arial" w:cs="Arial"/>
          <w:i/>
          <w:iCs/>
          <w:color w:val="222222"/>
          <w:sz w:val="24"/>
          <w:szCs w:val="24"/>
        </w:rPr>
        <w:t>et al.</w:t>
      </w:r>
      <w:r w:rsidRPr="32853F47">
        <w:rPr>
          <w:rFonts w:ascii="Arial" w:eastAsia="Arial" w:hAnsi="Arial" w:cs="Arial"/>
          <w:color w:val="222222"/>
          <w:sz w:val="24"/>
          <w:szCs w:val="24"/>
        </w:rPr>
        <w:t xml:space="preserve"> (2017) ‘Implementing Dementia Care Mapping to develop person‐centred care: results of a process evaluation within the </w:t>
      </w:r>
      <w:proofErr w:type="spellStart"/>
      <w:r w:rsidRPr="32853F47">
        <w:rPr>
          <w:rFonts w:ascii="Arial" w:eastAsia="Arial" w:hAnsi="Arial" w:cs="Arial"/>
          <w:color w:val="222222"/>
          <w:sz w:val="24"/>
          <w:szCs w:val="24"/>
        </w:rPr>
        <w:t>Leben</w:t>
      </w:r>
      <w:proofErr w:type="spellEnd"/>
      <w:r w:rsidRPr="32853F47">
        <w:rPr>
          <w:rFonts w:ascii="Arial" w:eastAsia="Arial" w:hAnsi="Arial" w:cs="Arial"/>
          <w:color w:val="222222"/>
          <w:sz w:val="24"/>
          <w:szCs w:val="24"/>
        </w:rPr>
        <w:t>‐QD II trial,</w:t>
      </w:r>
      <w:r w:rsidRPr="32853F47">
        <w:rPr>
          <w:rFonts w:ascii="Arial" w:eastAsia="Arial" w:hAnsi="Arial" w:cs="Arial"/>
          <w:i/>
          <w:iCs/>
          <w:color w:val="222222"/>
          <w:sz w:val="24"/>
          <w:szCs w:val="24"/>
        </w:rPr>
        <w:t xml:space="preserve"> Journal of Clinical Nursing</w:t>
      </w:r>
      <w:r w:rsidRPr="32853F47">
        <w:rPr>
          <w:rFonts w:ascii="Arial" w:eastAsia="Arial" w:hAnsi="Arial" w:cs="Arial"/>
          <w:color w:val="222222"/>
          <w:sz w:val="24"/>
          <w:szCs w:val="24"/>
        </w:rPr>
        <w:t xml:space="preserve">, 26(5-6), pp.751-765. </w:t>
      </w:r>
      <w:r w:rsidRPr="32853F47">
        <w:rPr>
          <w:rFonts w:ascii="Arial" w:eastAsia="Arial" w:hAnsi="Arial" w:cs="Arial"/>
          <w:color w:val="212121"/>
          <w:sz w:val="24"/>
          <w:szCs w:val="24"/>
        </w:rPr>
        <w:t xml:space="preserve">DOI: </w:t>
      </w:r>
      <w:hyperlink r:id="rId16">
        <w:r w:rsidRPr="32853F47">
          <w:rPr>
            <w:rStyle w:val="Hyperlink"/>
            <w:rFonts w:ascii="Arial" w:eastAsia="Arial" w:hAnsi="Arial" w:cs="Arial"/>
            <w:sz w:val="24"/>
            <w:szCs w:val="24"/>
          </w:rPr>
          <w:t>10.1111/jocn.13522.</w:t>
        </w:r>
      </w:hyperlink>
    </w:p>
    <w:p w:rsidR="32853F47" w:rsidRDefault="32853F47" w:rsidP="32853F47">
      <w:pPr>
        <w:spacing w:line="360" w:lineRule="auto"/>
        <w:rPr>
          <w:rFonts w:ascii="Arial" w:eastAsia="Arial" w:hAnsi="Arial" w:cs="Arial"/>
          <w:sz w:val="24"/>
          <w:szCs w:val="24"/>
        </w:rPr>
      </w:pPr>
    </w:p>
    <w:p w:rsidR="3F7F7DAE" w:rsidRDefault="3F7F7DAE" w:rsidP="32853F47">
      <w:pPr>
        <w:spacing w:line="360" w:lineRule="auto"/>
        <w:ind w:left="720" w:hanging="720"/>
      </w:pPr>
      <w:proofErr w:type="spellStart"/>
      <w:proofErr w:type="gramStart"/>
      <w:r w:rsidRPr="32853F47">
        <w:rPr>
          <w:rFonts w:ascii="Arial" w:eastAsia="Arial" w:hAnsi="Arial" w:cs="Arial"/>
          <w:color w:val="222222"/>
          <w:sz w:val="24"/>
          <w:szCs w:val="24"/>
        </w:rPr>
        <w:t>Rokstad</w:t>
      </w:r>
      <w:proofErr w:type="spellEnd"/>
      <w:r w:rsidRPr="32853F47">
        <w:rPr>
          <w:rFonts w:ascii="Arial" w:eastAsia="Arial" w:hAnsi="Arial" w:cs="Arial"/>
          <w:color w:val="222222"/>
          <w:sz w:val="24"/>
          <w:szCs w:val="24"/>
        </w:rPr>
        <w:t xml:space="preserve">, A.M.M. </w:t>
      </w:r>
      <w:r w:rsidRPr="32853F47">
        <w:rPr>
          <w:rFonts w:ascii="Arial" w:eastAsia="Arial" w:hAnsi="Arial" w:cs="Arial"/>
          <w:i/>
          <w:iCs/>
          <w:color w:val="222222"/>
          <w:sz w:val="24"/>
          <w:szCs w:val="24"/>
        </w:rPr>
        <w:t>et al.</w:t>
      </w:r>
      <w:r w:rsidRPr="32853F47">
        <w:rPr>
          <w:rFonts w:ascii="Arial" w:eastAsia="Arial" w:hAnsi="Arial" w:cs="Arial"/>
          <w:color w:val="222222"/>
          <w:sz w:val="24"/>
          <w:szCs w:val="24"/>
        </w:rPr>
        <w:t xml:space="preserve"> (2017) ‘The impact of the Dementia ABC educational programme on competence in person</w:t>
      </w:r>
      <w:r w:rsidRPr="32853F47">
        <w:rPr>
          <w:rFonts w:ascii="Times New Roman" w:eastAsia="Times New Roman" w:hAnsi="Times New Roman" w:cs="Times New Roman"/>
          <w:color w:val="222222"/>
          <w:sz w:val="24"/>
          <w:szCs w:val="24"/>
        </w:rPr>
        <w:t>‐</w:t>
      </w:r>
      <w:r w:rsidRPr="32853F47">
        <w:rPr>
          <w:rFonts w:ascii="Arial" w:eastAsia="Arial" w:hAnsi="Arial" w:cs="Arial"/>
          <w:color w:val="222222"/>
          <w:sz w:val="24"/>
          <w:szCs w:val="24"/>
        </w:rPr>
        <w:t xml:space="preserve">centred dementia care and job satisfaction of care staff’, </w:t>
      </w:r>
      <w:r w:rsidRPr="32853F47">
        <w:rPr>
          <w:rFonts w:ascii="Arial" w:eastAsia="Arial" w:hAnsi="Arial" w:cs="Arial"/>
          <w:i/>
          <w:iCs/>
          <w:color w:val="222222"/>
          <w:sz w:val="24"/>
          <w:szCs w:val="24"/>
        </w:rPr>
        <w:t>International journal of older people nursing</w:t>
      </w:r>
      <w:r w:rsidRPr="32853F47">
        <w:rPr>
          <w:rFonts w:ascii="Arial" w:eastAsia="Arial" w:hAnsi="Arial" w:cs="Arial"/>
          <w:color w:val="222222"/>
          <w:sz w:val="24"/>
          <w:szCs w:val="24"/>
        </w:rPr>
        <w:t>, 12(2), p.e12139.</w:t>
      </w:r>
      <w:proofErr w:type="gramEnd"/>
      <w:r w:rsidRPr="32853F47">
        <w:rPr>
          <w:rFonts w:ascii="Arial" w:eastAsia="Arial" w:hAnsi="Arial" w:cs="Arial"/>
          <w:sz w:val="24"/>
          <w:szCs w:val="24"/>
        </w:rPr>
        <w:t xml:space="preserve"> Available at: </w:t>
      </w:r>
      <w:hyperlink r:id="rId17">
        <w:r w:rsidRPr="32853F47">
          <w:rPr>
            <w:rStyle w:val="Hyperlink"/>
            <w:rFonts w:ascii="Arial" w:eastAsia="Arial" w:hAnsi="Arial" w:cs="Arial"/>
            <w:sz w:val="24"/>
            <w:szCs w:val="24"/>
          </w:rPr>
          <w:t>https://pubmed.ncbi.nlm.nih.gov/27868356/</w:t>
        </w:r>
      </w:hyperlink>
      <w:r w:rsidRPr="32853F47">
        <w:rPr>
          <w:rFonts w:ascii="Arial" w:eastAsia="Arial" w:hAnsi="Arial" w:cs="Arial"/>
          <w:color w:val="222222"/>
          <w:sz w:val="24"/>
          <w:szCs w:val="24"/>
        </w:rPr>
        <w:t xml:space="preserve"> (Accessed: 2 September 2021).</w:t>
      </w:r>
    </w:p>
    <w:p w:rsidR="32853F47" w:rsidRDefault="32853F47" w:rsidP="32853F47">
      <w:pPr>
        <w:spacing w:line="360" w:lineRule="auto"/>
        <w:ind w:left="720" w:hanging="720"/>
        <w:rPr>
          <w:rFonts w:ascii="Arial" w:eastAsia="Arial" w:hAnsi="Arial" w:cs="Arial"/>
          <w:color w:val="222222"/>
          <w:sz w:val="24"/>
          <w:szCs w:val="24"/>
        </w:rPr>
      </w:pPr>
    </w:p>
    <w:p w:rsidR="736CACE4" w:rsidRDefault="736CACE4" w:rsidP="32853F47">
      <w:pPr>
        <w:spacing w:line="360" w:lineRule="auto"/>
        <w:rPr>
          <w:rFonts w:ascii="Arial" w:eastAsia="Arial" w:hAnsi="Arial" w:cs="Arial"/>
        </w:rPr>
      </w:pPr>
      <w:r w:rsidRPr="32853F47">
        <w:rPr>
          <w:rFonts w:ascii="Arial" w:eastAsia="Arial" w:hAnsi="Arial" w:cs="Arial"/>
          <w:color w:val="222222"/>
          <w:sz w:val="24"/>
          <w:szCs w:val="24"/>
        </w:rPr>
        <w:t xml:space="preserve">Sampson, E.L </w:t>
      </w:r>
      <w:r w:rsidRPr="32853F47">
        <w:rPr>
          <w:rFonts w:ascii="Arial" w:eastAsia="Arial" w:hAnsi="Arial" w:cs="Arial"/>
          <w:i/>
          <w:iCs/>
          <w:color w:val="222222"/>
          <w:sz w:val="24"/>
          <w:szCs w:val="24"/>
        </w:rPr>
        <w:t>et al</w:t>
      </w:r>
      <w:r w:rsidRPr="32853F47">
        <w:rPr>
          <w:rFonts w:ascii="Arial" w:eastAsia="Arial" w:hAnsi="Arial" w:cs="Arial"/>
          <w:color w:val="222222"/>
          <w:sz w:val="24"/>
          <w:szCs w:val="24"/>
        </w:rPr>
        <w:t xml:space="preserve">. (2020) ‘Empowering Better End‐of‐Life Dementia Care (EMBED‐Care): A mixed methods protocol to achieve integrated person‐centred </w:t>
      </w:r>
      <w:r w:rsidRPr="32853F47">
        <w:rPr>
          <w:rFonts w:ascii="Arial" w:eastAsia="Arial" w:hAnsi="Arial" w:cs="Arial"/>
          <w:color w:val="222222"/>
          <w:sz w:val="24"/>
          <w:szCs w:val="24"/>
        </w:rPr>
        <w:lastRenderedPageBreak/>
        <w:t xml:space="preserve">care across settings’, </w:t>
      </w:r>
      <w:r w:rsidRPr="32853F47">
        <w:rPr>
          <w:rFonts w:ascii="Arial" w:eastAsia="Arial" w:hAnsi="Arial" w:cs="Arial"/>
          <w:i/>
          <w:iCs/>
          <w:color w:val="222222"/>
          <w:sz w:val="24"/>
          <w:szCs w:val="24"/>
        </w:rPr>
        <w:t>Inte</w:t>
      </w:r>
      <w:r w:rsidR="5F081A23" w:rsidRPr="32853F47">
        <w:rPr>
          <w:rFonts w:ascii="Arial" w:eastAsia="Arial" w:hAnsi="Arial" w:cs="Arial"/>
          <w:i/>
          <w:iCs/>
          <w:color w:val="222222"/>
          <w:sz w:val="24"/>
          <w:szCs w:val="24"/>
        </w:rPr>
        <w:t xml:space="preserve">rnational Journal of </w:t>
      </w:r>
      <w:r w:rsidR="3878287A" w:rsidRPr="32853F47">
        <w:rPr>
          <w:rFonts w:ascii="Arial" w:eastAsia="Arial" w:hAnsi="Arial" w:cs="Arial"/>
          <w:i/>
          <w:iCs/>
          <w:color w:val="222222"/>
          <w:sz w:val="24"/>
          <w:szCs w:val="24"/>
        </w:rPr>
        <w:t>G</w:t>
      </w:r>
      <w:r w:rsidR="5F081A23" w:rsidRPr="32853F47">
        <w:rPr>
          <w:rFonts w:ascii="Arial" w:eastAsia="Arial" w:hAnsi="Arial" w:cs="Arial"/>
          <w:i/>
          <w:iCs/>
          <w:color w:val="222222"/>
          <w:sz w:val="24"/>
          <w:szCs w:val="24"/>
        </w:rPr>
        <w:t>eriatric P</w:t>
      </w:r>
      <w:r w:rsidR="2D989D15" w:rsidRPr="32853F47">
        <w:rPr>
          <w:rFonts w:ascii="Arial" w:eastAsia="Arial" w:hAnsi="Arial" w:cs="Arial"/>
          <w:i/>
          <w:iCs/>
          <w:color w:val="222222"/>
          <w:sz w:val="24"/>
          <w:szCs w:val="24"/>
        </w:rPr>
        <w:t>sychi</w:t>
      </w:r>
      <w:r w:rsidR="0FA0B0E3" w:rsidRPr="32853F47">
        <w:rPr>
          <w:rFonts w:ascii="Arial" w:eastAsia="Arial" w:hAnsi="Arial" w:cs="Arial"/>
          <w:i/>
          <w:iCs/>
          <w:color w:val="222222"/>
          <w:sz w:val="24"/>
          <w:szCs w:val="24"/>
        </w:rPr>
        <w:t>atry</w:t>
      </w:r>
      <w:r w:rsidR="1E313177" w:rsidRPr="32853F47">
        <w:rPr>
          <w:rFonts w:ascii="Arial" w:eastAsia="Arial" w:hAnsi="Arial" w:cs="Arial"/>
          <w:i/>
          <w:iCs/>
          <w:color w:val="222222"/>
          <w:sz w:val="24"/>
          <w:szCs w:val="24"/>
        </w:rPr>
        <w:t xml:space="preserve">, </w:t>
      </w:r>
      <w:r w:rsidR="1E313177" w:rsidRPr="32853F47">
        <w:rPr>
          <w:rFonts w:ascii="Arial" w:eastAsia="Arial" w:hAnsi="Arial" w:cs="Arial"/>
          <w:color w:val="222222"/>
          <w:sz w:val="24"/>
          <w:szCs w:val="24"/>
        </w:rPr>
        <w:t>35(8), pp. 820-832</w:t>
      </w:r>
      <w:r w:rsidR="1E313177" w:rsidRPr="32853F47">
        <w:rPr>
          <w:rFonts w:ascii="Arial" w:eastAsia="Arial" w:hAnsi="Arial" w:cs="Arial"/>
          <w:i/>
          <w:iCs/>
          <w:color w:val="222222"/>
          <w:sz w:val="24"/>
          <w:szCs w:val="24"/>
        </w:rPr>
        <w:t>.</w:t>
      </w:r>
      <w:r w:rsidR="0FA0B0E3" w:rsidRPr="32853F47">
        <w:rPr>
          <w:rFonts w:ascii="Arial" w:eastAsia="Arial" w:hAnsi="Arial" w:cs="Arial"/>
          <w:i/>
          <w:iCs/>
          <w:color w:val="222222"/>
          <w:sz w:val="24"/>
          <w:szCs w:val="24"/>
        </w:rPr>
        <w:t xml:space="preserve"> </w:t>
      </w:r>
      <w:r w:rsidRPr="32853F47">
        <w:rPr>
          <w:rFonts w:ascii="Segoe UI" w:eastAsia="Segoe UI" w:hAnsi="Segoe UI" w:cs="Segoe UI"/>
          <w:color w:val="212121"/>
          <w:sz w:val="24"/>
          <w:szCs w:val="24"/>
        </w:rPr>
        <w:t>DOI:</w:t>
      </w:r>
      <w:r w:rsidRPr="32853F47">
        <w:rPr>
          <w:rFonts w:ascii="Arial" w:eastAsia="Arial" w:hAnsi="Arial" w:cs="Arial"/>
          <w:color w:val="212121"/>
          <w:sz w:val="24"/>
          <w:szCs w:val="24"/>
        </w:rPr>
        <w:t xml:space="preserve"> </w:t>
      </w:r>
      <w:hyperlink r:id="rId18">
        <w:r w:rsidRPr="32853F47">
          <w:rPr>
            <w:rStyle w:val="Hyperlink"/>
            <w:rFonts w:ascii="Arial" w:eastAsia="Arial" w:hAnsi="Arial" w:cs="Arial"/>
            <w:sz w:val="24"/>
            <w:szCs w:val="24"/>
          </w:rPr>
          <w:t>10.1002/gps.5251</w:t>
        </w:r>
        <w:r w:rsidR="7C890965" w:rsidRPr="32853F47">
          <w:rPr>
            <w:rStyle w:val="Hyperlink"/>
            <w:rFonts w:ascii="Arial" w:eastAsia="Arial" w:hAnsi="Arial" w:cs="Arial"/>
            <w:sz w:val="24"/>
            <w:szCs w:val="24"/>
          </w:rPr>
          <w:t>.</w:t>
        </w:r>
      </w:hyperlink>
    </w:p>
    <w:p w:rsidR="32853F47" w:rsidRDefault="32853F47" w:rsidP="32853F47">
      <w:pPr>
        <w:spacing w:line="360" w:lineRule="auto"/>
        <w:rPr>
          <w:rFonts w:ascii="Arial" w:eastAsia="Arial" w:hAnsi="Arial" w:cs="Arial"/>
          <w:sz w:val="24"/>
          <w:szCs w:val="24"/>
        </w:rPr>
      </w:pPr>
    </w:p>
    <w:p w:rsidR="1CC86545" w:rsidRDefault="1CC86545" w:rsidP="32853F47">
      <w:pPr>
        <w:spacing w:line="360" w:lineRule="auto"/>
      </w:pPr>
      <w:r w:rsidRPr="32853F47">
        <w:rPr>
          <w:rFonts w:ascii="Arial" w:eastAsia="Arial" w:hAnsi="Arial" w:cs="Arial"/>
          <w:color w:val="222222"/>
          <w:sz w:val="24"/>
          <w:szCs w:val="24"/>
        </w:rPr>
        <w:t xml:space="preserve">Santana, M.J. </w:t>
      </w:r>
      <w:r w:rsidRPr="32853F47">
        <w:rPr>
          <w:rFonts w:ascii="Arial" w:eastAsia="Arial" w:hAnsi="Arial" w:cs="Arial"/>
          <w:i/>
          <w:iCs/>
          <w:color w:val="222222"/>
          <w:sz w:val="24"/>
          <w:szCs w:val="24"/>
        </w:rPr>
        <w:t xml:space="preserve">et al. </w:t>
      </w:r>
      <w:r w:rsidRPr="32853F47">
        <w:rPr>
          <w:rFonts w:ascii="Arial" w:eastAsia="Arial" w:hAnsi="Arial" w:cs="Arial"/>
          <w:color w:val="222222"/>
          <w:sz w:val="24"/>
          <w:szCs w:val="24"/>
        </w:rPr>
        <w:t xml:space="preserve">(2018) ‘How to practice person‐centred care: A conceptual framework’. </w:t>
      </w:r>
      <w:proofErr w:type="gramStart"/>
      <w:r w:rsidRPr="32853F47">
        <w:rPr>
          <w:rFonts w:ascii="Arial" w:eastAsia="Arial" w:hAnsi="Arial" w:cs="Arial"/>
          <w:i/>
          <w:iCs/>
          <w:color w:val="222222"/>
          <w:sz w:val="24"/>
          <w:szCs w:val="24"/>
        </w:rPr>
        <w:t>Health Expectations</w:t>
      </w:r>
      <w:r w:rsidRPr="32853F47">
        <w:rPr>
          <w:rFonts w:ascii="Arial" w:eastAsia="Arial" w:hAnsi="Arial" w:cs="Arial"/>
          <w:color w:val="222222"/>
          <w:sz w:val="24"/>
          <w:szCs w:val="24"/>
        </w:rPr>
        <w:t>, 21(2), pp.429-440.</w:t>
      </w:r>
      <w:proofErr w:type="gramEnd"/>
      <w:r w:rsidRPr="32853F47">
        <w:rPr>
          <w:rFonts w:ascii="Arial" w:eastAsia="Arial" w:hAnsi="Arial" w:cs="Arial"/>
          <w:color w:val="222222"/>
          <w:sz w:val="24"/>
          <w:szCs w:val="24"/>
        </w:rPr>
        <w:t xml:space="preserve"> </w:t>
      </w:r>
      <w:r w:rsidRPr="32853F47">
        <w:rPr>
          <w:rFonts w:ascii="Segoe UI" w:eastAsia="Segoe UI" w:hAnsi="Segoe UI" w:cs="Segoe UI"/>
          <w:color w:val="212121"/>
          <w:sz w:val="24"/>
          <w:szCs w:val="24"/>
        </w:rPr>
        <w:t xml:space="preserve">DOI: </w:t>
      </w:r>
      <w:hyperlink r:id="rId19">
        <w:r w:rsidRPr="32853F47">
          <w:rPr>
            <w:rStyle w:val="Hyperlink"/>
            <w:rFonts w:ascii="Segoe UI" w:eastAsia="Segoe UI" w:hAnsi="Segoe UI" w:cs="Segoe UI"/>
            <w:sz w:val="24"/>
            <w:szCs w:val="24"/>
          </w:rPr>
          <w:t>10.1111/hex.12640</w:t>
        </w:r>
        <w:r w:rsidR="07FA1B5E" w:rsidRPr="32853F47">
          <w:rPr>
            <w:rStyle w:val="Hyperlink"/>
            <w:rFonts w:ascii="Segoe UI" w:eastAsia="Segoe UI" w:hAnsi="Segoe UI" w:cs="Segoe UI"/>
            <w:sz w:val="24"/>
            <w:szCs w:val="24"/>
          </w:rPr>
          <w:t>.</w:t>
        </w:r>
      </w:hyperlink>
    </w:p>
    <w:p w:rsidR="32853F47" w:rsidRDefault="32853F47" w:rsidP="32853F47">
      <w:pPr>
        <w:spacing w:line="360" w:lineRule="auto"/>
        <w:rPr>
          <w:rFonts w:ascii="Segoe UI" w:eastAsia="Segoe UI" w:hAnsi="Segoe UI" w:cs="Segoe UI"/>
          <w:sz w:val="24"/>
          <w:szCs w:val="24"/>
        </w:rPr>
      </w:pPr>
    </w:p>
    <w:p w:rsidR="07FA1B5E" w:rsidRDefault="07FA1B5E" w:rsidP="32853F47">
      <w:pPr>
        <w:spacing w:line="360" w:lineRule="auto"/>
        <w:ind w:left="720" w:hanging="720"/>
      </w:pPr>
      <w:proofErr w:type="spellStart"/>
      <w:proofErr w:type="gramStart"/>
      <w:r w:rsidRPr="32853F47">
        <w:rPr>
          <w:rFonts w:ascii="Arial" w:eastAsia="Arial" w:hAnsi="Arial" w:cs="Arial"/>
          <w:color w:val="222222"/>
          <w:sz w:val="24"/>
          <w:szCs w:val="24"/>
        </w:rPr>
        <w:t>Shanmugapriya</w:t>
      </w:r>
      <w:proofErr w:type="spellEnd"/>
      <w:r w:rsidRPr="32853F47">
        <w:rPr>
          <w:rFonts w:ascii="Arial" w:eastAsia="Arial" w:hAnsi="Arial" w:cs="Arial"/>
          <w:color w:val="222222"/>
          <w:sz w:val="24"/>
          <w:szCs w:val="24"/>
        </w:rPr>
        <w:t>, J. (2021) ‘Existential, Relatedness, Growth (ERG) needs’ dimensions of medical students for rural posting–An analytical study’.</w:t>
      </w:r>
      <w:proofErr w:type="gramEnd"/>
      <w:r w:rsidRPr="32853F47">
        <w:rPr>
          <w:rFonts w:ascii="Arial" w:eastAsia="Arial" w:hAnsi="Arial" w:cs="Arial"/>
          <w:color w:val="222222"/>
          <w:sz w:val="24"/>
          <w:szCs w:val="24"/>
        </w:rPr>
        <w:t xml:space="preserve"> </w:t>
      </w:r>
      <w:proofErr w:type="gramStart"/>
      <w:r w:rsidRPr="32853F47">
        <w:rPr>
          <w:rFonts w:ascii="Arial" w:eastAsia="Arial" w:hAnsi="Arial" w:cs="Arial"/>
          <w:i/>
          <w:iCs/>
          <w:color w:val="222222"/>
          <w:sz w:val="24"/>
          <w:szCs w:val="24"/>
        </w:rPr>
        <w:t>Turkish Journal of Computer and Mathematics Education (TURCOMAT)</w:t>
      </w:r>
      <w:r w:rsidRPr="32853F47">
        <w:rPr>
          <w:rFonts w:ascii="Arial" w:eastAsia="Arial" w:hAnsi="Arial" w:cs="Arial"/>
          <w:color w:val="222222"/>
          <w:sz w:val="24"/>
          <w:szCs w:val="24"/>
        </w:rPr>
        <w:t>, 12(3), pp.3310-3317.</w:t>
      </w:r>
      <w:proofErr w:type="gramEnd"/>
      <w:r w:rsidRPr="32853F47">
        <w:rPr>
          <w:rFonts w:ascii="Arial" w:eastAsia="Arial" w:hAnsi="Arial" w:cs="Arial"/>
          <w:color w:val="222222"/>
          <w:sz w:val="24"/>
          <w:szCs w:val="24"/>
        </w:rPr>
        <w:t xml:space="preserve"> </w:t>
      </w:r>
      <w:r w:rsidRPr="32853F47">
        <w:rPr>
          <w:rFonts w:ascii="Arial" w:eastAsia="Arial" w:hAnsi="Arial" w:cs="Arial"/>
          <w:color w:val="555555"/>
          <w:sz w:val="24"/>
          <w:szCs w:val="24"/>
        </w:rPr>
        <w:t>DOI</w:t>
      </w:r>
      <w:proofErr w:type="gramStart"/>
      <w:r w:rsidRPr="32853F47">
        <w:rPr>
          <w:rFonts w:ascii="Arial" w:eastAsia="Arial" w:hAnsi="Arial" w:cs="Arial"/>
          <w:color w:val="555555"/>
          <w:sz w:val="24"/>
          <w:szCs w:val="24"/>
        </w:rPr>
        <w:t>:</w:t>
      </w:r>
      <w:proofErr w:type="gramEnd"/>
      <w:r w:rsidR="0051252A">
        <w:fldChar w:fldCharType="begin"/>
      </w:r>
      <w:r w:rsidR="0051252A">
        <w:instrText>HYPERLINK "http://dx.doi.org/10.17762/turcomat.v12i3.1585" \h</w:instrText>
      </w:r>
      <w:r w:rsidR="0051252A">
        <w:fldChar w:fldCharType="separate"/>
      </w:r>
      <w:r w:rsidRPr="32853F47">
        <w:rPr>
          <w:rStyle w:val="Hyperlink"/>
          <w:rFonts w:ascii="Arial" w:eastAsia="Arial" w:hAnsi="Arial" w:cs="Arial"/>
          <w:sz w:val="24"/>
          <w:szCs w:val="24"/>
        </w:rPr>
        <w:t>10.17762/turcomat.v12i3.1585</w:t>
      </w:r>
      <w:r w:rsidR="0051252A">
        <w:fldChar w:fldCharType="end"/>
      </w:r>
    </w:p>
    <w:p w:rsidR="32853F47" w:rsidRDefault="32853F47" w:rsidP="32853F47">
      <w:pPr>
        <w:spacing w:line="360" w:lineRule="auto"/>
        <w:ind w:left="720" w:hanging="720"/>
        <w:rPr>
          <w:rFonts w:ascii="Arial" w:eastAsia="Arial" w:hAnsi="Arial" w:cs="Arial"/>
          <w:sz w:val="24"/>
          <w:szCs w:val="24"/>
        </w:rPr>
      </w:pPr>
    </w:p>
    <w:p w:rsidR="5C8027D9" w:rsidRDefault="5C8027D9" w:rsidP="32853F47">
      <w:pPr>
        <w:spacing w:line="360" w:lineRule="auto"/>
      </w:pPr>
      <w:proofErr w:type="gramStart"/>
      <w:r w:rsidRPr="32853F47">
        <w:rPr>
          <w:rFonts w:ascii="Arial" w:eastAsia="Arial" w:hAnsi="Arial" w:cs="Arial"/>
          <w:color w:val="222222"/>
          <w:sz w:val="24"/>
          <w:szCs w:val="24"/>
        </w:rPr>
        <w:t>Ștefan, S.C., Popa, Ș.C. and Florentina, A.C. (2020) ‘Implications of Maslow’s hierarchy of needs theory on healthcare employees’ performance’.</w:t>
      </w:r>
      <w:proofErr w:type="gramEnd"/>
      <w:r w:rsidRPr="32853F47">
        <w:rPr>
          <w:rFonts w:ascii="Arial" w:eastAsia="Arial" w:hAnsi="Arial" w:cs="Arial"/>
          <w:color w:val="222222"/>
          <w:sz w:val="24"/>
          <w:szCs w:val="24"/>
        </w:rPr>
        <w:t xml:space="preserve"> </w:t>
      </w:r>
      <w:proofErr w:type="gramStart"/>
      <w:r w:rsidRPr="32853F47">
        <w:rPr>
          <w:rFonts w:ascii="Arial" w:eastAsia="Arial" w:hAnsi="Arial" w:cs="Arial"/>
          <w:i/>
          <w:iCs/>
          <w:color w:val="222222"/>
          <w:sz w:val="24"/>
          <w:szCs w:val="24"/>
        </w:rPr>
        <w:t>Transylvanian Review of Administrative Sciences</w:t>
      </w:r>
      <w:r w:rsidRPr="32853F47">
        <w:rPr>
          <w:rFonts w:ascii="Arial" w:eastAsia="Arial" w:hAnsi="Arial" w:cs="Arial"/>
          <w:color w:val="222222"/>
          <w:sz w:val="24"/>
          <w:szCs w:val="24"/>
        </w:rPr>
        <w:t>, 16(59), pp.124-143.</w:t>
      </w:r>
      <w:proofErr w:type="gramEnd"/>
      <w:r w:rsidRPr="32853F47">
        <w:rPr>
          <w:rFonts w:ascii="Arial" w:eastAsia="Arial" w:hAnsi="Arial" w:cs="Arial"/>
          <w:color w:val="222222"/>
          <w:sz w:val="24"/>
          <w:szCs w:val="24"/>
        </w:rPr>
        <w:t xml:space="preserve"> </w:t>
      </w:r>
      <w:r w:rsidRPr="32853F47">
        <w:rPr>
          <w:rFonts w:ascii="Arial" w:eastAsia="Arial" w:hAnsi="Arial" w:cs="Arial"/>
          <w:color w:val="555555"/>
          <w:sz w:val="24"/>
          <w:szCs w:val="24"/>
        </w:rPr>
        <w:t>DOI</w:t>
      </w:r>
      <w:proofErr w:type="gramStart"/>
      <w:r w:rsidRPr="32853F47">
        <w:rPr>
          <w:rFonts w:ascii="Arial" w:eastAsia="Arial" w:hAnsi="Arial" w:cs="Arial"/>
          <w:color w:val="555555"/>
          <w:sz w:val="24"/>
          <w:szCs w:val="24"/>
        </w:rPr>
        <w:t>:</w:t>
      </w:r>
      <w:proofErr w:type="gramEnd"/>
      <w:hyperlink r:id="rId20">
        <w:r w:rsidRPr="32853F47">
          <w:rPr>
            <w:rStyle w:val="Hyperlink"/>
            <w:rFonts w:ascii="Arial" w:eastAsia="Arial" w:hAnsi="Arial" w:cs="Arial"/>
            <w:sz w:val="24"/>
            <w:szCs w:val="24"/>
          </w:rPr>
          <w:t>10.24193/tras.59E.7</w:t>
        </w:r>
      </w:hyperlink>
    </w:p>
    <w:p w:rsidR="32853F47" w:rsidRDefault="32853F47" w:rsidP="32853F47">
      <w:pPr>
        <w:spacing w:line="360" w:lineRule="auto"/>
        <w:rPr>
          <w:rFonts w:ascii="Arial" w:eastAsia="Arial" w:hAnsi="Arial" w:cs="Arial"/>
          <w:sz w:val="24"/>
          <w:szCs w:val="24"/>
        </w:rPr>
      </w:pPr>
    </w:p>
    <w:p w:rsidR="69C6D207" w:rsidRDefault="69C6D207" w:rsidP="32853F47">
      <w:pPr>
        <w:spacing w:line="360" w:lineRule="auto"/>
        <w:ind w:left="720" w:hanging="720"/>
        <w:rPr>
          <w:rFonts w:ascii="Arial" w:eastAsia="Arial" w:hAnsi="Arial" w:cs="Arial"/>
          <w:color w:val="222222"/>
          <w:sz w:val="24"/>
          <w:szCs w:val="24"/>
        </w:rPr>
      </w:pPr>
      <w:proofErr w:type="spellStart"/>
      <w:r w:rsidRPr="32853F47">
        <w:rPr>
          <w:rFonts w:ascii="Arial" w:eastAsia="Arial" w:hAnsi="Arial" w:cs="Arial"/>
          <w:color w:val="222222"/>
          <w:sz w:val="24"/>
          <w:szCs w:val="24"/>
        </w:rPr>
        <w:t>Tomaselli</w:t>
      </w:r>
      <w:proofErr w:type="spellEnd"/>
      <w:r w:rsidRPr="32853F47">
        <w:rPr>
          <w:rFonts w:ascii="Arial" w:eastAsia="Arial" w:hAnsi="Arial" w:cs="Arial"/>
          <w:color w:val="222222"/>
          <w:sz w:val="24"/>
          <w:szCs w:val="24"/>
        </w:rPr>
        <w:t xml:space="preserve">, G. </w:t>
      </w:r>
      <w:r w:rsidRPr="32853F47">
        <w:rPr>
          <w:rFonts w:ascii="Arial" w:eastAsia="Arial" w:hAnsi="Arial" w:cs="Arial"/>
          <w:i/>
          <w:iCs/>
          <w:color w:val="222222"/>
          <w:sz w:val="24"/>
          <w:szCs w:val="24"/>
        </w:rPr>
        <w:t>et al</w:t>
      </w:r>
      <w:r w:rsidRPr="32853F47">
        <w:rPr>
          <w:rFonts w:ascii="Arial" w:eastAsia="Arial" w:hAnsi="Arial" w:cs="Arial"/>
          <w:color w:val="222222"/>
          <w:sz w:val="24"/>
          <w:szCs w:val="24"/>
        </w:rPr>
        <w:t>. (2020) ‘Person-</w:t>
      </w:r>
      <w:proofErr w:type="spellStart"/>
      <w:r w:rsidRPr="32853F47">
        <w:rPr>
          <w:rFonts w:ascii="Arial" w:eastAsia="Arial" w:hAnsi="Arial" w:cs="Arial"/>
          <w:color w:val="222222"/>
          <w:sz w:val="24"/>
          <w:szCs w:val="24"/>
        </w:rPr>
        <w:t>Centered</w:t>
      </w:r>
      <w:proofErr w:type="spellEnd"/>
      <w:r w:rsidRPr="32853F47">
        <w:rPr>
          <w:rFonts w:ascii="Arial" w:eastAsia="Arial" w:hAnsi="Arial" w:cs="Arial"/>
          <w:color w:val="222222"/>
          <w:sz w:val="24"/>
          <w:szCs w:val="24"/>
        </w:rPr>
        <w:t xml:space="preserve"> Care from a Relational Ethics Perspective for the Delivery of High Quality and Safe Healthcare: A Scoping Review’, </w:t>
      </w:r>
      <w:r w:rsidRPr="32853F47">
        <w:rPr>
          <w:rFonts w:ascii="Arial" w:eastAsia="Arial" w:hAnsi="Arial" w:cs="Arial"/>
          <w:i/>
          <w:iCs/>
          <w:color w:val="222222"/>
          <w:sz w:val="24"/>
          <w:szCs w:val="24"/>
        </w:rPr>
        <w:t>Frontiers in public health</w:t>
      </w:r>
      <w:r w:rsidRPr="32853F47">
        <w:rPr>
          <w:rFonts w:ascii="Arial" w:eastAsia="Arial" w:hAnsi="Arial" w:cs="Arial"/>
          <w:color w:val="222222"/>
          <w:sz w:val="24"/>
          <w:szCs w:val="24"/>
        </w:rPr>
        <w:t xml:space="preserve">, 8, p.44. Available at: </w:t>
      </w:r>
      <w:hyperlink r:id="rId21">
        <w:r w:rsidRPr="32853F47">
          <w:rPr>
            <w:rStyle w:val="Hyperlink"/>
            <w:rFonts w:ascii="Arial" w:eastAsia="Arial" w:hAnsi="Arial" w:cs="Arial"/>
            <w:sz w:val="24"/>
            <w:szCs w:val="24"/>
          </w:rPr>
          <w:t>https://www.frontiersin.org/articles/10.3389/fpubh.2020.00044/full</w:t>
        </w:r>
      </w:hyperlink>
      <w:r w:rsidRPr="32853F47">
        <w:rPr>
          <w:rFonts w:ascii="Arial" w:eastAsia="Arial" w:hAnsi="Arial" w:cs="Arial"/>
          <w:color w:val="222222"/>
          <w:sz w:val="24"/>
          <w:szCs w:val="24"/>
        </w:rPr>
        <w:t xml:space="preserve"> (Accessed: 3 September 2021).</w:t>
      </w:r>
    </w:p>
    <w:p w:rsidR="08443F31" w:rsidRDefault="08443F31" w:rsidP="32853F47">
      <w:pPr>
        <w:spacing w:line="360" w:lineRule="auto"/>
        <w:ind w:left="720" w:hanging="720"/>
      </w:pPr>
      <w:r w:rsidRPr="32853F47">
        <w:rPr>
          <w:rFonts w:ascii="Arial" w:eastAsia="Arial" w:hAnsi="Arial" w:cs="Arial"/>
          <w:color w:val="222222"/>
          <w:sz w:val="24"/>
          <w:szCs w:val="24"/>
        </w:rPr>
        <w:t xml:space="preserve">Woodland, S., </w:t>
      </w:r>
      <w:proofErr w:type="spellStart"/>
      <w:r w:rsidRPr="32853F47">
        <w:rPr>
          <w:rFonts w:ascii="Arial" w:eastAsia="Arial" w:hAnsi="Arial" w:cs="Arial"/>
          <w:color w:val="222222"/>
          <w:sz w:val="24"/>
          <w:szCs w:val="24"/>
        </w:rPr>
        <w:t>Kahler</w:t>
      </w:r>
      <w:proofErr w:type="spellEnd"/>
      <w:r w:rsidRPr="32853F47">
        <w:rPr>
          <w:rFonts w:ascii="Arial" w:eastAsia="Arial" w:hAnsi="Arial" w:cs="Arial"/>
          <w:color w:val="222222"/>
          <w:sz w:val="24"/>
          <w:szCs w:val="24"/>
        </w:rPr>
        <w:t xml:space="preserve">, M., Blue Star, J. and Fielding, B. (2021) ‘Borrowing </w:t>
      </w:r>
      <w:proofErr w:type="spellStart"/>
      <w:r w:rsidRPr="32853F47">
        <w:rPr>
          <w:rFonts w:ascii="Arial" w:eastAsia="Arial" w:hAnsi="Arial" w:cs="Arial"/>
          <w:color w:val="222222"/>
          <w:sz w:val="24"/>
          <w:szCs w:val="24"/>
        </w:rPr>
        <w:t>Bronfenbrenner</w:t>
      </w:r>
      <w:proofErr w:type="spellEnd"/>
      <w:r w:rsidRPr="32853F47">
        <w:rPr>
          <w:rFonts w:ascii="Arial" w:eastAsia="Arial" w:hAnsi="Arial" w:cs="Arial"/>
          <w:color w:val="222222"/>
          <w:sz w:val="24"/>
          <w:szCs w:val="24"/>
        </w:rPr>
        <w:t xml:space="preserve">: An Argument for Increasing the Intersection of Diverse Theoretical and Applied Models’, </w:t>
      </w:r>
      <w:r w:rsidRPr="32853F47">
        <w:rPr>
          <w:rFonts w:ascii="Arial" w:eastAsia="Arial" w:hAnsi="Arial" w:cs="Arial"/>
          <w:i/>
          <w:iCs/>
          <w:color w:val="222222"/>
          <w:sz w:val="24"/>
          <w:szCs w:val="24"/>
        </w:rPr>
        <w:t>Child Care in Practice, pp.1-15.</w:t>
      </w:r>
      <w:r w:rsidRPr="32853F47">
        <w:rPr>
          <w:rFonts w:ascii="Arial" w:eastAsia="Arial" w:hAnsi="Arial" w:cs="Arial"/>
          <w:i/>
          <w:iCs/>
          <w:sz w:val="24"/>
          <w:szCs w:val="24"/>
        </w:rPr>
        <w:t xml:space="preserve"> </w:t>
      </w:r>
      <w:r w:rsidRPr="32853F47">
        <w:rPr>
          <w:rFonts w:ascii="Arial" w:eastAsia="Arial" w:hAnsi="Arial" w:cs="Arial"/>
          <w:sz w:val="24"/>
          <w:szCs w:val="24"/>
        </w:rPr>
        <w:t xml:space="preserve">Available at: </w:t>
      </w:r>
      <w:hyperlink r:id="rId22">
        <w:r w:rsidRPr="32853F47">
          <w:rPr>
            <w:rStyle w:val="Hyperlink"/>
            <w:rFonts w:ascii="Arial" w:eastAsia="Arial" w:hAnsi="Arial" w:cs="Arial"/>
            <w:sz w:val="24"/>
            <w:szCs w:val="24"/>
          </w:rPr>
          <w:t>https://doi.org/10.1080/13575279.2021.1924120</w:t>
        </w:r>
      </w:hyperlink>
      <w:r w:rsidRPr="32853F47">
        <w:rPr>
          <w:rFonts w:ascii="Arial" w:eastAsia="Arial" w:hAnsi="Arial" w:cs="Arial"/>
          <w:color w:val="333333"/>
          <w:sz w:val="24"/>
          <w:szCs w:val="24"/>
        </w:rPr>
        <w:t xml:space="preserve"> (Accessed: 03 September 2021).</w:t>
      </w:r>
    </w:p>
    <w:p w:rsidR="32853F47" w:rsidRDefault="32853F47" w:rsidP="32853F47">
      <w:pPr>
        <w:spacing w:line="360" w:lineRule="auto"/>
        <w:ind w:left="720" w:hanging="720"/>
        <w:rPr>
          <w:rFonts w:ascii="Arial" w:eastAsia="Arial" w:hAnsi="Arial" w:cs="Arial"/>
          <w:color w:val="222222"/>
          <w:sz w:val="24"/>
          <w:szCs w:val="24"/>
        </w:rPr>
      </w:pPr>
    </w:p>
    <w:p w:rsidR="32853F47" w:rsidRDefault="32853F47" w:rsidP="32853F47">
      <w:pPr>
        <w:spacing w:line="360" w:lineRule="auto"/>
        <w:rPr>
          <w:rFonts w:ascii="Arial" w:eastAsia="Arial" w:hAnsi="Arial" w:cs="Arial"/>
          <w:sz w:val="24"/>
          <w:szCs w:val="24"/>
        </w:rPr>
      </w:pPr>
    </w:p>
    <w:p w:rsidR="32853F47" w:rsidRDefault="32853F47" w:rsidP="32853F47">
      <w:pPr>
        <w:spacing w:line="360" w:lineRule="auto"/>
        <w:rPr>
          <w:rFonts w:ascii="Arial" w:eastAsia="Arial" w:hAnsi="Arial" w:cs="Arial"/>
          <w:sz w:val="24"/>
          <w:szCs w:val="24"/>
        </w:rPr>
      </w:pPr>
    </w:p>
    <w:p w:rsidR="32853F47" w:rsidRDefault="32853F47" w:rsidP="32853F47">
      <w:pPr>
        <w:spacing w:line="360" w:lineRule="auto"/>
        <w:rPr>
          <w:rFonts w:ascii="Arial" w:eastAsia="Arial" w:hAnsi="Arial" w:cs="Arial"/>
          <w:sz w:val="24"/>
          <w:szCs w:val="24"/>
        </w:rPr>
      </w:pPr>
    </w:p>
    <w:p w:rsidR="32853F47" w:rsidRDefault="32853F47" w:rsidP="32853F47">
      <w:pPr>
        <w:spacing w:line="360" w:lineRule="auto"/>
        <w:rPr>
          <w:rFonts w:ascii="Segoe UI" w:eastAsia="Segoe UI" w:hAnsi="Segoe UI" w:cs="Segoe UI"/>
          <w:sz w:val="24"/>
          <w:szCs w:val="24"/>
        </w:rPr>
      </w:pPr>
    </w:p>
    <w:p w:rsidR="32853F47" w:rsidRDefault="32853F47" w:rsidP="32853F47">
      <w:pPr>
        <w:spacing w:line="360" w:lineRule="auto"/>
        <w:rPr>
          <w:rFonts w:ascii="Segoe UI" w:eastAsia="Segoe UI" w:hAnsi="Segoe UI" w:cs="Segoe UI"/>
          <w:sz w:val="24"/>
          <w:szCs w:val="24"/>
        </w:rPr>
      </w:pPr>
    </w:p>
    <w:p w:rsidR="32853F47" w:rsidRDefault="32853F47" w:rsidP="32853F47">
      <w:pPr>
        <w:spacing w:line="360" w:lineRule="auto"/>
        <w:ind w:left="720" w:hanging="720"/>
        <w:rPr>
          <w:rFonts w:ascii="Arial" w:eastAsia="Arial" w:hAnsi="Arial" w:cs="Arial"/>
          <w:color w:val="222222"/>
          <w:sz w:val="24"/>
          <w:szCs w:val="24"/>
        </w:rPr>
      </w:pPr>
    </w:p>
    <w:p w:rsidR="32853F47" w:rsidRDefault="32853F47" w:rsidP="32853F47">
      <w:pPr>
        <w:spacing w:line="360" w:lineRule="auto"/>
        <w:rPr>
          <w:rFonts w:ascii="Arial" w:eastAsia="Arial" w:hAnsi="Arial" w:cs="Arial"/>
          <w:sz w:val="24"/>
          <w:szCs w:val="24"/>
        </w:rPr>
      </w:pPr>
    </w:p>
    <w:p w:rsidR="32853F47" w:rsidRDefault="32853F47" w:rsidP="32853F47"/>
    <w:sectPr w:rsidR="32853F47" w:rsidSect="0051252A">
      <w:pgSz w:w="11906" w:h="16838"/>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intelligence.xml><?xml version="1.0" encoding="utf-8"?>
<int:Intelligence xmlns:int="http://schemas.microsoft.com/office/intelligence/2019/intelligence">
  <int:IntelligenceSettings/>
  <int:Manifest>
    <int:WordHash hashCode="2QXEDotLT2wjEy" id="i/hO+URP"/>
    <int:WordHash hashCode="d/CtxNYU0S5GOp" id="IMyilb2i"/>
    <int:ParagraphRange paragraphId="176716020" textId="788980399" start="439" length="6" invalidationStart="439" invalidationLength="6" id="YZoDccHc"/>
    <int:ParagraphRange paragraphId="176716020" textId="1989914385" start="439" length="6" invalidationStart="439" invalidationLength="6" id="yWIsuDA8"/>
    <int:WordHash hashCode="dILfNGrMWdGCt3" id="yaZASm+b"/>
    <int:WordHash hashCode="GBJ/gSRiauC5L0" id="jI2B+Q5l"/>
    <int:WordHash hashCode="3aKsP3YcWmO9eC" id="T0jtYVnD"/>
    <int:WordHash hashCode="5cEnj+BQkBZE21" id="1e5g8B3V"/>
    <int:WordHash hashCode="PjlxJFK2Vs+miv" id="WPqYZC1c"/>
    <int:WordHash hashCode="LlzGPjlYA5O4MY" id="+kJJ5Nap"/>
    <int:ParagraphRange paragraphId="640816481" textId="2065250775" start="461" length="6" invalidationStart="461" invalidationLength="6" id="ELTVqPQV"/>
    <int:WordHash hashCode="wauqi25WJHN/rA" id="tWrCj4s6"/>
  </int:Manifest>
  <int:Observations>
    <int:Content id="i/hO+URP">
      <int:Rejection type="LegacyProofing"/>
    </int:Content>
    <int:Content id="IMyilb2i">
      <int:Rejection type="AugLoop_Text_Critique"/>
    </int:Content>
    <int:Content id="YZoDccHc">
      <int:Rejection type="LegacyProofing"/>
    </int:Content>
    <int:Content id="yWIsuDA8">
      <int:Rejection type="LegacyProofing"/>
    </int:Content>
    <int:Content id="yaZASm+b">
      <int:Rejection type="AugLoop_Text_Critique"/>
    </int:Content>
    <int:Content id="jI2B+Q5l">
      <int:Rejection type="LegacyProofing"/>
    </int:Content>
    <int:Content id="T0jtYVnD">
      <int:Rejection type="AugLoop_Text_Critique"/>
    </int:Content>
    <int:Content id="1e5g8B3V">
      <int:Rejection type="AugLoop_Text_Critique"/>
    </int:Content>
    <int:Content id="WPqYZC1c">
      <int:Rejection type="AugLoop_Text_Critique"/>
    </int:Content>
    <int:Content id="+kJJ5Nap">
      <int:Rejection type="LegacyProofing"/>
    </int:Content>
    <int:Content id="ELTVqPQV">
      <int:Rejection type="LegacyProofing"/>
    </int:Content>
    <int:Content id="tWrCj4s6">
      <int:Rejection type="AugLoop_Text_Critique"/>
    </int:Content>
  </int:Observations>
</int:Intelligence>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561376"/>
    <w:multiLevelType w:val="hybridMultilevel"/>
    <w:tmpl w:val="9CD8A3E4"/>
    <w:lvl w:ilvl="0" w:tplc="0FAEC342">
      <w:start w:val="1"/>
      <w:numFmt w:val="bullet"/>
      <w:lvlText w:val="·"/>
      <w:lvlJc w:val="left"/>
      <w:pPr>
        <w:ind w:left="720" w:hanging="360"/>
      </w:pPr>
      <w:rPr>
        <w:rFonts w:ascii="Symbol" w:hAnsi="Symbol" w:hint="default"/>
      </w:rPr>
    </w:lvl>
    <w:lvl w:ilvl="1" w:tplc="2C90E266">
      <w:start w:val="1"/>
      <w:numFmt w:val="bullet"/>
      <w:lvlText w:val="o"/>
      <w:lvlJc w:val="left"/>
      <w:pPr>
        <w:ind w:left="1440" w:hanging="360"/>
      </w:pPr>
      <w:rPr>
        <w:rFonts w:ascii="Courier New" w:hAnsi="Courier New" w:hint="default"/>
      </w:rPr>
    </w:lvl>
    <w:lvl w:ilvl="2" w:tplc="030430AE">
      <w:start w:val="1"/>
      <w:numFmt w:val="bullet"/>
      <w:lvlText w:val=""/>
      <w:lvlJc w:val="left"/>
      <w:pPr>
        <w:ind w:left="2160" w:hanging="360"/>
      </w:pPr>
      <w:rPr>
        <w:rFonts w:ascii="Wingdings" w:hAnsi="Wingdings" w:hint="default"/>
      </w:rPr>
    </w:lvl>
    <w:lvl w:ilvl="3" w:tplc="E618C54A">
      <w:start w:val="1"/>
      <w:numFmt w:val="bullet"/>
      <w:lvlText w:val=""/>
      <w:lvlJc w:val="left"/>
      <w:pPr>
        <w:ind w:left="2880" w:hanging="360"/>
      </w:pPr>
      <w:rPr>
        <w:rFonts w:ascii="Symbol" w:hAnsi="Symbol" w:hint="default"/>
      </w:rPr>
    </w:lvl>
    <w:lvl w:ilvl="4" w:tplc="532AF766">
      <w:start w:val="1"/>
      <w:numFmt w:val="bullet"/>
      <w:lvlText w:val="o"/>
      <w:lvlJc w:val="left"/>
      <w:pPr>
        <w:ind w:left="3600" w:hanging="360"/>
      </w:pPr>
      <w:rPr>
        <w:rFonts w:ascii="Courier New" w:hAnsi="Courier New" w:hint="default"/>
      </w:rPr>
    </w:lvl>
    <w:lvl w:ilvl="5" w:tplc="A41AE600">
      <w:start w:val="1"/>
      <w:numFmt w:val="bullet"/>
      <w:lvlText w:val=""/>
      <w:lvlJc w:val="left"/>
      <w:pPr>
        <w:ind w:left="4320" w:hanging="360"/>
      </w:pPr>
      <w:rPr>
        <w:rFonts w:ascii="Wingdings" w:hAnsi="Wingdings" w:hint="default"/>
      </w:rPr>
    </w:lvl>
    <w:lvl w:ilvl="6" w:tplc="43E29578">
      <w:start w:val="1"/>
      <w:numFmt w:val="bullet"/>
      <w:lvlText w:val=""/>
      <w:lvlJc w:val="left"/>
      <w:pPr>
        <w:ind w:left="5040" w:hanging="360"/>
      </w:pPr>
      <w:rPr>
        <w:rFonts w:ascii="Symbol" w:hAnsi="Symbol" w:hint="default"/>
      </w:rPr>
    </w:lvl>
    <w:lvl w:ilvl="7" w:tplc="985ECA1E">
      <w:start w:val="1"/>
      <w:numFmt w:val="bullet"/>
      <w:lvlText w:val="o"/>
      <w:lvlJc w:val="left"/>
      <w:pPr>
        <w:ind w:left="5760" w:hanging="360"/>
      </w:pPr>
      <w:rPr>
        <w:rFonts w:ascii="Courier New" w:hAnsi="Courier New" w:hint="default"/>
      </w:rPr>
    </w:lvl>
    <w:lvl w:ilvl="8" w:tplc="9C784038">
      <w:start w:val="1"/>
      <w:numFmt w:val="bullet"/>
      <w:lvlText w:val=""/>
      <w:lvlJc w:val="left"/>
      <w:pPr>
        <w:ind w:left="6480" w:hanging="360"/>
      </w:pPr>
      <w:rPr>
        <w:rFonts w:ascii="Wingdings" w:hAnsi="Wingdings" w:hint="default"/>
      </w:rPr>
    </w:lvl>
  </w:abstractNum>
  <w:abstractNum w:abstractNumId="1">
    <w:nsid w:val="2C2A0180"/>
    <w:multiLevelType w:val="hybridMultilevel"/>
    <w:tmpl w:val="98BA979E"/>
    <w:lvl w:ilvl="0" w:tplc="368A9838">
      <w:start w:val="1"/>
      <w:numFmt w:val="bullet"/>
      <w:lvlText w:val="·"/>
      <w:lvlJc w:val="left"/>
      <w:pPr>
        <w:ind w:left="720" w:hanging="360"/>
      </w:pPr>
      <w:rPr>
        <w:rFonts w:ascii="Symbol" w:hAnsi="Symbol" w:hint="default"/>
      </w:rPr>
    </w:lvl>
    <w:lvl w:ilvl="1" w:tplc="24EE326E">
      <w:start w:val="1"/>
      <w:numFmt w:val="bullet"/>
      <w:lvlText w:val="o"/>
      <w:lvlJc w:val="left"/>
      <w:pPr>
        <w:ind w:left="1440" w:hanging="360"/>
      </w:pPr>
      <w:rPr>
        <w:rFonts w:ascii="Courier New" w:hAnsi="Courier New" w:hint="default"/>
      </w:rPr>
    </w:lvl>
    <w:lvl w:ilvl="2" w:tplc="187A7762">
      <w:start w:val="1"/>
      <w:numFmt w:val="bullet"/>
      <w:lvlText w:val=""/>
      <w:lvlJc w:val="left"/>
      <w:pPr>
        <w:ind w:left="2160" w:hanging="360"/>
      </w:pPr>
      <w:rPr>
        <w:rFonts w:ascii="Wingdings" w:hAnsi="Wingdings" w:hint="default"/>
      </w:rPr>
    </w:lvl>
    <w:lvl w:ilvl="3" w:tplc="8C761094">
      <w:start w:val="1"/>
      <w:numFmt w:val="bullet"/>
      <w:lvlText w:val=""/>
      <w:lvlJc w:val="left"/>
      <w:pPr>
        <w:ind w:left="2880" w:hanging="360"/>
      </w:pPr>
      <w:rPr>
        <w:rFonts w:ascii="Symbol" w:hAnsi="Symbol" w:hint="default"/>
      </w:rPr>
    </w:lvl>
    <w:lvl w:ilvl="4" w:tplc="4A643804">
      <w:start w:val="1"/>
      <w:numFmt w:val="bullet"/>
      <w:lvlText w:val="o"/>
      <w:lvlJc w:val="left"/>
      <w:pPr>
        <w:ind w:left="3600" w:hanging="360"/>
      </w:pPr>
      <w:rPr>
        <w:rFonts w:ascii="Courier New" w:hAnsi="Courier New" w:hint="default"/>
      </w:rPr>
    </w:lvl>
    <w:lvl w:ilvl="5" w:tplc="58DEA062">
      <w:start w:val="1"/>
      <w:numFmt w:val="bullet"/>
      <w:lvlText w:val=""/>
      <w:lvlJc w:val="left"/>
      <w:pPr>
        <w:ind w:left="4320" w:hanging="360"/>
      </w:pPr>
      <w:rPr>
        <w:rFonts w:ascii="Wingdings" w:hAnsi="Wingdings" w:hint="default"/>
      </w:rPr>
    </w:lvl>
    <w:lvl w:ilvl="6" w:tplc="3D9E37F2">
      <w:start w:val="1"/>
      <w:numFmt w:val="bullet"/>
      <w:lvlText w:val=""/>
      <w:lvlJc w:val="left"/>
      <w:pPr>
        <w:ind w:left="5040" w:hanging="360"/>
      </w:pPr>
      <w:rPr>
        <w:rFonts w:ascii="Symbol" w:hAnsi="Symbol" w:hint="default"/>
      </w:rPr>
    </w:lvl>
    <w:lvl w:ilvl="7" w:tplc="C67C076A">
      <w:start w:val="1"/>
      <w:numFmt w:val="bullet"/>
      <w:lvlText w:val="o"/>
      <w:lvlJc w:val="left"/>
      <w:pPr>
        <w:ind w:left="5760" w:hanging="360"/>
      </w:pPr>
      <w:rPr>
        <w:rFonts w:ascii="Courier New" w:hAnsi="Courier New" w:hint="default"/>
      </w:rPr>
    </w:lvl>
    <w:lvl w:ilvl="8" w:tplc="BA782988">
      <w:start w:val="1"/>
      <w:numFmt w:val="bullet"/>
      <w:lvlText w:val=""/>
      <w:lvlJc w:val="left"/>
      <w:pPr>
        <w:ind w:left="6480" w:hanging="360"/>
      </w:pPr>
      <w:rPr>
        <w:rFonts w:ascii="Wingdings" w:hAnsi="Wingdings" w:hint="default"/>
      </w:rPr>
    </w:lvl>
  </w:abstractNum>
  <w:abstractNum w:abstractNumId="2">
    <w:nsid w:val="595F4B52"/>
    <w:multiLevelType w:val="hybridMultilevel"/>
    <w:tmpl w:val="79D44FD2"/>
    <w:lvl w:ilvl="0" w:tplc="BB38E19E">
      <w:start w:val="1"/>
      <w:numFmt w:val="bullet"/>
      <w:lvlText w:val="·"/>
      <w:lvlJc w:val="left"/>
      <w:pPr>
        <w:ind w:left="720" w:hanging="360"/>
      </w:pPr>
      <w:rPr>
        <w:rFonts w:ascii="Symbol" w:hAnsi="Symbol" w:hint="default"/>
      </w:rPr>
    </w:lvl>
    <w:lvl w:ilvl="1" w:tplc="2788FB6E">
      <w:start w:val="1"/>
      <w:numFmt w:val="bullet"/>
      <w:lvlText w:val="o"/>
      <w:lvlJc w:val="left"/>
      <w:pPr>
        <w:ind w:left="1440" w:hanging="360"/>
      </w:pPr>
      <w:rPr>
        <w:rFonts w:ascii="Courier New" w:hAnsi="Courier New" w:hint="default"/>
      </w:rPr>
    </w:lvl>
    <w:lvl w:ilvl="2" w:tplc="5C22F366">
      <w:start w:val="1"/>
      <w:numFmt w:val="bullet"/>
      <w:lvlText w:val=""/>
      <w:lvlJc w:val="left"/>
      <w:pPr>
        <w:ind w:left="2160" w:hanging="360"/>
      </w:pPr>
      <w:rPr>
        <w:rFonts w:ascii="Wingdings" w:hAnsi="Wingdings" w:hint="default"/>
      </w:rPr>
    </w:lvl>
    <w:lvl w:ilvl="3" w:tplc="5452349A">
      <w:start w:val="1"/>
      <w:numFmt w:val="bullet"/>
      <w:lvlText w:val=""/>
      <w:lvlJc w:val="left"/>
      <w:pPr>
        <w:ind w:left="2880" w:hanging="360"/>
      </w:pPr>
      <w:rPr>
        <w:rFonts w:ascii="Symbol" w:hAnsi="Symbol" w:hint="default"/>
      </w:rPr>
    </w:lvl>
    <w:lvl w:ilvl="4" w:tplc="3DD6CB1E">
      <w:start w:val="1"/>
      <w:numFmt w:val="bullet"/>
      <w:lvlText w:val="o"/>
      <w:lvlJc w:val="left"/>
      <w:pPr>
        <w:ind w:left="3600" w:hanging="360"/>
      </w:pPr>
      <w:rPr>
        <w:rFonts w:ascii="Courier New" w:hAnsi="Courier New" w:hint="default"/>
      </w:rPr>
    </w:lvl>
    <w:lvl w:ilvl="5" w:tplc="E4CE581E">
      <w:start w:val="1"/>
      <w:numFmt w:val="bullet"/>
      <w:lvlText w:val=""/>
      <w:lvlJc w:val="left"/>
      <w:pPr>
        <w:ind w:left="4320" w:hanging="360"/>
      </w:pPr>
      <w:rPr>
        <w:rFonts w:ascii="Wingdings" w:hAnsi="Wingdings" w:hint="default"/>
      </w:rPr>
    </w:lvl>
    <w:lvl w:ilvl="6" w:tplc="13D414CC">
      <w:start w:val="1"/>
      <w:numFmt w:val="bullet"/>
      <w:lvlText w:val=""/>
      <w:lvlJc w:val="left"/>
      <w:pPr>
        <w:ind w:left="5040" w:hanging="360"/>
      </w:pPr>
      <w:rPr>
        <w:rFonts w:ascii="Symbol" w:hAnsi="Symbol" w:hint="default"/>
      </w:rPr>
    </w:lvl>
    <w:lvl w:ilvl="7" w:tplc="2C9E041C">
      <w:start w:val="1"/>
      <w:numFmt w:val="bullet"/>
      <w:lvlText w:val="o"/>
      <w:lvlJc w:val="left"/>
      <w:pPr>
        <w:ind w:left="5760" w:hanging="360"/>
      </w:pPr>
      <w:rPr>
        <w:rFonts w:ascii="Courier New" w:hAnsi="Courier New" w:hint="default"/>
      </w:rPr>
    </w:lvl>
    <w:lvl w:ilvl="8" w:tplc="0B2020EE">
      <w:start w:val="1"/>
      <w:numFmt w:val="bullet"/>
      <w:lvlText w:val=""/>
      <w:lvlJc w:val="left"/>
      <w:pPr>
        <w:ind w:left="6480" w:hanging="360"/>
      </w:pPr>
      <w:rPr>
        <w:rFonts w:ascii="Wingdings" w:hAnsi="Wingdings" w:hint="default"/>
      </w:rPr>
    </w:lvl>
  </w:abstractNum>
  <w:abstractNum w:abstractNumId="3">
    <w:nsid w:val="621A59D3"/>
    <w:multiLevelType w:val="hybridMultilevel"/>
    <w:tmpl w:val="64B863B8"/>
    <w:lvl w:ilvl="0" w:tplc="E71A750C">
      <w:start w:val="1"/>
      <w:numFmt w:val="bullet"/>
      <w:lvlText w:val="·"/>
      <w:lvlJc w:val="left"/>
      <w:pPr>
        <w:ind w:left="720" w:hanging="360"/>
      </w:pPr>
      <w:rPr>
        <w:rFonts w:ascii="Symbol" w:hAnsi="Symbol" w:hint="default"/>
      </w:rPr>
    </w:lvl>
    <w:lvl w:ilvl="1" w:tplc="AEB0386E">
      <w:start w:val="1"/>
      <w:numFmt w:val="bullet"/>
      <w:lvlText w:val="o"/>
      <w:lvlJc w:val="left"/>
      <w:pPr>
        <w:ind w:left="1440" w:hanging="360"/>
      </w:pPr>
      <w:rPr>
        <w:rFonts w:ascii="Courier New" w:hAnsi="Courier New" w:hint="default"/>
      </w:rPr>
    </w:lvl>
    <w:lvl w:ilvl="2" w:tplc="563230E0">
      <w:start w:val="1"/>
      <w:numFmt w:val="bullet"/>
      <w:lvlText w:val=""/>
      <w:lvlJc w:val="left"/>
      <w:pPr>
        <w:ind w:left="2160" w:hanging="360"/>
      </w:pPr>
      <w:rPr>
        <w:rFonts w:ascii="Wingdings" w:hAnsi="Wingdings" w:hint="default"/>
      </w:rPr>
    </w:lvl>
    <w:lvl w:ilvl="3" w:tplc="7AFC9F7A">
      <w:start w:val="1"/>
      <w:numFmt w:val="bullet"/>
      <w:lvlText w:val=""/>
      <w:lvlJc w:val="left"/>
      <w:pPr>
        <w:ind w:left="2880" w:hanging="360"/>
      </w:pPr>
      <w:rPr>
        <w:rFonts w:ascii="Symbol" w:hAnsi="Symbol" w:hint="default"/>
      </w:rPr>
    </w:lvl>
    <w:lvl w:ilvl="4" w:tplc="7366B426">
      <w:start w:val="1"/>
      <w:numFmt w:val="bullet"/>
      <w:lvlText w:val="o"/>
      <w:lvlJc w:val="left"/>
      <w:pPr>
        <w:ind w:left="3600" w:hanging="360"/>
      </w:pPr>
      <w:rPr>
        <w:rFonts w:ascii="Courier New" w:hAnsi="Courier New" w:hint="default"/>
      </w:rPr>
    </w:lvl>
    <w:lvl w:ilvl="5" w:tplc="9482DA52">
      <w:start w:val="1"/>
      <w:numFmt w:val="bullet"/>
      <w:lvlText w:val=""/>
      <w:lvlJc w:val="left"/>
      <w:pPr>
        <w:ind w:left="4320" w:hanging="360"/>
      </w:pPr>
      <w:rPr>
        <w:rFonts w:ascii="Wingdings" w:hAnsi="Wingdings" w:hint="default"/>
      </w:rPr>
    </w:lvl>
    <w:lvl w:ilvl="6" w:tplc="1E8E91DC">
      <w:start w:val="1"/>
      <w:numFmt w:val="bullet"/>
      <w:lvlText w:val=""/>
      <w:lvlJc w:val="left"/>
      <w:pPr>
        <w:ind w:left="5040" w:hanging="360"/>
      </w:pPr>
      <w:rPr>
        <w:rFonts w:ascii="Symbol" w:hAnsi="Symbol" w:hint="default"/>
      </w:rPr>
    </w:lvl>
    <w:lvl w:ilvl="7" w:tplc="3782F15E">
      <w:start w:val="1"/>
      <w:numFmt w:val="bullet"/>
      <w:lvlText w:val="o"/>
      <w:lvlJc w:val="left"/>
      <w:pPr>
        <w:ind w:left="5760" w:hanging="360"/>
      </w:pPr>
      <w:rPr>
        <w:rFonts w:ascii="Courier New" w:hAnsi="Courier New" w:hint="default"/>
      </w:rPr>
    </w:lvl>
    <w:lvl w:ilvl="8" w:tplc="40FC5900">
      <w:start w:val="1"/>
      <w:numFmt w:val="bullet"/>
      <w:lvlText w:val=""/>
      <w:lvlJc w:val="left"/>
      <w:pPr>
        <w:ind w:left="6480" w:hanging="360"/>
      </w:pPr>
      <w:rPr>
        <w:rFonts w:ascii="Wingdings" w:hAnsi="Wingdings" w:hint="default"/>
      </w:rPr>
    </w:lvl>
  </w:abstractNum>
  <w:abstractNum w:abstractNumId="4">
    <w:nsid w:val="6A434962"/>
    <w:multiLevelType w:val="hybridMultilevel"/>
    <w:tmpl w:val="DEC82250"/>
    <w:lvl w:ilvl="0" w:tplc="DC46E2E2">
      <w:start w:val="1"/>
      <w:numFmt w:val="bullet"/>
      <w:lvlText w:val="·"/>
      <w:lvlJc w:val="left"/>
      <w:pPr>
        <w:ind w:left="720" w:hanging="360"/>
      </w:pPr>
      <w:rPr>
        <w:rFonts w:ascii="Symbol" w:hAnsi="Symbol" w:hint="default"/>
      </w:rPr>
    </w:lvl>
    <w:lvl w:ilvl="1" w:tplc="87E4B222">
      <w:start w:val="1"/>
      <w:numFmt w:val="bullet"/>
      <w:lvlText w:val="o"/>
      <w:lvlJc w:val="left"/>
      <w:pPr>
        <w:ind w:left="1440" w:hanging="360"/>
      </w:pPr>
      <w:rPr>
        <w:rFonts w:ascii="Courier New" w:hAnsi="Courier New" w:hint="default"/>
      </w:rPr>
    </w:lvl>
    <w:lvl w:ilvl="2" w:tplc="73C81F8A">
      <w:start w:val="1"/>
      <w:numFmt w:val="bullet"/>
      <w:lvlText w:val=""/>
      <w:lvlJc w:val="left"/>
      <w:pPr>
        <w:ind w:left="2160" w:hanging="360"/>
      </w:pPr>
      <w:rPr>
        <w:rFonts w:ascii="Wingdings" w:hAnsi="Wingdings" w:hint="default"/>
      </w:rPr>
    </w:lvl>
    <w:lvl w:ilvl="3" w:tplc="3954C180">
      <w:start w:val="1"/>
      <w:numFmt w:val="bullet"/>
      <w:lvlText w:val=""/>
      <w:lvlJc w:val="left"/>
      <w:pPr>
        <w:ind w:left="2880" w:hanging="360"/>
      </w:pPr>
      <w:rPr>
        <w:rFonts w:ascii="Symbol" w:hAnsi="Symbol" w:hint="default"/>
      </w:rPr>
    </w:lvl>
    <w:lvl w:ilvl="4" w:tplc="FFD64F4C">
      <w:start w:val="1"/>
      <w:numFmt w:val="bullet"/>
      <w:lvlText w:val="o"/>
      <w:lvlJc w:val="left"/>
      <w:pPr>
        <w:ind w:left="3600" w:hanging="360"/>
      </w:pPr>
      <w:rPr>
        <w:rFonts w:ascii="Courier New" w:hAnsi="Courier New" w:hint="default"/>
      </w:rPr>
    </w:lvl>
    <w:lvl w:ilvl="5" w:tplc="673CE55E">
      <w:start w:val="1"/>
      <w:numFmt w:val="bullet"/>
      <w:lvlText w:val=""/>
      <w:lvlJc w:val="left"/>
      <w:pPr>
        <w:ind w:left="4320" w:hanging="360"/>
      </w:pPr>
      <w:rPr>
        <w:rFonts w:ascii="Wingdings" w:hAnsi="Wingdings" w:hint="default"/>
      </w:rPr>
    </w:lvl>
    <w:lvl w:ilvl="6" w:tplc="F21E08F4">
      <w:start w:val="1"/>
      <w:numFmt w:val="bullet"/>
      <w:lvlText w:val=""/>
      <w:lvlJc w:val="left"/>
      <w:pPr>
        <w:ind w:left="5040" w:hanging="360"/>
      </w:pPr>
      <w:rPr>
        <w:rFonts w:ascii="Symbol" w:hAnsi="Symbol" w:hint="default"/>
      </w:rPr>
    </w:lvl>
    <w:lvl w:ilvl="7" w:tplc="B3C88668">
      <w:start w:val="1"/>
      <w:numFmt w:val="bullet"/>
      <w:lvlText w:val="o"/>
      <w:lvlJc w:val="left"/>
      <w:pPr>
        <w:ind w:left="5760" w:hanging="360"/>
      </w:pPr>
      <w:rPr>
        <w:rFonts w:ascii="Courier New" w:hAnsi="Courier New" w:hint="default"/>
      </w:rPr>
    </w:lvl>
    <w:lvl w:ilvl="8" w:tplc="A2AACCA8">
      <w:start w:val="1"/>
      <w:numFmt w:val="bullet"/>
      <w:lvlText w:val=""/>
      <w:lvlJc w:val="left"/>
      <w:pPr>
        <w:ind w:left="6480" w:hanging="360"/>
      </w:pPr>
      <w:rPr>
        <w:rFonts w:ascii="Wingdings" w:hAnsi="Wingdings" w:hint="default"/>
      </w:rPr>
    </w:lvl>
  </w:abstractNum>
  <w:abstractNum w:abstractNumId="5">
    <w:nsid w:val="6C3C16C1"/>
    <w:multiLevelType w:val="hybridMultilevel"/>
    <w:tmpl w:val="2856F374"/>
    <w:lvl w:ilvl="0" w:tplc="3CA87624">
      <w:start w:val="1"/>
      <w:numFmt w:val="bullet"/>
      <w:lvlText w:val="·"/>
      <w:lvlJc w:val="left"/>
      <w:pPr>
        <w:ind w:left="720" w:hanging="360"/>
      </w:pPr>
      <w:rPr>
        <w:rFonts w:ascii="Symbol" w:hAnsi="Symbol" w:hint="default"/>
      </w:rPr>
    </w:lvl>
    <w:lvl w:ilvl="1" w:tplc="C8F04824">
      <w:start w:val="1"/>
      <w:numFmt w:val="bullet"/>
      <w:lvlText w:val="o"/>
      <w:lvlJc w:val="left"/>
      <w:pPr>
        <w:ind w:left="1440" w:hanging="360"/>
      </w:pPr>
      <w:rPr>
        <w:rFonts w:ascii="Courier New" w:hAnsi="Courier New" w:hint="default"/>
      </w:rPr>
    </w:lvl>
    <w:lvl w:ilvl="2" w:tplc="209EB5A6">
      <w:start w:val="1"/>
      <w:numFmt w:val="bullet"/>
      <w:lvlText w:val=""/>
      <w:lvlJc w:val="left"/>
      <w:pPr>
        <w:ind w:left="2160" w:hanging="360"/>
      </w:pPr>
      <w:rPr>
        <w:rFonts w:ascii="Wingdings" w:hAnsi="Wingdings" w:hint="default"/>
      </w:rPr>
    </w:lvl>
    <w:lvl w:ilvl="3" w:tplc="33E68A70">
      <w:start w:val="1"/>
      <w:numFmt w:val="bullet"/>
      <w:lvlText w:val=""/>
      <w:lvlJc w:val="left"/>
      <w:pPr>
        <w:ind w:left="2880" w:hanging="360"/>
      </w:pPr>
      <w:rPr>
        <w:rFonts w:ascii="Symbol" w:hAnsi="Symbol" w:hint="default"/>
      </w:rPr>
    </w:lvl>
    <w:lvl w:ilvl="4" w:tplc="6D78144A">
      <w:start w:val="1"/>
      <w:numFmt w:val="bullet"/>
      <w:lvlText w:val="o"/>
      <w:lvlJc w:val="left"/>
      <w:pPr>
        <w:ind w:left="3600" w:hanging="360"/>
      </w:pPr>
      <w:rPr>
        <w:rFonts w:ascii="Courier New" w:hAnsi="Courier New" w:hint="default"/>
      </w:rPr>
    </w:lvl>
    <w:lvl w:ilvl="5" w:tplc="B29A5276">
      <w:start w:val="1"/>
      <w:numFmt w:val="bullet"/>
      <w:lvlText w:val=""/>
      <w:lvlJc w:val="left"/>
      <w:pPr>
        <w:ind w:left="4320" w:hanging="360"/>
      </w:pPr>
      <w:rPr>
        <w:rFonts w:ascii="Wingdings" w:hAnsi="Wingdings" w:hint="default"/>
      </w:rPr>
    </w:lvl>
    <w:lvl w:ilvl="6" w:tplc="CE1EEB8E">
      <w:start w:val="1"/>
      <w:numFmt w:val="bullet"/>
      <w:lvlText w:val=""/>
      <w:lvlJc w:val="left"/>
      <w:pPr>
        <w:ind w:left="5040" w:hanging="360"/>
      </w:pPr>
      <w:rPr>
        <w:rFonts w:ascii="Symbol" w:hAnsi="Symbol" w:hint="default"/>
      </w:rPr>
    </w:lvl>
    <w:lvl w:ilvl="7" w:tplc="517A445E">
      <w:start w:val="1"/>
      <w:numFmt w:val="bullet"/>
      <w:lvlText w:val="o"/>
      <w:lvlJc w:val="left"/>
      <w:pPr>
        <w:ind w:left="5760" w:hanging="360"/>
      </w:pPr>
      <w:rPr>
        <w:rFonts w:ascii="Courier New" w:hAnsi="Courier New" w:hint="default"/>
      </w:rPr>
    </w:lvl>
    <w:lvl w:ilvl="8" w:tplc="53543002">
      <w:start w:val="1"/>
      <w:numFmt w:val="bullet"/>
      <w:lvlText w:val=""/>
      <w:lvlJc w:val="left"/>
      <w:pPr>
        <w:ind w:left="6480" w:hanging="360"/>
      </w:pPr>
      <w:rPr>
        <w:rFonts w:ascii="Wingdings" w:hAnsi="Wingdings" w:hint="default"/>
      </w:rPr>
    </w:lvl>
  </w:abstractNum>
  <w:abstractNum w:abstractNumId="6">
    <w:nsid w:val="7B6365A4"/>
    <w:multiLevelType w:val="hybridMultilevel"/>
    <w:tmpl w:val="03008090"/>
    <w:lvl w:ilvl="0" w:tplc="93F49D28">
      <w:start w:val="1"/>
      <w:numFmt w:val="bullet"/>
      <w:lvlText w:val="·"/>
      <w:lvlJc w:val="left"/>
      <w:pPr>
        <w:ind w:left="720" w:hanging="360"/>
      </w:pPr>
      <w:rPr>
        <w:rFonts w:ascii="Symbol" w:hAnsi="Symbol" w:hint="default"/>
      </w:rPr>
    </w:lvl>
    <w:lvl w:ilvl="1" w:tplc="9294E372">
      <w:start w:val="1"/>
      <w:numFmt w:val="bullet"/>
      <w:lvlText w:val="o"/>
      <w:lvlJc w:val="left"/>
      <w:pPr>
        <w:ind w:left="1440" w:hanging="360"/>
      </w:pPr>
      <w:rPr>
        <w:rFonts w:ascii="Courier New" w:hAnsi="Courier New" w:hint="default"/>
      </w:rPr>
    </w:lvl>
    <w:lvl w:ilvl="2" w:tplc="169487A2">
      <w:start w:val="1"/>
      <w:numFmt w:val="bullet"/>
      <w:lvlText w:val=""/>
      <w:lvlJc w:val="left"/>
      <w:pPr>
        <w:ind w:left="2160" w:hanging="360"/>
      </w:pPr>
      <w:rPr>
        <w:rFonts w:ascii="Wingdings" w:hAnsi="Wingdings" w:hint="default"/>
      </w:rPr>
    </w:lvl>
    <w:lvl w:ilvl="3" w:tplc="BC0E0CAE">
      <w:start w:val="1"/>
      <w:numFmt w:val="bullet"/>
      <w:lvlText w:val=""/>
      <w:lvlJc w:val="left"/>
      <w:pPr>
        <w:ind w:left="2880" w:hanging="360"/>
      </w:pPr>
      <w:rPr>
        <w:rFonts w:ascii="Symbol" w:hAnsi="Symbol" w:hint="default"/>
      </w:rPr>
    </w:lvl>
    <w:lvl w:ilvl="4" w:tplc="CD5A995A">
      <w:start w:val="1"/>
      <w:numFmt w:val="bullet"/>
      <w:lvlText w:val="o"/>
      <w:lvlJc w:val="left"/>
      <w:pPr>
        <w:ind w:left="3600" w:hanging="360"/>
      </w:pPr>
      <w:rPr>
        <w:rFonts w:ascii="Courier New" w:hAnsi="Courier New" w:hint="default"/>
      </w:rPr>
    </w:lvl>
    <w:lvl w:ilvl="5" w:tplc="AB52D7C8">
      <w:start w:val="1"/>
      <w:numFmt w:val="bullet"/>
      <w:lvlText w:val=""/>
      <w:lvlJc w:val="left"/>
      <w:pPr>
        <w:ind w:left="4320" w:hanging="360"/>
      </w:pPr>
      <w:rPr>
        <w:rFonts w:ascii="Wingdings" w:hAnsi="Wingdings" w:hint="default"/>
      </w:rPr>
    </w:lvl>
    <w:lvl w:ilvl="6" w:tplc="BD1C635C">
      <w:start w:val="1"/>
      <w:numFmt w:val="bullet"/>
      <w:lvlText w:val=""/>
      <w:lvlJc w:val="left"/>
      <w:pPr>
        <w:ind w:left="5040" w:hanging="360"/>
      </w:pPr>
      <w:rPr>
        <w:rFonts w:ascii="Symbol" w:hAnsi="Symbol" w:hint="default"/>
      </w:rPr>
    </w:lvl>
    <w:lvl w:ilvl="7" w:tplc="357658EC">
      <w:start w:val="1"/>
      <w:numFmt w:val="bullet"/>
      <w:lvlText w:val="o"/>
      <w:lvlJc w:val="left"/>
      <w:pPr>
        <w:ind w:left="5760" w:hanging="360"/>
      </w:pPr>
      <w:rPr>
        <w:rFonts w:ascii="Courier New" w:hAnsi="Courier New" w:hint="default"/>
      </w:rPr>
    </w:lvl>
    <w:lvl w:ilvl="8" w:tplc="D68081DC">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3"/>
  </w:num>
  <w:num w:numId="4">
    <w:abstractNumId w:val="2"/>
  </w:num>
  <w:num w:numId="5">
    <w:abstractNumId w:val="4"/>
  </w:num>
  <w:num w:numId="6">
    <w:abstractNumId w:val="5"/>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39BE37F8"/>
    <w:rsid w:val="0051252A"/>
    <w:rsid w:val="00665DE2"/>
    <w:rsid w:val="00E3E7DA"/>
    <w:rsid w:val="01081C14"/>
    <w:rsid w:val="018AA0CF"/>
    <w:rsid w:val="01A15B42"/>
    <w:rsid w:val="0244114A"/>
    <w:rsid w:val="02DF4070"/>
    <w:rsid w:val="02F38AF2"/>
    <w:rsid w:val="03CDE97C"/>
    <w:rsid w:val="049B666F"/>
    <w:rsid w:val="04A7ADD4"/>
    <w:rsid w:val="062F763F"/>
    <w:rsid w:val="077AB25C"/>
    <w:rsid w:val="07FA1B5E"/>
    <w:rsid w:val="08443F31"/>
    <w:rsid w:val="08BBAAD8"/>
    <w:rsid w:val="08D61C11"/>
    <w:rsid w:val="093B486F"/>
    <w:rsid w:val="0972A1CB"/>
    <w:rsid w:val="0A333F23"/>
    <w:rsid w:val="0B0E722C"/>
    <w:rsid w:val="0B16EF58"/>
    <w:rsid w:val="0B2E62AA"/>
    <w:rsid w:val="0BC123FD"/>
    <w:rsid w:val="0BCF0F84"/>
    <w:rsid w:val="0BF34B9A"/>
    <w:rsid w:val="0CBD3839"/>
    <w:rsid w:val="0CC7762A"/>
    <w:rsid w:val="0D4BA84C"/>
    <w:rsid w:val="0E3CB333"/>
    <w:rsid w:val="0E4FDC0D"/>
    <w:rsid w:val="0FA0B0E3"/>
    <w:rsid w:val="0FC60154"/>
    <w:rsid w:val="1001E9AE"/>
    <w:rsid w:val="1032B169"/>
    <w:rsid w:val="1033701F"/>
    <w:rsid w:val="10E6D4E3"/>
    <w:rsid w:val="118630DC"/>
    <w:rsid w:val="1320303D"/>
    <w:rsid w:val="13D2B379"/>
    <w:rsid w:val="1418CEB8"/>
    <w:rsid w:val="14BDD19E"/>
    <w:rsid w:val="15C31769"/>
    <w:rsid w:val="1605EE03"/>
    <w:rsid w:val="1659A1FF"/>
    <w:rsid w:val="165CE56C"/>
    <w:rsid w:val="167E9845"/>
    <w:rsid w:val="16A10FF0"/>
    <w:rsid w:val="16F29FA5"/>
    <w:rsid w:val="1761FA2D"/>
    <w:rsid w:val="17A03FDB"/>
    <w:rsid w:val="17F57260"/>
    <w:rsid w:val="1CB7F355"/>
    <w:rsid w:val="1CC86545"/>
    <w:rsid w:val="1CD0D109"/>
    <w:rsid w:val="1DBFD83C"/>
    <w:rsid w:val="1DDF156B"/>
    <w:rsid w:val="1DE46E61"/>
    <w:rsid w:val="1E313177"/>
    <w:rsid w:val="1F2182F5"/>
    <w:rsid w:val="1F865011"/>
    <w:rsid w:val="203DFA27"/>
    <w:rsid w:val="21222072"/>
    <w:rsid w:val="2340128D"/>
    <w:rsid w:val="241C6ECF"/>
    <w:rsid w:val="247ECCCC"/>
    <w:rsid w:val="249BDF71"/>
    <w:rsid w:val="24DBE2EE"/>
    <w:rsid w:val="25AC6897"/>
    <w:rsid w:val="2654F4A5"/>
    <w:rsid w:val="26A55D79"/>
    <w:rsid w:val="26E414AE"/>
    <w:rsid w:val="27239585"/>
    <w:rsid w:val="2837463A"/>
    <w:rsid w:val="283D6DFE"/>
    <w:rsid w:val="28412DDA"/>
    <w:rsid w:val="29AD8311"/>
    <w:rsid w:val="2AABCCDD"/>
    <w:rsid w:val="2AED4A1F"/>
    <w:rsid w:val="2B28A331"/>
    <w:rsid w:val="2B495372"/>
    <w:rsid w:val="2B62ADA5"/>
    <w:rsid w:val="2B78CE9C"/>
    <w:rsid w:val="2D989D15"/>
    <w:rsid w:val="2E82C534"/>
    <w:rsid w:val="2ED49497"/>
    <w:rsid w:val="2EFC735F"/>
    <w:rsid w:val="2F243310"/>
    <w:rsid w:val="2F3DC731"/>
    <w:rsid w:val="307037E7"/>
    <w:rsid w:val="308ABCF7"/>
    <w:rsid w:val="30C00371"/>
    <w:rsid w:val="31D58C6D"/>
    <w:rsid w:val="324515CF"/>
    <w:rsid w:val="32853F47"/>
    <w:rsid w:val="33715CCE"/>
    <w:rsid w:val="352191E2"/>
    <w:rsid w:val="35454EF6"/>
    <w:rsid w:val="36C74A16"/>
    <w:rsid w:val="375469B9"/>
    <w:rsid w:val="376871AF"/>
    <w:rsid w:val="38321303"/>
    <w:rsid w:val="3844CDF1"/>
    <w:rsid w:val="385F3F2A"/>
    <w:rsid w:val="3878287A"/>
    <w:rsid w:val="39BE37F8"/>
    <w:rsid w:val="39EB5CB8"/>
    <w:rsid w:val="39FB0F8B"/>
    <w:rsid w:val="3A8C0A7B"/>
    <w:rsid w:val="3AB79BA4"/>
    <w:rsid w:val="3B387F76"/>
    <w:rsid w:val="3B63A43E"/>
    <w:rsid w:val="3B7C6EB3"/>
    <w:rsid w:val="3C27DADC"/>
    <w:rsid w:val="3C697F18"/>
    <w:rsid w:val="3C7B4FF7"/>
    <w:rsid w:val="3D190862"/>
    <w:rsid w:val="3DA83883"/>
    <w:rsid w:val="3E74D614"/>
    <w:rsid w:val="3F71B294"/>
    <w:rsid w:val="3F7F7DAE"/>
    <w:rsid w:val="40C25CAF"/>
    <w:rsid w:val="40F2038F"/>
    <w:rsid w:val="418C258D"/>
    <w:rsid w:val="420B64D6"/>
    <w:rsid w:val="426336E2"/>
    <w:rsid w:val="427E3D3D"/>
    <w:rsid w:val="4288A315"/>
    <w:rsid w:val="42C2AD89"/>
    <w:rsid w:val="42FC7610"/>
    <w:rsid w:val="43A1F1D1"/>
    <w:rsid w:val="43D7A601"/>
    <w:rsid w:val="44504942"/>
    <w:rsid w:val="447C06FD"/>
    <w:rsid w:val="44FDB3C1"/>
    <w:rsid w:val="459812FB"/>
    <w:rsid w:val="45E0F418"/>
    <w:rsid w:val="47B22391"/>
    <w:rsid w:val="47B3A7BF"/>
    <w:rsid w:val="47D122EC"/>
    <w:rsid w:val="48758A32"/>
    <w:rsid w:val="494F7820"/>
    <w:rsid w:val="498B3CCA"/>
    <w:rsid w:val="4B95C443"/>
    <w:rsid w:val="4BCC23A1"/>
    <w:rsid w:val="4C959132"/>
    <w:rsid w:val="4D2CA132"/>
    <w:rsid w:val="4D432F7C"/>
    <w:rsid w:val="4E08FD74"/>
    <w:rsid w:val="4EB4699D"/>
    <w:rsid w:val="4F191022"/>
    <w:rsid w:val="4F5695A7"/>
    <w:rsid w:val="4FB96234"/>
    <w:rsid w:val="5076F3BC"/>
    <w:rsid w:val="5078AF8C"/>
    <w:rsid w:val="508BBB0E"/>
    <w:rsid w:val="50B72FB4"/>
    <w:rsid w:val="50CE11D9"/>
    <w:rsid w:val="5116DDB5"/>
    <w:rsid w:val="51EC0A5F"/>
    <w:rsid w:val="527798AA"/>
    <w:rsid w:val="527DC06E"/>
    <w:rsid w:val="539BE2B6"/>
    <w:rsid w:val="53FEBACB"/>
    <w:rsid w:val="54FE5137"/>
    <w:rsid w:val="552DCE47"/>
    <w:rsid w:val="5542AB25"/>
    <w:rsid w:val="558FC5EA"/>
    <w:rsid w:val="55CF1F49"/>
    <w:rsid w:val="55DE5527"/>
    <w:rsid w:val="56234B1B"/>
    <w:rsid w:val="562BAB0E"/>
    <w:rsid w:val="56CB9CC9"/>
    <w:rsid w:val="56D1B278"/>
    <w:rsid w:val="577F5663"/>
    <w:rsid w:val="57E403E4"/>
    <w:rsid w:val="586024B0"/>
    <w:rsid w:val="5A34EFF6"/>
    <w:rsid w:val="5A9A3981"/>
    <w:rsid w:val="5B064865"/>
    <w:rsid w:val="5B331B58"/>
    <w:rsid w:val="5C8027D9"/>
    <w:rsid w:val="5C8B3E63"/>
    <w:rsid w:val="5DD00146"/>
    <w:rsid w:val="5DE0D455"/>
    <w:rsid w:val="5E06C56E"/>
    <w:rsid w:val="5E0721F5"/>
    <w:rsid w:val="5E989890"/>
    <w:rsid w:val="5F081A23"/>
    <w:rsid w:val="5F13A7A3"/>
    <w:rsid w:val="605A8EAC"/>
    <w:rsid w:val="60859677"/>
    <w:rsid w:val="608EBE8B"/>
    <w:rsid w:val="609A47B6"/>
    <w:rsid w:val="61467088"/>
    <w:rsid w:val="62B23342"/>
    <w:rsid w:val="6306D24F"/>
    <w:rsid w:val="630CFD14"/>
    <w:rsid w:val="630D2AD8"/>
    <w:rsid w:val="632BCAA4"/>
    <w:rsid w:val="63743429"/>
    <w:rsid w:val="63F04CD5"/>
    <w:rsid w:val="65C87AB6"/>
    <w:rsid w:val="65E20041"/>
    <w:rsid w:val="65ED1CE3"/>
    <w:rsid w:val="65FF9742"/>
    <w:rsid w:val="6835522C"/>
    <w:rsid w:val="6906163F"/>
    <w:rsid w:val="6955CA32"/>
    <w:rsid w:val="69C6D207"/>
    <w:rsid w:val="69E67A1E"/>
    <w:rsid w:val="6A06B449"/>
    <w:rsid w:val="6A9EC090"/>
    <w:rsid w:val="6B105032"/>
    <w:rsid w:val="6B3822B5"/>
    <w:rsid w:val="6B5530F6"/>
    <w:rsid w:val="6B824A7F"/>
    <w:rsid w:val="6B88274F"/>
    <w:rsid w:val="6BAADEF8"/>
    <w:rsid w:val="6BE4CA81"/>
    <w:rsid w:val="6C7097CB"/>
    <w:rsid w:val="6C88E6B4"/>
    <w:rsid w:val="6CC4B771"/>
    <w:rsid w:val="6D0D18D6"/>
    <w:rsid w:val="6D58EF9D"/>
    <w:rsid w:val="6D9C7A33"/>
    <w:rsid w:val="6DA9F5AB"/>
    <w:rsid w:val="6E5B4B47"/>
    <w:rsid w:val="6F0598E3"/>
    <w:rsid w:val="707C2F52"/>
    <w:rsid w:val="70C62138"/>
    <w:rsid w:val="721E42E7"/>
    <w:rsid w:val="7227B985"/>
    <w:rsid w:val="72601881"/>
    <w:rsid w:val="72C6A160"/>
    <w:rsid w:val="73252611"/>
    <w:rsid w:val="73392C83"/>
    <w:rsid w:val="736CACE4"/>
    <w:rsid w:val="736D613C"/>
    <w:rsid w:val="756A4907"/>
    <w:rsid w:val="759BCF78"/>
    <w:rsid w:val="766D8740"/>
    <w:rsid w:val="76A234F1"/>
    <w:rsid w:val="76CC0EF4"/>
    <w:rsid w:val="76DCB34E"/>
    <w:rsid w:val="7722DF09"/>
    <w:rsid w:val="77700A84"/>
    <w:rsid w:val="781A8BA1"/>
    <w:rsid w:val="7867DF55"/>
    <w:rsid w:val="789E36B6"/>
    <w:rsid w:val="78A1E9C9"/>
    <w:rsid w:val="792DEA47"/>
    <w:rsid w:val="79829250"/>
    <w:rsid w:val="79B65C02"/>
    <w:rsid w:val="7A2630F7"/>
    <w:rsid w:val="7A3DBA2A"/>
    <w:rsid w:val="7ACDE5C5"/>
    <w:rsid w:val="7C890965"/>
    <w:rsid w:val="7CAC83DB"/>
    <w:rsid w:val="7CDDBE0C"/>
    <w:rsid w:val="7E6CECD1"/>
    <w:rsid w:val="7E752C9C"/>
    <w:rsid w:val="7F26E6BA"/>
    <w:rsid w:val="7F9B0FF6"/>
    <w:rsid w:val="7FF096D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252A"/>
  </w:style>
  <w:style w:type="paragraph" w:styleId="Heading1">
    <w:name w:val="heading 1"/>
    <w:basedOn w:val="Normal"/>
    <w:next w:val="Normal"/>
    <w:link w:val="Heading1Char"/>
    <w:uiPriority w:val="9"/>
    <w:qFormat/>
    <w:rsid w:val="0051252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1252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1252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51252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1252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1252A"/>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51252A"/>
    <w:pPr>
      <w:ind w:left="720"/>
      <w:contextualSpacing/>
    </w:pPr>
  </w:style>
  <w:style w:type="character" w:styleId="Hyperlink">
    <w:name w:val="Hyperlink"/>
    <w:basedOn w:val="DefaultParagraphFont"/>
    <w:uiPriority w:val="99"/>
    <w:unhideWhenUsed/>
    <w:rsid w:val="0051252A"/>
    <w:rPr>
      <w:color w:val="0563C1" w:themeColor="hyperlink"/>
      <w:u w:val="single"/>
    </w:rPr>
  </w:style>
  <w:style w:type="paragraph" w:styleId="BalloonText">
    <w:name w:val="Balloon Text"/>
    <w:basedOn w:val="Normal"/>
    <w:link w:val="BalloonTextChar"/>
    <w:uiPriority w:val="99"/>
    <w:semiHidden/>
    <w:unhideWhenUsed/>
    <w:rsid w:val="00665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5DE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11/jan.14251" TargetMode="External"/><Relationship Id="rId13" Type="http://schemas.openxmlformats.org/officeDocument/2006/relationships/hyperlink" Target="https://doi.org/10.17135/jdhs.2021.21.2.86" TargetMode="External"/><Relationship Id="rId18" Type="http://schemas.openxmlformats.org/officeDocument/2006/relationships/hyperlink" Target="https://doi.org/10.1002/gps.5251" TargetMode="External"/><Relationship Id="rId3" Type="http://schemas.openxmlformats.org/officeDocument/2006/relationships/settings" Target="settings.xml"/><Relationship Id="rId21" Type="http://schemas.openxmlformats.org/officeDocument/2006/relationships/hyperlink" Target="https://www.frontiersin.org/articles/10.3389/fpubh.2020.00044/full" TargetMode="External"/><Relationship Id="rId7" Type="http://schemas.openxmlformats.org/officeDocument/2006/relationships/hyperlink" Target="https://www.ncbi.nlm.nih.gov/pmc/articles/PMC5396486/" TargetMode="External"/><Relationship Id="rId12" Type="http://schemas.openxmlformats.org/officeDocument/2006/relationships/hyperlink" Target="https://doi.org/10.1002/cpp.2052" TargetMode="External"/><Relationship Id="rId17" Type="http://schemas.openxmlformats.org/officeDocument/2006/relationships/hyperlink" Target="https://pubmed.ncbi.nlm.nih.gov/27868356/" TargetMode="External"/><Relationship Id="rId2" Type="http://schemas.openxmlformats.org/officeDocument/2006/relationships/styles" Target="styles.xml"/><Relationship Id="rId16" Type="http://schemas.openxmlformats.org/officeDocument/2006/relationships/hyperlink" Target="https://doi.org/10.1111/jocn.13522" TargetMode="External"/><Relationship Id="rId20" Type="http://schemas.openxmlformats.org/officeDocument/2006/relationships/hyperlink" Target="http://dx.doi.org/10.24193/tras.59E.7" TargetMode="External"/><Relationship Id="rId1" Type="http://schemas.openxmlformats.org/officeDocument/2006/relationships/numbering" Target="numbering.xml"/><Relationship Id="rId6" Type="http://schemas.openxmlformats.org/officeDocument/2006/relationships/hyperlink" Target="https://www.ageuk.org.uk/information-advice/care/helping-a-loved-one/caring-dementia/" TargetMode="External"/><Relationship Id="rId11" Type="http://schemas.openxmlformats.org/officeDocument/2006/relationships/hyperlink" Target="https://doi.org/10.1007/s10459-018-09869-y" TargetMode="External"/><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ojslib3.buu.in.th/index.php/hrd/article/view/6597" TargetMode="External"/><Relationship Id="rId23" Type="http://schemas.openxmlformats.org/officeDocument/2006/relationships/fontTable" Target="fontTable.xml"/><Relationship Id="R83b1b26061da41c6" Type="http://schemas.microsoft.com/office/2019/09/relationships/intelligence" Target="intelligence.xml"/><Relationship Id="rId10" Type="http://schemas.openxmlformats.org/officeDocument/2006/relationships/hyperlink" Target="https://doi.org/10.33790/jphip1100170" TargetMode="External"/><Relationship Id="rId19" Type="http://schemas.openxmlformats.org/officeDocument/2006/relationships/hyperlink" Target="https://doi.org/10.1111/hex.12640" TargetMode="External"/><Relationship Id="rId4" Type="http://schemas.openxmlformats.org/officeDocument/2006/relationships/webSettings" Target="webSettings.xml"/><Relationship Id="rId9" Type="http://schemas.openxmlformats.org/officeDocument/2006/relationships/hyperlink" Target="https://dx.doi.org/10.1371%2Fjournal.pone.0229923" TargetMode="External"/><Relationship Id="rId14" Type="http://schemas.openxmlformats.org/officeDocument/2006/relationships/hyperlink" Target="https://doi.org/10.1159/000513069" TargetMode="External"/><Relationship Id="rId22" Type="http://schemas.openxmlformats.org/officeDocument/2006/relationships/hyperlink" Target="https://doi.org/10.1080/13575279.2021.19241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3483</Words>
  <Characters>19856</Characters>
  <Application>Microsoft Office Word</Application>
  <DocSecurity>0</DocSecurity>
  <Lines>165</Lines>
  <Paragraphs>46</Paragraphs>
  <ScaleCrop>false</ScaleCrop>
  <Company/>
  <LinksUpToDate>false</LinksUpToDate>
  <CharactersWithSpaces>23293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Ivelina Parker (1921483)</dc:creator>
  <cp:keywords/>
  <dc:description/>
  <cp:lastModifiedBy>iveli</cp:lastModifiedBy>
  <cp:revision>5</cp:revision>
  <dcterms:created xsi:type="dcterms:W3CDTF">2021-09-05T10:29:00Z</dcterms:created>
  <dcterms:modified xsi:type="dcterms:W3CDTF">2021-09-06T19:25:00Z</dcterms:modified>
</cp:coreProperties>
</file>