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A629FE" w14:textId="77777777" w:rsidR="00F1786F" w:rsidRPr="00DA2321" w:rsidRDefault="00F1786F" w:rsidP="00F1786F">
      <w:pPr>
        <w:spacing w:after="0"/>
        <w:jc w:val="center"/>
        <w:rPr>
          <w:rFonts w:ascii="Arial" w:hAnsi="Arial" w:cs="Arial"/>
          <w:b/>
          <w:bCs/>
          <w:sz w:val="40"/>
          <w:szCs w:val="36"/>
        </w:rPr>
      </w:pPr>
    </w:p>
    <w:p w14:paraId="7B0FFCD1" w14:textId="77777777" w:rsidR="00F1786F" w:rsidRPr="00DA2321" w:rsidRDefault="00F1786F" w:rsidP="00F1786F">
      <w:pPr>
        <w:spacing w:after="0"/>
        <w:jc w:val="center"/>
        <w:rPr>
          <w:rFonts w:ascii="Arial" w:hAnsi="Arial" w:cs="Arial"/>
          <w:b/>
          <w:bCs/>
          <w:sz w:val="40"/>
          <w:szCs w:val="36"/>
        </w:rPr>
      </w:pPr>
    </w:p>
    <w:p w14:paraId="7D04DFC5" w14:textId="77777777" w:rsidR="00F1786F" w:rsidRPr="00DA2321" w:rsidRDefault="00F1786F" w:rsidP="00F1786F">
      <w:pPr>
        <w:spacing w:after="0"/>
        <w:jc w:val="center"/>
        <w:rPr>
          <w:rFonts w:ascii="Arial" w:hAnsi="Arial" w:cs="Arial"/>
          <w:b/>
          <w:bCs/>
          <w:sz w:val="40"/>
          <w:szCs w:val="36"/>
        </w:rPr>
      </w:pPr>
    </w:p>
    <w:p w14:paraId="6DDEC7B8" w14:textId="77777777" w:rsidR="00F1786F" w:rsidRPr="00DA2321" w:rsidRDefault="00F1786F" w:rsidP="00F1786F">
      <w:pPr>
        <w:spacing w:after="0"/>
        <w:jc w:val="center"/>
        <w:rPr>
          <w:rFonts w:ascii="Arial" w:hAnsi="Arial" w:cs="Arial"/>
          <w:b/>
          <w:bCs/>
          <w:sz w:val="40"/>
          <w:szCs w:val="36"/>
        </w:rPr>
      </w:pPr>
    </w:p>
    <w:p w14:paraId="32AFF87D" w14:textId="77777777" w:rsidR="00F1786F" w:rsidRPr="00DA2321" w:rsidRDefault="00F1786F" w:rsidP="00F1786F">
      <w:pPr>
        <w:spacing w:after="0"/>
        <w:jc w:val="center"/>
        <w:rPr>
          <w:rFonts w:ascii="Arial" w:hAnsi="Arial" w:cs="Arial"/>
          <w:b/>
          <w:bCs/>
          <w:sz w:val="40"/>
          <w:szCs w:val="36"/>
        </w:rPr>
      </w:pPr>
    </w:p>
    <w:p w14:paraId="5F6E95C8" w14:textId="77777777" w:rsidR="00F1786F" w:rsidRPr="00DA2321" w:rsidRDefault="00F1786F" w:rsidP="00F1786F">
      <w:pPr>
        <w:spacing w:after="0"/>
        <w:jc w:val="center"/>
        <w:rPr>
          <w:rFonts w:ascii="Arial" w:hAnsi="Arial" w:cs="Arial"/>
          <w:b/>
          <w:bCs/>
          <w:sz w:val="40"/>
          <w:szCs w:val="36"/>
        </w:rPr>
      </w:pPr>
    </w:p>
    <w:p w14:paraId="2B67F00B" w14:textId="23DC8F34" w:rsidR="00F1786F" w:rsidRPr="00DA2321" w:rsidRDefault="00000000" w:rsidP="00F1786F">
      <w:pPr>
        <w:spacing w:after="0"/>
        <w:jc w:val="center"/>
        <w:rPr>
          <w:rFonts w:ascii="Arial" w:hAnsi="Arial" w:cs="Arial"/>
          <w:b/>
          <w:bCs/>
          <w:sz w:val="40"/>
          <w:szCs w:val="36"/>
        </w:rPr>
      </w:pPr>
      <w:r w:rsidRPr="00DA2321">
        <w:rPr>
          <w:rFonts w:ascii="Arial" w:hAnsi="Arial" w:cs="Arial"/>
          <w:b/>
          <w:bCs/>
          <w:sz w:val="40"/>
          <w:szCs w:val="36"/>
        </w:rPr>
        <w:t>Population Health and Digital Health Promotion</w:t>
      </w:r>
    </w:p>
    <w:p w14:paraId="780C4A86" w14:textId="1769FEFF" w:rsidR="00F1786F" w:rsidRPr="00DA2321" w:rsidRDefault="00000000" w:rsidP="00F1786F">
      <w:pPr>
        <w:spacing w:after="0"/>
        <w:jc w:val="center"/>
        <w:rPr>
          <w:rFonts w:ascii="Arial" w:hAnsi="Arial" w:cs="Arial"/>
          <w:b/>
          <w:bCs/>
          <w:sz w:val="40"/>
          <w:szCs w:val="36"/>
        </w:rPr>
      </w:pPr>
      <w:r w:rsidRPr="00DA2321">
        <w:rPr>
          <w:rFonts w:ascii="Arial" w:hAnsi="Arial" w:cs="Arial"/>
          <w:b/>
          <w:bCs/>
          <w:sz w:val="40"/>
          <w:szCs w:val="36"/>
        </w:rPr>
        <w:t>Component 1</w:t>
      </w:r>
    </w:p>
    <w:p w14:paraId="2523D853" w14:textId="58683A27" w:rsidR="00F1786F" w:rsidRPr="00DA2321" w:rsidRDefault="00000000" w:rsidP="00F1786F">
      <w:pPr>
        <w:spacing w:after="0"/>
        <w:jc w:val="center"/>
        <w:rPr>
          <w:rFonts w:ascii="Arial" w:hAnsi="Arial" w:cs="Arial"/>
          <w:b/>
          <w:bCs/>
          <w:sz w:val="40"/>
          <w:szCs w:val="36"/>
        </w:rPr>
      </w:pPr>
      <w:r w:rsidRPr="00DA2321">
        <w:rPr>
          <w:rFonts w:ascii="Arial" w:hAnsi="Arial" w:cs="Arial"/>
          <w:b/>
          <w:bCs/>
          <w:sz w:val="40"/>
          <w:szCs w:val="36"/>
        </w:rPr>
        <w:t>Task 1- Blog</w:t>
      </w:r>
    </w:p>
    <w:p w14:paraId="4DF01B4C" w14:textId="0F5403D6" w:rsidR="00F1786F" w:rsidRPr="00DA2321" w:rsidRDefault="00000000" w:rsidP="00F1786F">
      <w:pPr>
        <w:spacing w:after="0"/>
        <w:jc w:val="center"/>
        <w:rPr>
          <w:rFonts w:ascii="Arial" w:hAnsi="Arial" w:cs="Arial"/>
          <w:b/>
          <w:bCs/>
          <w:sz w:val="40"/>
          <w:szCs w:val="36"/>
        </w:rPr>
      </w:pPr>
      <w:r w:rsidRPr="00DA2321">
        <w:rPr>
          <w:rFonts w:ascii="Arial" w:hAnsi="Arial" w:cs="Arial"/>
          <w:b/>
          <w:bCs/>
          <w:sz w:val="40"/>
          <w:szCs w:val="36"/>
        </w:rPr>
        <w:t>Task 2- Poster</w:t>
      </w:r>
    </w:p>
    <w:p w14:paraId="120CFC8B" w14:textId="77777777" w:rsidR="00F1786F" w:rsidRPr="00DA2321" w:rsidRDefault="00000000">
      <w:pPr>
        <w:spacing w:line="259" w:lineRule="auto"/>
        <w:jc w:val="left"/>
        <w:rPr>
          <w:rFonts w:ascii="Arial" w:eastAsia="Times New Roman" w:hAnsi="Arial" w:cs="Arial"/>
          <w:b/>
          <w:bCs/>
          <w:color w:val="000000"/>
          <w:szCs w:val="24"/>
        </w:rPr>
      </w:pPr>
      <w:r w:rsidRPr="00DA2321">
        <w:rPr>
          <w:rFonts w:ascii="Arial" w:eastAsia="Times New Roman" w:hAnsi="Arial" w:cs="Arial"/>
          <w:b/>
          <w:bCs/>
          <w:color w:val="000000"/>
          <w:szCs w:val="24"/>
        </w:rPr>
        <w:br w:type="page"/>
      </w:r>
    </w:p>
    <w:sdt>
      <w:sdtPr>
        <w:rPr>
          <w:rFonts w:ascii="Times New Roman" w:eastAsiaTheme="minorHAnsi" w:hAnsi="Times New Roman" w:cstheme="minorBidi"/>
          <w:color w:val="auto"/>
          <w:sz w:val="24"/>
          <w:szCs w:val="22"/>
          <w:shd w:val="clear" w:color="auto" w:fill="auto"/>
        </w:rPr>
        <w:id w:val="-741490856"/>
        <w:docPartObj>
          <w:docPartGallery w:val="Table of Contents"/>
          <w:docPartUnique/>
        </w:docPartObj>
      </w:sdtPr>
      <w:sdtEndPr>
        <w:rPr>
          <w:rFonts w:ascii="Arial" w:hAnsi="Arial" w:cs="Arial"/>
          <w:b/>
          <w:bCs/>
          <w:noProof/>
          <w:sz w:val="22"/>
        </w:rPr>
      </w:sdtEndPr>
      <w:sdtContent>
        <w:p w14:paraId="10E5C26C" w14:textId="690E6FE1" w:rsidR="00F1786F" w:rsidRPr="005B7E27" w:rsidRDefault="00000000" w:rsidP="005B7E27">
          <w:pPr>
            <w:pStyle w:val="TOCHeading"/>
            <w:spacing w:line="360" w:lineRule="auto"/>
            <w:jc w:val="both"/>
            <w:rPr>
              <w:rFonts w:ascii="Arial" w:hAnsi="Arial" w:cs="Arial"/>
              <w:color w:val="000000" w:themeColor="text1"/>
              <w:sz w:val="22"/>
              <w:szCs w:val="22"/>
            </w:rPr>
          </w:pPr>
          <w:r w:rsidRPr="005B7E27">
            <w:rPr>
              <w:rFonts w:ascii="Arial" w:hAnsi="Arial" w:cs="Arial"/>
              <w:color w:val="000000" w:themeColor="text1"/>
              <w:sz w:val="22"/>
              <w:szCs w:val="22"/>
            </w:rPr>
            <w:t>Table of Contents</w:t>
          </w:r>
        </w:p>
        <w:p w14:paraId="29FFA081" w14:textId="4D77FFB1" w:rsidR="00F1786F" w:rsidRPr="005B7E27" w:rsidRDefault="00000000" w:rsidP="005B7E27">
          <w:pPr>
            <w:pStyle w:val="TOC1"/>
            <w:tabs>
              <w:tab w:val="right" w:leader="dot" w:pos="9350"/>
            </w:tabs>
            <w:rPr>
              <w:rFonts w:ascii="Arial" w:hAnsi="Arial" w:cs="Arial"/>
              <w:noProof/>
              <w:color w:val="000000" w:themeColor="text1"/>
              <w:sz w:val="22"/>
            </w:rPr>
          </w:pPr>
          <w:r w:rsidRPr="005B7E27">
            <w:rPr>
              <w:rFonts w:ascii="Arial" w:hAnsi="Arial" w:cs="Arial"/>
              <w:color w:val="000000" w:themeColor="text1"/>
              <w:sz w:val="22"/>
            </w:rPr>
            <w:fldChar w:fldCharType="begin"/>
          </w:r>
          <w:r w:rsidRPr="005B7E27">
            <w:rPr>
              <w:rFonts w:ascii="Arial" w:hAnsi="Arial" w:cs="Arial"/>
              <w:color w:val="000000" w:themeColor="text1"/>
              <w:sz w:val="22"/>
            </w:rPr>
            <w:instrText xml:space="preserve"> TOC \o "1-3" \h \z \u </w:instrText>
          </w:r>
          <w:r w:rsidRPr="005B7E27">
            <w:rPr>
              <w:rFonts w:ascii="Arial" w:hAnsi="Arial" w:cs="Arial"/>
              <w:color w:val="000000" w:themeColor="text1"/>
              <w:sz w:val="22"/>
            </w:rPr>
            <w:fldChar w:fldCharType="separate"/>
          </w:r>
          <w:hyperlink w:anchor="_Toc172051731" w:history="1">
            <w:r w:rsidRPr="005B7E27">
              <w:rPr>
                <w:rStyle w:val="Hyperlink"/>
                <w:rFonts w:ascii="Arial" w:hAnsi="Arial" w:cs="Arial"/>
                <w:noProof/>
                <w:color w:val="000000" w:themeColor="text1"/>
                <w:sz w:val="22"/>
              </w:rPr>
              <w:t>Task 1: Blogs</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_Toc172051731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3</w:t>
            </w:r>
            <w:r w:rsidRPr="005B7E27">
              <w:rPr>
                <w:rFonts w:ascii="Arial" w:hAnsi="Arial" w:cs="Arial"/>
                <w:noProof/>
                <w:webHidden/>
                <w:color w:val="000000" w:themeColor="text1"/>
                <w:sz w:val="22"/>
              </w:rPr>
              <w:fldChar w:fldCharType="end"/>
            </w:r>
          </w:hyperlink>
        </w:p>
        <w:p w14:paraId="4EBD2B69" w14:textId="3F85A998" w:rsidR="00F1786F" w:rsidRPr="005B7E27" w:rsidRDefault="00000000" w:rsidP="005B7E27">
          <w:pPr>
            <w:pStyle w:val="TOC2"/>
            <w:tabs>
              <w:tab w:val="right" w:leader="dot" w:pos="9350"/>
            </w:tabs>
            <w:rPr>
              <w:rFonts w:ascii="Arial" w:hAnsi="Arial" w:cs="Arial"/>
              <w:noProof/>
              <w:color w:val="000000" w:themeColor="text1"/>
              <w:sz w:val="22"/>
            </w:rPr>
          </w:pPr>
          <w:hyperlink w:anchor="_Toc172051732" w:history="1">
            <w:r w:rsidRPr="005B7E27">
              <w:rPr>
                <w:rStyle w:val="Hyperlink"/>
                <w:rFonts w:ascii="Arial" w:hAnsi="Arial" w:cs="Arial"/>
                <w:noProof/>
                <w:color w:val="000000" w:themeColor="text1"/>
                <w:sz w:val="22"/>
              </w:rPr>
              <w:t>Blog 1: Impact of IoT for a digital health promotion intervention</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_Toc172051732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3</w:t>
            </w:r>
            <w:r w:rsidRPr="005B7E27">
              <w:rPr>
                <w:rFonts w:ascii="Arial" w:hAnsi="Arial" w:cs="Arial"/>
                <w:noProof/>
                <w:webHidden/>
                <w:color w:val="000000" w:themeColor="text1"/>
                <w:sz w:val="22"/>
              </w:rPr>
              <w:fldChar w:fldCharType="end"/>
            </w:r>
          </w:hyperlink>
        </w:p>
        <w:p w14:paraId="4A373DFA" w14:textId="39566FA6" w:rsidR="00F1786F" w:rsidRPr="005B7E27" w:rsidRDefault="00000000" w:rsidP="005B7E27">
          <w:pPr>
            <w:pStyle w:val="TOC2"/>
            <w:tabs>
              <w:tab w:val="right" w:leader="dot" w:pos="9350"/>
            </w:tabs>
            <w:rPr>
              <w:rFonts w:ascii="Arial" w:hAnsi="Arial" w:cs="Arial"/>
              <w:noProof/>
              <w:color w:val="000000" w:themeColor="text1"/>
              <w:sz w:val="22"/>
            </w:rPr>
          </w:pPr>
          <w:hyperlink w:anchor="_Toc172051733" w:history="1">
            <w:r w:rsidRPr="005B7E27">
              <w:rPr>
                <w:rStyle w:val="Hyperlink"/>
                <w:rFonts w:ascii="Arial" w:hAnsi="Arial" w:cs="Arial"/>
                <w:noProof/>
                <w:color w:val="000000" w:themeColor="text1"/>
                <w:sz w:val="22"/>
              </w:rPr>
              <w:t>Blog 2: Impact of a digital technology that is designed for a digital Health promotion intervention</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_Toc172051733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5</w:t>
            </w:r>
            <w:r w:rsidRPr="005B7E27">
              <w:rPr>
                <w:rFonts w:ascii="Arial" w:hAnsi="Arial" w:cs="Arial"/>
                <w:noProof/>
                <w:webHidden/>
                <w:color w:val="000000" w:themeColor="text1"/>
                <w:sz w:val="22"/>
              </w:rPr>
              <w:fldChar w:fldCharType="end"/>
            </w:r>
          </w:hyperlink>
        </w:p>
        <w:p w14:paraId="445169B3" w14:textId="560D20DE" w:rsidR="00F1786F" w:rsidRPr="005B7E27" w:rsidRDefault="00000000" w:rsidP="005B7E27">
          <w:pPr>
            <w:pStyle w:val="TOC1"/>
            <w:tabs>
              <w:tab w:val="right" w:leader="dot" w:pos="9350"/>
            </w:tabs>
            <w:rPr>
              <w:rFonts w:ascii="Arial" w:hAnsi="Arial" w:cs="Arial"/>
              <w:noProof/>
              <w:color w:val="000000" w:themeColor="text1"/>
              <w:sz w:val="22"/>
            </w:rPr>
          </w:pPr>
          <w:hyperlink w:anchor="_Toc172051734" w:history="1">
            <w:r w:rsidRPr="005B7E27">
              <w:rPr>
                <w:rStyle w:val="Hyperlink"/>
                <w:rFonts w:ascii="Arial" w:hAnsi="Arial" w:cs="Arial"/>
                <w:noProof/>
                <w:color w:val="000000" w:themeColor="text1"/>
                <w:sz w:val="22"/>
              </w:rPr>
              <w:t>Task 2: Poster</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_Toc172051734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7</w:t>
            </w:r>
            <w:r w:rsidRPr="005B7E27">
              <w:rPr>
                <w:rFonts w:ascii="Arial" w:hAnsi="Arial" w:cs="Arial"/>
                <w:noProof/>
                <w:webHidden/>
                <w:color w:val="000000" w:themeColor="text1"/>
                <w:sz w:val="22"/>
              </w:rPr>
              <w:fldChar w:fldCharType="end"/>
            </w:r>
          </w:hyperlink>
        </w:p>
        <w:p w14:paraId="0250D59E" w14:textId="13B755BD" w:rsidR="00F1786F" w:rsidRPr="005B7E27" w:rsidRDefault="00000000" w:rsidP="005B7E27">
          <w:pPr>
            <w:pStyle w:val="TOC2"/>
            <w:tabs>
              <w:tab w:val="right" w:leader="dot" w:pos="9350"/>
            </w:tabs>
            <w:rPr>
              <w:rFonts w:ascii="Arial" w:hAnsi="Arial" w:cs="Arial"/>
              <w:noProof/>
              <w:color w:val="000000" w:themeColor="text1"/>
              <w:sz w:val="22"/>
            </w:rPr>
          </w:pPr>
          <w:hyperlink w:anchor="_Toc172051735" w:history="1">
            <w:r w:rsidRPr="005B7E27">
              <w:rPr>
                <w:rStyle w:val="Hyperlink"/>
                <w:rFonts w:ascii="Arial" w:hAnsi="Arial" w:cs="Arial"/>
                <w:noProof/>
                <w:color w:val="000000" w:themeColor="text1"/>
                <w:sz w:val="22"/>
              </w:rPr>
              <w:t>Background</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_Toc172051735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7</w:t>
            </w:r>
            <w:r w:rsidRPr="005B7E27">
              <w:rPr>
                <w:rFonts w:ascii="Arial" w:hAnsi="Arial" w:cs="Arial"/>
                <w:noProof/>
                <w:webHidden/>
                <w:color w:val="000000" w:themeColor="text1"/>
                <w:sz w:val="22"/>
              </w:rPr>
              <w:fldChar w:fldCharType="end"/>
            </w:r>
          </w:hyperlink>
        </w:p>
        <w:p w14:paraId="721FBCDA" w14:textId="5D61A1F3" w:rsidR="00F1786F" w:rsidRPr="005B7E27" w:rsidRDefault="00000000" w:rsidP="005B7E27">
          <w:pPr>
            <w:pStyle w:val="TOC2"/>
            <w:tabs>
              <w:tab w:val="right" w:leader="dot" w:pos="9350"/>
            </w:tabs>
            <w:rPr>
              <w:rFonts w:ascii="Arial" w:hAnsi="Arial" w:cs="Arial"/>
              <w:noProof/>
              <w:color w:val="000000" w:themeColor="text1"/>
              <w:sz w:val="22"/>
            </w:rPr>
          </w:pPr>
          <w:hyperlink w:anchor="_Toc172051736" w:history="1">
            <w:r w:rsidRPr="005B7E27">
              <w:rPr>
                <w:rStyle w:val="Hyperlink"/>
                <w:rFonts w:ascii="Arial" w:hAnsi="Arial" w:cs="Arial"/>
                <w:noProof/>
                <w:color w:val="000000" w:themeColor="text1"/>
                <w:sz w:val="22"/>
              </w:rPr>
              <w:t>Health promotion values and principles</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_Toc172051736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7</w:t>
            </w:r>
            <w:r w:rsidRPr="005B7E27">
              <w:rPr>
                <w:rFonts w:ascii="Arial" w:hAnsi="Arial" w:cs="Arial"/>
                <w:noProof/>
                <w:webHidden/>
                <w:color w:val="000000" w:themeColor="text1"/>
                <w:sz w:val="22"/>
              </w:rPr>
              <w:fldChar w:fldCharType="end"/>
            </w:r>
          </w:hyperlink>
        </w:p>
        <w:p w14:paraId="469CE8B7" w14:textId="6E4B6739" w:rsidR="00F1786F" w:rsidRPr="005B7E27" w:rsidRDefault="00000000" w:rsidP="005B7E27">
          <w:pPr>
            <w:pStyle w:val="TOC2"/>
            <w:tabs>
              <w:tab w:val="right" w:leader="dot" w:pos="9350"/>
            </w:tabs>
            <w:rPr>
              <w:rFonts w:ascii="Arial" w:hAnsi="Arial" w:cs="Arial"/>
              <w:noProof/>
              <w:color w:val="000000" w:themeColor="text1"/>
              <w:sz w:val="22"/>
            </w:rPr>
          </w:pPr>
          <w:hyperlink w:anchor="_Toc172051737" w:history="1">
            <w:r w:rsidRPr="005B7E27">
              <w:rPr>
                <w:rStyle w:val="Hyperlink"/>
                <w:rFonts w:ascii="Arial" w:hAnsi="Arial" w:cs="Arial"/>
                <w:noProof/>
                <w:color w:val="000000" w:themeColor="text1"/>
                <w:sz w:val="22"/>
              </w:rPr>
              <w:t>Behavioural Change Theory</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_Toc172051737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8</w:t>
            </w:r>
            <w:r w:rsidRPr="005B7E27">
              <w:rPr>
                <w:rFonts w:ascii="Arial" w:hAnsi="Arial" w:cs="Arial"/>
                <w:noProof/>
                <w:webHidden/>
                <w:color w:val="000000" w:themeColor="text1"/>
                <w:sz w:val="22"/>
              </w:rPr>
              <w:fldChar w:fldCharType="end"/>
            </w:r>
          </w:hyperlink>
        </w:p>
        <w:p w14:paraId="0C988615" w14:textId="3B91CB9C" w:rsidR="00F1786F" w:rsidRPr="005B7E27" w:rsidRDefault="00000000" w:rsidP="005B7E27">
          <w:pPr>
            <w:pStyle w:val="TOC2"/>
            <w:tabs>
              <w:tab w:val="right" w:leader="dot" w:pos="9350"/>
            </w:tabs>
            <w:rPr>
              <w:rFonts w:ascii="Arial" w:hAnsi="Arial" w:cs="Arial"/>
              <w:noProof/>
              <w:color w:val="000000" w:themeColor="text1"/>
              <w:sz w:val="22"/>
            </w:rPr>
          </w:pPr>
          <w:hyperlink w:anchor="_Toc172051738" w:history="1">
            <w:r w:rsidRPr="005B7E27">
              <w:rPr>
                <w:rStyle w:val="Hyperlink"/>
                <w:rFonts w:ascii="Arial" w:hAnsi="Arial" w:cs="Arial"/>
                <w:noProof/>
                <w:color w:val="000000" w:themeColor="text1"/>
                <w:sz w:val="22"/>
              </w:rPr>
              <w:t>Expected outcome</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_Toc172051738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10</w:t>
            </w:r>
            <w:r w:rsidRPr="005B7E27">
              <w:rPr>
                <w:rFonts w:ascii="Arial" w:hAnsi="Arial" w:cs="Arial"/>
                <w:noProof/>
                <w:webHidden/>
                <w:color w:val="000000" w:themeColor="text1"/>
                <w:sz w:val="22"/>
              </w:rPr>
              <w:fldChar w:fldCharType="end"/>
            </w:r>
          </w:hyperlink>
        </w:p>
        <w:p w14:paraId="525C7FB0" w14:textId="2096CC61" w:rsidR="00F1786F" w:rsidRPr="005B7E27" w:rsidRDefault="00000000" w:rsidP="005B7E27">
          <w:pPr>
            <w:pStyle w:val="TOC2"/>
            <w:tabs>
              <w:tab w:val="right" w:leader="dot" w:pos="9350"/>
            </w:tabs>
            <w:rPr>
              <w:rFonts w:ascii="Arial" w:hAnsi="Arial" w:cs="Arial"/>
              <w:noProof/>
              <w:color w:val="000000" w:themeColor="text1"/>
              <w:sz w:val="22"/>
            </w:rPr>
          </w:pPr>
          <w:hyperlink w:anchor="_Toc172051739" w:history="1">
            <w:r w:rsidRPr="005B7E27">
              <w:rPr>
                <w:rStyle w:val="Hyperlink"/>
                <w:rFonts w:ascii="Arial" w:hAnsi="Arial" w:cs="Arial"/>
                <w:noProof/>
                <w:color w:val="000000" w:themeColor="text1"/>
                <w:sz w:val="22"/>
              </w:rPr>
              <w:t>Conclusion</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_Toc172051739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10</w:t>
            </w:r>
            <w:r w:rsidRPr="005B7E27">
              <w:rPr>
                <w:rFonts w:ascii="Arial" w:hAnsi="Arial" w:cs="Arial"/>
                <w:noProof/>
                <w:webHidden/>
                <w:color w:val="000000" w:themeColor="text1"/>
                <w:sz w:val="22"/>
              </w:rPr>
              <w:fldChar w:fldCharType="end"/>
            </w:r>
          </w:hyperlink>
        </w:p>
        <w:p w14:paraId="419B5549" w14:textId="456CADCB" w:rsidR="00F1786F" w:rsidRPr="005B7E27" w:rsidRDefault="00000000" w:rsidP="005B7E27">
          <w:pPr>
            <w:pStyle w:val="TOC1"/>
            <w:tabs>
              <w:tab w:val="right" w:leader="dot" w:pos="9350"/>
            </w:tabs>
            <w:rPr>
              <w:rFonts w:ascii="Arial" w:hAnsi="Arial" w:cs="Arial"/>
              <w:noProof/>
              <w:color w:val="000000" w:themeColor="text1"/>
              <w:sz w:val="22"/>
            </w:rPr>
          </w:pPr>
          <w:hyperlink w:anchor="_Toc172051740" w:history="1">
            <w:r w:rsidRPr="005B7E27">
              <w:rPr>
                <w:rStyle w:val="Hyperlink"/>
                <w:rFonts w:ascii="Arial" w:hAnsi="Arial" w:cs="Arial"/>
                <w:noProof/>
                <w:color w:val="000000" w:themeColor="text1"/>
                <w:sz w:val="22"/>
                <w:shd w:val="clear" w:color="auto" w:fill="FFFFFF"/>
              </w:rPr>
              <w:t>References</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_Toc172051740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12</w:t>
            </w:r>
            <w:r w:rsidRPr="005B7E27">
              <w:rPr>
                <w:rFonts w:ascii="Arial" w:hAnsi="Arial" w:cs="Arial"/>
                <w:noProof/>
                <w:webHidden/>
                <w:color w:val="000000" w:themeColor="text1"/>
                <w:sz w:val="22"/>
              </w:rPr>
              <w:fldChar w:fldCharType="end"/>
            </w:r>
          </w:hyperlink>
        </w:p>
        <w:p w14:paraId="7F239CE5" w14:textId="766208ED" w:rsidR="00F1786F" w:rsidRPr="005B7E27" w:rsidRDefault="00000000" w:rsidP="005B7E27">
          <w:pPr>
            <w:pStyle w:val="TOC2"/>
            <w:tabs>
              <w:tab w:val="right" w:leader="dot" w:pos="9350"/>
            </w:tabs>
            <w:rPr>
              <w:rFonts w:ascii="Arial" w:hAnsi="Arial" w:cs="Arial"/>
              <w:noProof/>
              <w:color w:val="000000" w:themeColor="text1"/>
              <w:sz w:val="22"/>
            </w:rPr>
          </w:pPr>
          <w:hyperlink w:anchor="_Toc172051741" w:history="1">
            <w:r w:rsidRPr="005B7E27">
              <w:rPr>
                <w:rStyle w:val="Hyperlink"/>
                <w:rFonts w:ascii="Arial" w:hAnsi="Arial" w:cs="Arial"/>
                <w:noProof/>
                <w:color w:val="000000" w:themeColor="text1"/>
                <w:sz w:val="22"/>
                <w:shd w:val="clear" w:color="auto" w:fill="FFFFFF"/>
              </w:rPr>
              <w:t>References for Blog 1</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_Toc172051741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12</w:t>
            </w:r>
            <w:r w:rsidRPr="005B7E27">
              <w:rPr>
                <w:rFonts w:ascii="Arial" w:hAnsi="Arial" w:cs="Arial"/>
                <w:noProof/>
                <w:webHidden/>
                <w:color w:val="000000" w:themeColor="text1"/>
                <w:sz w:val="22"/>
              </w:rPr>
              <w:fldChar w:fldCharType="end"/>
            </w:r>
          </w:hyperlink>
        </w:p>
        <w:p w14:paraId="1446F30E" w14:textId="3929134F" w:rsidR="00F1786F" w:rsidRPr="005B7E27" w:rsidRDefault="00000000" w:rsidP="005B7E27">
          <w:pPr>
            <w:pStyle w:val="TOC2"/>
            <w:tabs>
              <w:tab w:val="right" w:leader="dot" w:pos="9350"/>
            </w:tabs>
            <w:rPr>
              <w:rFonts w:ascii="Arial" w:hAnsi="Arial" w:cs="Arial"/>
              <w:noProof/>
              <w:color w:val="000000" w:themeColor="text1"/>
              <w:sz w:val="22"/>
            </w:rPr>
          </w:pPr>
          <w:hyperlink w:anchor="_Toc172051742" w:history="1">
            <w:r w:rsidRPr="005B7E27">
              <w:rPr>
                <w:rStyle w:val="Hyperlink"/>
                <w:rFonts w:ascii="Arial" w:hAnsi="Arial" w:cs="Arial"/>
                <w:noProof/>
                <w:color w:val="000000" w:themeColor="text1"/>
                <w:sz w:val="22"/>
                <w:shd w:val="clear" w:color="auto" w:fill="FFFFFF"/>
              </w:rPr>
              <w:t>References for Blog 2</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_Toc172051742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12</w:t>
            </w:r>
            <w:r w:rsidRPr="005B7E27">
              <w:rPr>
                <w:rFonts w:ascii="Arial" w:hAnsi="Arial" w:cs="Arial"/>
                <w:noProof/>
                <w:webHidden/>
                <w:color w:val="000000" w:themeColor="text1"/>
                <w:sz w:val="22"/>
              </w:rPr>
              <w:fldChar w:fldCharType="end"/>
            </w:r>
          </w:hyperlink>
        </w:p>
        <w:p w14:paraId="00E72F4A" w14:textId="66721B4D" w:rsidR="00F1786F" w:rsidRPr="005B7E27" w:rsidRDefault="00000000" w:rsidP="005B7E27">
          <w:pPr>
            <w:pStyle w:val="TOC2"/>
            <w:tabs>
              <w:tab w:val="right" w:leader="dot" w:pos="9350"/>
            </w:tabs>
            <w:rPr>
              <w:rFonts w:ascii="Arial" w:hAnsi="Arial" w:cs="Arial"/>
              <w:noProof/>
              <w:color w:val="000000" w:themeColor="text1"/>
              <w:sz w:val="22"/>
            </w:rPr>
          </w:pPr>
          <w:hyperlink w:anchor="_Toc172051743" w:history="1">
            <w:r w:rsidRPr="005B7E27">
              <w:rPr>
                <w:rStyle w:val="Hyperlink"/>
                <w:rFonts w:ascii="Arial" w:hAnsi="Arial" w:cs="Arial"/>
                <w:noProof/>
                <w:color w:val="000000" w:themeColor="text1"/>
                <w:sz w:val="22"/>
              </w:rPr>
              <w:t>References for Poster</w:t>
            </w:r>
            <w:r w:rsidRPr="005B7E27">
              <w:rPr>
                <w:rFonts w:ascii="Arial" w:hAnsi="Arial" w:cs="Arial"/>
                <w:noProof/>
                <w:webHidden/>
                <w:color w:val="000000" w:themeColor="text1"/>
                <w:sz w:val="22"/>
              </w:rPr>
              <w:tab/>
            </w:r>
            <w:r w:rsidRPr="005B7E27">
              <w:rPr>
                <w:rFonts w:ascii="Arial" w:hAnsi="Arial" w:cs="Arial"/>
                <w:noProof/>
                <w:webHidden/>
                <w:color w:val="000000" w:themeColor="text1"/>
                <w:sz w:val="22"/>
              </w:rPr>
              <w:fldChar w:fldCharType="begin"/>
            </w:r>
            <w:r w:rsidRPr="005B7E27">
              <w:rPr>
                <w:rFonts w:ascii="Arial" w:hAnsi="Arial" w:cs="Arial"/>
                <w:noProof/>
                <w:webHidden/>
                <w:color w:val="000000" w:themeColor="text1"/>
                <w:sz w:val="22"/>
              </w:rPr>
              <w:instrText xml:space="preserve"> PAGEREF _Toc172051743 \h </w:instrText>
            </w:r>
            <w:r w:rsidRPr="005B7E27">
              <w:rPr>
                <w:rFonts w:ascii="Arial" w:hAnsi="Arial" w:cs="Arial"/>
                <w:noProof/>
                <w:webHidden/>
                <w:color w:val="000000" w:themeColor="text1"/>
                <w:sz w:val="22"/>
              </w:rPr>
            </w:r>
            <w:r w:rsidRPr="005B7E27">
              <w:rPr>
                <w:rFonts w:ascii="Arial" w:hAnsi="Arial" w:cs="Arial"/>
                <w:noProof/>
                <w:webHidden/>
                <w:color w:val="000000" w:themeColor="text1"/>
                <w:sz w:val="22"/>
              </w:rPr>
              <w:fldChar w:fldCharType="separate"/>
            </w:r>
            <w:r w:rsidRPr="005B7E27">
              <w:rPr>
                <w:rFonts w:ascii="Arial" w:hAnsi="Arial" w:cs="Arial"/>
                <w:noProof/>
                <w:webHidden/>
                <w:color w:val="000000" w:themeColor="text1"/>
                <w:sz w:val="22"/>
              </w:rPr>
              <w:t>12</w:t>
            </w:r>
            <w:r w:rsidRPr="005B7E27">
              <w:rPr>
                <w:rFonts w:ascii="Arial" w:hAnsi="Arial" w:cs="Arial"/>
                <w:noProof/>
                <w:webHidden/>
                <w:color w:val="000000" w:themeColor="text1"/>
                <w:sz w:val="22"/>
              </w:rPr>
              <w:fldChar w:fldCharType="end"/>
            </w:r>
          </w:hyperlink>
        </w:p>
        <w:p w14:paraId="59605DAF" w14:textId="428E52E2" w:rsidR="00F1786F" w:rsidRPr="00DA2321" w:rsidRDefault="00000000" w:rsidP="005B7E27">
          <w:pPr>
            <w:rPr>
              <w:rFonts w:ascii="Arial" w:hAnsi="Arial" w:cs="Arial"/>
              <w:sz w:val="22"/>
            </w:rPr>
          </w:pPr>
          <w:r w:rsidRPr="005B7E27">
            <w:rPr>
              <w:rFonts w:ascii="Arial" w:hAnsi="Arial" w:cs="Arial"/>
              <w:b/>
              <w:bCs/>
              <w:noProof/>
              <w:color w:val="000000" w:themeColor="text1"/>
              <w:sz w:val="22"/>
            </w:rPr>
            <w:fldChar w:fldCharType="end"/>
          </w:r>
        </w:p>
      </w:sdtContent>
    </w:sdt>
    <w:p w14:paraId="39348BC6" w14:textId="77777777" w:rsidR="00F1786F" w:rsidRPr="00DA2321" w:rsidRDefault="00000000">
      <w:pPr>
        <w:spacing w:line="259" w:lineRule="auto"/>
        <w:jc w:val="left"/>
        <w:rPr>
          <w:rFonts w:ascii="Arial" w:eastAsia="Times New Roman" w:hAnsi="Arial" w:cs="Arial"/>
          <w:b/>
          <w:bCs/>
          <w:color w:val="000000"/>
          <w:sz w:val="22"/>
        </w:rPr>
      </w:pPr>
      <w:r w:rsidRPr="00DA2321">
        <w:rPr>
          <w:rFonts w:ascii="Arial" w:eastAsia="Times New Roman" w:hAnsi="Arial" w:cs="Arial"/>
          <w:b/>
          <w:bCs/>
          <w:color w:val="000000"/>
          <w:sz w:val="22"/>
        </w:rPr>
        <w:br w:type="page"/>
      </w:r>
    </w:p>
    <w:p w14:paraId="2C4FE3FE" w14:textId="77777777" w:rsidR="00F1786F" w:rsidRPr="00DA2321" w:rsidRDefault="00000000" w:rsidP="00DA2321">
      <w:pPr>
        <w:pStyle w:val="Heading1"/>
      </w:pPr>
      <w:bookmarkStart w:id="0" w:name="_Toc172051731"/>
      <w:r w:rsidRPr="00DA2321">
        <w:lastRenderedPageBreak/>
        <w:t>Task 1: Blogs</w:t>
      </w:r>
      <w:bookmarkEnd w:id="0"/>
    </w:p>
    <w:p w14:paraId="255C96D7" w14:textId="0FC8FAF3" w:rsidR="00056284" w:rsidRPr="00DA2321" w:rsidRDefault="00000000" w:rsidP="00DA2321">
      <w:pPr>
        <w:pStyle w:val="Heading2"/>
      </w:pPr>
      <w:bookmarkStart w:id="1" w:name="_Toc172051732"/>
      <w:r w:rsidRPr="00DA2321">
        <w:t>Blog 1: Impact of IoT for a digital health promotion intervention</w:t>
      </w:r>
      <w:bookmarkEnd w:id="1"/>
    </w:p>
    <w:p w14:paraId="6C13860D"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b/>
          <w:bCs/>
          <w:color w:val="000000"/>
          <w:sz w:val="22"/>
        </w:rPr>
        <w:t>Public health problem and the reason for concern</w:t>
      </w:r>
    </w:p>
    <w:p w14:paraId="440A99A8"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color w:val="000000"/>
          <w:sz w:val="22"/>
        </w:rPr>
        <w:t xml:space="preserve">The health issue of dementia among elderly people develops challenges to supporting public health and well-being (Liu et al., 2020). Dementia has become a major health concern for elderly people in different countries. It also has increased difficulties in encouraging elderly people to return to the active course of life. Increased difficulties in performing regular activities and sudden changes in health conditions require proper health monitoring facilities for elderly dementia patients.   </w:t>
      </w:r>
    </w:p>
    <w:p w14:paraId="65B5A276"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b/>
          <w:bCs/>
          <w:color w:val="000000"/>
          <w:sz w:val="22"/>
        </w:rPr>
        <w:t>IoT for health promotion to address the public health problem </w:t>
      </w:r>
    </w:p>
    <w:p w14:paraId="0426804F"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color w:val="000000"/>
          <w:sz w:val="22"/>
        </w:rPr>
        <w:t>IoT can solve the issue of health monitoring for dementia patients. IoT is widely used for real-time data collection that creates facilities for healthcare service providers to access information about dementia patients and monitor activities (Sheikhtaheri, and Sabermahani, 2022). IoT-based wearables for elderly dementia patients help to monitor their activities. Information about sleeping habits and heart rate also helps healthcare givers to support them constantly. Real-time data collection using IoT also increases efficiency in addressing the public health care problem of dementia in elderly patients. By monitoring the healthcare needs of dementia patients in different healthcare settings, the improvement of dementia care can be possible with IoT.</w:t>
      </w:r>
    </w:p>
    <w:p w14:paraId="5414F857"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b/>
          <w:bCs/>
          <w:color w:val="000000"/>
          <w:sz w:val="22"/>
        </w:rPr>
        <w:t>Literature to reflect on IoT for health promotion</w:t>
      </w:r>
    </w:p>
    <w:p w14:paraId="438810CD"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color w:val="000000"/>
          <w:sz w:val="22"/>
        </w:rPr>
        <w:t>IoT provides patient-related information through applications and timely updates the healthcare providers regarding the health conditions of elderly dementia patients so that immediate actions can be implemented. High accuracy maintenance with IoT ensures the efficiency of healthcare units in dementia patient care. The use of wearables based on IoT technology for dementia patients helps care providers identify how the patient is performing regular activities (Kim, Cheon, and Lim, 2022). It also creates scope to involve the healthcare service providers in an informed decision-making process. Android applications with IoT technology support healthcare promotion. </w:t>
      </w:r>
    </w:p>
    <w:p w14:paraId="55F9513A"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b/>
          <w:bCs/>
          <w:color w:val="000000"/>
          <w:sz w:val="22"/>
        </w:rPr>
        <w:t>Impact of IoT in health promotion considering advantages and disadvantages</w:t>
      </w:r>
    </w:p>
    <w:p w14:paraId="58AE0638"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b/>
          <w:bCs/>
          <w:color w:val="000000"/>
          <w:sz w:val="22"/>
        </w:rPr>
        <w:t>Advantages </w:t>
      </w:r>
    </w:p>
    <w:p w14:paraId="27317E9E" w14:textId="77777777" w:rsidR="00056284" w:rsidRPr="00DA2321" w:rsidRDefault="00000000" w:rsidP="00056284">
      <w:pPr>
        <w:pStyle w:val="ListParagraph"/>
        <w:numPr>
          <w:ilvl w:val="0"/>
          <w:numId w:val="2"/>
        </w:numPr>
        <w:spacing w:after="0"/>
        <w:rPr>
          <w:rFonts w:ascii="Arial" w:eastAsia="Times New Roman" w:hAnsi="Arial" w:cs="Arial"/>
          <w:sz w:val="22"/>
        </w:rPr>
      </w:pPr>
      <w:r w:rsidRPr="00DA2321">
        <w:rPr>
          <w:rFonts w:ascii="Arial" w:eastAsia="Times New Roman" w:hAnsi="Arial" w:cs="Arial"/>
          <w:color w:val="000000"/>
          <w:sz w:val="22"/>
        </w:rPr>
        <w:t>Real-time data collection of the patient </w:t>
      </w:r>
    </w:p>
    <w:p w14:paraId="30D338EF" w14:textId="77777777" w:rsidR="00056284" w:rsidRPr="00DA2321" w:rsidRDefault="00000000" w:rsidP="00056284">
      <w:pPr>
        <w:pStyle w:val="ListParagraph"/>
        <w:numPr>
          <w:ilvl w:val="0"/>
          <w:numId w:val="2"/>
        </w:numPr>
        <w:spacing w:after="0"/>
        <w:rPr>
          <w:rFonts w:ascii="Arial" w:eastAsia="Times New Roman" w:hAnsi="Arial" w:cs="Arial"/>
          <w:sz w:val="22"/>
        </w:rPr>
      </w:pPr>
      <w:r w:rsidRPr="00DA2321">
        <w:rPr>
          <w:rFonts w:ascii="Arial" w:eastAsia="Times New Roman" w:hAnsi="Arial" w:cs="Arial"/>
          <w:color w:val="000000"/>
          <w:sz w:val="22"/>
        </w:rPr>
        <w:t>Easy access to information to support patients in physical activities </w:t>
      </w:r>
    </w:p>
    <w:p w14:paraId="323BF1E1" w14:textId="77777777" w:rsidR="00056284" w:rsidRPr="00DA2321" w:rsidRDefault="00000000" w:rsidP="00056284">
      <w:pPr>
        <w:pStyle w:val="ListParagraph"/>
        <w:numPr>
          <w:ilvl w:val="0"/>
          <w:numId w:val="2"/>
        </w:numPr>
        <w:spacing w:after="0"/>
        <w:rPr>
          <w:rFonts w:ascii="Arial" w:eastAsia="Times New Roman" w:hAnsi="Arial" w:cs="Arial"/>
          <w:sz w:val="22"/>
        </w:rPr>
      </w:pPr>
      <w:r w:rsidRPr="00DA2321">
        <w:rPr>
          <w:rFonts w:ascii="Arial" w:eastAsia="Times New Roman" w:hAnsi="Arial" w:cs="Arial"/>
          <w:color w:val="000000"/>
          <w:sz w:val="22"/>
        </w:rPr>
        <w:t>Heart rate monitoring of patients </w:t>
      </w:r>
    </w:p>
    <w:p w14:paraId="40BB2266" w14:textId="77777777" w:rsidR="00056284" w:rsidRPr="00DA2321" w:rsidRDefault="00000000" w:rsidP="00056284">
      <w:pPr>
        <w:pStyle w:val="ListParagraph"/>
        <w:numPr>
          <w:ilvl w:val="0"/>
          <w:numId w:val="2"/>
        </w:numPr>
        <w:spacing w:after="0"/>
        <w:rPr>
          <w:rFonts w:ascii="Arial" w:eastAsia="Times New Roman" w:hAnsi="Arial" w:cs="Arial"/>
          <w:sz w:val="22"/>
        </w:rPr>
      </w:pPr>
      <w:r w:rsidRPr="00DA2321">
        <w:rPr>
          <w:rFonts w:ascii="Arial" w:eastAsia="Times New Roman" w:hAnsi="Arial" w:cs="Arial"/>
          <w:color w:val="000000"/>
          <w:sz w:val="22"/>
        </w:rPr>
        <w:t>Ideas about patient health conditions to take immediate actions </w:t>
      </w:r>
    </w:p>
    <w:p w14:paraId="66237ED7" w14:textId="77777777" w:rsidR="00056284" w:rsidRPr="00DA2321" w:rsidRDefault="00000000" w:rsidP="00056284">
      <w:pPr>
        <w:pStyle w:val="ListParagraph"/>
        <w:numPr>
          <w:ilvl w:val="0"/>
          <w:numId w:val="2"/>
        </w:numPr>
        <w:spacing w:after="0"/>
        <w:rPr>
          <w:rFonts w:ascii="Arial" w:eastAsia="Times New Roman" w:hAnsi="Arial" w:cs="Arial"/>
          <w:sz w:val="22"/>
        </w:rPr>
      </w:pPr>
      <w:r w:rsidRPr="00DA2321">
        <w:rPr>
          <w:rFonts w:ascii="Arial" w:eastAsia="Times New Roman" w:hAnsi="Arial" w:cs="Arial"/>
          <w:color w:val="000000"/>
          <w:sz w:val="22"/>
        </w:rPr>
        <w:lastRenderedPageBreak/>
        <w:t>Automatic information collection based on specific healthcare metrics such as heart rate, temperature, and blood pressure (Liu et al., 2020)</w:t>
      </w:r>
    </w:p>
    <w:p w14:paraId="7AC5EB7F"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b/>
          <w:bCs/>
          <w:color w:val="000000"/>
          <w:sz w:val="22"/>
        </w:rPr>
        <w:t>Disadvantages  </w:t>
      </w:r>
    </w:p>
    <w:p w14:paraId="15E86ED6" w14:textId="77777777" w:rsidR="00056284" w:rsidRPr="00DA2321" w:rsidRDefault="00000000" w:rsidP="00056284">
      <w:pPr>
        <w:pStyle w:val="ListParagraph"/>
        <w:numPr>
          <w:ilvl w:val="0"/>
          <w:numId w:val="1"/>
        </w:numPr>
        <w:spacing w:after="0"/>
        <w:rPr>
          <w:rFonts w:ascii="Arial" w:eastAsia="Times New Roman" w:hAnsi="Arial" w:cs="Arial"/>
          <w:sz w:val="22"/>
        </w:rPr>
      </w:pPr>
      <w:r w:rsidRPr="00DA2321">
        <w:rPr>
          <w:rFonts w:ascii="Arial" w:eastAsia="Times New Roman" w:hAnsi="Arial" w:cs="Arial"/>
          <w:color w:val="000000"/>
          <w:sz w:val="22"/>
        </w:rPr>
        <w:t>Data security and privacy issues of patients in the applications can reveal the secret information of patients to unknown parties, which may harm the reputation of the patient and the healthcare unit (Selvaraj and Sundaravaradhan, 2020)</w:t>
      </w:r>
    </w:p>
    <w:p w14:paraId="10F0B96C" w14:textId="77777777" w:rsidR="00056284" w:rsidRPr="00DA2321" w:rsidRDefault="00000000" w:rsidP="00056284">
      <w:pPr>
        <w:pStyle w:val="ListParagraph"/>
        <w:numPr>
          <w:ilvl w:val="0"/>
          <w:numId w:val="1"/>
        </w:numPr>
        <w:spacing w:after="0"/>
        <w:rPr>
          <w:rFonts w:ascii="Arial" w:eastAsia="Times New Roman" w:hAnsi="Arial" w:cs="Arial"/>
          <w:sz w:val="22"/>
        </w:rPr>
      </w:pPr>
      <w:r w:rsidRPr="00DA2321">
        <w:rPr>
          <w:rFonts w:ascii="Arial" w:eastAsia="Times New Roman" w:hAnsi="Arial" w:cs="Arial"/>
          <w:color w:val="000000"/>
          <w:sz w:val="22"/>
        </w:rPr>
        <w:t>Risks of patient confidentiality and trust issues may increase challenges in supporting the laws and ethics of patient care and family involvement.</w:t>
      </w:r>
    </w:p>
    <w:p w14:paraId="7E06281E" w14:textId="77777777" w:rsidR="00056284" w:rsidRPr="00DA2321" w:rsidRDefault="00000000" w:rsidP="00056284">
      <w:pPr>
        <w:pStyle w:val="ListParagraph"/>
        <w:numPr>
          <w:ilvl w:val="0"/>
          <w:numId w:val="1"/>
        </w:numPr>
        <w:spacing w:after="0"/>
        <w:rPr>
          <w:rFonts w:ascii="Arial" w:eastAsia="Times New Roman" w:hAnsi="Arial" w:cs="Arial"/>
          <w:sz w:val="22"/>
        </w:rPr>
      </w:pPr>
      <w:r w:rsidRPr="00DA2321">
        <w:rPr>
          <w:rFonts w:ascii="Arial" w:eastAsia="Times New Roman" w:hAnsi="Arial" w:cs="Arial"/>
          <w:color w:val="000000"/>
          <w:sz w:val="22"/>
        </w:rPr>
        <w:t>Lack of coherence within devices and platforms can disrupt the proper application to monitor the health and well-being of dementia patients.</w:t>
      </w:r>
    </w:p>
    <w:p w14:paraId="4D3DF677" w14:textId="77777777" w:rsidR="00056284" w:rsidRPr="00DA2321" w:rsidRDefault="00000000" w:rsidP="00056284">
      <w:pPr>
        <w:spacing w:after="0"/>
        <w:rPr>
          <w:rFonts w:ascii="Arial" w:eastAsia="Times New Roman" w:hAnsi="Arial" w:cs="Arial"/>
          <w:sz w:val="22"/>
        </w:rPr>
      </w:pPr>
      <w:r w:rsidRPr="00DA2321">
        <w:rPr>
          <w:rFonts w:ascii="Arial" w:eastAsia="Times New Roman" w:hAnsi="Arial" w:cs="Arial"/>
          <w:b/>
          <w:bCs/>
          <w:color w:val="000000"/>
          <w:sz w:val="22"/>
        </w:rPr>
        <w:t>Ways to address the shortfalls </w:t>
      </w:r>
    </w:p>
    <w:p w14:paraId="5D251EE7" w14:textId="77777777" w:rsidR="00056284" w:rsidRPr="00DA2321" w:rsidRDefault="00000000" w:rsidP="00056284">
      <w:pPr>
        <w:spacing w:after="0"/>
        <w:rPr>
          <w:rFonts w:ascii="Arial" w:eastAsia="Times New Roman" w:hAnsi="Arial" w:cs="Arial"/>
          <w:color w:val="000000"/>
          <w:sz w:val="22"/>
        </w:rPr>
      </w:pPr>
      <w:r w:rsidRPr="00DA2321">
        <w:rPr>
          <w:rFonts w:ascii="Arial" w:eastAsia="Times New Roman" w:hAnsi="Arial" w:cs="Arial"/>
          <w:color w:val="000000"/>
          <w:sz w:val="22"/>
        </w:rPr>
        <w:t>The cyber security protocols are used to secure patient data. Proper authentication and password security can help to retain the confidentiality of the patient. It will help to avoid leakage of information from the database or applications. A strong digital infrastructure will be required to address the issue of lack of coherence. A proper link between the device and the digital infrastructure will be necessary to support the applicability of IoT technology in health promotion. </w:t>
      </w:r>
    </w:p>
    <w:p w14:paraId="0DCCB299" w14:textId="77777777" w:rsidR="00F1786F" w:rsidRPr="00DA2321" w:rsidRDefault="00000000">
      <w:pPr>
        <w:spacing w:line="259" w:lineRule="auto"/>
        <w:jc w:val="left"/>
        <w:rPr>
          <w:rFonts w:ascii="Arial" w:eastAsia="Times New Roman" w:hAnsi="Arial" w:cs="Arial"/>
          <w:b/>
          <w:bCs/>
          <w:color w:val="000000"/>
          <w:sz w:val="22"/>
        </w:rPr>
      </w:pPr>
      <w:r w:rsidRPr="00DA2321">
        <w:rPr>
          <w:rFonts w:ascii="Arial" w:hAnsi="Arial" w:cs="Arial"/>
          <w:sz w:val="22"/>
        </w:rPr>
        <w:br w:type="page"/>
      </w:r>
    </w:p>
    <w:p w14:paraId="149D3A80" w14:textId="1AF395F6" w:rsidR="00F1786F" w:rsidRPr="00DA2321" w:rsidRDefault="00000000" w:rsidP="00DA2321">
      <w:pPr>
        <w:pStyle w:val="Heading2"/>
      </w:pPr>
      <w:bookmarkStart w:id="2" w:name="_Toc172051733"/>
      <w:r w:rsidRPr="00DA2321">
        <w:lastRenderedPageBreak/>
        <w:t>Blog 2: Impact of a digital technology that is designed for a digital health promotion intervention</w:t>
      </w:r>
      <w:bookmarkEnd w:id="2"/>
    </w:p>
    <w:p w14:paraId="6EDA07C1"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 xml:space="preserve">Public health problems and concerns related to the problem </w:t>
      </w:r>
    </w:p>
    <w:p w14:paraId="3D686D5A"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Obesity has been considered a chronic health issue that is negatively affecting adult health. Excessive fat in adults creates the risk of health impairment. Growing health issues of obesity among adults also drifted them from the active course of life (Albury et al., 2020). It has also become challenging to address obesity in different healthcare units. The problem of obesity is a major concern to be resolved. In that case, technology-based interventions may be required to address the issue. Accuracy in information collection about patient's health suffering due to obesity can help to undertake actions to support patient care. </w:t>
      </w:r>
    </w:p>
    <w:p w14:paraId="6A37E172"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Digital technology that is designed for intervention</w:t>
      </w:r>
    </w:p>
    <w:p w14:paraId="7CD0C4C0"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Digital interventions are effective in dealing with the challenge of obesity (Patel, Wakayama, and Bennett, 2021). A belt for fat measurement for obese people can be built with AI technology. Health monitoring technology AI-based fat measuring belts can be a revolution for healthcare units. The digitally active belts can help to monitor the fat levels within the patients and notify both the patient and the healthcare professionals about the need to dissolve fat to lose weight. Designing an AI-based fat measuring belt for tackling obesity can help to diagnose the patient's health conditions and support proper care. Interventions based on AI technology will also create scope for the healthcare units to timely collect information about obese adults to prescribe medicines and provide a diet chart. </w:t>
      </w:r>
    </w:p>
    <w:p w14:paraId="701900FE"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Process of addressing the public health problem with designed digital technology </w:t>
      </w:r>
    </w:p>
    <w:p w14:paraId="0A480B3C"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The AI-based fat measurement belt can be attached to the patient's waist, and it will provide results in 60 seconds to measure the patient's fat levels. Within the healthcare units, digital intervention will help to predict and measure fat levels with easy access to information. AI will also help to automatically provide information to healthcare professionals to take necessary actions to reduce fat. Measurement of fat rate within an obese adult with the AI-based fat measurement belt will help the individuals to be aware of their weight to control dietary habits. Health promotion with AI-based interventions ensures opportunities for patients to obtain clinical support (Senbekov et al., 2020). However, the digital solution designed for obese adults will also help to address the global public health issue of obesity. </w:t>
      </w:r>
    </w:p>
    <w:p w14:paraId="08E3B320"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Impact of the designed digital technology in health promotion </w:t>
      </w:r>
    </w:p>
    <w:p w14:paraId="225B7A30"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Advantages</w:t>
      </w:r>
    </w:p>
    <w:p w14:paraId="2A6B59AE" w14:textId="77777777" w:rsidR="00F1786F" w:rsidRPr="00DA2321" w:rsidRDefault="00000000" w:rsidP="00F1786F">
      <w:pPr>
        <w:pStyle w:val="NormalWeb"/>
        <w:numPr>
          <w:ilvl w:val="0"/>
          <w:numId w:val="4"/>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Easy measurement of fat will help to take immediate actions </w:t>
      </w:r>
    </w:p>
    <w:p w14:paraId="735C44AB" w14:textId="77777777" w:rsidR="00F1786F" w:rsidRPr="00DA2321" w:rsidRDefault="00000000" w:rsidP="00F1786F">
      <w:pPr>
        <w:pStyle w:val="NormalWeb"/>
        <w:numPr>
          <w:ilvl w:val="0"/>
          <w:numId w:val="4"/>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The automated system of AI will offer suggestions for dietary charts </w:t>
      </w:r>
    </w:p>
    <w:p w14:paraId="35C359DE" w14:textId="77777777" w:rsidR="00F1786F" w:rsidRPr="00DA2321" w:rsidRDefault="00000000" w:rsidP="00F1786F">
      <w:pPr>
        <w:pStyle w:val="NormalWeb"/>
        <w:numPr>
          <w:ilvl w:val="0"/>
          <w:numId w:val="4"/>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lastRenderedPageBreak/>
        <w:t xml:space="preserve">Increased awareness about fat levels will be possible among healthcare professionals </w:t>
      </w:r>
    </w:p>
    <w:p w14:paraId="225B7C55" w14:textId="77777777" w:rsidR="00F1786F" w:rsidRPr="00DA2321" w:rsidRDefault="00000000" w:rsidP="00F1786F">
      <w:pPr>
        <w:pStyle w:val="NormalWeb"/>
        <w:numPr>
          <w:ilvl w:val="0"/>
          <w:numId w:val="4"/>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Better monitoring of fat will help to prescribe medicines to obese adults on time</w:t>
      </w:r>
    </w:p>
    <w:p w14:paraId="2ABD84D3"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Disadvantages </w:t>
      </w:r>
    </w:p>
    <w:p w14:paraId="439D521E" w14:textId="77777777" w:rsidR="00F1786F" w:rsidRPr="00DA2321" w:rsidRDefault="00000000" w:rsidP="00F1786F">
      <w:pPr>
        <w:pStyle w:val="NormalWeb"/>
        <w:numPr>
          <w:ilvl w:val="0"/>
          <w:numId w:val="3"/>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Inaccuracies or technical faults within the AI-based fat measurement belts may lead to the wrong medication or treatment.</w:t>
      </w:r>
    </w:p>
    <w:p w14:paraId="05641CF9" w14:textId="77777777" w:rsidR="00F1786F" w:rsidRPr="00DA2321" w:rsidRDefault="00000000" w:rsidP="00F1786F">
      <w:pPr>
        <w:pStyle w:val="NormalWeb"/>
        <w:numPr>
          <w:ilvl w:val="0"/>
          <w:numId w:val="3"/>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Data security due to data threats within the system may reduce patient trust. </w:t>
      </w:r>
    </w:p>
    <w:p w14:paraId="6CB8284A"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Addressing shortfalls </w:t>
      </w:r>
    </w:p>
    <w:p w14:paraId="6FEE82AF" w14:textId="77777777" w:rsidR="00F1786F" w:rsidRPr="00DA2321" w:rsidRDefault="00000000" w:rsidP="00F1786F">
      <w:pPr>
        <w:pStyle w:val="NormalWeb"/>
        <w:spacing w:before="0" w:beforeAutospacing="0" w:after="0" w:afterAutospacing="0" w:line="360" w:lineRule="auto"/>
        <w:rPr>
          <w:rFonts w:ascii="Arial" w:hAnsi="Arial" w:cs="Arial"/>
          <w:color w:val="000000"/>
          <w:sz w:val="22"/>
          <w:szCs w:val="22"/>
        </w:rPr>
      </w:pPr>
      <w:r w:rsidRPr="00DA2321">
        <w:rPr>
          <w:rFonts w:ascii="Arial" w:hAnsi="Arial" w:cs="Arial"/>
          <w:color w:val="000000"/>
          <w:sz w:val="22"/>
          <w:szCs w:val="22"/>
        </w:rPr>
        <w:t xml:space="preserve">IT experts in healthcare units require proper examination of the system result prediction capacity. Time-to-time investigation of system operations will ensure accuracy. Data protection will be possible with cyber security management practices to avoid challenges of patient data privacy. </w:t>
      </w:r>
    </w:p>
    <w:p w14:paraId="7AB6350C" w14:textId="3B1DF702" w:rsidR="00F1786F" w:rsidRPr="00DA2321" w:rsidRDefault="00000000">
      <w:pPr>
        <w:spacing w:line="259" w:lineRule="auto"/>
        <w:jc w:val="left"/>
        <w:rPr>
          <w:rFonts w:ascii="Arial" w:eastAsia="Times New Roman" w:hAnsi="Arial" w:cs="Arial"/>
          <w:color w:val="000000"/>
          <w:sz w:val="22"/>
        </w:rPr>
      </w:pPr>
      <w:r w:rsidRPr="00DA2321">
        <w:rPr>
          <w:rFonts w:ascii="Arial" w:hAnsi="Arial" w:cs="Arial"/>
          <w:color w:val="000000"/>
          <w:sz w:val="22"/>
        </w:rPr>
        <w:br w:type="page"/>
      </w:r>
    </w:p>
    <w:p w14:paraId="7A3E83C6" w14:textId="77777777" w:rsidR="00F1786F" w:rsidRDefault="00000000" w:rsidP="00DA2321">
      <w:pPr>
        <w:pStyle w:val="Heading1"/>
      </w:pPr>
      <w:bookmarkStart w:id="3" w:name="_Toc172051734"/>
      <w:r w:rsidRPr="00DA2321">
        <w:lastRenderedPageBreak/>
        <w:t>Task 2: Poster</w:t>
      </w:r>
      <w:bookmarkEnd w:id="3"/>
      <w:r w:rsidRPr="00DA2321">
        <w:t> </w:t>
      </w:r>
    </w:p>
    <w:p w14:paraId="125410AA" w14:textId="13F63346" w:rsidR="005B7E27" w:rsidRPr="005B7E27" w:rsidRDefault="005B7E27" w:rsidP="005B7E27">
      <w:pPr>
        <w:jc w:val="center"/>
      </w:pPr>
      <w:r>
        <w:rPr>
          <w:noProof/>
        </w:rPr>
        <w:lastRenderedPageBreak/>
        <w:drawing>
          <wp:inline distT="0" distB="0" distL="0" distR="0" wp14:anchorId="6719C41E" wp14:editId="62859BDF">
            <wp:extent cx="5812155" cy="8229600"/>
            <wp:effectExtent l="0" t="0" r="0" b="0"/>
            <wp:docPr id="7420193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01930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812155" cy="8229600"/>
                    </a:xfrm>
                    <a:prstGeom prst="rect">
                      <a:avLst/>
                    </a:prstGeom>
                  </pic:spPr>
                </pic:pic>
              </a:graphicData>
            </a:graphic>
          </wp:inline>
        </w:drawing>
      </w:r>
    </w:p>
    <w:p w14:paraId="4B5230D9" w14:textId="77777777" w:rsidR="00F1786F" w:rsidRPr="00DA2321" w:rsidRDefault="00000000" w:rsidP="00DA2321">
      <w:pPr>
        <w:pStyle w:val="Heading2"/>
      </w:pPr>
      <w:bookmarkStart w:id="4" w:name="_Toc172051735"/>
      <w:r w:rsidRPr="00DA2321">
        <w:lastRenderedPageBreak/>
        <w:t>Background</w:t>
      </w:r>
      <w:bookmarkEnd w:id="4"/>
      <w:r w:rsidRPr="00DA2321">
        <w:t> </w:t>
      </w:r>
    </w:p>
    <w:p w14:paraId="2B28E0A8"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The adults in the UK aged 18 years and above faced 64% of obesity issues (Gov, 2024). Overweight in adults has become a major issue within the population. The obesity rate in 2015 was around 62.1%, while in 2022, it was 63.8% (Gov, 2024). Due to the high level of challenges in adult weight maintenance, UK adults are constantly facing difficulties dealing with body mass index scores. Obesity is considered when the BMI score is above 30 (Gov, 2024). It has been seen that the public health problem of obesity in UK adults has been increasing abruptly, and 1 out of 4 adults are estimated to be obese. Regular and easy measurement of fat and body weight can help healthcare professionals and patients focus on solutions to avoid obesity to live a healthy life. A healthcare intervention is highly required to address the public health issue of obesity. It may help the patients to focus on healthy dietary habits and the healthcare professionals to actively support patients. </w:t>
      </w:r>
    </w:p>
    <w:p w14:paraId="5A3F4F1E"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The non-technology intervention of BMI indicator tools and human-aided operations helped in measuring body weight and body fat. It often resulted in inaccuracies as the tools are not made with advanced technologies. Technology-based support, such as IoT sensors and wearables for health monitoring, also helped in measuring BMI, which increased knowledge about patient's health conditions (Gupta, Parikh, and Swarnalatha, 2020). Nonetheless, digital technology, such as predictive analytics, is also used to predict the health issues of obese patients. These solutions have so far supported healthcare units to reduce obesity. </w:t>
      </w:r>
    </w:p>
    <w:p w14:paraId="49CB13AE"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AI-based fat diagnosis wearable can increase the scope for healthcare units to be indulged in automatic BMI score assessment and body fat level identification. The digital health intervention of AI fat diagnosis wearable will also develop a feasible solution for healthcare professionals. Based on the efficiency of dealing with the challenges in monitoring obese adults, the solution will help to prescribe diet charts. </w:t>
      </w:r>
    </w:p>
    <w:p w14:paraId="0EBED5A0" w14:textId="77777777" w:rsidR="00F1786F" w:rsidRPr="00DA2321" w:rsidRDefault="00000000" w:rsidP="00DA2321">
      <w:pPr>
        <w:pStyle w:val="Heading2"/>
      </w:pPr>
      <w:bookmarkStart w:id="5" w:name="_Toc172051736"/>
      <w:r w:rsidRPr="00DA2321">
        <w:t>Health promotion values and principles</w:t>
      </w:r>
      <w:bookmarkEnd w:id="5"/>
      <w:r w:rsidRPr="00DA2321">
        <w:t> </w:t>
      </w:r>
    </w:p>
    <w:p w14:paraId="4A1625AE"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Values</w:t>
      </w:r>
    </w:p>
    <w:p w14:paraId="4EB053C9" w14:textId="77777777" w:rsidR="00F1786F" w:rsidRPr="00DA2321" w:rsidRDefault="00000000" w:rsidP="00F1786F">
      <w:pPr>
        <w:pStyle w:val="NormalWeb"/>
        <w:numPr>
          <w:ilvl w:val="0"/>
          <w:numId w:val="5"/>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Empowerment of patients and patient-centered care </w:t>
      </w:r>
    </w:p>
    <w:p w14:paraId="5D8B1C1C" w14:textId="77777777" w:rsidR="00F1786F" w:rsidRPr="00DA2321" w:rsidRDefault="00000000" w:rsidP="00F1786F">
      <w:pPr>
        <w:pStyle w:val="NormalWeb"/>
        <w:numPr>
          <w:ilvl w:val="0"/>
          <w:numId w:val="5"/>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Partnership within the healthcare community</w:t>
      </w:r>
    </w:p>
    <w:p w14:paraId="3CC2530F" w14:textId="77777777" w:rsidR="00F1786F" w:rsidRPr="00DA2321" w:rsidRDefault="00000000" w:rsidP="00F1786F">
      <w:pPr>
        <w:pStyle w:val="NormalWeb"/>
        <w:numPr>
          <w:ilvl w:val="0"/>
          <w:numId w:val="5"/>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Equity in healthcare services (Nutbeam and Muscat, 2021)</w:t>
      </w:r>
    </w:p>
    <w:p w14:paraId="05F94E14" w14:textId="77777777" w:rsidR="00F1786F" w:rsidRPr="00DA2321" w:rsidRDefault="00000000" w:rsidP="00F1786F">
      <w:pPr>
        <w:pStyle w:val="NormalWeb"/>
        <w:numPr>
          <w:ilvl w:val="0"/>
          <w:numId w:val="5"/>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Ethics and transparency in supporting healthcare services </w:t>
      </w:r>
    </w:p>
    <w:p w14:paraId="483510C2"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b/>
          <w:bCs/>
          <w:color w:val="000000"/>
          <w:sz w:val="22"/>
          <w:szCs w:val="22"/>
        </w:rPr>
        <w:t>Principles</w:t>
      </w:r>
    </w:p>
    <w:p w14:paraId="36D0C4DC" w14:textId="77777777" w:rsidR="00F1786F" w:rsidRPr="00DA2321" w:rsidRDefault="00000000" w:rsidP="00F1786F">
      <w:pPr>
        <w:pStyle w:val="NormalWeb"/>
        <w:numPr>
          <w:ilvl w:val="0"/>
          <w:numId w:val="6"/>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The principle of improving personal skills to support patients creates scope for healthcare units to be active in patient-centred operations (Nutbeam and Muscat, 2021).</w:t>
      </w:r>
    </w:p>
    <w:p w14:paraId="021CF25C" w14:textId="77777777" w:rsidR="00F1786F" w:rsidRPr="00DA2321" w:rsidRDefault="00000000" w:rsidP="00F1786F">
      <w:pPr>
        <w:pStyle w:val="NormalWeb"/>
        <w:numPr>
          <w:ilvl w:val="0"/>
          <w:numId w:val="6"/>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lastRenderedPageBreak/>
        <w:t xml:space="preserve">The development of a supporting environment also ensures health promotion that increases the recovery speed of patients in healthcare settings. </w:t>
      </w:r>
    </w:p>
    <w:p w14:paraId="2B8A5D02" w14:textId="77777777" w:rsidR="00F1786F" w:rsidRPr="00DA2321" w:rsidRDefault="00000000" w:rsidP="00F1786F">
      <w:pPr>
        <w:pStyle w:val="NormalWeb"/>
        <w:numPr>
          <w:ilvl w:val="0"/>
          <w:numId w:val="6"/>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The participation of individuals in patient-centred care is also necessary to promote healthcare services (Helfer et al., 2020). </w:t>
      </w:r>
    </w:p>
    <w:p w14:paraId="761EE84C" w14:textId="77777777" w:rsidR="00F1786F" w:rsidRPr="00DA2321" w:rsidRDefault="00000000" w:rsidP="00F1786F">
      <w:pPr>
        <w:pStyle w:val="NormalWeb"/>
        <w:numPr>
          <w:ilvl w:val="0"/>
          <w:numId w:val="6"/>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Action to be taken with competence allows healthcare units to maintain active interventions to deal with the challenges. </w:t>
      </w:r>
    </w:p>
    <w:p w14:paraId="1AC2A2E6" w14:textId="77777777" w:rsidR="00F1786F" w:rsidRPr="00DA2321" w:rsidRDefault="00000000" w:rsidP="00F1786F">
      <w:pPr>
        <w:pStyle w:val="NormalWeb"/>
        <w:numPr>
          <w:ilvl w:val="0"/>
          <w:numId w:val="6"/>
        </w:numPr>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Health equity maintenance by creating equal access to healthcare services is possible with the health promotion principles. </w:t>
      </w:r>
    </w:p>
    <w:p w14:paraId="37F00BA0"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The digital health intervention of AI-based wearables for body fat measurement among obese people will help to empower solutions to reduce obesity. It can also increase the scope to motivate patients to have services of healthcare units. The value of the partnership will be aligned with the strategy to maintain healthcare facilities. AI will update both the patients and the healthcare professionals about the necessity to reduce weight and fat levels to ensure collaborative effort to deal with the healthcare challenge. </w:t>
      </w:r>
    </w:p>
    <w:p w14:paraId="0EFACA33"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t xml:space="preserve">Equity in terms of equal access to AI-based fat measurement systems to the users will be maintained. The value of transparency will be based on the data security of patients who will use the digital intervention. The principle to improve the personal skills of the healthcare professional through using the AI-based fat level diagnosis machine will help to engage the healthcare professional in practice. Health promotion based on the support of healthcare professionals towards patients ensures the successful implementation of healthcare interventions (Albert et al., 2020). Based on the participation of healthcare professionals, the AI-based intervention will ensure patient-centered care. The competence to support equity through promoting the digital health intervention, the healthcare professionals can obtain success in implementing the solution.  </w:t>
      </w:r>
    </w:p>
    <w:p w14:paraId="462BCE89" w14:textId="77777777" w:rsidR="00F1786F" w:rsidRPr="00DA2321" w:rsidRDefault="00000000" w:rsidP="00DA2321">
      <w:pPr>
        <w:pStyle w:val="Heading2"/>
      </w:pPr>
      <w:bookmarkStart w:id="6" w:name="_Toc172051737"/>
      <w:r w:rsidRPr="00DA2321">
        <w:t>Behavioural change theory</w:t>
      </w:r>
      <w:bookmarkEnd w:id="6"/>
      <w:r w:rsidRPr="00DA2321">
        <w:t> </w:t>
      </w:r>
    </w:p>
    <w:p w14:paraId="199F269A"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t xml:space="preserve">The Health Belief Model represents one of the major behavioural change theories. The individual perception in this model shows how health behaviours can be predicted. Beliefs and attitudes associated with behavioural changes determine the perceived susceptibility. The perception of an unhealthy habit helps to determine the adverse outcomes on health (Costa, 2020). The theory also involves the perceived severity levels, which shows how the negative consequences of individual behaviours impact health. The level of severity is assessed through the perceived severity level. </w:t>
      </w:r>
    </w:p>
    <w:p w14:paraId="0998AAB4"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t xml:space="preserve">The perceived benefits involved in the Health Belief model demonstrate the importance of valuing the adaptation of healthier habits to drive toward positive changes. It denotes that individuals must accept healthier habits with better ways to deal with the challenges. The strategy to initiate and </w:t>
      </w:r>
      <w:r w:rsidRPr="00DA2321">
        <w:rPr>
          <w:rFonts w:ascii="Arial" w:eastAsia="Times New Roman" w:hAnsi="Arial" w:cs="Arial"/>
          <w:color w:val="000000"/>
          <w:sz w:val="22"/>
        </w:rPr>
        <w:lastRenderedPageBreak/>
        <w:t xml:space="preserve">maintain healthy behaviour becomes essential to overcome the perceived barriers to behavioural changes. The theory demonstrates that maintenance of healthy behavior can be difficult; however, it shows possibilities to accept the changes. The cues to action also reflect external or internal factors motivating individuals to accept the need to change (Costa, 2020). It ensures the ability to maintain changes to support health and well-being. </w:t>
      </w:r>
    </w:p>
    <w:p w14:paraId="40D97D2E"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t xml:space="preserve">Nonetheless, the entire process of changing behaviour depends on the belief in self-efficacy. Individuals focus on perceived self-efficacy to implement healthy habits and become capable of successfully maintaining healthy habits for long-term health benefits. </w:t>
      </w:r>
    </w:p>
    <w:p w14:paraId="72A4139E"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t>The application of the Health Belief Model can help to promote health benefits to obese adults. </w:t>
      </w:r>
    </w:p>
    <w:p w14:paraId="1B91804C"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b/>
          <w:bCs/>
          <w:color w:val="000000"/>
          <w:sz w:val="22"/>
        </w:rPr>
        <w:t xml:space="preserve">Perceived susceptibility: </w:t>
      </w:r>
      <w:r w:rsidRPr="00DA2321">
        <w:rPr>
          <w:rFonts w:ascii="Arial" w:eastAsia="Times New Roman" w:hAnsi="Arial" w:cs="Arial"/>
          <w:color w:val="000000"/>
          <w:sz w:val="22"/>
        </w:rPr>
        <w:t xml:space="preserve">Adults suffering from obesity can identify their body fat levels using the AI-based fat measurement machine. It can create awareness about the adverse outcomes with the unhealthy benefits. </w:t>
      </w:r>
    </w:p>
    <w:p w14:paraId="37F3ACAA" w14:textId="77777777" w:rsidR="00F1786F" w:rsidRPr="00DA2321" w:rsidRDefault="00000000" w:rsidP="00F1786F">
      <w:pPr>
        <w:pStyle w:val="ListParagraph"/>
        <w:numPr>
          <w:ilvl w:val="0"/>
          <w:numId w:val="7"/>
        </w:numPr>
        <w:spacing w:after="0"/>
        <w:rPr>
          <w:rFonts w:ascii="Arial" w:eastAsia="Times New Roman" w:hAnsi="Arial" w:cs="Arial"/>
          <w:sz w:val="22"/>
        </w:rPr>
      </w:pPr>
      <w:r w:rsidRPr="00DA2321">
        <w:rPr>
          <w:rFonts w:ascii="Arial" w:eastAsia="Times New Roman" w:hAnsi="Arial" w:cs="Arial"/>
          <w:b/>
          <w:bCs/>
          <w:color w:val="000000"/>
          <w:sz w:val="22"/>
        </w:rPr>
        <w:t xml:space="preserve">Perceived severity: </w:t>
      </w:r>
      <w:r w:rsidRPr="00DA2321">
        <w:rPr>
          <w:rFonts w:ascii="Arial" w:eastAsia="Times New Roman" w:hAnsi="Arial" w:cs="Arial"/>
          <w:color w:val="000000"/>
          <w:sz w:val="22"/>
        </w:rPr>
        <w:t>The results obtained through the digital intervention can help to assess the severity level of obesity and the urgency to change the behavior towards healthy diets. It will also promote the well-being of individuals. </w:t>
      </w:r>
    </w:p>
    <w:p w14:paraId="1A33D36C" w14:textId="77777777" w:rsidR="00F1786F" w:rsidRPr="00DA2321" w:rsidRDefault="00000000" w:rsidP="00F1786F">
      <w:pPr>
        <w:pStyle w:val="ListParagraph"/>
        <w:numPr>
          <w:ilvl w:val="0"/>
          <w:numId w:val="7"/>
        </w:numPr>
        <w:spacing w:after="0"/>
        <w:rPr>
          <w:rFonts w:ascii="Arial" w:eastAsia="Times New Roman" w:hAnsi="Arial" w:cs="Arial"/>
          <w:sz w:val="22"/>
        </w:rPr>
      </w:pPr>
      <w:r w:rsidRPr="00DA2321">
        <w:rPr>
          <w:rFonts w:ascii="Arial" w:eastAsia="Times New Roman" w:hAnsi="Arial" w:cs="Arial"/>
          <w:b/>
          <w:bCs/>
          <w:color w:val="000000"/>
          <w:sz w:val="22"/>
        </w:rPr>
        <w:t xml:space="preserve">Perceived benefits: </w:t>
      </w:r>
      <w:r w:rsidRPr="00DA2321">
        <w:rPr>
          <w:rFonts w:ascii="Arial" w:eastAsia="Times New Roman" w:hAnsi="Arial" w:cs="Arial"/>
          <w:color w:val="000000"/>
          <w:sz w:val="22"/>
        </w:rPr>
        <w:t xml:space="preserve">The values such as collaboration, acceptance, and support of healthcare professionals can motivate patients to focus on healthy habits to obtain dietary benefits and reduce fat. </w:t>
      </w:r>
    </w:p>
    <w:p w14:paraId="51428BA8" w14:textId="77777777" w:rsidR="00F1786F" w:rsidRPr="00DA2321" w:rsidRDefault="00000000" w:rsidP="00F1786F">
      <w:pPr>
        <w:pStyle w:val="ListParagraph"/>
        <w:numPr>
          <w:ilvl w:val="0"/>
          <w:numId w:val="7"/>
        </w:numPr>
        <w:spacing w:after="0"/>
        <w:rPr>
          <w:rFonts w:ascii="Arial" w:eastAsia="Times New Roman" w:hAnsi="Arial" w:cs="Arial"/>
          <w:sz w:val="22"/>
        </w:rPr>
      </w:pPr>
      <w:r w:rsidRPr="00DA2321">
        <w:rPr>
          <w:rFonts w:ascii="Arial" w:eastAsia="Times New Roman" w:hAnsi="Arial" w:cs="Arial"/>
          <w:b/>
          <w:bCs/>
          <w:color w:val="000000"/>
          <w:sz w:val="22"/>
        </w:rPr>
        <w:t xml:space="preserve">Perceived barriers: </w:t>
      </w:r>
      <w:r w:rsidRPr="00DA2321">
        <w:rPr>
          <w:rFonts w:ascii="Arial" w:eastAsia="Times New Roman" w:hAnsi="Arial" w:cs="Arial"/>
          <w:color w:val="000000"/>
          <w:sz w:val="22"/>
        </w:rPr>
        <w:t>The habit of consuming unhealthy food items and lack of awareness about the possible risks of obesity may restrict the implementation of the digital intervention. In that case, the maintenance of healthy habits depends on the strategy of supporting health and wellness. </w:t>
      </w:r>
    </w:p>
    <w:p w14:paraId="00F4996E" w14:textId="77777777" w:rsidR="00F1786F" w:rsidRPr="00DA2321" w:rsidRDefault="00000000" w:rsidP="00F1786F">
      <w:pPr>
        <w:pStyle w:val="ListParagraph"/>
        <w:numPr>
          <w:ilvl w:val="0"/>
          <w:numId w:val="7"/>
        </w:numPr>
        <w:spacing w:after="0"/>
        <w:rPr>
          <w:rFonts w:ascii="Arial" w:eastAsia="Times New Roman" w:hAnsi="Arial" w:cs="Arial"/>
          <w:sz w:val="22"/>
        </w:rPr>
      </w:pPr>
      <w:r w:rsidRPr="00DA2321">
        <w:rPr>
          <w:rFonts w:ascii="Arial" w:eastAsia="Times New Roman" w:hAnsi="Arial" w:cs="Arial"/>
          <w:b/>
          <w:bCs/>
          <w:color w:val="000000"/>
          <w:sz w:val="22"/>
        </w:rPr>
        <w:t xml:space="preserve">Cues to action: </w:t>
      </w:r>
      <w:r w:rsidRPr="00DA2321">
        <w:rPr>
          <w:rFonts w:ascii="Arial" w:eastAsia="Times New Roman" w:hAnsi="Arial" w:cs="Arial"/>
          <w:color w:val="000000"/>
          <w:sz w:val="22"/>
        </w:rPr>
        <w:t>The need to change habits of unhealthy consumption can be developed with the guidance of professionals based on the results of AI-based fat-level diagnosis machines. It may also enhance the scope to undertake actions to manage changes. Health promotion through the adaptation of healthy habits may create possibilities to drive behavioural changes (Chandrasekaran, Kundapur, and Rao, 2021). </w:t>
      </w:r>
    </w:p>
    <w:p w14:paraId="42AECBEE" w14:textId="77777777" w:rsidR="00F1786F" w:rsidRPr="00DA2321" w:rsidRDefault="00000000" w:rsidP="00F1786F">
      <w:pPr>
        <w:pStyle w:val="ListParagraph"/>
        <w:numPr>
          <w:ilvl w:val="0"/>
          <w:numId w:val="7"/>
        </w:numPr>
        <w:spacing w:after="0"/>
        <w:rPr>
          <w:rFonts w:ascii="Arial" w:eastAsia="Times New Roman" w:hAnsi="Arial" w:cs="Arial"/>
          <w:sz w:val="22"/>
        </w:rPr>
      </w:pPr>
      <w:r w:rsidRPr="00DA2321">
        <w:rPr>
          <w:rFonts w:ascii="Arial" w:eastAsia="Times New Roman" w:hAnsi="Arial" w:cs="Arial"/>
          <w:b/>
          <w:bCs/>
          <w:color w:val="000000"/>
          <w:sz w:val="22"/>
        </w:rPr>
        <w:t xml:space="preserve">Perceived self-efficacy: </w:t>
      </w:r>
      <w:r w:rsidRPr="00DA2321">
        <w:rPr>
          <w:rFonts w:ascii="Arial" w:eastAsia="Times New Roman" w:hAnsi="Arial" w:cs="Arial"/>
          <w:color w:val="000000"/>
          <w:sz w:val="22"/>
        </w:rPr>
        <w:t xml:space="preserve">The obese adults involved in the process of adapting the digital health intervention to reduce the risk or severity level of obesity can improve self-efficacy to focus on healthy eating habits. It may generate the scope to involve individuals in using AI-based fat measurement machines to reduce BMI and maintain efficiency to support healthy dietary habits for the long term. Therefore, behavioural changes in individuals may create scope for maintaining health promotion (Michie, Johnston, and Carey, 2020). </w:t>
      </w:r>
    </w:p>
    <w:p w14:paraId="46D2416E" w14:textId="77777777" w:rsidR="00F1786F" w:rsidRPr="00DA2321" w:rsidRDefault="00000000" w:rsidP="00DA2321">
      <w:pPr>
        <w:pStyle w:val="Heading2"/>
      </w:pPr>
      <w:bookmarkStart w:id="7" w:name="_Toc172051738"/>
      <w:r w:rsidRPr="00DA2321">
        <w:t>Expected outcome</w:t>
      </w:r>
      <w:bookmarkEnd w:id="7"/>
      <w:r w:rsidRPr="00DA2321">
        <w:t> </w:t>
      </w:r>
    </w:p>
    <w:p w14:paraId="0B24E158"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lastRenderedPageBreak/>
        <w:t xml:space="preserve">The AI-based wearables for adult obese patients may reflect behavioural changes. Based on the effective ways for healthcare professionals to deal with the challenges of obesity, digital health intervention may develop opportunities to support the long-term obesity cure agenda. The behavioural changes in the patients can also improve behaviour to avoid unhealthy consumption. Digital health interventions help healthcare professionals obtain information and make informed decisions (Perski and Short, 2021). In that case, the strategy to increase efficiency in dealing with the challenges related to obesity can also help healthcare professionals encourage patients to adapt to healthy diets. </w:t>
      </w:r>
    </w:p>
    <w:p w14:paraId="20E5B248"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t xml:space="preserve">The digital health intervention will also shape the attitude of healthcare professionals to remain committed to the values and principles of health promotion. Diagnosis of fat levels within adult obese patients will help to deliver information to both the patient and the healthcare professionals, which increases perception about the possible risks or severity level. It may also develop the scope for individuals to identify the health benefits of collaborating with healthcare professionals to accept the possible positive changes in health behaviour. Digital health interventions ensure long-term efficiency to maintain adaptability (Gentili et al., 2022). </w:t>
      </w:r>
    </w:p>
    <w:p w14:paraId="26F5284F" w14:textId="77777777" w:rsidR="00F1786F" w:rsidRPr="00DA2321" w:rsidRDefault="00000000" w:rsidP="00DA2321">
      <w:pPr>
        <w:pStyle w:val="Heading2"/>
      </w:pPr>
      <w:bookmarkStart w:id="8" w:name="_Toc172051739"/>
      <w:r w:rsidRPr="00DA2321">
        <w:t>Conclusion</w:t>
      </w:r>
      <w:bookmarkEnd w:id="8"/>
      <w:r w:rsidRPr="00DA2321">
        <w:t> </w:t>
      </w:r>
    </w:p>
    <w:p w14:paraId="2618225D"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t>The behavioural change theory related to health promotion offers solutions or methods to support digital intervention. AI technology in healthcare has generated the possibilities to ensure long-term support to avoid digital health inequality. The health problem of obesity in adults is targeted to implement digital health intervention. As a result of the growing obesity rate, digital health intervention can support long-term equity within the healthcare setting. The necessity of healthcare intervention lies in accepting the changes. </w:t>
      </w:r>
    </w:p>
    <w:p w14:paraId="06EAFE17" w14:textId="77777777" w:rsidR="00F1786F" w:rsidRPr="00DA2321" w:rsidRDefault="00000000" w:rsidP="00F1786F">
      <w:pPr>
        <w:spacing w:after="0"/>
        <w:rPr>
          <w:rFonts w:ascii="Arial" w:eastAsia="Times New Roman" w:hAnsi="Arial" w:cs="Arial"/>
          <w:sz w:val="22"/>
        </w:rPr>
      </w:pPr>
      <w:r w:rsidRPr="00DA2321">
        <w:rPr>
          <w:rFonts w:ascii="Arial" w:eastAsia="Times New Roman" w:hAnsi="Arial" w:cs="Arial"/>
          <w:color w:val="000000"/>
          <w:sz w:val="22"/>
        </w:rPr>
        <w:t xml:space="preserve">The Health Belief theory generates understanding to approach the healthcare professionals to collaboratively work to reduce obesity. The self-efficacy of patients to tackle the health risks with the support of digital health intervention also ensured the successful implementation of the solution. Health benefits with healthy dietary habits also can change the perception of patients and influence their behavior positively. Technology-based changes in healthcare to support public health also depend on the values and principles of health promotion. The AI-based fat measurement wearables may provide long-term benefits to people suffering from obesity. </w:t>
      </w:r>
    </w:p>
    <w:p w14:paraId="00226398" w14:textId="77777777" w:rsidR="00F1786F" w:rsidRPr="00DA2321" w:rsidRDefault="00000000" w:rsidP="00F1786F">
      <w:pPr>
        <w:rPr>
          <w:rFonts w:ascii="Arial" w:eastAsia="Times New Roman" w:hAnsi="Arial" w:cs="Arial"/>
          <w:color w:val="000000"/>
          <w:sz w:val="22"/>
        </w:rPr>
      </w:pPr>
      <w:r w:rsidRPr="00DA2321">
        <w:rPr>
          <w:rFonts w:ascii="Arial" w:hAnsi="Arial" w:cs="Arial"/>
          <w:color w:val="000000"/>
          <w:sz w:val="22"/>
        </w:rPr>
        <w:br w:type="page"/>
      </w:r>
    </w:p>
    <w:p w14:paraId="25991CF7" w14:textId="52142433" w:rsidR="00F1786F" w:rsidRPr="00DA2321" w:rsidRDefault="00000000" w:rsidP="00DA2321">
      <w:pPr>
        <w:pStyle w:val="Heading1"/>
      </w:pPr>
      <w:bookmarkStart w:id="9" w:name="_Toc172051740"/>
      <w:r w:rsidRPr="00DA2321">
        <w:lastRenderedPageBreak/>
        <w:t>References</w:t>
      </w:r>
      <w:bookmarkEnd w:id="9"/>
    </w:p>
    <w:p w14:paraId="3CEE901F" w14:textId="77777777" w:rsidR="00F1786F" w:rsidRPr="00DA2321" w:rsidRDefault="00000000" w:rsidP="00DA2321">
      <w:pPr>
        <w:pStyle w:val="Heading2"/>
        <w:rPr>
          <w:shd w:val="clear" w:color="auto" w:fill="FFFFFF"/>
        </w:rPr>
      </w:pPr>
      <w:bookmarkStart w:id="10" w:name="_Toc172051741"/>
      <w:r w:rsidRPr="00DA2321">
        <w:rPr>
          <w:shd w:val="clear" w:color="auto" w:fill="FFFFFF"/>
        </w:rPr>
        <w:t>References for Blog 1</w:t>
      </w:r>
      <w:bookmarkEnd w:id="10"/>
    </w:p>
    <w:p w14:paraId="58F0E13B"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Kim, J., Cheon, S. and Lim, J., 2022. IoT-based unobtrusive physical activity monitoring system for predicting dementia. </w:t>
      </w:r>
      <w:r w:rsidRPr="00DA2321">
        <w:rPr>
          <w:rFonts w:ascii="Arial" w:hAnsi="Arial" w:cs="Arial"/>
          <w:i/>
          <w:iCs/>
          <w:color w:val="222222"/>
          <w:sz w:val="22"/>
          <w:szCs w:val="22"/>
          <w:shd w:val="clear" w:color="auto" w:fill="FFFFFF"/>
        </w:rPr>
        <w:t>Ieee Access</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10</w:t>
      </w:r>
      <w:r w:rsidRPr="00DA2321">
        <w:rPr>
          <w:rFonts w:ascii="Arial" w:hAnsi="Arial" w:cs="Arial"/>
          <w:color w:val="222222"/>
          <w:sz w:val="22"/>
          <w:szCs w:val="22"/>
          <w:shd w:val="clear" w:color="auto" w:fill="FFFFFF"/>
        </w:rPr>
        <w:t>, pp.26078-26089.</w:t>
      </w:r>
    </w:p>
    <w:p w14:paraId="2BFD7312"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Liu, I.T., Lee, W.J., Lin, S.Y., Chang, S.T., Kao, C.L. and Cheng, Y.Y., 2020. Therapeutic effects of exercise training on elderly patients with dementia: a randomized controlled trial. </w:t>
      </w:r>
      <w:r w:rsidRPr="00DA2321">
        <w:rPr>
          <w:rFonts w:ascii="Arial" w:hAnsi="Arial" w:cs="Arial"/>
          <w:i/>
          <w:iCs/>
          <w:color w:val="222222"/>
          <w:sz w:val="22"/>
          <w:szCs w:val="22"/>
          <w:shd w:val="clear" w:color="auto" w:fill="FFFFFF"/>
        </w:rPr>
        <w:t>Archives of Physical Medicine and Rehabilitation</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101</w:t>
      </w:r>
      <w:r w:rsidRPr="00DA2321">
        <w:rPr>
          <w:rFonts w:ascii="Arial" w:hAnsi="Arial" w:cs="Arial"/>
          <w:color w:val="222222"/>
          <w:sz w:val="22"/>
          <w:szCs w:val="22"/>
          <w:shd w:val="clear" w:color="auto" w:fill="FFFFFF"/>
        </w:rPr>
        <w:t>(5), pp.762-769.</w:t>
      </w:r>
    </w:p>
    <w:p w14:paraId="35343CD3"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Selvaraj, S. and Sundaravaradhan, S., 2020. Challenges and opportunities in IoT healthcare systems: a systematic review. </w:t>
      </w:r>
      <w:r w:rsidRPr="00DA2321">
        <w:rPr>
          <w:rFonts w:ascii="Arial" w:hAnsi="Arial" w:cs="Arial"/>
          <w:i/>
          <w:iCs/>
          <w:color w:val="222222"/>
          <w:sz w:val="22"/>
          <w:szCs w:val="22"/>
          <w:shd w:val="clear" w:color="auto" w:fill="FFFFFF"/>
        </w:rPr>
        <w:t>SN Applied Sciences</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2</w:t>
      </w:r>
      <w:r w:rsidRPr="00DA2321">
        <w:rPr>
          <w:rFonts w:ascii="Arial" w:hAnsi="Arial" w:cs="Arial"/>
          <w:color w:val="222222"/>
          <w:sz w:val="22"/>
          <w:szCs w:val="22"/>
          <w:shd w:val="clear" w:color="auto" w:fill="FFFFFF"/>
        </w:rPr>
        <w:t>(1), p.139.</w:t>
      </w:r>
    </w:p>
    <w:p w14:paraId="300E48D7"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Sheikhtaheri, A. and Sabermahani, F., 2022. Applications and outcomes of Internet of Things for patients with Alzheimer’s disease/dementia: A scoping review. </w:t>
      </w:r>
      <w:r w:rsidRPr="00DA2321">
        <w:rPr>
          <w:rFonts w:ascii="Arial" w:hAnsi="Arial" w:cs="Arial"/>
          <w:i/>
          <w:iCs/>
          <w:color w:val="222222"/>
          <w:sz w:val="22"/>
          <w:szCs w:val="22"/>
          <w:shd w:val="clear" w:color="auto" w:fill="FFFFFF"/>
        </w:rPr>
        <w:t>BioMed Research International</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2022</w:t>
      </w:r>
      <w:r w:rsidRPr="00DA2321">
        <w:rPr>
          <w:rFonts w:ascii="Arial" w:hAnsi="Arial" w:cs="Arial"/>
          <w:color w:val="222222"/>
          <w:sz w:val="22"/>
          <w:szCs w:val="22"/>
          <w:shd w:val="clear" w:color="auto" w:fill="FFFFFF"/>
        </w:rPr>
        <w:t>(1), p.6274185.</w:t>
      </w:r>
    </w:p>
    <w:p w14:paraId="40CDEEA9" w14:textId="45CEB240" w:rsidR="00F1786F" w:rsidRPr="00DA2321" w:rsidRDefault="00000000" w:rsidP="00DA2321">
      <w:pPr>
        <w:pStyle w:val="Heading2"/>
        <w:rPr>
          <w:shd w:val="clear" w:color="auto" w:fill="FFFFFF"/>
        </w:rPr>
      </w:pPr>
      <w:bookmarkStart w:id="11" w:name="_Toc172051742"/>
      <w:r w:rsidRPr="00DA2321">
        <w:rPr>
          <w:shd w:val="clear" w:color="auto" w:fill="FFFFFF"/>
        </w:rPr>
        <w:t>References for Blog 2</w:t>
      </w:r>
      <w:bookmarkEnd w:id="11"/>
    </w:p>
    <w:p w14:paraId="47D78C02"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Albury, C., Strain, W.D., Le Brocq, S., Logue, J., Lloyd, C. and Tahrani, A., 2020. The importance of language in engagement between healthcare professionals and people living with obesity: a joint consensus statement. </w:t>
      </w:r>
      <w:r w:rsidRPr="00DA2321">
        <w:rPr>
          <w:rFonts w:ascii="Arial" w:hAnsi="Arial" w:cs="Arial"/>
          <w:i/>
          <w:iCs/>
          <w:color w:val="222222"/>
          <w:sz w:val="22"/>
          <w:szCs w:val="22"/>
          <w:shd w:val="clear" w:color="auto" w:fill="FFFFFF"/>
        </w:rPr>
        <w:t>The Lancet Diabetes &amp; Endocrinology</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8</w:t>
      </w:r>
      <w:r w:rsidRPr="00DA2321">
        <w:rPr>
          <w:rFonts w:ascii="Arial" w:hAnsi="Arial" w:cs="Arial"/>
          <w:color w:val="222222"/>
          <w:sz w:val="22"/>
          <w:szCs w:val="22"/>
          <w:shd w:val="clear" w:color="auto" w:fill="FFFFFF"/>
        </w:rPr>
        <w:t>(5), pp.447-455.</w:t>
      </w:r>
    </w:p>
    <w:p w14:paraId="332306C3"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Patel, M.L., Wakayama, L.N. and Bennett, G.G., 2021. Self</w:t>
      </w:r>
      <w:r w:rsidRPr="00DA2321">
        <w:rPr>
          <w:rFonts w:ascii="Cambria Math" w:hAnsi="Cambria Math" w:cs="Cambria Math"/>
          <w:color w:val="222222"/>
          <w:sz w:val="22"/>
          <w:szCs w:val="22"/>
          <w:shd w:val="clear" w:color="auto" w:fill="FFFFFF"/>
        </w:rPr>
        <w:t>‐</w:t>
      </w:r>
      <w:r w:rsidRPr="00DA2321">
        <w:rPr>
          <w:rFonts w:ascii="Arial" w:hAnsi="Arial" w:cs="Arial"/>
          <w:color w:val="222222"/>
          <w:sz w:val="22"/>
          <w:szCs w:val="22"/>
          <w:shd w:val="clear" w:color="auto" w:fill="FFFFFF"/>
        </w:rPr>
        <w:t xml:space="preserve">monitoring via digital health in weight loss interventions: a systematic review among adults with overweight or obesity. </w:t>
      </w:r>
      <w:r w:rsidRPr="00DA2321">
        <w:rPr>
          <w:rFonts w:ascii="Arial" w:hAnsi="Arial" w:cs="Arial"/>
          <w:i/>
          <w:iCs/>
          <w:color w:val="222222"/>
          <w:sz w:val="22"/>
          <w:szCs w:val="22"/>
          <w:shd w:val="clear" w:color="auto" w:fill="FFFFFF"/>
        </w:rPr>
        <w:t>Obesity</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29</w:t>
      </w:r>
      <w:r w:rsidRPr="00DA2321">
        <w:rPr>
          <w:rFonts w:ascii="Arial" w:hAnsi="Arial" w:cs="Arial"/>
          <w:color w:val="222222"/>
          <w:sz w:val="22"/>
          <w:szCs w:val="22"/>
          <w:shd w:val="clear" w:color="auto" w:fill="FFFFFF"/>
        </w:rPr>
        <w:t>(3), pp.478-499.</w:t>
      </w:r>
    </w:p>
    <w:p w14:paraId="61C73F1B"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Senbekov, M., Saliev, T., Bukeyeva, Z., Almabayeva, A., Zhanaliyeva, M., Aitenova, N., Toishibekov, Y. and Fakhradiyev, I., 2020. The recent progress and applications of digital technologies in healthcare: a review. </w:t>
      </w:r>
      <w:r w:rsidRPr="00DA2321">
        <w:rPr>
          <w:rFonts w:ascii="Arial" w:hAnsi="Arial" w:cs="Arial"/>
          <w:i/>
          <w:iCs/>
          <w:color w:val="222222"/>
          <w:sz w:val="22"/>
          <w:szCs w:val="22"/>
          <w:shd w:val="clear" w:color="auto" w:fill="FFFFFF"/>
        </w:rPr>
        <w:t>International journal of telemedicine and applications</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2020</w:t>
      </w:r>
      <w:r w:rsidRPr="00DA2321">
        <w:rPr>
          <w:rFonts w:ascii="Arial" w:hAnsi="Arial" w:cs="Arial"/>
          <w:color w:val="222222"/>
          <w:sz w:val="22"/>
          <w:szCs w:val="22"/>
          <w:shd w:val="clear" w:color="auto" w:fill="FFFFFF"/>
        </w:rPr>
        <w:t>(1), p.8830200.</w:t>
      </w:r>
    </w:p>
    <w:p w14:paraId="15813930" w14:textId="421C64A7" w:rsidR="00F1786F" w:rsidRPr="00DA2321" w:rsidRDefault="00000000" w:rsidP="00DA2321">
      <w:pPr>
        <w:pStyle w:val="Heading2"/>
      </w:pPr>
      <w:bookmarkStart w:id="12" w:name="_Toc172051743"/>
      <w:r w:rsidRPr="00DA2321">
        <w:t>References for Poster</w:t>
      </w:r>
      <w:bookmarkEnd w:id="12"/>
    </w:p>
    <w:p w14:paraId="3473AF7D"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Albert, F.A., Crowe, M.J., Malau-Aduli, A.E. and Malau-Aduli, B.S., 2020. Physical activity promotion: a systematic review of the perceptions of healthcare professionals. </w:t>
      </w:r>
      <w:r w:rsidRPr="00DA2321">
        <w:rPr>
          <w:rFonts w:ascii="Arial" w:hAnsi="Arial" w:cs="Arial"/>
          <w:i/>
          <w:iCs/>
          <w:color w:val="222222"/>
          <w:sz w:val="22"/>
          <w:szCs w:val="22"/>
          <w:shd w:val="clear" w:color="auto" w:fill="FFFFFF"/>
        </w:rPr>
        <w:t>International journal of environmental research and public health</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17</w:t>
      </w:r>
      <w:r w:rsidRPr="00DA2321">
        <w:rPr>
          <w:rFonts w:ascii="Arial" w:hAnsi="Arial" w:cs="Arial"/>
          <w:color w:val="222222"/>
          <w:sz w:val="22"/>
          <w:szCs w:val="22"/>
          <w:shd w:val="clear" w:color="auto" w:fill="FFFFFF"/>
        </w:rPr>
        <w:t>(12), p.4358.</w:t>
      </w:r>
    </w:p>
    <w:p w14:paraId="55200D0D"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Chandrasekaran, B., Kundapur, P.P. and Rao, C.R., 2021. Are free workplace health promotion apps adequately mapped with behavior change theories, techniques and desired features? A content analysis. </w:t>
      </w:r>
      <w:r w:rsidRPr="00DA2321">
        <w:rPr>
          <w:rFonts w:ascii="Arial" w:hAnsi="Arial" w:cs="Arial"/>
          <w:i/>
          <w:iCs/>
          <w:color w:val="222222"/>
          <w:sz w:val="22"/>
          <w:szCs w:val="22"/>
          <w:shd w:val="clear" w:color="auto" w:fill="FFFFFF"/>
        </w:rPr>
        <w:t>Translational Behavioral Medicine</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11</w:t>
      </w:r>
      <w:r w:rsidRPr="00DA2321">
        <w:rPr>
          <w:rFonts w:ascii="Arial" w:hAnsi="Arial" w:cs="Arial"/>
          <w:color w:val="222222"/>
          <w:sz w:val="22"/>
          <w:szCs w:val="22"/>
          <w:shd w:val="clear" w:color="auto" w:fill="FFFFFF"/>
        </w:rPr>
        <w:t>(8), pp.1507-1516.</w:t>
      </w:r>
    </w:p>
    <w:p w14:paraId="49A17FDE"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Costa, M.F., 2020. Health belief model for coronavirus infection risk determinants. </w:t>
      </w:r>
      <w:r w:rsidRPr="00DA2321">
        <w:rPr>
          <w:rFonts w:ascii="Arial" w:hAnsi="Arial" w:cs="Arial"/>
          <w:i/>
          <w:iCs/>
          <w:color w:val="222222"/>
          <w:sz w:val="22"/>
          <w:szCs w:val="22"/>
          <w:shd w:val="clear" w:color="auto" w:fill="FFFFFF"/>
        </w:rPr>
        <w:t>Revista de saude publica</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54</w:t>
      </w:r>
      <w:r w:rsidRPr="00DA2321">
        <w:rPr>
          <w:rFonts w:ascii="Arial" w:hAnsi="Arial" w:cs="Arial"/>
          <w:color w:val="222222"/>
          <w:sz w:val="22"/>
          <w:szCs w:val="22"/>
          <w:shd w:val="clear" w:color="auto" w:fill="FFFFFF"/>
        </w:rPr>
        <w:t>, p.47.</w:t>
      </w:r>
    </w:p>
    <w:p w14:paraId="53B340D0"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lastRenderedPageBreak/>
        <w:t xml:space="preserve">Gentili, A., Failla, G., Melnyk, A., Puleo, V., Tanna, G.L.D., Ricciardi, W. and Cascini, F., 2022. The cost-effectiveness of digital health interventions: a systematic review of the literature. </w:t>
      </w:r>
      <w:r w:rsidRPr="00DA2321">
        <w:rPr>
          <w:rFonts w:ascii="Arial" w:hAnsi="Arial" w:cs="Arial"/>
          <w:i/>
          <w:iCs/>
          <w:color w:val="222222"/>
          <w:sz w:val="22"/>
          <w:szCs w:val="22"/>
          <w:shd w:val="clear" w:color="auto" w:fill="FFFFFF"/>
        </w:rPr>
        <w:t>Frontiers in Public Health</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10</w:t>
      </w:r>
      <w:r w:rsidRPr="00DA2321">
        <w:rPr>
          <w:rFonts w:ascii="Arial" w:hAnsi="Arial" w:cs="Arial"/>
          <w:color w:val="222222"/>
          <w:sz w:val="22"/>
          <w:szCs w:val="22"/>
          <w:shd w:val="clear" w:color="auto" w:fill="FFFFFF"/>
        </w:rPr>
        <w:t>, p.787135.</w:t>
      </w:r>
    </w:p>
    <w:p w14:paraId="1ECA4B40"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000000"/>
          <w:sz w:val="22"/>
          <w:szCs w:val="22"/>
        </w:rPr>
        <w:t xml:space="preserve">Gov. 2024. </w:t>
      </w:r>
      <w:r w:rsidRPr="00DA2321">
        <w:rPr>
          <w:rFonts w:ascii="Arial" w:hAnsi="Arial" w:cs="Arial"/>
          <w:i/>
          <w:iCs/>
          <w:color w:val="000000"/>
          <w:sz w:val="22"/>
          <w:szCs w:val="22"/>
        </w:rPr>
        <w:t>Obesity Profile: short statistical commentary May 2024. [</w:t>
      </w:r>
      <w:r w:rsidRPr="00DA2321">
        <w:rPr>
          <w:rFonts w:ascii="Arial" w:hAnsi="Arial" w:cs="Arial"/>
          <w:color w:val="000000"/>
          <w:sz w:val="22"/>
          <w:szCs w:val="22"/>
        </w:rPr>
        <w:t>online] Available at: &lt;https://www.gov.uk/government/statistics/update-to-the-obesity-profile-on-fingertips/obesity-profile-short-statistical-commentary-may-2024#:~:text=Prevalence%20of%20overweight%20and%20obesity,61.2%25)%20(Figure%201).&gt; [Accessed 15 July 2024].</w:t>
      </w:r>
    </w:p>
    <w:p w14:paraId="51B58800"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Gupta, D., Parikh, A. and Swarnalatha, R., 2020. Integrated healthcare monitoring device for obese adults using the internet of things (IoT). </w:t>
      </w:r>
      <w:r w:rsidRPr="00DA2321">
        <w:rPr>
          <w:rFonts w:ascii="Arial" w:hAnsi="Arial" w:cs="Arial"/>
          <w:i/>
          <w:iCs/>
          <w:color w:val="222222"/>
          <w:sz w:val="22"/>
          <w:szCs w:val="22"/>
          <w:shd w:val="clear" w:color="auto" w:fill="FFFFFF"/>
        </w:rPr>
        <w:t>International Journal of Electrical &amp; Computer Engineering (2088-8708)</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10</w:t>
      </w:r>
      <w:r w:rsidRPr="00DA2321">
        <w:rPr>
          <w:rFonts w:ascii="Arial" w:hAnsi="Arial" w:cs="Arial"/>
          <w:color w:val="222222"/>
          <w:sz w:val="22"/>
          <w:szCs w:val="22"/>
          <w:shd w:val="clear" w:color="auto" w:fill="FFFFFF"/>
        </w:rPr>
        <w:t>(2).</w:t>
      </w:r>
    </w:p>
    <w:p w14:paraId="3C2F5938"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Helfer, T., Faeh, D., Luijckx, E., Frey, S., Berg Maeder, A. and Peter, K.A., 2020. The connection between health promotion, prevention, and psychosocial health: an innovative action model. </w:t>
      </w:r>
      <w:r w:rsidRPr="00DA2321">
        <w:rPr>
          <w:rFonts w:ascii="Arial" w:hAnsi="Arial" w:cs="Arial"/>
          <w:i/>
          <w:iCs/>
          <w:color w:val="222222"/>
          <w:sz w:val="22"/>
          <w:szCs w:val="22"/>
          <w:shd w:val="clear" w:color="auto" w:fill="FFFFFF"/>
        </w:rPr>
        <w:t>The Open Public Health Journal</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13</w:t>
      </w:r>
      <w:r w:rsidRPr="00DA2321">
        <w:rPr>
          <w:rFonts w:ascii="Arial" w:hAnsi="Arial" w:cs="Arial"/>
          <w:color w:val="222222"/>
          <w:sz w:val="22"/>
          <w:szCs w:val="22"/>
          <w:shd w:val="clear" w:color="auto" w:fill="FFFFFF"/>
        </w:rPr>
        <w:t>(1), pp.850-855.</w:t>
      </w:r>
    </w:p>
    <w:p w14:paraId="7F7E7E6D"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Michie, S., Johnston, M. and Carey, R., 2020. Behavior change techniques. In </w:t>
      </w:r>
      <w:r w:rsidRPr="00DA2321">
        <w:rPr>
          <w:rFonts w:ascii="Arial" w:hAnsi="Arial" w:cs="Arial"/>
          <w:i/>
          <w:iCs/>
          <w:color w:val="222222"/>
          <w:sz w:val="22"/>
          <w:szCs w:val="22"/>
          <w:shd w:val="clear" w:color="auto" w:fill="FFFFFF"/>
        </w:rPr>
        <w:t>Encyclopedia of behavioral medicine</w:t>
      </w:r>
      <w:r w:rsidRPr="00DA2321">
        <w:rPr>
          <w:rFonts w:ascii="Arial" w:hAnsi="Arial" w:cs="Arial"/>
          <w:color w:val="222222"/>
          <w:sz w:val="22"/>
          <w:szCs w:val="22"/>
          <w:shd w:val="clear" w:color="auto" w:fill="FFFFFF"/>
        </w:rPr>
        <w:t xml:space="preserve"> (pp. 206-213). Cham: Springer International Publishing.</w:t>
      </w:r>
    </w:p>
    <w:p w14:paraId="32C50792"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Nutbeam, D. and Muscat, D.M., 2021. Health promotion glossary 2021. </w:t>
      </w:r>
      <w:r w:rsidRPr="00DA2321">
        <w:rPr>
          <w:rFonts w:ascii="Arial" w:hAnsi="Arial" w:cs="Arial"/>
          <w:i/>
          <w:iCs/>
          <w:color w:val="222222"/>
          <w:sz w:val="22"/>
          <w:szCs w:val="22"/>
          <w:shd w:val="clear" w:color="auto" w:fill="FFFFFF"/>
        </w:rPr>
        <w:t>Health promotion international</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36</w:t>
      </w:r>
      <w:r w:rsidRPr="00DA2321">
        <w:rPr>
          <w:rFonts w:ascii="Arial" w:hAnsi="Arial" w:cs="Arial"/>
          <w:color w:val="222222"/>
          <w:sz w:val="22"/>
          <w:szCs w:val="22"/>
          <w:shd w:val="clear" w:color="auto" w:fill="FFFFFF"/>
        </w:rPr>
        <w:t>(6), pp.1578-1598.</w:t>
      </w:r>
    </w:p>
    <w:p w14:paraId="4BC03C23" w14:textId="77777777" w:rsidR="00F1786F" w:rsidRPr="00DA2321" w:rsidRDefault="00000000" w:rsidP="00F1786F">
      <w:pPr>
        <w:pStyle w:val="NormalWeb"/>
        <w:spacing w:before="0" w:beforeAutospacing="0" w:after="0" w:afterAutospacing="0" w:line="360" w:lineRule="auto"/>
        <w:rPr>
          <w:rFonts w:ascii="Arial" w:hAnsi="Arial" w:cs="Arial"/>
          <w:sz w:val="22"/>
          <w:szCs w:val="22"/>
        </w:rPr>
      </w:pPr>
      <w:r w:rsidRPr="00DA2321">
        <w:rPr>
          <w:rFonts w:ascii="Arial" w:hAnsi="Arial" w:cs="Arial"/>
          <w:color w:val="222222"/>
          <w:sz w:val="22"/>
          <w:szCs w:val="22"/>
          <w:shd w:val="clear" w:color="auto" w:fill="FFFFFF"/>
        </w:rPr>
        <w:t xml:space="preserve">Perski, O. and Short, C.E., 2021. Acceptability of digital health interventions: embracing the complexity. </w:t>
      </w:r>
      <w:r w:rsidRPr="00DA2321">
        <w:rPr>
          <w:rFonts w:ascii="Arial" w:hAnsi="Arial" w:cs="Arial"/>
          <w:i/>
          <w:iCs/>
          <w:color w:val="222222"/>
          <w:sz w:val="22"/>
          <w:szCs w:val="22"/>
          <w:shd w:val="clear" w:color="auto" w:fill="FFFFFF"/>
        </w:rPr>
        <w:t>Translational behavioral medicine</w:t>
      </w:r>
      <w:r w:rsidRPr="00DA2321">
        <w:rPr>
          <w:rFonts w:ascii="Arial" w:hAnsi="Arial" w:cs="Arial"/>
          <w:color w:val="222222"/>
          <w:sz w:val="22"/>
          <w:szCs w:val="22"/>
          <w:shd w:val="clear" w:color="auto" w:fill="FFFFFF"/>
        </w:rPr>
        <w:t xml:space="preserve">, </w:t>
      </w:r>
      <w:r w:rsidRPr="00DA2321">
        <w:rPr>
          <w:rFonts w:ascii="Arial" w:hAnsi="Arial" w:cs="Arial"/>
          <w:i/>
          <w:iCs/>
          <w:color w:val="222222"/>
          <w:sz w:val="22"/>
          <w:szCs w:val="22"/>
          <w:shd w:val="clear" w:color="auto" w:fill="FFFFFF"/>
        </w:rPr>
        <w:t>11</w:t>
      </w:r>
      <w:r w:rsidRPr="00DA2321">
        <w:rPr>
          <w:rFonts w:ascii="Arial" w:hAnsi="Arial" w:cs="Arial"/>
          <w:color w:val="222222"/>
          <w:sz w:val="22"/>
          <w:szCs w:val="22"/>
          <w:shd w:val="clear" w:color="auto" w:fill="FFFFFF"/>
        </w:rPr>
        <w:t>(7), pp.1473-1480.</w:t>
      </w:r>
    </w:p>
    <w:p w14:paraId="78B8CE38" w14:textId="77777777" w:rsidR="00F1786F" w:rsidRPr="00DA2321" w:rsidRDefault="00F1786F" w:rsidP="00F1786F">
      <w:pPr>
        <w:rPr>
          <w:rFonts w:ascii="Arial" w:hAnsi="Arial" w:cs="Arial"/>
          <w:szCs w:val="24"/>
        </w:rPr>
      </w:pPr>
    </w:p>
    <w:p w14:paraId="226194FC" w14:textId="77777777" w:rsidR="00F1786F" w:rsidRPr="00DA2321" w:rsidRDefault="00F1786F" w:rsidP="00056284">
      <w:pPr>
        <w:spacing w:after="0"/>
        <w:rPr>
          <w:rFonts w:ascii="Arial" w:eastAsia="Times New Roman" w:hAnsi="Arial" w:cs="Arial"/>
          <w:szCs w:val="24"/>
        </w:rPr>
      </w:pPr>
    </w:p>
    <w:p w14:paraId="741F5E6E" w14:textId="77777777" w:rsidR="00056284" w:rsidRPr="00DA2321" w:rsidRDefault="00056284" w:rsidP="00056284">
      <w:pPr>
        <w:rPr>
          <w:rFonts w:ascii="Arial" w:eastAsia="Times New Roman" w:hAnsi="Arial" w:cs="Arial"/>
          <w:b/>
          <w:color w:val="222222"/>
          <w:szCs w:val="24"/>
          <w:shd w:val="clear" w:color="auto" w:fill="FFFFFF"/>
        </w:rPr>
      </w:pPr>
    </w:p>
    <w:p w14:paraId="7408CAC5" w14:textId="6AD6AF8A" w:rsidR="00D904A6" w:rsidRPr="00DA2321" w:rsidRDefault="00D904A6" w:rsidP="00056284">
      <w:pPr>
        <w:rPr>
          <w:rFonts w:ascii="Arial" w:eastAsia="Times New Roman" w:hAnsi="Arial" w:cs="Arial"/>
          <w:b/>
          <w:color w:val="222222"/>
          <w:szCs w:val="24"/>
          <w:shd w:val="clear" w:color="auto" w:fill="FFFFFF"/>
        </w:rPr>
      </w:pPr>
    </w:p>
    <w:sectPr w:rsidR="00D904A6" w:rsidRPr="00DA2321" w:rsidSect="00F1786F">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9C7253" w14:textId="77777777" w:rsidR="00B40EA1" w:rsidRDefault="00B40EA1">
      <w:pPr>
        <w:spacing w:after="0" w:line="240" w:lineRule="auto"/>
      </w:pPr>
      <w:r>
        <w:separator/>
      </w:r>
    </w:p>
  </w:endnote>
  <w:endnote w:type="continuationSeparator" w:id="0">
    <w:p w14:paraId="574721D9" w14:textId="77777777" w:rsidR="00B40EA1" w:rsidRDefault="00B40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88869138"/>
      <w:docPartObj>
        <w:docPartGallery w:val="Page Numbers (Bottom of Page)"/>
        <w:docPartUnique/>
      </w:docPartObj>
    </w:sdtPr>
    <w:sdtContent>
      <w:sdt>
        <w:sdtPr>
          <w:id w:val="1728636285"/>
          <w:docPartObj>
            <w:docPartGallery w:val="Page Numbers (Top of Page)"/>
            <w:docPartUnique/>
          </w:docPartObj>
        </w:sdtPr>
        <w:sdtContent>
          <w:p w14:paraId="4975CEE3" w14:textId="7AB1F14D" w:rsidR="00F1786F" w:rsidRDefault="00000000">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86DF93" w14:textId="77777777" w:rsidR="00F1786F" w:rsidRDefault="00F17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F2475E" w14:textId="77777777" w:rsidR="00B40EA1" w:rsidRDefault="00B40EA1">
      <w:pPr>
        <w:spacing w:after="0" w:line="240" w:lineRule="auto"/>
      </w:pPr>
      <w:r>
        <w:separator/>
      </w:r>
    </w:p>
  </w:footnote>
  <w:footnote w:type="continuationSeparator" w:id="0">
    <w:p w14:paraId="4A13DFCD" w14:textId="77777777" w:rsidR="00B40EA1" w:rsidRDefault="00B40E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B1AE9"/>
    <w:multiLevelType w:val="hybridMultilevel"/>
    <w:tmpl w:val="14B48B7A"/>
    <w:lvl w:ilvl="0" w:tplc="4D9CF1AC">
      <w:start w:val="1"/>
      <w:numFmt w:val="bullet"/>
      <w:lvlText w:val=""/>
      <w:lvlJc w:val="left"/>
      <w:pPr>
        <w:ind w:left="720" w:hanging="360"/>
      </w:pPr>
      <w:rPr>
        <w:rFonts w:ascii="Symbol" w:hAnsi="Symbol" w:hint="default"/>
      </w:rPr>
    </w:lvl>
    <w:lvl w:ilvl="1" w:tplc="1444FB08" w:tentative="1">
      <w:start w:val="1"/>
      <w:numFmt w:val="bullet"/>
      <w:lvlText w:val="o"/>
      <w:lvlJc w:val="left"/>
      <w:pPr>
        <w:ind w:left="1440" w:hanging="360"/>
      </w:pPr>
      <w:rPr>
        <w:rFonts w:ascii="Courier New" w:hAnsi="Courier New" w:cs="Courier New" w:hint="default"/>
      </w:rPr>
    </w:lvl>
    <w:lvl w:ilvl="2" w:tplc="FB06C90C" w:tentative="1">
      <w:start w:val="1"/>
      <w:numFmt w:val="bullet"/>
      <w:lvlText w:val=""/>
      <w:lvlJc w:val="left"/>
      <w:pPr>
        <w:ind w:left="2160" w:hanging="360"/>
      </w:pPr>
      <w:rPr>
        <w:rFonts w:ascii="Wingdings" w:hAnsi="Wingdings" w:hint="default"/>
      </w:rPr>
    </w:lvl>
    <w:lvl w:ilvl="3" w:tplc="85A0B71C" w:tentative="1">
      <w:start w:val="1"/>
      <w:numFmt w:val="bullet"/>
      <w:lvlText w:val=""/>
      <w:lvlJc w:val="left"/>
      <w:pPr>
        <w:ind w:left="2880" w:hanging="360"/>
      </w:pPr>
      <w:rPr>
        <w:rFonts w:ascii="Symbol" w:hAnsi="Symbol" w:hint="default"/>
      </w:rPr>
    </w:lvl>
    <w:lvl w:ilvl="4" w:tplc="20D4A7A6" w:tentative="1">
      <w:start w:val="1"/>
      <w:numFmt w:val="bullet"/>
      <w:lvlText w:val="o"/>
      <w:lvlJc w:val="left"/>
      <w:pPr>
        <w:ind w:left="3600" w:hanging="360"/>
      </w:pPr>
      <w:rPr>
        <w:rFonts w:ascii="Courier New" w:hAnsi="Courier New" w:cs="Courier New" w:hint="default"/>
      </w:rPr>
    </w:lvl>
    <w:lvl w:ilvl="5" w:tplc="31B4202E" w:tentative="1">
      <w:start w:val="1"/>
      <w:numFmt w:val="bullet"/>
      <w:lvlText w:val=""/>
      <w:lvlJc w:val="left"/>
      <w:pPr>
        <w:ind w:left="4320" w:hanging="360"/>
      </w:pPr>
      <w:rPr>
        <w:rFonts w:ascii="Wingdings" w:hAnsi="Wingdings" w:hint="default"/>
      </w:rPr>
    </w:lvl>
    <w:lvl w:ilvl="6" w:tplc="D5EA0A6C" w:tentative="1">
      <w:start w:val="1"/>
      <w:numFmt w:val="bullet"/>
      <w:lvlText w:val=""/>
      <w:lvlJc w:val="left"/>
      <w:pPr>
        <w:ind w:left="5040" w:hanging="360"/>
      </w:pPr>
      <w:rPr>
        <w:rFonts w:ascii="Symbol" w:hAnsi="Symbol" w:hint="default"/>
      </w:rPr>
    </w:lvl>
    <w:lvl w:ilvl="7" w:tplc="3B00EA2E" w:tentative="1">
      <w:start w:val="1"/>
      <w:numFmt w:val="bullet"/>
      <w:lvlText w:val="o"/>
      <w:lvlJc w:val="left"/>
      <w:pPr>
        <w:ind w:left="5760" w:hanging="360"/>
      </w:pPr>
      <w:rPr>
        <w:rFonts w:ascii="Courier New" w:hAnsi="Courier New" w:cs="Courier New" w:hint="default"/>
      </w:rPr>
    </w:lvl>
    <w:lvl w:ilvl="8" w:tplc="93DCD318" w:tentative="1">
      <w:start w:val="1"/>
      <w:numFmt w:val="bullet"/>
      <w:lvlText w:val=""/>
      <w:lvlJc w:val="left"/>
      <w:pPr>
        <w:ind w:left="6480" w:hanging="360"/>
      </w:pPr>
      <w:rPr>
        <w:rFonts w:ascii="Wingdings" w:hAnsi="Wingdings" w:hint="default"/>
      </w:rPr>
    </w:lvl>
  </w:abstractNum>
  <w:abstractNum w:abstractNumId="1" w15:restartNumberingAfterBreak="0">
    <w:nsid w:val="28B3061E"/>
    <w:multiLevelType w:val="hybridMultilevel"/>
    <w:tmpl w:val="A656D460"/>
    <w:lvl w:ilvl="0" w:tplc="5866B014">
      <w:start w:val="1"/>
      <w:numFmt w:val="bullet"/>
      <w:lvlText w:val=""/>
      <w:lvlJc w:val="left"/>
      <w:pPr>
        <w:ind w:left="720" w:hanging="360"/>
      </w:pPr>
      <w:rPr>
        <w:rFonts w:ascii="Symbol" w:hAnsi="Symbol" w:hint="default"/>
      </w:rPr>
    </w:lvl>
    <w:lvl w:ilvl="1" w:tplc="9B463138" w:tentative="1">
      <w:start w:val="1"/>
      <w:numFmt w:val="bullet"/>
      <w:lvlText w:val="o"/>
      <w:lvlJc w:val="left"/>
      <w:pPr>
        <w:ind w:left="1440" w:hanging="360"/>
      </w:pPr>
      <w:rPr>
        <w:rFonts w:ascii="Courier New" w:hAnsi="Courier New" w:cs="Courier New" w:hint="default"/>
      </w:rPr>
    </w:lvl>
    <w:lvl w:ilvl="2" w:tplc="9E64D802" w:tentative="1">
      <w:start w:val="1"/>
      <w:numFmt w:val="bullet"/>
      <w:lvlText w:val=""/>
      <w:lvlJc w:val="left"/>
      <w:pPr>
        <w:ind w:left="2160" w:hanging="360"/>
      </w:pPr>
      <w:rPr>
        <w:rFonts w:ascii="Wingdings" w:hAnsi="Wingdings" w:hint="default"/>
      </w:rPr>
    </w:lvl>
    <w:lvl w:ilvl="3" w:tplc="3E88526E" w:tentative="1">
      <w:start w:val="1"/>
      <w:numFmt w:val="bullet"/>
      <w:lvlText w:val=""/>
      <w:lvlJc w:val="left"/>
      <w:pPr>
        <w:ind w:left="2880" w:hanging="360"/>
      </w:pPr>
      <w:rPr>
        <w:rFonts w:ascii="Symbol" w:hAnsi="Symbol" w:hint="default"/>
      </w:rPr>
    </w:lvl>
    <w:lvl w:ilvl="4" w:tplc="E17836C2" w:tentative="1">
      <w:start w:val="1"/>
      <w:numFmt w:val="bullet"/>
      <w:lvlText w:val="o"/>
      <w:lvlJc w:val="left"/>
      <w:pPr>
        <w:ind w:left="3600" w:hanging="360"/>
      </w:pPr>
      <w:rPr>
        <w:rFonts w:ascii="Courier New" w:hAnsi="Courier New" w:cs="Courier New" w:hint="default"/>
      </w:rPr>
    </w:lvl>
    <w:lvl w:ilvl="5" w:tplc="1C1600D8" w:tentative="1">
      <w:start w:val="1"/>
      <w:numFmt w:val="bullet"/>
      <w:lvlText w:val=""/>
      <w:lvlJc w:val="left"/>
      <w:pPr>
        <w:ind w:left="4320" w:hanging="360"/>
      </w:pPr>
      <w:rPr>
        <w:rFonts w:ascii="Wingdings" w:hAnsi="Wingdings" w:hint="default"/>
      </w:rPr>
    </w:lvl>
    <w:lvl w:ilvl="6" w:tplc="A0CC32A8" w:tentative="1">
      <w:start w:val="1"/>
      <w:numFmt w:val="bullet"/>
      <w:lvlText w:val=""/>
      <w:lvlJc w:val="left"/>
      <w:pPr>
        <w:ind w:left="5040" w:hanging="360"/>
      </w:pPr>
      <w:rPr>
        <w:rFonts w:ascii="Symbol" w:hAnsi="Symbol" w:hint="default"/>
      </w:rPr>
    </w:lvl>
    <w:lvl w:ilvl="7" w:tplc="A0BA9BE4" w:tentative="1">
      <w:start w:val="1"/>
      <w:numFmt w:val="bullet"/>
      <w:lvlText w:val="o"/>
      <w:lvlJc w:val="left"/>
      <w:pPr>
        <w:ind w:left="5760" w:hanging="360"/>
      </w:pPr>
      <w:rPr>
        <w:rFonts w:ascii="Courier New" w:hAnsi="Courier New" w:cs="Courier New" w:hint="default"/>
      </w:rPr>
    </w:lvl>
    <w:lvl w:ilvl="8" w:tplc="E12E645E" w:tentative="1">
      <w:start w:val="1"/>
      <w:numFmt w:val="bullet"/>
      <w:lvlText w:val=""/>
      <w:lvlJc w:val="left"/>
      <w:pPr>
        <w:ind w:left="6480" w:hanging="360"/>
      </w:pPr>
      <w:rPr>
        <w:rFonts w:ascii="Wingdings" w:hAnsi="Wingdings" w:hint="default"/>
      </w:rPr>
    </w:lvl>
  </w:abstractNum>
  <w:abstractNum w:abstractNumId="2" w15:restartNumberingAfterBreak="0">
    <w:nsid w:val="2C1271A7"/>
    <w:multiLevelType w:val="hybridMultilevel"/>
    <w:tmpl w:val="E6E0C306"/>
    <w:lvl w:ilvl="0" w:tplc="0B4CD088">
      <w:start w:val="1"/>
      <w:numFmt w:val="bullet"/>
      <w:lvlText w:val=""/>
      <w:lvlJc w:val="left"/>
      <w:pPr>
        <w:ind w:left="720" w:hanging="360"/>
      </w:pPr>
      <w:rPr>
        <w:rFonts w:ascii="Symbol" w:hAnsi="Symbol" w:hint="default"/>
      </w:rPr>
    </w:lvl>
    <w:lvl w:ilvl="1" w:tplc="9D44D78A" w:tentative="1">
      <w:start w:val="1"/>
      <w:numFmt w:val="bullet"/>
      <w:lvlText w:val="o"/>
      <w:lvlJc w:val="left"/>
      <w:pPr>
        <w:ind w:left="1440" w:hanging="360"/>
      </w:pPr>
      <w:rPr>
        <w:rFonts w:ascii="Courier New" w:hAnsi="Courier New" w:cs="Courier New" w:hint="default"/>
      </w:rPr>
    </w:lvl>
    <w:lvl w:ilvl="2" w:tplc="53C2D4E2" w:tentative="1">
      <w:start w:val="1"/>
      <w:numFmt w:val="bullet"/>
      <w:lvlText w:val=""/>
      <w:lvlJc w:val="left"/>
      <w:pPr>
        <w:ind w:left="2160" w:hanging="360"/>
      </w:pPr>
      <w:rPr>
        <w:rFonts w:ascii="Wingdings" w:hAnsi="Wingdings" w:hint="default"/>
      </w:rPr>
    </w:lvl>
    <w:lvl w:ilvl="3" w:tplc="7B3A01E0" w:tentative="1">
      <w:start w:val="1"/>
      <w:numFmt w:val="bullet"/>
      <w:lvlText w:val=""/>
      <w:lvlJc w:val="left"/>
      <w:pPr>
        <w:ind w:left="2880" w:hanging="360"/>
      </w:pPr>
      <w:rPr>
        <w:rFonts w:ascii="Symbol" w:hAnsi="Symbol" w:hint="default"/>
      </w:rPr>
    </w:lvl>
    <w:lvl w:ilvl="4" w:tplc="63B6DC3A" w:tentative="1">
      <w:start w:val="1"/>
      <w:numFmt w:val="bullet"/>
      <w:lvlText w:val="o"/>
      <w:lvlJc w:val="left"/>
      <w:pPr>
        <w:ind w:left="3600" w:hanging="360"/>
      </w:pPr>
      <w:rPr>
        <w:rFonts w:ascii="Courier New" w:hAnsi="Courier New" w:cs="Courier New" w:hint="default"/>
      </w:rPr>
    </w:lvl>
    <w:lvl w:ilvl="5" w:tplc="4012570E" w:tentative="1">
      <w:start w:val="1"/>
      <w:numFmt w:val="bullet"/>
      <w:lvlText w:val=""/>
      <w:lvlJc w:val="left"/>
      <w:pPr>
        <w:ind w:left="4320" w:hanging="360"/>
      </w:pPr>
      <w:rPr>
        <w:rFonts w:ascii="Wingdings" w:hAnsi="Wingdings" w:hint="default"/>
      </w:rPr>
    </w:lvl>
    <w:lvl w:ilvl="6" w:tplc="05A02FD4" w:tentative="1">
      <w:start w:val="1"/>
      <w:numFmt w:val="bullet"/>
      <w:lvlText w:val=""/>
      <w:lvlJc w:val="left"/>
      <w:pPr>
        <w:ind w:left="5040" w:hanging="360"/>
      </w:pPr>
      <w:rPr>
        <w:rFonts w:ascii="Symbol" w:hAnsi="Symbol" w:hint="default"/>
      </w:rPr>
    </w:lvl>
    <w:lvl w:ilvl="7" w:tplc="20D6F1CA" w:tentative="1">
      <w:start w:val="1"/>
      <w:numFmt w:val="bullet"/>
      <w:lvlText w:val="o"/>
      <w:lvlJc w:val="left"/>
      <w:pPr>
        <w:ind w:left="5760" w:hanging="360"/>
      </w:pPr>
      <w:rPr>
        <w:rFonts w:ascii="Courier New" w:hAnsi="Courier New" w:cs="Courier New" w:hint="default"/>
      </w:rPr>
    </w:lvl>
    <w:lvl w:ilvl="8" w:tplc="5E56A804" w:tentative="1">
      <w:start w:val="1"/>
      <w:numFmt w:val="bullet"/>
      <w:lvlText w:val=""/>
      <w:lvlJc w:val="left"/>
      <w:pPr>
        <w:ind w:left="6480" w:hanging="360"/>
      </w:pPr>
      <w:rPr>
        <w:rFonts w:ascii="Wingdings" w:hAnsi="Wingdings" w:hint="default"/>
      </w:rPr>
    </w:lvl>
  </w:abstractNum>
  <w:abstractNum w:abstractNumId="3" w15:restartNumberingAfterBreak="0">
    <w:nsid w:val="33686166"/>
    <w:multiLevelType w:val="hybridMultilevel"/>
    <w:tmpl w:val="92B24B98"/>
    <w:lvl w:ilvl="0" w:tplc="D7100A6A">
      <w:start w:val="1"/>
      <w:numFmt w:val="bullet"/>
      <w:lvlText w:val=""/>
      <w:lvlJc w:val="left"/>
      <w:pPr>
        <w:ind w:left="720" w:hanging="360"/>
      </w:pPr>
      <w:rPr>
        <w:rFonts w:ascii="Symbol" w:hAnsi="Symbol" w:hint="default"/>
      </w:rPr>
    </w:lvl>
    <w:lvl w:ilvl="1" w:tplc="E8525968" w:tentative="1">
      <w:start w:val="1"/>
      <w:numFmt w:val="bullet"/>
      <w:lvlText w:val="o"/>
      <w:lvlJc w:val="left"/>
      <w:pPr>
        <w:ind w:left="1440" w:hanging="360"/>
      </w:pPr>
      <w:rPr>
        <w:rFonts w:ascii="Courier New" w:hAnsi="Courier New" w:cs="Courier New" w:hint="default"/>
      </w:rPr>
    </w:lvl>
    <w:lvl w:ilvl="2" w:tplc="5D8C324C" w:tentative="1">
      <w:start w:val="1"/>
      <w:numFmt w:val="bullet"/>
      <w:lvlText w:val=""/>
      <w:lvlJc w:val="left"/>
      <w:pPr>
        <w:ind w:left="2160" w:hanging="360"/>
      </w:pPr>
      <w:rPr>
        <w:rFonts w:ascii="Wingdings" w:hAnsi="Wingdings" w:hint="default"/>
      </w:rPr>
    </w:lvl>
    <w:lvl w:ilvl="3" w:tplc="0FCEA49C" w:tentative="1">
      <w:start w:val="1"/>
      <w:numFmt w:val="bullet"/>
      <w:lvlText w:val=""/>
      <w:lvlJc w:val="left"/>
      <w:pPr>
        <w:ind w:left="2880" w:hanging="360"/>
      </w:pPr>
      <w:rPr>
        <w:rFonts w:ascii="Symbol" w:hAnsi="Symbol" w:hint="default"/>
      </w:rPr>
    </w:lvl>
    <w:lvl w:ilvl="4" w:tplc="9FA4D604" w:tentative="1">
      <w:start w:val="1"/>
      <w:numFmt w:val="bullet"/>
      <w:lvlText w:val="o"/>
      <w:lvlJc w:val="left"/>
      <w:pPr>
        <w:ind w:left="3600" w:hanging="360"/>
      </w:pPr>
      <w:rPr>
        <w:rFonts w:ascii="Courier New" w:hAnsi="Courier New" w:cs="Courier New" w:hint="default"/>
      </w:rPr>
    </w:lvl>
    <w:lvl w:ilvl="5" w:tplc="F13653C6" w:tentative="1">
      <w:start w:val="1"/>
      <w:numFmt w:val="bullet"/>
      <w:lvlText w:val=""/>
      <w:lvlJc w:val="left"/>
      <w:pPr>
        <w:ind w:left="4320" w:hanging="360"/>
      </w:pPr>
      <w:rPr>
        <w:rFonts w:ascii="Wingdings" w:hAnsi="Wingdings" w:hint="default"/>
      </w:rPr>
    </w:lvl>
    <w:lvl w:ilvl="6" w:tplc="23665A68" w:tentative="1">
      <w:start w:val="1"/>
      <w:numFmt w:val="bullet"/>
      <w:lvlText w:val=""/>
      <w:lvlJc w:val="left"/>
      <w:pPr>
        <w:ind w:left="5040" w:hanging="360"/>
      </w:pPr>
      <w:rPr>
        <w:rFonts w:ascii="Symbol" w:hAnsi="Symbol" w:hint="default"/>
      </w:rPr>
    </w:lvl>
    <w:lvl w:ilvl="7" w:tplc="BC42D690" w:tentative="1">
      <w:start w:val="1"/>
      <w:numFmt w:val="bullet"/>
      <w:lvlText w:val="o"/>
      <w:lvlJc w:val="left"/>
      <w:pPr>
        <w:ind w:left="5760" w:hanging="360"/>
      </w:pPr>
      <w:rPr>
        <w:rFonts w:ascii="Courier New" w:hAnsi="Courier New" w:cs="Courier New" w:hint="default"/>
      </w:rPr>
    </w:lvl>
    <w:lvl w:ilvl="8" w:tplc="0D94389C" w:tentative="1">
      <w:start w:val="1"/>
      <w:numFmt w:val="bullet"/>
      <w:lvlText w:val=""/>
      <w:lvlJc w:val="left"/>
      <w:pPr>
        <w:ind w:left="6480" w:hanging="360"/>
      </w:pPr>
      <w:rPr>
        <w:rFonts w:ascii="Wingdings" w:hAnsi="Wingdings" w:hint="default"/>
      </w:rPr>
    </w:lvl>
  </w:abstractNum>
  <w:abstractNum w:abstractNumId="4" w15:restartNumberingAfterBreak="0">
    <w:nsid w:val="3720029B"/>
    <w:multiLevelType w:val="hybridMultilevel"/>
    <w:tmpl w:val="3EF4993C"/>
    <w:lvl w:ilvl="0" w:tplc="897CF80E">
      <w:start w:val="1"/>
      <w:numFmt w:val="bullet"/>
      <w:lvlText w:val=""/>
      <w:lvlJc w:val="left"/>
      <w:pPr>
        <w:ind w:left="720" w:hanging="360"/>
      </w:pPr>
      <w:rPr>
        <w:rFonts w:ascii="Symbol" w:hAnsi="Symbol" w:hint="default"/>
      </w:rPr>
    </w:lvl>
    <w:lvl w:ilvl="1" w:tplc="B95A2CFA" w:tentative="1">
      <w:start w:val="1"/>
      <w:numFmt w:val="bullet"/>
      <w:lvlText w:val="o"/>
      <w:lvlJc w:val="left"/>
      <w:pPr>
        <w:ind w:left="1440" w:hanging="360"/>
      </w:pPr>
      <w:rPr>
        <w:rFonts w:ascii="Courier New" w:hAnsi="Courier New" w:cs="Courier New" w:hint="default"/>
      </w:rPr>
    </w:lvl>
    <w:lvl w:ilvl="2" w:tplc="E38AB00C" w:tentative="1">
      <w:start w:val="1"/>
      <w:numFmt w:val="bullet"/>
      <w:lvlText w:val=""/>
      <w:lvlJc w:val="left"/>
      <w:pPr>
        <w:ind w:left="2160" w:hanging="360"/>
      </w:pPr>
      <w:rPr>
        <w:rFonts w:ascii="Wingdings" w:hAnsi="Wingdings" w:hint="default"/>
      </w:rPr>
    </w:lvl>
    <w:lvl w:ilvl="3" w:tplc="73E20522" w:tentative="1">
      <w:start w:val="1"/>
      <w:numFmt w:val="bullet"/>
      <w:lvlText w:val=""/>
      <w:lvlJc w:val="left"/>
      <w:pPr>
        <w:ind w:left="2880" w:hanging="360"/>
      </w:pPr>
      <w:rPr>
        <w:rFonts w:ascii="Symbol" w:hAnsi="Symbol" w:hint="default"/>
      </w:rPr>
    </w:lvl>
    <w:lvl w:ilvl="4" w:tplc="4C0A7D4E" w:tentative="1">
      <w:start w:val="1"/>
      <w:numFmt w:val="bullet"/>
      <w:lvlText w:val="o"/>
      <w:lvlJc w:val="left"/>
      <w:pPr>
        <w:ind w:left="3600" w:hanging="360"/>
      </w:pPr>
      <w:rPr>
        <w:rFonts w:ascii="Courier New" w:hAnsi="Courier New" w:cs="Courier New" w:hint="default"/>
      </w:rPr>
    </w:lvl>
    <w:lvl w:ilvl="5" w:tplc="92BE276C" w:tentative="1">
      <w:start w:val="1"/>
      <w:numFmt w:val="bullet"/>
      <w:lvlText w:val=""/>
      <w:lvlJc w:val="left"/>
      <w:pPr>
        <w:ind w:left="4320" w:hanging="360"/>
      </w:pPr>
      <w:rPr>
        <w:rFonts w:ascii="Wingdings" w:hAnsi="Wingdings" w:hint="default"/>
      </w:rPr>
    </w:lvl>
    <w:lvl w:ilvl="6" w:tplc="BB10DB72" w:tentative="1">
      <w:start w:val="1"/>
      <w:numFmt w:val="bullet"/>
      <w:lvlText w:val=""/>
      <w:lvlJc w:val="left"/>
      <w:pPr>
        <w:ind w:left="5040" w:hanging="360"/>
      </w:pPr>
      <w:rPr>
        <w:rFonts w:ascii="Symbol" w:hAnsi="Symbol" w:hint="default"/>
      </w:rPr>
    </w:lvl>
    <w:lvl w:ilvl="7" w:tplc="2400559C" w:tentative="1">
      <w:start w:val="1"/>
      <w:numFmt w:val="bullet"/>
      <w:lvlText w:val="o"/>
      <w:lvlJc w:val="left"/>
      <w:pPr>
        <w:ind w:left="5760" w:hanging="360"/>
      </w:pPr>
      <w:rPr>
        <w:rFonts w:ascii="Courier New" w:hAnsi="Courier New" w:cs="Courier New" w:hint="default"/>
      </w:rPr>
    </w:lvl>
    <w:lvl w:ilvl="8" w:tplc="C5CA56A4" w:tentative="1">
      <w:start w:val="1"/>
      <w:numFmt w:val="bullet"/>
      <w:lvlText w:val=""/>
      <w:lvlJc w:val="left"/>
      <w:pPr>
        <w:ind w:left="6480" w:hanging="360"/>
      </w:pPr>
      <w:rPr>
        <w:rFonts w:ascii="Wingdings" w:hAnsi="Wingdings" w:hint="default"/>
      </w:rPr>
    </w:lvl>
  </w:abstractNum>
  <w:abstractNum w:abstractNumId="5" w15:restartNumberingAfterBreak="0">
    <w:nsid w:val="6D040BB2"/>
    <w:multiLevelType w:val="hybridMultilevel"/>
    <w:tmpl w:val="A78C5520"/>
    <w:lvl w:ilvl="0" w:tplc="BD82DAC0">
      <w:start w:val="1"/>
      <w:numFmt w:val="bullet"/>
      <w:lvlText w:val=""/>
      <w:lvlJc w:val="left"/>
      <w:pPr>
        <w:ind w:left="720" w:hanging="360"/>
      </w:pPr>
      <w:rPr>
        <w:rFonts w:ascii="Symbol" w:hAnsi="Symbol" w:hint="default"/>
      </w:rPr>
    </w:lvl>
    <w:lvl w:ilvl="1" w:tplc="8CEE0E1C" w:tentative="1">
      <w:start w:val="1"/>
      <w:numFmt w:val="bullet"/>
      <w:lvlText w:val="o"/>
      <w:lvlJc w:val="left"/>
      <w:pPr>
        <w:ind w:left="1440" w:hanging="360"/>
      </w:pPr>
      <w:rPr>
        <w:rFonts w:ascii="Courier New" w:hAnsi="Courier New" w:cs="Courier New" w:hint="default"/>
      </w:rPr>
    </w:lvl>
    <w:lvl w:ilvl="2" w:tplc="A7C6C5CE" w:tentative="1">
      <w:start w:val="1"/>
      <w:numFmt w:val="bullet"/>
      <w:lvlText w:val=""/>
      <w:lvlJc w:val="left"/>
      <w:pPr>
        <w:ind w:left="2160" w:hanging="360"/>
      </w:pPr>
      <w:rPr>
        <w:rFonts w:ascii="Wingdings" w:hAnsi="Wingdings" w:hint="default"/>
      </w:rPr>
    </w:lvl>
    <w:lvl w:ilvl="3" w:tplc="16FAF88C" w:tentative="1">
      <w:start w:val="1"/>
      <w:numFmt w:val="bullet"/>
      <w:lvlText w:val=""/>
      <w:lvlJc w:val="left"/>
      <w:pPr>
        <w:ind w:left="2880" w:hanging="360"/>
      </w:pPr>
      <w:rPr>
        <w:rFonts w:ascii="Symbol" w:hAnsi="Symbol" w:hint="default"/>
      </w:rPr>
    </w:lvl>
    <w:lvl w:ilvl="4" w:tplc="D43810CE" w:tentative="1">
      <w:start w:val="1"/>
      <w:numFmt w:val="bullet"/>
      <w:lvlText w:val="o"/>
      <w:lvlJc w:val="left"/>
      <w:pPr>
        <w:ind w:left="3600" w:hanging="360"/>
      </w:pPr>
      <w:rPr>
        <w:rFonts w:ascii="Courier New" w:hAnsi="Courier New" w:cs="Courier New" w:hint="default"/>
      </w:rPr>
    </w:lvl>
    <w:lvl w:ilvl="5" w:tplc="FBE42798" w:tentative="1">
      <w:start w:val="1"/>
      <w:numFmt w:val="bullet"/>
      <w:lvlText w:val=""/>
      <w:lvlJc w:val="left"/>
      <w:pPr>
        <w:ind w:left="4320" w:hanging="360"/>
      </w:pPr>
      <w:rPr>
        <w:rFonts w:ascii="Wingdings" w:hAnsi="Wingdings" w:hint="default"/>
      </w:rPr>
    </w:lvl>
    <w:lvl w:ilvl="6" w:tplc="69AA2CC8" w:tentative="1">
      <w:start w:val="1"/>
      <w:numFmt w:val="bullet"/>
      <w:lvlText w:val=""/>
      <w:lvlJc w:val="left"/>
      <w:pPr>
        <w:ind w:left="5040" w:hanging="360"/>
      </w:pPr>
      <w:rPr>
        <w:rFonts w:ascii="Symbol" w:hAnsi="Symbol" w:hint="default"/>
      </w:rPr>
    </w:lvl>
    <w:lvl w:ilvl="7" w:tplc="5D6694AA" w:tentative="1">
      <w:start w:val="1"/>
      <w:numFmt w:val="bullet"/>
      <w:lvlText w:val="o"/>
      <w:lvlJc w:val="left"/>
      <w:pPr>
        <w:ind w:left="5760" w:hanging="360"/>
      </w:pPr>
      <w:rPr>
        <w:rFonts w:ascii="Courier New" w:hAnsi="Courier New" w:cs="Courier New" w:hint="default"/>
      </w:rPr>
    </w:lvl>
    <w:lvl w:ilvl="8" w:tplc="BFD0066A" w:tentative="1">
      <w:start w:val="1"/>
      <w:numFmt w:val="bullet"/>
      <w:lvlText w:val=""/>
      <w:lvlJc w:val="left"/>
      <w:pPr>
        <w:ind w:left="6480" w:hanging="360"/>
      </w:pPr>
      <w:rPr>
        <w:rFonts w:ascii="Wingdings" w:hAnsi="Wingdings" w:hint="default"/>
      </w:rPr>
    </w:lvl>
  </w:abstractNum>
  <w:abstractNum w:abstractNumId="6" w15:restartNumberingAfterBreak="0">
    <w:nsid w:val="7D6C6790"/>
    <w:multiLevelType w:val="hybridMultilevel"/>
    <w:tmpl w:val="A5E83D9A"/>
    <w:lvl w:ilvl="0" w:tplc="9DC2C2BC">
      <w:start w:val="1"/>
      <w:numFmt w:val="bullet"/>
      <w:lvlText w:val=""/>
      <w:lvlJc w:val="left"/>
      <w:pPr>
        <w:ind w:left="720" w:hanging="360"/>
      </w:pPr>
      <w:rPr>
        <w:rFonts w:ascii="Symbol" w:hAnsi="Symbol" w:hint="default"/>
      </w:rPr>
    </w:lvl>
    <w:lvl w:ilvl="1" w:tplc="47E0DF7C" w:tentative="1">
      <w:start w:val="1"/>
      <w:numFmt w:val="bullet"/>
      <w:lvlText w:val="o"/>
      <w:lvlJc w:val="left"/>
      <w:pPr>
        <w:ind w:left="1440" w:hanging="360"/>
      </w:pPr>
      <w:rPr>
        <w:rFonts w:ascii="Courier New" w:hAnsi="Courier New" w:cs="Courier New" w:hint="default"/>
      </w:rPr>
    </w:lvl>
    <w:lvl w:ilvl="2" w:tplc="49E2C4D0" w:tentative="1">
      <w:start w:val="1"/>
      <w:numFmt w:val="bullet"/>
      <w:lvlText w:val=""/>
      <w:lvlJc w:val="left"/>
      <w:pPr>
        <w:ind w:left="2160" w:hanging="360"/>
      </w:pPr>
      <w:rPr>
        <w:rFonts w:ascii="Wingdings" w:hAnsi="Wingdings" w:hint="default"/>
      </w:rPr>
    </w:lvl>
    <w:lvl w:ilvl="3" w:tplc="FACAB3AC" w:tentative="1">
      <w:start w:val="1"/>
      <w:numFmt w:val="bullet"/>
      <w:lvlText w:val=""/>
      <w:lvlJc w:val="left"/>
      <w:pPr>
        <w:ind w:left="2880" w:hanging="360"/>
      </w:pPr>
      <w:rPr>
        <w:rFonts w:ascii="Symbol" w:hAnsi="Symbol" w:hint="default"/>
      </w:rPr>
    </w:lvl>
    <w:lvl w:ilvl="4" w:tplc="5C3E2DD6" w:tentative="1">
      <w:start w:val="1"/>
      <w:numFmt w:val="bullet"/>
      <w:lvlText w:val="o"/>
      <w:lvlJc w:val="left"/>
      <w:pPr>
        <w:ind w:left="3600" w:hanging="360"/>
      </w:pPr>
      <w:rPr>
        <w:rFonts w:ascii="Courier New" w:hAnsi="Courier New" w:cs="Courier New" w:hint="default"/>
      </w:rPr>
    </w:lvl>
    <w:lvl w:ilvl="5" w:tplc="B7EED532" w:tentative="1">
      <w:start w:val="1"/>
      <w:numFmt w:val="bullet"/>
      <w:lvlText w:val=""/>
      <w:lvlJc w:val="left"/>
      <w:pPr>
        <w:ind w:left="4320" w:hanging="360"/>
      </w:pPr>
      <w:rPr>
        <w:rFonts w:ascii="Wingdings" w:hAnsi="Wingdings" w:hint="default"/>
      </w:rPr>
    </w:lvl>
    <w:lvl w:ilvl="6" w:tplc="669E3586" w:tentative="1">
      <w:start w:val="1"/>
      <w:numFmt w:val="bullet"/>
      <w:lvlText w:val=""/>
      <w:lvlJc w:val="left"/>
      <w:pPr>
        <w:ind w:left="5040" w:hanging="360"/>
      </w:pPr>
      <w:rPr>
        <w:rFonts w:ascii="Symbol" w:hAnsi="Symbol" w:hint="default"/>
      </w:rPr>
    </w:lvl>
    <w:lvl w:ilvl="7" w:tplc="B5760A64" w:tentative="1">
      <w:start w:val="1"/>
      <w:numFmt w:val="bullet"/>
      <w:lvlText w:val="o"/>
      <w:lvlJc w:val="left"/>
      <w:pPr>
        <w:ind w:left="5760" w:hanging="360"/>
      </w:pPr>
      <w:rPr>
        <w:rFonts w:ascii="Courier New" w:hAnsi="Courier New" w:cs="Courier New" w:hint="default"/>
      </w:rPr>
    </w:lvl>
    <w:lvl w:ilvl="8" w:tplc="E160A2E8" w:tentative="1">
      <w:start w:val="1"/>
      <w:numFmt w:val="bullet"/>
      <w:lvlText w:val=""/>
      <w:lvlJc w:val="left"/>
      <w:pPr>
        <w:ind w:left="6480" w:hanging="360"/>
      </w:pPr>
      <w:rPr>
        <w:rFonts w:ascii="Wingdings" w:hAnsi="Wingdings" w:hint="default"/>
      </w:rPr>
    </w:lvl>
  </w:abstractNum>
  <w:num w:numId="1" w16cid:durableId="1087265148">
    <w:abstractNumId w:val="6"/>
  </w:num>
  <w:num w:numId="2" w16cid:durableId="531261918">
    <w:abstractNumId w:val="5"/>
  </w:num>
  <w:num w:numId="3" w16cid:durableId="1003823325">
    <w:abstractNumId w:val="0"/>
  </w:num>
  <w:num w:numId="4" w16cid:durableId="1134833026">
    <w:abstractNumId w:val="1"/>
  </w:num>
  <w:num w:numId="5" w16cid:durableId="69236168">
    <w:abstractNumId w:val="3"/>
  </w:num>
  <w:num w:numId="6" w16cid:durableId="841091037">
    <w:abstractNumId w:val="4"/>
  </w:num>
  <w:num w:numId="7" w16cid:durableId="19917875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284"/>
    <w:rsid w:val="00040263"/>
    <w:rsid w:val="00056284"/>
    <w:rsid w:val="004215F9"/>
    <w:rsid w:val="0042324F"/>
    <w:rsid w:val="004F7EAE"/>
    <w:rsid w:val="005B7E27"/>
    <w:rsid w:val="005E0344"/>
    <w:rsid w:val="00657199"/>
    <w:rsid w:val="00722670"/>
    <w:rsid w:val="00AD1E22"/>
    <w:rsid w:val="00AF4137"/>
    <w:rsid w:val="00B40EA1"/>
    <w:rsid w:val="00D904A6"/>
    <w:rsid w:val="00DA2321"/>
    <w:rsid w:val="00E5776D"/>
    <w:rsid w:val="00EF0229"/>
    <w:rsid w:val="00F1786F"/>
    <w:rsid w:val="00F249E7"/>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8E5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86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A2321"/>
    <w:pPr>
      <w:spacing w:after="0"/>
      <w:outlineLvl w:val="0"/>
    </w:pPr>
    <w:rPr>
      <w:rFonts w:ascii="Arial" w:eastAsia="Times New Roman" w:hAnsi="Arial" w:cs="Arial"/>
      <w:b/>
      <w:bCs/>
      <w:color w:val="000000"/>
      <w:szCs w:val="24"/>
      <w:shd w:val="clear" w:color="auto" w:fill="FFFFFF"/>
    </w:rPr>
  </w:style>
  <w:style w:type="paragraph" w:styleId="Heading2">
    <w:name w:val="heading 2"/>
    <w:basedOn w:val="Normal"/>
    <w:next w:val="Normal"/>
    <w:link w:val="Heading2Char"/>
    <w:uiPriority w:val="9"/>
    <w:unhideWhenUsed/>
    <w:qFormat/>
    <w:rsid w:val="00DA2321"/>
    <w:pPr>
      <w:spacing w:after="0"/>
      <w:outlineLvl w:val="1"/>
    </w:pPr>
    <w:rPr>
      <w:rFonts w:ascii="Arial" w:eastAsia="Times New Roman" w:hAnsi="Arial" w:cs="Arial"/>
      <w:b/>
      <w:bCs/>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56284"/>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056284"/>
    <w:pPr>
      <w:ind w:left="720"/>
      <w:contextualSpacing/>
    </w:pPr>
  </w:style>
  <w:style w:type="character" w:customStyle="1" w:styleId="Heading1Char">
    <w:name w:val="Heading 1 Char"/>
    <w:basedOn w:val="DefaultParagraphFont"/>
    <w:link w:val="Heading1"/>
    <w:uiPriority w:val="9"/>
    <w:rsid w:val="00DA2321"/>
    <w:rPr>
      <w:rFonts w:ascii="Arial" w:eastAsia="Times New Roman" w:hAnsi="Arial" w:cs="Arial"/>
      <w:b/>
      <w:bCs/>
      <w:color w:val="000000"/>
      <w:sz w:val="24"/>
      <w:szCs w:val="24"/>
    </w:rPr>
  </w:style>
  <w:style w:type="character" w:customStyle="1" w:styleId="Heading2Char">
    <w:name w:val="Heading 2 Char"/>
    <w:basedOn w:val="DefaultParagraphFont"/>
    <w:link w:val="Heading2"/>
    <w:uiPriority w:val="9"/>
    <w:rsid w:val="00DA2321"/>
    <w:rPr>
      <w:rFonts w:ascii="Arial" w:eastAsia="Times New Roman" w:hAnsi="Arial" w:cs="Arial"/>
      <w:b/>
      <w:bCs/>
      <w:color w:val="000000"/>
    </w:rPr>
  </w:style>
  <w:style w:type="paragraph" w:styleId="Header">
    <w:name w:val="header"/>
    <w:basedOn w:val="Normal"/>
    <w:link w:val="HeaderChar"/>
    <w:uiPriority w:val="99"/>
    <w:unhideWhenUsed/>
    <w:rsid w:val="00F17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86F"/>
    <w:rPr>
      <w:rFonts w:ascii="Times New Roman" w:hAnsi="Times New Roman"/>
      <w:sz w:val="24"/>
    </w:rPr>
  </w:style>
  <w:style w:type="paragraph" w:styleId="Footer">
    <w:name w:val="footer"/>
    <w:basedOn w:val="Normal"/>
    <w:link w:val="FooterChar"/>
    <w:uiPriority w:val="99"/>
    <w:unhideWhenUsed/>
    <w:rsid w:val="00F17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86F"/>
    <w:rPr>
      <w:rFonts w:ascii="Times New Roman" w:hAnsi="Times New Roman"/>
      <w:sz w:val="24"/>
    </w:rPr>
  </w:style>
  <w:style w:type="paragraph" w:styleId="TOCHeading">
    <w:name w:val="TOC Heading"/>
    <w:basedOn w:val="Heading1"/>
    <w:next w:val="Normal"/>
    <w:uiPriority w:val="39"/>
    <w:unhideWhenUsed/>
    <w:qFormat/>
    <w:rsid w:val="00F1786F"/>
    <w:pPr>
      <w:keepNext/>
      <w:keepLines/>
      <w:spacing w:before="24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F1786F"/>
    <w:pPr>
      <w:spacing w:after="100"/>
    </w:pPr>
  </w:style>
  <w:style w:type="paragraph" w:styleId="TOC2">
    <w:name w:val="toc 2"/>
    <w:basedOn w:val="Normal"/>
    <w:next w:val="Normal"/>
    <w:autoRedefine/>
    <w:uiPriority w:val="39"/>
    <w:unhideWhenUsed/>
    <w:rsid w:val="00F1786F"/>
    <w:pPr>
      <w:spacing w:after="100"/>
      <w:ind w:left="240"/>
    </w:pPr>
  </w:style>
  <w:style w:type="character" w:styleId="Hyperlink">
    <w:name w:val="Hyperlink"/>
    <w:basedOn w:val="DefaultParagraphFont"/>
    <w:uiPriority w:val="99"/>
    <w:unhideWhenUsed/>
    <w:rsid w:val="00F178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AB9E1B-0A92-46E5-9234-D93CF8D930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3406</Words>
  <Characters>19415</Characters>
  <Application>Microsoft Office Word</Application>
  <DocSecurity>0</DocSecurity>
  <Lines>161</Lines>
  <Paragraphs>45</Paragraphs>
  <ScaleCrop>false</ScaleCrop>
  <Company/>
  <LinksUpToDate>false</LinksUpToDate>
  <CharactersWithSpaces>22776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2024-07-16T18:29:00Z</dcterms:created>
  <dcterms:modified xsi:type="dcterms:W3CDTF">2024-07-16T18:29:00Z</dcterms:modified>
</cp:coreProperties>
</file>