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1E7E" w:rsidRDefault="00101E7E" w:rsidP="00101E7E">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01E7E" w:rsidRDefault="00101E7E" w:rsidP="00101E7E">
      <w:pPr>
        <w:pStyle w:val="NormalWeb"/>
        <w:spacing w:before="0" w:beforeAutospacing="0" w:after="0" w:afterAutospacing="0"/>
        <w:ind w:left="-180" w:right="-334"/>
      </w:pPr>
    </w:p>
    <w:p w:rsidR="00101E7E" w:rsidRDefault="00101E7E" w:rsidP="00101E7E">
      <w:pPr>
        <w:pStyle w:val="NormalWeb"/>
        <w:spacing w:before="0" w:beforeAutospacing="0" w:after="0" w:afterAutospacing="0"/>
        <w:ind w:left="-180" w:right="-334"/>
      </w:pPr>
    </w:p>
    <w:p w:rsidR="00101E7E" w:rsidRDefault="00101E7E" w:rsidP="00101E7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101E7E" w:rsidRPr="00230F35" w:rsidRDefault="00101E7E" w:rsidP="00101E7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101E7E" w:rsidRPr="00230F35" w:rsidRDefault="00101E7E" w:rsidP="00101E7E">
      <w:pPr>
        <w:rPr>
          <w:rFonts w:ascii="Arial" w:hAnsi="Arial" w:cs="Arial"/>
          <w:sz w:val="28"/>
          <w:szCs w:val="28"/>
          <w:lang w:val="cy-GB"/>
        </w:rPr>
      </w:pPr>
    </w:p>
    <w:p w:rsidR="00101E7E" w:rsidRDefault="00101E7E" w:rsidP="00101E7E">
      <w:pPr>
        <w:pStyle w:val="Heading3"/>
        <w:jc w:val="center"/>
        <w:rPr>
          <w:lang w:val="cy-GB"/>
        </w:rPr>
      </w:pPr>
      <w:r>
        <w:rPr>
          <w:lang w:val="cy-GB"/>
        </w:rPr>
        <w:t>THIS SHEET MUST BE THE FIRST PAGE OF THE ASSIGNMENT YOU ARE SUBMITTING  (DO NOT SEND AS A SEPARATE FILE)</w:t>
      </w:r>
    </w:p>
    <w:p w:rsidR="00101E7E" w:rsidRDefault="00101E7E" w:rsidP="00101E7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01E7E" w:rsidRPr="00230F35" w:rsidTr="00792C67">
        <w:trPr>
          <w:trHeight w:val="614"/>
        </w:trPr>
        <w:tc>
          <w:tcPr>
            <w:tcW w:w="8856" w:type="dxa"/>
            <w:gridSpan w:val="5"/>
          </w:tcPr>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01E7E" w:rsidRPr="00230F35" w:rsidTr="00792C67">
        <w:trPr>
          <w:trHeight w:val="718"/>
        </w:trPr>
        <w:tc>
          <w:tcPr>
            <w:tcW w:w="8856" w:type="dxa"/>
            <w:gridSpan w:val="5"/>
          </w:tcPr>
          <w:p w:rsidR="00101E7E"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101E7E" w:rsidRPr="00230F35" w:rsidRDefault="00355833" w:rsidP="00792C67">
            <w:pPr>
              <w:pStyle w:val="NormalWeb"/>
              <w:spacing w:before="0" w:beforeAutospacing="0" w:after="0" w:afterAutospacing="0"/>
              <w:ind w:right="34"/>
              <w:rPr>
                <w:rFonts w:ascii="Arial" w:hAnsi="Arial" w:cs="Arial"/>
                <w:sz w:val="22"/>
                <w:szCs w:val="22"/>
              </w:rPr>
            </w:pPr>
            <w:r>
              <w:rPr>
                <w:rFonts w:ascii="Arial" w:hAnsi="Arial" w:cs="Arial"/>
                <w:sz w:val="22"/>
                <w:szCs w:val="22"/>
              </w:rPr>
              <w:t>Suzanne Caisey</w:t>
            </w:r>
          </w:p>
        </w:tc>
      </w:tr>
      <w:tr w:rsidR="00101E7E" w:rsidRPr="00230F35" w:rsidTr="00792C67">
        <w:trPr>
          <w:trHeight w:val="849"/>
        </w:trPr>
        <w:tc>
          <w:tcPr>
            <w:tcW w:w="4788" w:type="dxa"/>
          </w:tcPr>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355833">
              <w:rPr>
                <w:rFonts w:ascii="Arial" w:hAnsi="Arial" w:cs="Arial"/>
                <w:sz w:val="22"/>
                <w:szCs w:val="22"/>
              </w:rPr>
              <w:t xml:space="preserve"> </w:t>
            </w:r>
            <w:r w:rsidR="00355833">
              <w:rPr>
                <w:rFonts w:ascii="Arial" w:hAnsi="Arial" w:cs="Arial"/>
              </w:rPr>
              <w:t>AHHI7016</w:t>
            </w:r>
          </w:p>
          <w:p w:rsidR="00101E7E" w:rsidRPr="00230F35" w:rsidRDefault="00101E7E" w:rsidP="00792C67">
            <w:pPr>
              <w:pStyle w:val="NormalWeb"/>
              <w:spacing w:before="0" w:beforeAutospacing="0" w:after="0" w:afterAutospacing="0"/>
              <w:ind w:right="34"/>
              <w:rPr>
                <w:rFonts w:ascii="Arial" w:hAnsi="Arial" w:cs="Arial"/>
                <w:sz w:val="22"/>
                <w:szCs w:val="22"/>
              </w:rPr>
            </w:pPr>
          </w:p>
          <w:p w:rsidR="00101E7E"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355833">
              <w:rPr>
                <w:rFonts w:ascii="Arial" w:hAnsi="Arial" w:cs="Arial"/>
                <w:sz w:val="22"/>
                <w:szCs w:val="22"/>
              </w:rPr>
              <w:t xml:space="preserve"> Studying the Medieval</w:t>
            </w:r>
          </w:p>
          <w:p w:rsidR="00101E7E" w:rsidRDefault="00101E7E" w:rsidP="00792C67">
            <w:pPr>
              <w:pStyle w:val="NormalWeb"/>
              <w:spacing w:before="0" w:beforeAutospacing="0" w:after="0" w:afterAutospacing="0"/>
              <w:ind w:right="34"/>
              <w:rPr>
                <w:rFonts w:ascii="Arial" w:hAnsi="Arial" w:cs="Arial"/>
                <w:sz w:val="22"/>
                <w:szCs w:val="22"/>
              </w:rPr>
            </w:pPr>
          </w:p>
          <w:p w:rsidR="00101E7E" w:rsidRPr="00230F35" w:rsidRDefault="00101E7E" w:rsidP="00792C67">
            <w:pPr>
              <w:pStyle w:val="NormalWeb"/>
              <w:spacing w:before="0" w:beforeAutospacing="0" w:after="0" w:afterAutospacing="0"/>
              <w:ind w:right="34"/>
              <w:rPr>
                <w:rFonts w:ascii="Arial" w:hAnsi="Arial" w:cs="Arial"/>
                <w:sz w:val="22"/>
                <w:szCs w:val="22"/>
              </w:rPr>
            </w:pPr>
          </w:p>
        </w:tc>
        <w:tc>
          <w:tcPr>
            <w:tcW w:w="2266" w:type="dxa"/>
            <w:gridSpan w:val="3"/>
          </w:tcPr>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355833">
              <w:rPr>
                <w:rFonts w:ascii="Arial" w:hAnsi="Arial" w:cs="Arial"/>
                <w:sz w:val="22"/>
                <w:szCs w:val="22"/>
              </w:rPr>
              <w:t xml:space="preserve"> 1708467</w:t>
            </w:r>
          </w:p>
        </w:tc>
        <w:tc>
          <w:tcPr>
            <w:tcW w:w="1802" w:type="dxa"/>
          </w:tcPr>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01E7E" w:rsidRPr="00230F35" w:rsidTr="00792C67">
        <w:trPr>
          <w:trHeight w:val="1139"/>
        </w:trPr>
        <w:tc>
          <w:tcPr>
            <w:tcW w:w="8856" w:type="dxa"/>
            <w:gridSpan w:val="5"/>
          </w:tcPr>
          <w:p w:rsidR="00101E7E" w:rsidRPr="00230F35" w:rsidRDefault="00101E7E" w:rsidP="00792C6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355833">
              <w:rPr>
                <w:rFonts w:ascii="Arial" w:hAnsi="Arial" w:cs="Arial"/>
                <w:sz w:val="22"/>
                <w:szCs w:val="22"/>
              </w:rPr>
              <w:t xml:space="preserve"> Janet Burton</w:t>
            </w:r>
          </w:p>
          <w:p w:rsidR="00101E7E" w:rsidRPr="00230F35" w:rsidRDefault="00101E7E" w:rsidP="00792C67">
            <w:pPr>
              <w:pStyle w:val="NormalWeb"/>
              <w:spacing w:before="0" w:beforeAutospacing="0" w:after="0" w:afterAutospacing="0"/>
              <w:ind w:right="34"/>
              <w:rPr>
                <w:rFonts w:ascii="Arial" w:hAnsi="Arial" w:cs="Arial"/>
                <w:sz w:val="22"/>
                <w:szCs w:val="22"/>
              </w:rPr>
            </w:pPr>
          </w:p>
          <w:p w:rsidR="00101E7E" w:rsidRDefault="00101E7E" w:rsidP="00792C67">
            <w:pPr>
              <w:pStyle w:val="NormalWeb"/>
              <w:spacing w:before="0" w:beforeAutospacing="0" w:after="0" w:afterAutospacing="0"/>
              <w:ind w:right="34"/>
              <w:rPr>
                <w:rFonts w:ascii="Arial" w:hAnsi="Arial" w:cs="Arial"/>
                <w:sz w:val="22"/>
                <w:szCs w:val="22"/>
              </w:rPr>
            </w:pPr>
          </w:p>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55833">
              <w:rPr>
                <w:rFonts w:ascii="Arial" w:hAnsi="Arial" w:cs="Arial"/>
                <w:sz w:val="22"/>
                <w:szCs w:val="22"/>
              </w:rPr>
              <w:t xml:space="preserve"> 31</w:t>
            </w:r>
            <w:r w:rsidR="00355833" w:rsidRPr="00355833">
              <w:rPr>
                <w:rFonts w:ascii="Arial" w:hAnsi="Arial" w:cs="Arial"/>
                <w:sz w:val="22"/>
                <w:szCs w:val="22"/>
                <w:vertAlign w:val="superscript"/>
              </w:rPr>
              <w:t>st</w:t>
            </w:r>
            <w:r w:rsidR="00355833">
              <w:rPr>
                <w:rFonts w:ascii="Arial" w:hAnsi="Arial" w:cs="Arial"/>
                <w:sz w:val="22"/>
                <w:szCs w:val="22"/>
              </w:rPr>
              <w:t xml:space="preserve"> August 2018</w:t>
            </w:r>
          </w:p>
        </w:tc>
      </w:tr>
      <w:tr w:rsidR="00101E7E" w:rsidRPr="00230F35" w:rsidTr="00792C67">
        <w:trPr>
          <w:trHeight w:val="978"/>
        </w:trPr>
        <w:tc>
          <w:tcPr>
            <w:tcW w:w="8856" w:type="dxa"/>
            <w:gridSpan w:val="5"/>
            <w:tcBorders>
              <w:bottom w:val="single" w:sz="4" w:space="0" w:color="000000"/>
            </w:tcBorders>
          </w:tcPr>
          <w:p w:rsidR="00101E7E" w:rsidRDefault="00101E7E" w:rsidP="00792C67">
            <w:pPr>
              <w:rPr>
                <w:rFonts w:ascii="Arial" w:hAnsi="Arial" w:cs="Arial"/>
              </w:rPr>
            </w:pPr>
            <w:r>
              <w:rPr>
                <w:rFonts w:ascii="Arial" w:hAnsi="Arial" w:cs="Arial"/>
              </w:rPr>
              <w:t>If your module has multiple submissions please indicate which piece of work this is.</w:t>
            </w:r>
          </w:p>
          <w:p w:rsidR="00101E7E" w:rsidRDefault="00101E7E" w:rsidP="00792C67">
            <w:pPr>
              <w:rPr>
                <w:rFonts w:ascii="Arial" w:hAnsi="Arial" w:cs="Arial"/>
              </w:rPr>
            </w:pPr>
          </w:p>
          <w:p w:rsidR="00101E7E" w:rsidRPr="00230F35" w:rsidRDefault="00101E7E" w:rsidP="00355833">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BC452C">
              <w:rPr>
                <w:rFonts w:ascii="Arial" w:hAnsi="Arial" w:cs="Arial"/>
              </w:rPr>
            </w:r>
            <w:r w:rsidR="00BC452C">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55833">
              <w:rPr>
                <w:rFonts w:ascii="Arial" w:hAnsi="Arial" w:cs="Arial"/>
              </w:rPr>
              <w:t>√</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BC452C">
              <w:rPr>
                <w:rFonts w:ascii="Arial" w:hAnsi="Arial" w:cs="Arial"/>
              </w:rPr>
            </w:r>
            <w:r w:rsidR="00BC452C">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BC452C">
              <w:rPr>
                <w:rFonts w:ascii="Arial" w:hAnsi="Arial" w:cs="Arial"/>
              </w:rPr>
            </w:r>
            <w:r w:rsidR="00BC452C">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BC452C">
              <w:rPr>
                <w:rFonts w:ascii="Arial" w:hAnsi="Arial" w:cs="Arial"/>
              </w:rPr>
            </w:r>
            <w:r w:rsidR="00BC452C">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BC452C">
              <w:rPr>
                <w:rFonts w:ascii="Arial" w:hAnsi="Arial" w:cs="Arial"/>
              </w:rPr>
            </w:r>
            <w:r w:rsidR="00BC452C">
              <w:rPr>
                <w:rFonts w:ascii="Arial" w:hAnsi="Arial" w:cs="Arial"/>
              </w:rPr>
              <w:fldChar w:fldCharType="separate"/>
            </w:r>
            <w:r w:rsidRPr="00230F35">
              <w:rPr>
                <w:rFonts w:ascii="Arial" w:hAnsi="Arial" w:cs="Arial"/>
              </w:rPr>
              <w:fldChar w:fldCharType="end"/>
            </w:r>
            <w:bookmarkEnd w:id="4"/>
          </w:p>
        </w:tc>
      </w:tr>
      <w:tr w:rsidR="00101E7E" w:rsidRPr="00230F35" w:rsidTr="00792C67">
        <w:trPr>
          <w:trHeight w:val="978"/>
        </w:trPr>
        <w:tc>
          <w:tcPr>
            <w:tcW w:w="8856" w:type="dxa"/>
            <w:gridSpan w:val="5"/>
            <w:shd w:val="clear" w:color="auto" w:fill="D9D9D9"/>
          </w:tcPr>
          <w:p w:rsidR="00101E7E" w:rsidRPr="00230F35"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101E7E" w:rsidRDefault="00101E7E" w:rsidP="00792C6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101E7E" w:rsidRDefault="00101E7E" w:rsidP="00792C6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355833">
              <w:rPr>
                <w:rFonts w:ascii="Calibri" w:hAnsi="Calibri" w:cs="Calibri"/>
                <w:b/>
                <w:sz w:val="44"/>
                <w:szCs w:val="44"/>
              </w:rPr>
              <w:t>√</w:t>
            </w:r>
          </w:p>
          <w:p w:rsidR="00101E7E" w:rsidRPr="00230F35" w:rsidRDefault="00101E7E" w:rsidP="00792C6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01E7E" w:rsidRPr="00230F35" w:rsidTr="00792C67">
        <w:trPr>
          <w:trHeight w:val="3972"/>
        </w:trPr>
        <w:tc>
          <w:tcPr>
            <w:tcW w:w="8856" w:type="dxa"/>
            <w:gridSpan w:val="5"/>
          </w:tcPr>
          <w:p w:rsidR="00101E7E" w:rsidRDefault="00101E7E" w:rsidP="00792C67">
            <w:pPr>
              <w:rPr>
                <w:rFonts w:ascii="Arial" w:hAnsi="Arial"/>
                <w:b/>
              </w:rPr>
            </w:pPr>
          </w:p>
          <w:p w:rsidR="00101E7E" w:rsidRPr="00116CE6" w:rsidRDefault="00101E7E" w:rsidP="00792C6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01E7E" w:rsidRPr="00116CE6" w:rsidTr="00792C67">
              <w:tc>
                <w:tcPr>
                  <w:tcW w:w="6970" w:type="dxa"/>
                </w:tcPr>
                <w:p w:rsidR="00101E7E" w:rsidRPr="00116CE6" w:rsidRDefault="00101E7E" w:rsidP="00792C67">
                  <w:pPr>
                    <w:rPr>
                      <w:rFonts w:ascii="Arial" w:hAnsi="Arial"/>
                      <w:sz w:val="20"/>
                      <w:szCs w:val="20"/>
                    </w:rPr>
                  </w:pPr>
                </w:p>
                <w:p w:rsidR="00101E7E" w:rsidRPr="00116CE6" w:rsidRDefault="00101E7E" w:rsidP="00792C6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101E7E" w:rsidRPr="00116CE6" w:rsidRDefault="00101E7E" w:rsidP="00792C67">
                  <w:pPr>
                    <w:rPr>
                      <w:rFonts w:ascii="Arial" w:hAnsi="Arial"/>
                      <w:sz w:val="20"/>
                      <w:szCs w:val="20"/>
                    </w:rPr>
                  </w:pPr>
                </w:p>
              </w:tc>
            </w:tr>
            <w:tr w:rsidR="00101E7E" w:rsidRPr="00116CE6" w:rsidTr="00792C67">
              <w:tc>
                <w:tcPr>
                  <w:tcW w:w="6970" w:type="dxa"/>
                </w:tcPr>
                <w:p w:rsidR="00101E7E" w:rsidRPr="00116CE6" w:rsidRDefault="00101E7E" w:rsidP="00792C67">
                  <w:pPr>
                    <w:rPr>
                      <w:rFonts w:ascii="Arial" w:hAnsi="Arial"/>
                      <w:sz w:val="20"/>
                      <w:szCs w:val="20"/>
                    </w:rPr>
                  </w:pPr>
                </w:p>
                <w:p w:rsidR="00101E7E" w:rsidRPr="00116CE6" w:rsidRDefault="00101E7E" w:rsidP="00792C6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101E7E" w:rsidRPr="00116CE6" w:rsidRDefault="00101E7E" w:rsidP="00792C67">
                  <w:pPr>
                    <w:rPr>
                      <w:rFonts w:ascii="Arial" w:hAnsi="Arial"/>
                      <w:sz w:val="20"/>
                      <w:szCs w:val="20"/>
                    </w:rPr>
                  </w:pPr>
                </w:p>
              </w:tc>
            </w:tr>
            <w:tr w:rsidR="00101E7E" w:rsidRPr="00116CE6" w:rsidTr="00792C67">
              <w:tc>
                <w:tcPr>
                  <w:tcW w:w="6970" w:type="dxa"/>
                </w:tcPr>
                <w:p w:rsidR="00101E7E" w:rsidRPr="00116CE6" w:rsidRDefault="00101E7E" w:rsidP="00792C67">
                  <w:pPr>
                    <w:rPr>
                      <w:rFonts w:ascii="Arial" w:hAnsi="Arial"/>
                      <w:sz w:val="20"/>
                      <w:szCs w:val="20"/>
                    </w:rPr>
                  </w:pPr>
                </w:p>
                <w:p w:rsidR="00101E7E" w:rsidRPr="00116CE6" w:rsidRDefault="00101E7E" w:rsidP="00792C6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101E7E" w:rsidRPr="00116CE6" w:rsidRDefault="00101E7E" w:rsidP="00792C67">
                  <w:pPr>
                    <w:rPr>
                      <w:rFonts w:ascii="Arial" w:hAnsi="Arial"/>
                      <w:sz w:val="20"/>
                      <w:szCs w:val="20"/>
                    </w:rPr>
                  </w:pPr>
                </w:p>
              </w:tc>
            </w:tr>
            <w:tr w:rsidR="00101E7E" w:rsidRPr="00116CE6" w:rsidTr="00792C67">
              <w:tc>
                <w:tcPr>
                  <w:tcW w:w="6970" w:type="dxa"/>
                </w:tcPr>
                <w:p w:rsidR="00101E7E" w:rsidRDefault="00101E7E" w:rsidP="00792C67">
                  <w:pPr>
                    <w:rPr>
                      <w:rFonts w:ascii="Arial" w:hAnsi="Arial"/>
                      <w:sz w:val="20"/>
                      <w:szCs w:val="20"/>
                    </w:rPr>
                  </w:pPr>
                </w:p>
                <w:p w:rsidR="00101E7E" w:rsidRPr="00022345" w:rsidRDefault="00101E7E" w:rsidP="00792C67">
                  <w:pPr>
                    <w:rPr>
                      <w:rFonts w:ascii="Arial" w:hAnsi="Arial"/>
                      <w:b/>
                      <w:sz w:val="20"/>
                      <w:szCs w:val="20"/>
                    </w:rPr>
                  </w:pPr>
                  <w:r w:rsidRPr="00022345">
                    <w:rPr>
                      <w:rFonts w:ascii="Arial" w:hAnsi="Arial"/>
                      <w:b/>
                      <w:sz w:val="20"/>
                      <w:szCs w:val="20"/>
                    </w:rPr>
                    <w:t>Final Mark</w:t>
                  </w:r>
                </w:p>
                <w:p w:rsidR="00101E7E" w:rsidRPr="00116CE6" w:rsidRDefault="00101E7E" w:rsidP="00792C67">
                  <w:pPr>
                    <w:rPr>
                      <w:rFonts w:ascii="Arial" w:hAnsi="Arial"/>
                      <w:sz w:val="20"/>
                      <w:szCs w:val="20"/>
                    </w:rPr>
                  </w:pPr>
                </w:p>
              </w:tc>
              <w:tc>
                <w:tcPr>
                  <w:tcW w:w="1660" w:type="dxa"/>
                </w:tcPr>
                <w:p w:rsidR="00101E7E" w:rsidRPr="00116CE6" w:rsidRDefault="00101E7E" w:rsidP="00792C67">
                  <w:pPr>
                    <w:rPr>
                      <w:rFonts w:ascii="Arial" w:hAnsi="Arial"/>
                      <w:sz w:val="20"/>
                      <w:szCs w:val="20"/>
                    </w:rPr>
                  </w:pPr>
                </w:p>
              </w:tc>
            </w:tr>
          </w:tbl>
          <w:p w:rsidR="00101E7E" w:rsidRDefault="00101E7E" w:rsidP="00792C67">
            <w:pPr>
              <w:pStyle w:val="NormalWeb"/>
              <w:spacing w:before="0" w:beforeAutospacing="0" w:after="0" w:afterAutospacing="0"/>
              <w:ind w:left="142" w:right="34"/>
              <w:rPr>
                <w:rFonts w:ascii="Arial" w:hAnsi="Arial" w:cs="Arial"/>
                <w:b/>
                <w:sz w:val="22"/>
                <w:szCs w:val="22"/>
              </w:rPr>
            </w:pPr>
          </w:p>
          <w:p w:rsidR="00101E7E" w:rsidRPr="00230F35" w:rsidRDefault="00101E7E" w:rsidP="00792C6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101E7E" w:rsidRDefault="00101E7E" w:rsidP="00792C67">
            <w:pPr>
              <w:pStyle w:val="NormalWeb"/>
              <w:spacing w:before="0" w:beforeAutospacing="0" w:after="0" w:afterAutospacing="0"/>
              <w:rPr>
                <w:rFonts w:ascii="Arial" w:hAnsi="Arial" w:cs="Arial"/>
                <w:b/>
                <w:sz w:val="22"/>
                <w:szCs w:val="22"/>
              </w:rPr>
            </w:pPr>
          </w:p>
          <w:p w:rsidR="00101E7E" w:rsidRDefault="00101E7E" w:rsidP="00792C67">
            <w:pPr>
              <w:pStyle w:val="NormalWeb"/>
              <w:spacing w:before="0" w:beforeAutospacing="0" w:after="0" w:afterAutospacing="0"/>
              <w:rPr>
                <w:rFonts w:ascii="Arial" w:hAnsi="Arial" w:cs="Arial"/>
                <w:b/>
                <w:sz w:val="22"/>
                <w:szCs w:val="22"/>
              </w:rPr>
            </w:pPr>
          </w:p>
          <w:p w:rsidR="00101E7E" w:rsidRDefault="00101E7E" w:rsidP="00792C67">
            <w:pPr>
              <w:pStyle w:val="NormalWeb"/>
              <w:spacing w:before="0" w:beforeAutospacing="0" w:after="0" w:afterAutospacing="0"/>
              <w:rPr>
                <w:rFonts w:ascii="Arial" w:hAnsi="Arial" w:cs="Arial"/>
                <w:b/>
                <w:sz w:val="22"/>
                <w:szCs w:val="22"/>
              </w:rPr>
            </w:pPr>
          </w:p>
          <w:p w:rsidR="00101E7E" w:rsidRDefault="00101E7E" w:rsidP="00792C67">
            <w:pPr>
              <w:pStyle w:val="NormalWeb"/>
              <w:spacing w:before="0" w:beforeAutospacing="0" w:after="0" w:afterAutospacing="0"/>
              <w:rPr>
                <w:rFonts w:ascii="Arial" w:hAnsi="Arial" w:cs="Arial"/>
                <w:b/>
                <w:sz w:val="22"/>
                <w:szCs w:val="22"/>
              </w:rPr>
            </w:pPr>
          </w:p>
          <w:p w:rsidR="00101E7E" w:rsidRDefault="00101E7E" w:rsidP="00792C67">
            <w:pPr>
              <w:pStyle w:val="NormalWeb"/>
              <w:spacing w:before="0" w:beforeAutospacing="0" w:after="0" w:afterAutospacing="0"/>
              <w:rPr>
                <w:rFonts w:ascii="Arial" w:hAnsi="Arial" w:cs="Arial"/>
                <w:b/>
                <w:sz w:val="22"/>
                <w:szCs w:val="22"/>
              </w:rPr>
            </w:pPr>
          </w:p>
          <w:p w:rsidR="00101E7E" w:rsidRPr="00230F35" w:rsidRDefault="00101E7E" w:rsidP="00792C6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101E7E" w:rsidRDefault="00101E7E" w:rsidP="00792C6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101E7E" w:rsidRPr="00001C3B" w:rsidRDefault="00101E7E" w:rsidP="00792C67">
            <w:pPr>
              <w:pStyle w:val="NormalWeb"/>
              <w:rPr>
                <w:rFonts w:ascii="Arial" w:hAnsi="Arial" w:cs="Arial"/>
                <w:sz w:val="22"/>
                <w:szCs w:val="22"/>
              </w:rPr>
            </w:pPr>
          </w:p>
        </w:tc>
      </w:tr>
      <w:tr w:rsidR="00101E7E" w:rsidRPr="00230F35" w:rsidTr="00792C67">
        <w:trPr>
          <w:trHeight w:val="492"/>
        </w:trPr>
        <w:tc>
          <w:tcPr>
            <w:tcW w:w="6768" w:type="dxa"/>
            <w:gridSpan w:val="3"/>
          </w:tcPr>
          <w:p w:rsidR="00101E7E" w:rsidRPr="00230F35" w:rsidRDefault="00101E7E" w:rsidP="00792C6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101E7E" w:rsidRPr="00230F35" w:rsidRDefault="00101E7E" w:rsidP="00792C67">
            <w:pPr>
              <w:pStyle w:val="NormalWeb"/>
              <w:spacing w:after="0"/>
              <w:ind w:left="142" w:right="34"/>
              <w:rPr>
                <w:rFonts w:ascii="Arial" w:hAnsi="Arial" w:cs="Arial"/>
                <w:sz w:val="22"/>
                <w:szCs w:val="22"/>
              </w:rPr>
            </w:pPr>
            <w:r w:rsidRPr="00230F35">
              <w:rPr>
                <w:rFonts w:ascii="Arial" w:hAnsi="Arial" w:cs="Arial"/>
                <w:sz w:val="22"/>
                <w:szCs w:val="22"/>
              </w:rPr>
              <w:t>Date:</w:t>
            </w:r>
          </w:p>
        </w:tc>
      </w:tr>
      <w:tr w:rsidR="00101E7E" w:rsidRPr="002F467C" w:rsidTr="00792C67">
        <w:tc>
          <w:tcPr>
            <w:tcW w:w="8856" w:type="dxa"/>
            <w:gridSpan w:val="5"/>
          </w:tcPr>
          <w:p w:rsidR="00101E7E" w:rsidRPr="00230F35" w:rsidRDefault="00101E7E" w:rsidP="00792C67">
            <w:pPr>
              <w:pStyle w:val="NormalWeb"/>
              <w:spacing w:before="0" w:beforeAutospacing="0" w:after="0" w:afterAutospacing="0"/>
              <w:ind w:right="-334"/>
              <w:rPr>
                <w:rFonts w:ascii="Arial" w:hAnsi="Arial" w:cs="Arial"/>
                <w:bCs/>
                <w:i/>
                <w:sz w:val="22"/>
                <w:szCs w:val="22"/>
              </w:rPr>
            </w:pPr>
          </w:p>
          <w:p w:rsidR="00101E7E" w:rsidRPr="00230F35" w:rsidRDefault="00101E7E" w:rsidP="00792C6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101E7E" w:rsidRPr="00230F35" w:rsidRDefault="00101E7E" w:rsidP="00792C67">
            <w:pPr>
              <w:pStyle w:val="NormalWeb"/>
              <w:spacing w:before="0" w:beforeAutospacing="0" w:after="0" w:afterAutospacing="0"/>
              <w:ind w:right="-334"/>
              <w:rPr>
                <w:rFonts w:ascii="Arial" w:hAnsi="Arial" w:cs="Arial"/>
                <w:b/>
                <w:bCs/>
                <w:sz w:val="22"/>
                <w:szCs w:val="22"/>
              </w:rPr>
            </w:pPr>
          </w:p>
          <w:p w:rsidR="00101E7E" w:rsidRPr="00230F35" w:rsidRDefault="00101E7E" w:rsidP="00792C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101E7E" w:rsidRPr="00230F35" w:rsidRDefault="00101E7E" w:rsidP="00792C67">
            <w:pPr>
              <w:pStyle w:val="NormalWeb"/>
              <w:spacing w:before="0" w:beforeAutospacing="0" w:after="0" w:afterAutospacing="0"/>
              <w:ind w:right="-334"/>
              <w:rPr>
                <w:rFonts w:ascii="Arial" w:hAnsi="Arial" w:cs="Arial"/>
                <w:bCs/>
                <w:sz w:val="22"/>
                <w:szCs w:val="22"/>
              </w:rPr>
            </w:pPr>
          </w:p>
          <w:p w:rsidR="00101E7E" w:rsidRPr="00230F35" w:rsidRDefault="00101E7E" w:rsidP="00792C67">
            <w:pPr>
              <w:pStyle w:val="NormalWeb"/>
              <w:spacing w:before="0" w:beforeAutospacing="0" w:after="0" w:afterAutospacing="0"/>
              <w:ind w:right="-334"/>
              <w:rPr>
                <w:rFonts w:ascii="Arial" w:hAnsi="Arial" w:cs="Arial"/>
                <w:bCs/>
                <w:sz w:val="22"/>
                <w:szCs w:val="22"/>
              </w:rPr>
            </w:pPr>
          </w:p>
          <w:p w:rsidR="00101E7E" w:rsidRPr="00230F35" w:rsidRDefault="00101E7E" w:rsidP="00792C67">
            <w:pPr>
              <w:pStyle w:val="NormalWeb"/>
              <w:spacing w:before="0" w:beforeAutospacing="0" w:after="0" w:afterAutospacing="0"/>
              <w:ind w:right="-334"/>
              <w:rPr>
                <w:rFonts w:ascii="Arial" w:hAnsi="Arial" w:cs="Arial"/>
                <w:bCs/>
                <w:sz w:val="22"/>
                <w:szCs w:val="22"/>
              </w:rPr>
            </w:pPr>
          </w:p>
        </w:tc>
      </w:tr>
      <w:tr w:rsidR="00101E7E" w:rsidRPr="002F467C" w:rsidTr="00792C67">
        <w:trPr>
          <w:trHeight w:val="720"/>
        </w:trPr>
        <w:tc>
          <w:tcPr>
            <w:tcW w:w="5211" w:type="dxa"/>
            <w:gridSpan w:val="2"/>
          </w:tcPr>
          <w:p w:rsidR="00101E7E" w:rsidRPr="00230F35" w:rsidRDefault="00101E7E" w:rsidP="00792C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101E7E" w:rsidRPr="00230F35" w:rsidRDefault="00101E7E" w:rsidP="00792C6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01E7E" w:rsidRPr="002F467C" w:rsidTr="00792C67">
        <w:trPr>
          <w:trHeight w:val="720"/>
        </w:trPr>
        <w:tc>
          <w:tcPr>
            <w:tcW w:w="8856" w:type="dxa"/>
            <w:gridSpan w:val="5"/>
          </w:tcPr>
          <w:p w:rsidR="00101E7E" w:rsidRPr="00B34964" w:rsidRDefault="00101E7E" w:rsidP="00792C67">
            <w:pPr>
              <w:rPr>
                <w:rFonts w:ascii="Arial" w:hAnsi="Arial" w:cs="Arial"/>
                <w:b/>
              </w:rPr>
            </w:pPr>
            <w:r w:rsidRPr="00B34964">
              <w:rPr>
                <w:rFonts w:ascii="Arial" w:hAnsi="Arial" w:cs="Arial"/>
                <w:b/>
              </w:rPr>
              <w:t>External Examiner’s comments (if relevant)</w:t>
            </w:r>
          </w:p>
          <w:p w:rsidR="00101E7E" w:rsidRPr="00230F35" w:rsidRDefault="00101E7E" w:rsidP="00792C67">
            <w:pPr>
              <w:pStyle w:val="NormalWeb"/>
              <w:spacing w:before="0" w:beforeAutospacing="0" w:after="0" w:afterAutospacing="0"/>
              <w:ind w:right="-334"/>
              <w:rPr>
                <w:rFonts w:ascii="Arial" w:hAnsi="Arial" w:cs="Arial"/>
                <w:bCs/>
                <w:sz w:val="22"/>
                <w:szCs w:val="22"/>
              </w:rPr>
            </w:pPr>
          </w:p>
          <w:p w:rsidR="00101E7E" w:rsidRPr="00230F35" w:rsidRDefault="00101E7E" w:rsidP="00792C67">
            <w:pPr>
              <w:pStyle w:val="NormalWeb"/>
              <w:spacing w:before="0" w:beforeAutospacing="0" w:after="0" w:afterAutospacing="0"/>
              <w:ind w:right="-334"/>
              <w:rPr>
                <w:rFonts w:ascii="Arial" w:hAnsi="Arial" w:cs="Arial"/>
                <w:bCs/>
                <w:sz w:val="22"/>
                <w:szCs w:val="22"/>
              </w:rPr>
            </w:pPr>
          </w:p>
          <w:p w:rsidR="00101E7E" w:rsidRPr="00230F35" w:rsidRDefault="00101E7E" w:rsidP="00792C67">
            <w:pPr>
              <w:pStyle w:val="NormalWeb"/>
              <w:spacing w:before="0" w:beforeAutospacing="0" w:after="0" w:afterAutospacing="0"/>
              <w:ind w:right="-334"/>
              <w:rPr>
                <w:rFonts w:ascii="Arial" w:hAnsi="Arial" w:cs="Arial"/>
                <w:bCs/>
                <w:sz w:val="22"/>
                <w:szCs w:val="22"/>
              </w:rPr>
            </w:pPr>
          </w:p>
        </w:tc>
      </w:tr>
      <w:tr w:rsidR="00101E7E" w:rsidRPr="002F467C" w:rsidTr="00792C67">
        <w:trPr>
          <w:trHeight w:val="720"/>
        </w:trPr>
        <w:tc>
          <w:tcPr>
            <w:tcW w:w="5211" w:type="dxa"/>
            <w:gridSpan w:val="2"/>
          </w:tcPr>
          <w:p w:rsidR="00101E7E" w:rsidRPr="00230F35" w:rsidRDefault="00101E7E" w:rsidP="00792C67">
            <w:pPr>
              <w:rPr>
                <w:rFonts w:ascii="Arial" w:hAnsi="Arial" w:cs="Arial"/>
              </w:rPr>
            </w:pPr>
            <w:r w:rsidRPr="00230F35">
              <w:rPr>
                <w:rFonts w:ascii="Arial" w:hAnsi="Arial" w:cs="Arial"/>
              </w:rPr>
              <w:t>External Examiner’s Signature:</w:t>
            </w:r>
          </w:p>
        </w:tc>
        <w:tc>
          <w:tcPr>
            <w:tcW w:w="3645" w:type="dxa"/>
            <w:gridSpan w:val="3"/>
          </w:tcPr>
          <w:p w:rsidR="00101E7E" w:rsidRPr="00230F35" w:rsidRDefault="00101E7E" w:rsidP="00792C67">
            <w:pPr>
              <w:rPr>
                <w:rFonts w:ascii="Arial" w:hAnsi="Arial" w:cs="Arial"/>
              </w:rPr>
            </w:pPr>
            <w:r w:rsidRPr="00230F35">
              <w:rPr>
                <w:rFonts w:ascii="Arial" w:hAnsi="Arial" w:cs="Arial"/>
              </w:rPr>
              <w:t>Date:</w:t>
            </w:r>
          </w:p>
        </w:tc>
      </w:tr>
    </w:tbl>
    <w:p w:rsidR="00101E7E" w:rsidRDefault="00101E7E">
      <w:pPr>
        <w:rPr>
          <w:rFonts w:ascii="Times New Roman" w:hAnsi="Times New Roman" w:cs="Times New Roman"/>
          <w:b/>
          <w:sz w:val="24"/>
          <w:szCs w:val="24"/>
        </w:rPr>
      </w:pPr>
    </w:p>
    <w:p w:rsidR="00101E7E" w:rsidRDefault="00101E7E" w:rsidP="004A0425">
      <w:pPr>
        <w:jc w:val="center"/>
        <w:rPr>
          <w:rFonts w:ascii="Times New Roman" w:hAnsi="Times New Roman" w:cs="Times New Roman"/>
          <w:b/>
          <w:sz w:val="24"/>
          <w:szCs w:val="24"/>
        </w:rPr>
      </w:pPr>
    </w:p>
    <w:p w:rsidR="001B560E" w:rsidRPr="004A0425" w:rsidRDefault="001B560E" w:rsidP="004A0425">
      <w:pPr>
        <w:jc w:val="center"/>
        <w:rPr>
          <w:rFonts w:ascii="Times New Roman" w:hAnsi="Times New Roman" w:cs="Times New Roman"/>
          <w:sz w:val="24"/>
          <w:szCs w:val="24"/>
        </w:rPr>
      </w:pPr>
      <w:r w:rsidRPr="001B560E">
        <w:rPr>
          <w:rFonts w:ascii="Times New Roman" w:hAnsi="Times New Roman" w:cs="Times New Roman"/>
          <w:b/>
          <w:sz w:val="24"/>
          <w:szCs w:val="24"/>
        </w:rPr>
        <w:lastRenderedPageBreak/>
        <w:t xml:space="preserve">What documentary sources might be used to shed light on </w:t>
      </w:r>
      <w:r>
        <w:rPr>
          <w:rFonts w:ascii="Times New Roman" w:hAnsi="Times New Roman" w:cs="Times New Roman"/>
          <w:b/>
          <w:sz w:val="24"/>
          <w:szCs w:val="24"/>
        </w:rPr>
        <w:t>rural life in medieval England?</w:t>
      </w:r>
    </w:p>
    <w:p w:rsidR="001B560E" w:rsidRPr="001B560E" w:rsidRDefault="001B560E" w:rsidP="001B560E">
      <w:pPr>
        <w:spacing w:line="240" w:lineRule="auto"/>
        <w:jc w:val="center"/>
        <w:rPr>
          <w:rFonts w:ascii="Times New Roman" w:hAnsi="Times New Roman" w:cs="Times New Roman"/>
          <w:b/>
          <w:sz w:val="24"/>
          <w:szCs w:val="24"/>
        </w:rPr>
      </w:pPr>
    </w:p>
    <w:p w:rsidR="007B10DB" w:rsidRDefault="007B10DB"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many kinds of documentary sources available to those who have an interest in rural life in medieval England, </w:t>
      </w:r>
      <w:r w:rsidR="00593145">
        <w:rPr>
          <w:rFonts w:ascii="Times New Roman" w:hAnsi="Times New Roman" w:cs="Times New Roman"/>
          <w:sz w:val="24"/>
          <w:szCs w:val="24"/>
        </w:rPr>
        <w:t>from taxation records to charters. While only by using multiple documents is it possible t</w:t>
      </w:r>
      <w:r w:rsidR="00365969">
        <w:rPr>
          <w:rFonts w:ascii="Times New Roman" w:hAnsi="Times New Roman" w:cs="Times New Roman"/>
          <w:sz w:val="24"/>
          <w:szCs w:val="24"/>
        </w:rPr>
        <w:t>o gain a true picture of what</w:t>
      </w:r>
      <w:r w:rsidR="00593145">
        <w:rPr>
          <w:rFonts w:ascii="Times New Roman" w:hAnsi="Times New Roman" w:cs="Times New Roman"/>
          <w:sz w:val="24"/>
          <w:szCs w:val="24"/>
        </w:rPr>
        <w:t xml:space="preserve"> English rural life may have been like in </w:t>
      </w:r>
      <w:bookmarkStart w:id="5" w:name="_GoBack"/>
      <w:bookmarkEnd w:id="5"/>
      <w:r w:rsidR="00593145">
        <w:rPr>
          <w:rFonts w:ascii="Times New Roman" w:hAnsi="Times New Roman" w:cs="Times New Roman"/>
          <w:sz w:val="24"/>
          <w:szCs w:val="24"/>
        </w:rPr>
        <w:t>the Middle Ages, each document has its own information contained within it to contribute to the overall picture and is therefore useful.</w:t>
      </w:r>
    </w:p>
    <w:p w:rsidR="00E46BE4" w:rsidRDefault="00E46BE4" w:rsidP="000C220C">
      <w:pPr>
        <w:spacing w:line="480" w:lineRule="auto"/>
        <w:rPr>
          <w:rFonts w:ascii="Times New Roman" w:hAnsi="Times New Roman" w:cs="Times New Roman"/>
          <w:sz w:val="24"/>
          <w:szCs w:val="24"/>
        </w:rPr>
      </w:pPr>
      <w:r>
        <w:rPr>
          <w:rFonts w:ascii="Times New Roman" w:hAnsi="Times New Roman" w:cs="Times New Roman"/>
          <w:sz w:val="24"/>
          <w:szCs w:val="24"/>
        </w:rPr>
        <w:t>When looking at documentary sources that can provide us with information about rural life in medieval England, one of the key types to consider is Manorial Records. By their nature, manors both in the medieval period and today are primarily found in rural areas. This is because</w:t>
      </w:r>
      <w:r w:rsidR="00723192">
        <w:rPr>
          <w:rFonts w:ascii="Times New Roman" w:hAnsi="Times New Roman" w:cs="Times New Roman"/>
          <w:sz w:val="24"/>
          <w:szCs w:val="24"/>
        </w:rPr>
        <w:t xml:space="preserve"> of what is known as the manorial system which was a way in which feudal lords organised their land for </w:t>
      </w:r>
      <w:r w:rsidR="00D24B9F">
        <w:rPr>
          <w:rFonts w:ascii="Times New Roman" w:hAnsi="Times New Roman" w:cs="Times New Roman"/>
          <w:sz w:val="24"/>
          <w:szCs w:val="24"/>
        </w:rPr>
        <w:t>agriculture. Typically the manor was split into two parts, one consisting of the land granted to the peasants to live on and cultivate, the other belonging to the lord of the manor and tended to by the peasants on a part time basis</w:t>
      </w:r>
      <w:r w:rsidR="00E22456">
        <w:rPr>
          <w:rFonts w:ascii="Times New Roman" w:hAnsi="Times New Roman" w:cs="Times New Roman"/>
          <w:sz w:val="24"/>
          <w:szCs w:val="24"/>
        </w:rPr>
        <w:t>, called the demesne</w:t>
      </w:r>
      <w:r w:rsidR="00D24B9F">
        <w:rPr>
          <w:rFonts w:ascii="Times New Roman" w:hAnsi="Times New Roman" w:cs="Times New Roman"/>
          <w:sz w:val="24"/>
          <w:szCs w:val="24"/>
        </w:rPr>
        <w:t>.</w:t>
      </w:r>
      <w:r w:rsidR="004F181E">
        <w:rPr>
          <w:rStyle w:val="FootnoteReference"/>
          <w:rFonts w:ascii="Times New Roman" w:hAnsi="Times New Roman" w:cs="Times New Roman"/>
          <w:sz w:val="24"/>
          <w:szCs w:val="24"/>
        </w:rPr>
        <w:footnoteReference w:id="1"/>
      </w:r>
      <w:r w:rsidR="00D24B9F">
        <w:rPr>
          <w:rFonts w:ascii="Times New Roman" w:hAnsi="Times New Roman" w:cs="Times New Roman"/>
          <w:sz w:val="24"/>
          <w:szCs w:val="24"/>
        </w:rPr>
        <w:t xml:space="preserve"> The manor house lay at the heart of things, and it was from here that the lord ruled over his land and the people in it.</w:t>
      </w:r>
      <w:r w:rsidR="00E22456">
        <w:rPr>
          <w:rFonts w:ascii="Times New Roman" w:hAnsi="Times New Roman" w:cs="Times New Roman"/>
          <w:sz w:val="24"/>
          <w:szCs w:val="24"/>
        </w:rPr>
        <w:t xml:space="preserve"> Manorial records therefore hold key information about</w:t>
      </w:r>
      <w:r w:rsidR="00C8354E">
        <w:rPr>
          <w:rFonts w:ascii="Times New Roman" w:hAnsi="Times New Roman" w:cs="Times New Roman"/>
          <w:sz w:val="24"/>
          <w:szCs w:val="24"/>
        </w:rPr>
        <w:t xml:space="preserve"> rural communities and particularly the lower classes that we otherwise have little knowledge of.</w:t>
      </w:r>
    </w:p>
    <w:p w:rsidR="00C8354E" w:rsidRDefault="00C8354E" w:rsidP="000C220C">
      <w:pPr>
        <w:spacing w:line="480" w:lineRule="auto"/>
        <w:rPr>
          <w:rFonts w:ascii="Times New Roman" w:hAnsi="Times New Roman" w:cs="Times New Roman"/>
          <w:sz w:val="24"/>
          <w:szCs w:val="24"/>
        </w:rPr>
      </w:pPr>
      <w:r>
        <w:rPr>
          <w:rFonts w:ascii="Times New Roman" w:hAnsi="Times New Roman" w:cs="Times New Roman"/>
          <w:sz w:val="24"/>
          <w:szCs w:val="24"/>
        </w:rPr>
        <w:t>Manorial court rolls</w:t>
      </w:r>
      <w:r w:rsidR="008474FD">
        <w:rPr>
          <w:rFonts w:ascii="Times New Roman" w:hAnsi="Times New Roman" w:cs="Times New Roman"/>
          <w:sz w:val="24"/>
          <w:szCs w:val="24"/>
        </w:rPr>
        <w:t xml:space="preserve"> have been used by such notable historians as Frederic William Maitland, Frances Page, and Frances Davenport to shed light on everything from power and land dis</w:t>
      </w:r>
      <w:r w:rsidR="00AE7D56">
        <w:rPr>
          <w:rFonts w:ascii="Times New Roman" w:hAnsi="Times New Roman" w:cs="Times New Roman"/>
          <w:sz w:val="24"/>
          <w:szCs w:val="24"/>
        </w:rPr>
        <w:t xml:space="preserve">tribution in village society, to the </w:t>
      </w:r>
      <w:r w:rsidR="00824D05">
        <w:rPr>
          <w:rFonts w:ascii="Times New Roman" w:hAnsi="Times New Roman" w:cs="Times New Roman"/>
          <w:sz w:val="24"/>
          <w:szCs w:val="24"/>
        </w:rPr>
        <w:t>migratory</w:t>
      </w:r>
      <w:r w:rsidR="00AE7D56">
        <w:rPr>
          <w:rFonts w:ascii="Times New Roman" w:hAnsi="Times New Roman" w:cs="Times New Roman"/>
          <w:sz w:val="24"/>
          <w:szCs w:val="24"/>
        </w:rPr>
        <w:t xml:space="preserve"> patterns of peasants between fiefdoms. Maitland for example, in examining the Littleport manor court rolls between 1307 and 1325, identified an ‘aristocracy of villains’ within the village community.</w:t>
      </w:r>
      <w:r w:rsidR="004F181E">
        <w:rPr>
          <w:rStyle w:val="FootnoteReference"/>
          <w:rFonts w:ascii="Times New Roman" w:hAnsi="Times New Roman" w:cs="Times New Roman"/>
          <w:sz w:val="24"/>
          <w:szCs w:val="24"/>
        </w:rPr>
        <w:footnoteReference w:id="2"/>
      </w:r>
      <w:r w:rsidR="00AE7D56">
        <w:rPr>
          <w:rFonts w:ascii="Times New Roman" w:hAnsi="Times New Roman" w:cs="Times New Roman"/>
          <w:sz w:val="24"/>
          <w:szCs w:val="24"/>
        </w:rPr>
        <w:t xml:space="preserve"> Davenport in turn traced the names of villein families in the Forncett manor court rolls from 1400 all the way to 1565</w:t>
      </w:r>
      <w:r w:rsidR="00824D05">
        <w:rPr>
          <w:rFonts w:ascii="Times New Roman" w:hAnsi="Times New Roman" w:cs="Times New Roman"/>
          <w:sz w:val="24"/>
          <w:szCs w:val="24"/>
        </w:rPr>
        <w:t xml:space="preserve">, </w:t>
      </w:r>
      <w:r w:rsidR="00824D05">
        <w:rPr>
          <w:rFonts w:ascii="Times New Roman" w:hAnsi="Times New Roman" w:cs="Times New Roman"/>
          <w:sz w:val="24"/>
          <w:szCs w:val="24"/>
        </w:rPr>
        <w:lastRenderedPageBreak/>
        <w:t>and discovered how factors like emigration and a lack of male heirs contributed to the decline of serfdom in the post-Black Death era.</w:t>
      </w:r>
      <w:r w:rsidR="004F181E">
        <w:rPr>
          <w:rStyle w:val="FootnoteReference"/>
          <w:rFonts w:ascii="Times New Roman" w:hAnsi="Times New Roman" w:cs="Times New Roman"/>
          <w:sz w:val="24"/>
          <w:szCs w:val="24"/>
        </w:rPr>
        <w:footnoteReference w:id="3"/>
      </w:r>
      <w:r w:rsidR="00892784">
        <w:rPr>
          <w:rFonts w:ascii="Times New Roman" w:hAnsi="Times New Roman" w:cs="Times New Roman"/>
          <w:sz w:val="24"/>
          <w:szCs w:val="24"/>
        </w:rPr>
        <w:t xml:space="preserve"> Page used the 1349 court rolls from the joint court of the Cottenham, Oakington, and Dry Drayton manors to consider things from a sociological standpoint. The information allowed her an insight into the welfare system of medieval villages, as well as offering up an excellent example of the destabilising effect the Black Death had on rural societies.</w:t>
      </w:r>
      <w:r w:rsidR="004F181E">
        <w:rPr>
          <w:rStyle w:val="FootnoteReference"/>
          <w:rFonts w:ascii="Times New Roman" w:hAnsi="Times New Roman" w:cs="Times New Roman"/>
          <w:sz w:val="24"/>
          <w:szCs w:val="24"/>
        </w:rPr>
        <w:footnoteReference w:id="4"/>
      </w:r>
    </w:p>
    <w:p w:rsidR="008D7A88" w:rsidRDefault="00FB0D81" w:rsidP="000C220C">
      <w:pPr>
        <w:spacing w:line="480" w:lineRule="auto"/>
        <w:rPr>
          <w:rFonts w:ascii="Times New Roman" w:hAnsi="Times New Roman" w:cs="Times New Roman"/>
          <w:sz w:val="24"/>
          <w:szCs w:val="24"/>
        </w:rPr>
      </w:pPr>
      <w:r>
        <w:rPr>
          <w:rFonts w:ascii="Times New Roman" w:hAnsi="Times New Roman" w:cs="Times New Roman"/>
          <w:sz w:val="24"/>
          <w:szCs w:val="24"/>
        </w:rPr>
        <w:t>Manorial surveys are another useful tool.</w:t>
      </w:r>
      <w:r w:rsidR="00DF60FD">
        <w:rPr>
          <w:rFonts w:ascii="Times New Roman" w:hAnsi="Times New Roman" w:cs="Times New Roman"/>
          <w:sz w:val="24"/>
          <w:szCs w:val="24"/>
        </w:rPr>
        <w:t xml:space="preserve"> In its simplest form a manorial survey can be described as an administrative document containing a written description of a manor, the most famous example being of course Domesday Book which is occasionally referred to as the ‘Great Survey’.</w:t>
      </w:r>
      <w:r w:rsidR="004F181E">
        <w:rPr>
          <w:rStyle w:val="FootnoteReference"/>
          <w:rFonts w:ascii="Times New Roman" w:hAnsi="Times New Roman" w:cs="Times New Roman"/>
          <w:sz w:val="24"/>
          <w:szCs w:val="24"/>
        </w:rPr>
        <w:footnoteReference w:id="5"/>
      </w:r>
      <w:r w:rsidR="00DF60FD">
        <w:rPr>
          <w:rFonts w:ascii="Times New Roman" w:hAnsi="Times New Roman" w:cs="Times New Roman"/>
          <w:sz w:val="24"/>
          <w:szCs w:val="24"/>
        </w:rPr>
        <w:t xml:space="preserve"> The amount of detail in a manorial survey varies greatly, and particularly some of the earlier ones are limited to a brief summary of the manor parts</w:t>
      </w:r>
      <w:r w:rsidR="00753E18">
        <w:rPr>
          <w:rFonts w:ascii="Times New Roman" w:hAnsi="Times New Roman" w:cs="Times New Roman"/>
          <w:sz w:val="24"/>
          <w:szCs w:val="24"/>
        </w:rPr>
        <w:t xml:space="preserve"> and </w:t>
      </w:r>
      <w:r w:rsidR="006A4433">
        <w:rPr>
          <w:rFonts w:ascii="Times New Roman" w:hAnsi="Times New Roman" w:cs="Times New Roman"/>
          <w:sz w:val="24"/>
          <w:szCs w:val="24"/>
        </w:rPr>
        <w:t xml:space="preserve">their respective sizes for tax purposes. While this </w:t>
      </w:r>
      <w:r w:rsidR="00A8593D">
        <w:rPr>
          <w:rFonts w:ascii="Times New Roman" w:hAnsi="Times New Roman" w:cs="Times New Roman"/>
          <w:sz w:val="24"/>
          <w:szCs w:val="24"/>
        </w:rPr>
        <w:t xml:space="preserve">may give us an idea of </w:t>
      </w:r>
      <w:r w:rsidR="004D6CBE">
        <w:rPr>
          <w:rFonts w:ascii="Times New Roman" w:hAnsi="Times New Roman" w:cs="Times New Roman"/>
          <w:sz w:val="24"/>
          <w:szCs w:val="24"/>
        </w:rPr>
        <w:t xml:space="preserve">the general scope of the Manor it doesn’t really tell us much about </w:t>
      </w:r>
      <w:r w:rsidR="001468A8">
        <w:rPr>
          <w:rFonts w:ascii="Times New Roman" w:hAnsi="Times New Roman" w:cs="Times New Roman"/>
          <w:sz w:val="24"/>
          <w:szCs w:val="24"/>
        </w:rPr>
        <w:t>rural life.</w:t>
      </w:r>
      <w:r w:rsidR="00ED2B74">
        <w:rPr>
          <w:rFonts w:ascii="Times New Roman" w:hAnsi="Times New Roman" w:cs="Times New Roman"/>
          <w:sz w:val="24"/>
          <w:szCs w:val="24"/>
        </w:rPr>
        <w:t xml:space="preserve"> </w:t>
      </w:r>
      <w:r w:rsidR="00E058DD">
        <w:rPr>
          <w:rFonts w:ascii="Times New Roman" w:hAnsi="Times New Roman" w:cs="Times New Roman"/>
          <w:sz w:val="24"/>
          <w:szCs w:val="24"/>
        </w:rPr>
        <w:t>Surveys from later periods</w:t>
      </w:r>
      <w:r w:rsidR="00ED7D0A">
        <w:rPr>
          <w:rFonts w:ascii="Times New Roman" w:hAnsi="Times New Roman" w:cs="Times New Roman"/>
          <w:sz w:val="24"/>
          <w:szCs w:val="24"/>
        </w:rPr>
        <w:t>;</w:t>
      </w:r>
      <w:r w:rsidR="00E058DD">
        <w:rPr>
          <w:rFonts w:ascii="Times New Roman" w:hAnsi="Times New Roman" w:cs="Times New Roman"/>
          <w:sz w:val="24"/>
          <w:szCs w:val="24"/>
        </w:rPr>
        <w:t xml:space="preserve"> specifically from the late 12</w:t>
      </w:r>
      <w:r w:rsidR="00E058DD" w:rsidRPr="00E058DD">
        <w:rPr>
          <w:rFonts w:ascii="Times New Roman" w:hAnsi="Times New Roman" w:cs="Times New Roman"/>
          <w:sz w:val="24"/>
          <w:szCs w:val="24"/>
          <w:vertAlign w:val="superscript"/>
        </w:rPr>
        <w:t>th</w:t>
      </w:r>
      <w:r w:rsidR="00E058DD">
        <w:rPr>
          <w:rFonts w:ascii="Times New Roman" w:hAnsi="Times New Roman" w:cs="Times New Roman"/>
          <w:sz w:val="24"/>
          <w:szCs w:val="24"/>
        </w:rPr>
        <w:t xml:space="preserve"> </w:t>
      </w:r>
      <w:r w:rsidR="00B54524">
        <w:rPr>
          <w:rFonts w:ascii="Times New Roman" w:hAnsi="Times New Roman" w:cs="Times New Roman"/>
          <w:sz w:val="24"/>
          <w:szCs w:val="24"/>
        </w:rPr>
        <w:t xml:space="preserve">century and onwards, contained a much higher level of detail, with </w:t>
      </w:r>
      <w:r w:rsidR="000C5478">
        <w:rPr>
          <w:rFonts w:ascii="Times New Roman" w:hAnsi="Times New Roman" w:cs="Times New Roman"/>
          <w:sz w:val="24"/>
          <w:szCs w:val="24"/>
        </w:rPr>
        <w:t xml:space="preserve">one of the surveys of </w:t>
      </w:r>
      <w:r w:rsidR="008C0FAC">
        <w:rPr>
          <w:rFonts w:ascii="Times New Roman" w:hAnsi="Times New Roman" w:cs="Times New Roman"/>
          <w:sz w:val="24"/>
          <w:szCs w:val="24"/>
        </w:rPr>
        <w:t>the</w:t>
      </w:r>
      <w:r w:rsidR="005615D6">
        <w:rPr>
          <w:rFonts w:ascii="Times New Roman" w:hAnsi="Times New Roman" w:cs="Times New Roman"/>
          <w:sz w:val="24"/>
          <w:szCs w:val="24"/>
        </w:rPr>
        <w:t xml:space="preserve"> English</w:t>
      </w:r>
      <w:r w:rsidR="008C0FAC">
        <w:rPr>
          <w:rFonts w:ascii="Times New Roman" w:hAnsi="Times New Roman" w:cs="Times New Roman"/>
          <w:sz w:val="24"/>
          <w:szCs w:val="24"/>
        </w:rPr>
        <w:t xml:space="preserve"> manors</w:t>
      </w:r>
      <w:r w:rsidR="005615D6">
        <w:rPr>
          <w:rFonts w:ascii="Times New Roman" w:hAnsi="Times New Roman" w:cs="Times New Roman"/>
          <w:sz w:val="24"/>
          <w:szCs w:val="24"/>
        </w:rPr>
        <w:t xml:space="preserve"> of the abbey </w:t>
      </w:r>
      <w:r w:rsidR="00A877C6">
        <w:rPr>
          <w:rFonts w:ascii="Times New Roman" w:hAnsi="Times New Roman" w:cs="Times New Roman"/>
          <w:sz w:val="24"/>
          <w:szCs w:val="24"/>
        </w:rPr>
        <w:t>of La Trinité</w:t>
      </w:r>
      <w:r w:rsidR="00C372C2">
        <w:rPr>
          <w:rFonts w:ascii="Times New Roman" w:hAnsi="Times New Roman" w:cs="Times New Roman"/>
          <w:sz w:val="24"/>
          <w:szCs w:val="24"/>
        </w:rPr>
        <w:t xml:space="preserve"> </w:t>
      </w:r>
      <w:r w:rsidR="00ED7D0A">
        <w:rPr>
          <w:rFonts w:ascii="Times New Roman" w:hAnsi="Times New Roman" w:cs="Times New Roman"/>
          <w:sz w:val="24"/>
          <w:szCs w:val="24"/>
        </w:rPr>
        <w:t xml:space="preserve">going so far as to provide </w:t>
      </w:r>
      <w:r w:rsidR="00530926">
        <w:rPr>
          <w:rFonts w:ascii="Times New Roman" w:hAnsi="Times New Roman" w:cs="Times New Roman"/>
          <w:sz w:val="24"/>
          <w:szCs w:val="24"/>
        </w:rPr>
        <w:t xml:space="preserve">the age and sex of </w:t>
      </w:r>
      <w:r w:rsidR="004E5032">
        <w:rPr>
          <w:rFonts w:ascii="Times New Roman" w:hAnsi="Times New Roman" w:cs="Times New Roman"/>
          <w:sz w:val="24"/>
          <w:szCs w:val="24"/>
        </w:rPr>
        <w:t>all the horses, swine</w:t>
      </w:r>
      <w:r w:rsidR="00046EC6">
        <w:rPr>
          <w:rFonts w:ascii="Times New Roman" w:hAnsi="Times New Roman" w:cs="Times New Roman"/>
          <w:sz w:val="24"/>
          <w:szCs w:val="24"/>
        </w:rPr>
        <w:t>, sheep, and cattle kept</w:t>
      </w:r>
      <w:r w:rsidR="00706089">
        <w:rPr>
          <w:rFonts w:ascii="Times New Roman" w:hAnsi="Times New Roman" w:cs="Times New Roman"/>
          <w:sz w:val="24"/>
          <w:szCs w:val="24"/>
        </w:rPr>
        <w:t xml:space="preserve"> there.</w:t>
      </w:r>
      <w:r w:rsidR="004F181E">
        <w:rPr>
          <w:rStyle w:val="FootnoteReference"/>
          <w:rFonts w:ascii="Times New Roman" w:hAnsi="Times New Roman" w:cs="Times New Roman"/>
          <w:sz w:val="24"/>
          <w:szCs w:val="24"/>
        </w:rPr>
        <w:footnoteReference w:id="6"/>
      </w:r>
      <w:r w:rsidR="0036310B">
        <w:rPr>
          <w:rFonts w:ascii="Times New Roman" w:hAnsi="Times New Roman" w:cs="Times New Roman"/>
          <w:sz w:val="24"/>
          <w:szCs w:val="24"/>
        </w:rPr>
        <w:t xml:space="preserve"> </w:t>
      </w:r>
    </w:p>
    <w:p w:rsidR="00FB0D81" w:rsidRDefault="0036310B"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Often the longest part of any manorial survey is the </w:t>
      </w:r>
      <w:r w:rsidR="005A08C7">
        <w:rPr>
          <w:rFonts w:ascii="Times New Roman" w:hAnsi="Times New Roman" w:cs="Times New Roman"/>
          <w:sz w:val="24"/>
          <w:szCs w:val="24"/>
        </w:rPr>
        <w:t>rental</w:t>
      </w:r>
      <w:r w:rsidR="00331C76">
        <w:rPr>
          <w:rFonts w:ascii="Times New Roman" w:hAnsi="Times New Roman" w:cs="Times New Roman"/>
          <w:sz w:val="24"/>
          <w:szCs w:val="24"/>
        </w:rPr>
        <w:t xml:space="preserve"> which </w:t>
      </w:r>
      <w:r w:rsidR="00193432">
        <w:rPr>
          <w:rFonts w:ascii="Times New Roman" w:hAnsi="Times New Roman" w:cs="Times New Roman"/>
          <w:sz w:val="24"/>
          <w:szCs w:val="24"/>
        </w:rPr>
        <w:t xml:space="preserve">can include a list of all the tenants </w:t>
      </w:r>
      <w:r w:rsidR="003A2828">
        <w:rPr>
          <w:rFonts w:ascii="Times New Roman" w:hAnsi="Times New Roman" w:cs="Times New Roman"/>
          <w:sz w:val="24"/>
          <w:szCs w:val="24"/>
        </w:rPr>
        <w:t>living there</w:t>
      </w:r>
      <w:r w:rsidR="00941815">
        <w:rPr>
          <w:rFonts w:ascii="Times New Roman" w:hAnsi="Times New Roman" w:cs="Times New Roman"/>
          <w:sz w:val="24"/>
          <w:szCs w:val="24"/>
        </w:rPr>
        <w:t>, how each tenant used the land given to them</w:t>
      </w:r>
      <w:r w:rsidR="0045705B">
        <w:rPr>
          <w:rFonts w:ascii="Times New Roman" w:hAnsi="Times New Roman" w:cs="Times New Roman"/>
          <w:sz w:val="24"/>
          <w:szCs w:val="24"/>
        </w:rPr>
        <w:t xml:space="preserve">, details of rent, and a description of </w:t>
      </w:r>
      <w:r w:rsidR="00F64FB9">
        <w:rPr>
          <w:rFonts w:ascii="Times New Roman" w:hAnsi="Times New Roman" w:cs="Times New Roman"/>
          <w:sz w:val="24"/>
          <w:szCs w:val="24"/>
        </w:rPr>
        <w:t>the obligations they owed the Lord of the manor.</w:t>
      </w:r>
      <w:r w:rsidR="004F181E">
        <w:rPr>
          <w:rStyle w:val="FootnoteReference"/>
          <w:rFonts w:ascii="Times New Roman" w:hAnsi="Times New Roman" w:cs="Times New Roman"/>
          <w:sz w:val="24"/>
          <w:szCs w:val="24"/>
        </w:rPr>
        <w:footnoteReference w:id="7"/>
      </w:r>
      <w:r w:rsidR="00A124E3">
        <w:rPr>
          <w:rFonts w:ascii="Times New Roman" w:hAnsi="Times New Roman" w:cs="Times New Roman"/>
          <w:sz w:val="24"/>
          <w:szCs w:val="24"/>
        </w:rPr>
        <w:t xml:space="preserve"> </w:t>
      </w:r>
      <w:r w:rsidR="009F05C4">
        <w:rPr>
          <w:rFonts w:ascii="Times New Roman" w:hAnsi="Times New Roman" w:cs="Times New Roman"/>
          <w:sz w:val="24"/>
          <w:szCs w:val="24"/>
        </w:rPr>
        <w:t xml:space="preserve">Along with a record of </w:t>
      </w:r>
      <w:r w:rsidR="00D867B6">
        <w:rPr>
          <w:rFonts w:ascii="Times New Roman" w:hAnsi="Times New Roman" w:cs="Times New Roman"/>
          <w:sz w:val="24"/>
          <w:szCs w:val="24"/>
        </w:rPr>
        <w:t>a tenants duties to their lord, surveys can sometimes include a</w:t>
      </w:r>
      <w:r w:rsidR="004C209C">
        <w:rPr>
          <w:rFonts w:ascii="Times New Roman" w:hAnsi="Times New Roman" w:cs="Times New Roman"/>
          <w:sz w:val="24"/>
          <w:szCs w:val="24"/>
        </w:rPr>
        <w:t xml:space="preserve"> description of a tenants rights, and by comparing both we are </w:t>
      </w:r>
      <w:r w:rsidR="00A34A90">
        <w:rPr>
          <w:rFonts w:ascii="Times New Roman" w:hAnsi="Times New Roman" w:cs="Times New Roman"/>
          <w:sz w:val="24"/>
          <w:szCs w:val="24"/>
        </w:rPr>
        <w:t xml:space="preserve">given an insight into the relationship </w:t>
      </w:r>
      <w:r w:rsidR="00492AB2">
        <w:rPr>
          <w:rFonts w:ascii="Times New Roman" w:hAnsi="Times New Roman" w:cs="Times New Roman"/>
          <w:sz w:val="24"/>
          <w:szCs w:val="24"/>
        </w:rPr>
        <w:t>between the two</w:t>
      </w:r>
      <w:r w:rsidR="00BF7A9D">
        <w:rPr>
          <w:rFonts w:ascii="Times New Roman" w:hAnsi="Times New Roman" w:cs="Times New Roman"/>
          <w:sz w:val="24"/>
          <w:szCs w:val="24"/>
        </w:rPr>
        <w:t xml:space="preserve">, </w:t>
      </w:r>
      <w:r w:rsidR="0042095B">
        <w:rPr>
          <w:rFonts w:ascii="Times New Roman" w:hAnsi="Times New Roman" w:cs="Times New Roman"/>
          <w:sz w:val="24"/>
          <w:szCs w:val="24"/>
        </w:rPr>
        <w:t xml:space="preserve">as well </w:t>
      </w:r>
      <w:r w:rsidR="0042095B">
        <w:rPr>
          <w:rFonts w:ascii="Times New Roman" w:hAnsi="Times New Roman" w:cs="Times New Roman"/>
          <w:sz w:val="24"/>
          <w:szCs w:val="24"/>
        </w:rPr>
        <w:lastRenderedPageBreak/>
        <w:t xml:space="preserve">as </w:t>
      </w:r>
      <w:r w:rsidR="000E4679">
        <w:rPr>
          <w:rFonts w:ascii="Times New Roman" w:hAnsi="Times New Roman" w:cs="Times New Roman"/>
          <w:sz w:val="24"/>
          <w:szCs w:val="24"/>
        </w:rPr>
        <w:t xml:space="preserve">an idea of the different expectations of a nobleman </w:t>
      </w:r>
      <w:r w:rsidR="00BF7A9D">
        <w:rPr>
          <w:rFonts w:ascii="Times New Roman" w:hAnsi="Times New Roman" w:cs="Times New Roman"/>
          <w:sz w:val="24"/>
          <w:szCs w:val="24"/>
        </w:rPr>
        <w:t>in rural society like a Lord of a Manor</w:t>
      </w:r>
      <w:r w:rsidR="00726946">
        <w:rPr>
          <w:rFonts w:ascii="Times New Roman" w:hAnsi="Times New Roman" w:cs="Times New Roman"/>
          <w:sz w:val="24"/>
          <w:szCs w:val="24"/>
        </w:rPr>
        <w:t xml:space="preserve"> compared to </w:t>
      </w:r>
      <w:r w:rsidR="00653178">
        <w:rPr>
          <w:rFonts w:ascii="Times New Roman" w:hAnsi="Times New Roman" w:cs="Times New Roman"/>
          <w:sz w:val="24"/>
          <w:szCs w:val="24"/>
        </w:rPr>
        <w:t xml:space="preserve">aristocracy in urban areas like </w:t>
      </w:r>
      <w:r w:rsidR="00A42159">
        <w:rPr>
          <w:rFonts w:ascii="Times New Roman" w:hAnsi="Times New Roman" w:cs="Times New Roman"/>
          <w:sz w:val="24"/>
          <w:szCs w:val="24"/>
        </w:rPr>
        <w:t xml:space="preserve">those </w:t>
      </w:r>
      <w:r w:rsidR="00AB58CB">
        <w:rPr>
          <w:rFonts w:ascii="Times New Roman" w:hAnsi="Times New Roman" w:cs="Times New Roman"/>
          <w:sz w:val="24"/>
          <w:szCs w:val="24"/>
        </w:rPr>
        <w:t>that made up the royal courts.</w:t>
      </w:r>
    </w:p>
    <w:p w:rsidR="00F74E8D" w:rsidRDefault="00B75EF2"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method of comparing documents from rural and urban settings is also useful when considering Wills and Probate records as a possible source for information on rural </w:t>
      </w:r>
      <w:r w:rsidR="00A21341">
        <w:rPr>
          <w:rFonts w:ascii="Times New Roman" w:hAnsi="Times New Roman" w:cs="Times New Roman"/>
          <w:sz w:val="24"/>
          <w:szCs w:val="24"/>
        </w:rPr>
        <w:t xml:space="preserve">medieval </w:t>
      </w:r>
      <w:r>
        <w:rPr>
          <w:rFonts w:ascii="Times New Roman" w:hAnsi="Times New Roman" w:cs="Times New Roman"/>
          <w:sz w:val="24"/>
          <w:szCs w:val="24"/>
        </w:rPr>
        <w:t>life.</w:t>
      </w:r>
      <w:r w:rsidR="009A5029">
        <w:rPr>
          <w:rFonts w:ascii="Times New Roman" w:hAnsi="Times New Roman" w:cs="Times New Roman"/>
          <w:sz w:val="24"/>
          <w:szCs w:val="24"/>
        </w:rPr>
        <w:t xml:space="preserve"> Again when it comes to Wills, the records with the most information date from the late medieval period with the Last Will and Testament as we know it today evolving sometime in the late 13</w:t>
      </w:r>
      <w:r w:rsidR="009A5029" w:rsidRPr="009A5029">
        <w:rPr>
          <w:rFonts w:ascii="Times New Roman" w:hAnsi="Times New Roman" w:cs="Times New Roman"/>
          <w:sz w:val="24"/>
          <w:szCs w:val="24"/>
          <w:vertAlign w:val="superscript"/>
        </w:rPr>
        <w:t>th</w:t>
      </w:r>
      <w:r w:rsidR="009A5029">
        <w:rPr>
          <w:rFonts w:ascii="Times New Roman" w:hAnsi="Times New Roman" w:cs="Times New Roman"/>
          <w:sz w:val="24"/>
          <w:szCs w:val="24"/>
        </w:rPr>
        <w:t xml:space="preserve"> century</w:t>
      </w:r>
      <w:r w:rsidR="006028CB">
        <w:rPr>
          <w:rFonts w:ascii="Times New Roman" w:hAnsi="Times New Roman" w:cs="Times New Roman"/>
          <w:sz w:val="24"/>
          <w:szCs w:val="24"/>
        </w:rPr>
        <w:t>.</w:t>
      </w:r>
      <w:r w:rsidR="004F181E">
        <w:rPr>
          <w:rStyle w:val="FootnoteReference"/>
          <w:rFonts w:ascii="Times New Roman" w:hAnsi="Times New Roman" w:cs="Times New Roman"/>
          <w:sz w:val="24"/>
          <w:szCs w:val="24"/>
        </w:rPr>
        <w:footnoteReference w:id="8"/>
      </w:r>
      <w:r w:rsidR="006028CB">
        <w:rPr>
          <w:rFonts w:ascii="Times New Roman" w:hAnsi="Times New Roman" w:cs="Times New Roman"/>
          <w:sz w:val="24"/>
          <w:szCs w:val="24"/>
        </w:rPr>
        <w:t xml:space="preserve"> Nevertheless the information we do have can provide an insight into multiple aspects such as ‘popular devotion and mentality, personal wealth and living standards’</w:t>
      </w:r>
      <w:r w:rsidR="00BE3AED">
        <w:rPr>
          <w:rFonts w:ascii="Times New Roman" w:hAnsi="Times New Roman" w:cs="Times New Roman"/>
          <w:sz w:val="24"/>
          <w:szCs w:val="24"/>
        </w:rPr>
        <w:t>,</w:t>
      </w:r>
      <w:r w:rsidR="004F181E">
        <w:rPr>
          <w:rStyle w:val="FootnoteReference"/>
          <w:rFonts w:ascii="Times New Roman" w:hAnsi="Times New Roman" w:cs="Times New Roman"/>
          <w:sz w:val="24"/>
          <w:szCs w:val="24"/>
        </w:rPr>
        <w:footnoteReference w:id="9"/>
      </w:r>
      <w:r w:rsidR="00BE3AED">
        <w:rPr>
          <w:rFonts w:ascii="Times New Roman" w:hAnsi="Times New Roman" w:cs="Times New Roman"/>
          <w:sz w:val="24"/>
          <w:szCs w:val="24"/>
        </w:rPr>
        <w:t xml:space="preserve"> and by comparing Wills and Probate Inventories we are able to see overarching trends that emerge at different times.</w:t>
      </w:r>
      <w:r w:rsidR="00F74E8D">
        <w:rPr>
          <w:rFonts w:ascii="Times New Roman" w:hAnsi="Times New Roman" w:cs="Times New Roman"/>
          <w:sz w:val="24"/>
          <w:szCs w:val="24"/>
        </w:rPr>
        <w:t xml:space="preserve"> </w:t>
      </w:r>
    </w:p>
    <w:p w:rsidR="00B75EF2" w:rsidRDefault="00F74E8D" w:rsidP="000C220C">
      <w:pPr>
        <w:spacing w:line="480" w:lineRule="auto"/>
        <w:rPr>
          <w:rFonts w:ascii="Times New Roman" w:hAnsi="Times New Roman" w:cs="Times New Roman"/>
          <w:sz w:val="24"/>
          <w:szCs w:val="24"/>
        </w:rPr>
      </w:pPr>
      <w:r>
        <w:rPr>
          <w:rFonts w:ascii="Times New Roman" w:hAnsi="Times New Roman" w:cs="Times New Roman"/>
          <w:sz w:val="24"/>
          <w:szCs w:val="24"/>
        </w:rPr>
        <w:t>One of the major disadvantages of Wills and Probate however is its bias towards the wealthy and upper class</w:t>
      </w:r>
      <w:r w:rsidR="00AE1490">
        <w:rPr>
          <w:rFonts w:ascii="Times New Roman" w:hAnsi="Times New Roman" w:cs="Times New Roman"/>
          <w:sz w:val="24"/>
          <w:szCs w:val="24"/>
        </w:rPr>
        <w:t>. For example one of the most significant courts that dealt with Will documents was The Prerogative Court of Canterbury whose records are now held at The National Archives, and are described as containing the wills of wealthy people from Wales and south England and those who left property in England and Wales as part of their estate but who died overseas.</w:t>
      </w:r>
      <w:r w:rsidR="003B34D8">
        <w:rPr>
          <w:rStyle w:val="FootnoteReference"/>
          <w:rFonts w:ascii="Times New Roman" w:hAnsi="Times New Roman" w:cs="Times New Roman"/>
          <w:sz w:val="24"/>
          <w:szCs w:val="24"/>
        </w:rPr>
        <w:footnoteReference w:id="10"/>
      </w:r>
      <w:r w:rsidR="003E02AF">
        <w:rPr>
          <w:rFonts w:ascii="Times New Roman" w:hAnsi="Times New Roman" w:cs="Times New Roman"/>
          <w:sz w:val="24"/>
          <w:szCs w:val="24"/>
        </w:rPr>
        <w:t xml:space="preserve"> As such any mention of people from the peasant classes or serfs are largely peripheral. However on the upside, Wills are an important source of information on another underrepresented group, that of </w:t>
      </w:r>
      <w:r w:rsidR="0091114D">
        <w:rPr>
          <w:rFonts w:ascii="Times New Roman" w:hAnsi="Times New Roman" w:cs="Times New Roman"/>
          <w:sz w:val="24"/>
          <w:szCs w:val="24"/>
        </w:rPr>
        <w:t xml:space="preserve">rural </w:t>
      </w:r>
      <w:r w:rsidR="003E02AF">
        <w:rPr>
          <w:rFonts w:ascii="Times New Roman" w:hAnsi="Times New Roman" w:cs="Times New Roman"/>
          <w:sz w:val="24"/>
          <w:szCs w:val="24"/>
        </w:rPr>
        <w:t xml:space="preserve">women in the medieval ages. </w:t>
      </w:r>
      <w:r w:rsidR="009A5C60">
        <w:rPr>
          <w:rFonts w:ascii="Times New Roman" w:hAnsi="Times New Roman" w:cs="Times New Roman"/>
          <w:sz w:val="24"/>
          <w:szCs w:val="24"/>
        </w:rPr>
        <w:t xml:space="preserve">Wills can give information on the kind of things </w:t>
      </w:r>
      <w:r w:rsidR="0091114D">
        <w:rPr>
          <w:rFonts w:ascii="Times New Roman" w:hAnsi="Times New Roman" w:cs="Times New Roman"/>
          <w:sz w:val="24"/>
          <w:szCs w:val="24"/>
        </w:rPr>
        <w:t xml:space="preserve">rural </w:t>
      </w:r>
      <w:r w:rsidR="009A5C60">
        <w:rPr>
          <w:rFonts w:ascii="Times New Roman" w:hAnsi="Times New Roman" w:cs="Times New Roman"/>
          <w:sz w:val="24"/>
          <w:szCs w:val="24"/>
        </w:rPr>
        <w:t xml:space="preserve">women owned and subsequently how much freedom </w:t>
      </w:r>
      <w:r w:rsidR="009A5C60">
        <w:rPr>
          <w:rFonts w:ascii="Times New Roman" w:hAnsi="Times New Roman" w:cs="Times New Roman"/>
          <w:sz w:val="24"/>
          <w:szCs w:val="24"/>
        </w:rPr>
        <w:lastRenderedPageBreak/>
        <w:t xml:space="preserve">they had, for instance the number of Wills that include books and what kind of books can tell us how much access </w:t>
      </w:r>
      <w:r w:rsidR="0091114D">
        <w:rPr>
          <w:rFonts w:ascii="Times New Roman" w:hAnsi="Times New Roman" w:cs="Times New Roman"/>
          <w:sz w:val="24"/>
          <w:szCs w:val="24"/>
        </w:rPr>
        <w:t>rural women had</w:t>
      </w:r>
      <w:r w:rsidR="009A5C60">
        <w:rPr>
          <w:rFonts w:ascii="Times New Roman" w:hAnsi="Times New Roman" w:cs="Times New Roman"/>
          <w:sz w:val="24"/>
          <w:szCs w:val="24"/>
        </w:rPr>
        <w:t xml:space="preserve"> to</w:t>
      </w:r>
      <w:r w:rsidR="006C491D">
        <w:rPr>
          <w:rFonts w:ascii="Times New Roman" w:hAnsi="Times New Roman" w:cs="Times New Roman"/>
          <w:sz w:val="24"/>
          <w:szCs w:val="24"/>
        </w:rPr>
        <w:t xml:space="preserve"> literature in the Middle Ages.</w:t>
      </w:r>
      <w:r w:rsidR="003B34D8">
        <w:rPr>
          <w:rStyle w:val="FootnoteReference"/>
          <w:rFonts w:ascii="Times New Roman" w:hAnsi="Times New Roman" w:cs="Times New Roman"/>
          <w:sz w:val="24"/>
          <w:szCs w:val="24"/>
        </w:rPr>
        <w:footnoteReference w:id="11"/>
      </w:r>
    </w:p>
    <w:p w:rsidR="006C491D" w:rsidRDefault="00FC1A74"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Wills often; but not always, particularly in the early medieval period, fell under the jurisdiction of the church and as such are termed as a kind of ecclesiastical record. </w:t>
      </w:r>
      <w:r w:rsidR="0091114D">
        <w:rPr>
          <w:rFonts w:ascii="Times New Roman" w:hAnsi="Times New Roman" w:cs="Times New Roman"/>
          <w:sz w:val="24"/>
          <w:szCs w:val="24"/>
        </w:rPr>
        <w:t>Ecclesiastical records</w:t>
      </w:r>
      <w:r w:rsidR="00F02490">
        <w:rPr>
          <w:rFonts w:ascii="Times New Roman" w:hAnsi="Times New Roman" w:cs="Times New Roman"/>
          <w:sz w:val="24"/>
          <w:szCs w:val="24"/>
        </w:rPr>
        <w:t xml:space="preserve"> and to some extent Monastic records</w:t>
      </w:r>
      <w:r w:rsidR="0091114D">
        <w:rPr>
          <w:rFonts w:ascii="Times New Roman" w:hAnsi="Times New Roman" w:cs="Times New Roman"/>
          <w:sz w:val="24"/>
          <w:szCs w:val="24"/>
        </w:rPr>
        <w:t xml:space="preserve"> are perhaps one of the most important sources of medieval documents in any area of study. The church wa</w:t>
      </w:r>
      <w:r w:rsidR="00A02228">
        <w:rPr>
          <w:rFonts w:ascii="Times New Roman" w:hAnsi="Times New Roman" w:cs="Times New Roman"/>
          <w:sz w:val="24"/>
          <w:szCs w:val="24"/>
        </w:rPr>
        <w:t>s after all</w:t>
      </w:r>
      <w:r>
        <w:rPr>
          <w:rFonts w:ascii="Times New Roman" w:hAnsi="Times New Roman" w:cs="Times New Roman"/>
          <w:sz w:val="24"/>
          <w:szCs w:val="24"/>
        </w:rPr>
        <w:t xml:space="preserve"> central in</w:t>
      </w:r>
      <w:r w:rsidR="0091114D">
        <w:rPr>
          <w:rFonts w:ascii="Times New Roman" w:hAnsi="Times New Roman" w:cs="Times New Roman"/>
          <w:sz w:val="24"/>
          <w:szCs w:val="24"/>
        </w:rPr>
        <w:t xml:space="preserve"> </w:t>
      </w:r>
      <w:r>
        <w:rPr>
          <w:rFonts w:ascii="Times New Roman" w:hAnsi="Times New Roman" w:cs="Times New Roman"/>
          <w:sz w:val="24"/>
          <w:szCs w:val="24"/>
        </w:rPr>
        <w:t>much of everyday life, and with one in every village</w:t>
      </w:r>
      <w:r w:rsidR="00A02228">
        <w:rPr>
          <w:rFonts w:ascii="Times New Roman" w:hAnsi="Times New Roman" w:cs="Times New Roman"/>
          <w:sz w:val="24"/>
          <w:szCs w:val="24"/>
        </w:rPr>
        <w:t>,</w:t>
      </w:r>
      <w:r>
        <w:rPr>
          <w:rFonts w:ascii="Times New Roman" w:hAnsi="Times New Roman" w:cs="Times New Roman"/>
          <w:sz w:val="24"/>
          <w:szCs w:val="24"/>
        </w:rPr>
        <w:t xml:space="preserve"> the church rivals the manor in terms of which institutions lay at the heart of rural society.</w:t>
      </w:r>
    </w:p>
    <w:p w:rsidR="002E0797" w:rsidRDefault="00AE77C6" w:rsidP="000C220C">
      <w:pPr>
        <w:spacing w:line="480" w:lineRule="auto"/>
        <w:rPr>
          <w:rFonts w:ascii="Times New Roman" w:hAnsi="Times New Roman" w:cs="Times New Roman"/>
          <w:sz w:val="24"/>
          <w:szCs w:val="24"/>
        </w:rPr>
      </w:pPr>
      <w:r>
        <w:rPr>
          <w:rFonts w:ascii="Times New Roman" w:hAnsi="Times New Roman" w:cs="Times New Roman"/>
          <w:sz w:val="24"/>
          <w:szCs w:val="24"/>
        </w:rPr>
        <w:t>Tithe records are an excellent source of information on the ever changing relationship between the church and the local, rural community.</w:t>
      </w:r>
      <w:r w:rsidR="00811337">
        <w:rPr>
          <w:rFonts w:ascii="Times New Roman" w:hAnsi="Times New Roman" w:cs="Times New Roman"/>
          <w:sz w:val="24"/>
          <w:szCs w:val="24"/>
        </w:rPr>
        <w:t xml:space="preserve"> Tithe refers to an annual tax paid to the church of typically around a tenth of all the produce of the land. This generally meant agricultural produce but overtime the definition of produce was expanded </w:t>
      </w:r>
      <w:r w:rsidR="00E80A90">
        <w:rPr>
          <w:rFonts w:ascii="Times New Roman" w:hAnsi="Times New Roman" w:cs="Times New Roman"/>
          <w:sz w:val="24"/>
          <w:szCs w:val="24"/>
        </w:rPr>
        <w:t>so that some tithes were</w:t>
      </w:r>
      <w:r w:rsidR="00E356E3">
        <w:rPr>
          <w:rFonts w:ascii="Times New Roman" w:hAnsi="Times New Roman" w:cs="Times New Roman"/>
          <w:sz w:val="24"/>
          <w:szCs w:val="24"/>
        </w:rPr>
        <w:t xml:space="preserve"> paid in money instead of goods.</w:t>
      </w:r>
      <w:r w:rsidR="003B34D8">
        <w:rPr>
          <w:rStyle w:val="FootnoteReference"/>
          <w:rFonts w:ascii="Times New Roman" w:hAnsi="Times New Roman" w:cs="Times New Roman"/>
          <w:sz w:val="24"/>
          <w:szCs w:val="24"/>
        </w:rPr>
        <w:footnoteReference w:id="12"/>
      </w:r>
      <w:r w:rsidR="00E356E3">
        <w:rPr>
          <w:rFonts w:ascii="Times New Roman" w:hAnsi="Times New Roman" w:cs="Times New Roman"/>
          <w:sz w:val="24"/>
          <w:szCs w:val="24"/>
        </w:rPr>
        <w:t xml:space="preserve"> Originally tithes were voluntary, but during the </w:t>
      </w:r>
      <w:r w:rsidR="004E0F9A">
        <w:rPr>
          <w:rFonts w:ascii="Times New Roman" w:hAnsi="Times New Roman" w:cs="Times New Roman"/>
          <w:sz w:val="24"/>
          <w:szCs w:val="24"/>
        </w:rPr>
        <w:t xml:space="preserve">medieval period </w:t>
      </w:r>
      <w:r w:rsidR="00E356E3">
        <w:rPr>
          <w:rFonts w:ascii="Times New Roman" w:hAnsi="Times New Roman" w:cs="Times New Roman"/>
          <w:sz w:val="24"/>
          <w:szCs w:val="24"/>
        </w:rPr>
        <w:t>it became an obligation</w:t>
      </w:r>
      <w:r w:rsidR="00CF2BA6">
        <w:rPr>
          <w:rFonts w:ascii="Times New Roman" w:hAnsi="Times New Roman" w:cs="Times New Roman"/>
          <w:sz w:val="24"/>
          <w:szCs w:val="24"/>
        </w:rPr>
        <w:t>,</w:t>
      </w:r>
      <w:r w:rsidR="00E356E3">
        <w:rPr>
          <w:rFonts w:ascii="Times New Roman" w:hAnsi="Times New Roman" w:cs="Times New Roman"/>
          <w:sz w:val="24"/>
          <w:szCs w:val="24"/>
        </w:rPr>
        <w:t xml:space="preserve"> </w:t>
      </w:r>
      <w:r w:rsidR="004E0F9A">
        <w:rPr>
          <w:rFonts w:ascii="Times New Roman" w:hAnsi="Times New Roman" w:cs="Times New Roman"/>
          <w:sz w:val="24"/>
          <w:szCs w:val="24"/>
        </w:rPr>
        <w:t>and failing to pay tithe could result in severe punishment. This did not of course stop people from trying to avoid tithe payments, whether t</w:t>
      </w:r>
      <w:r w:rsidR="000C0934">
        <w:rPr>
          <w:rFonts w:ascii="Times New Roman" w:hAnsi="Times New Roman" w:cs="Times New Roman"/>
          <w:sz w:val="24"/>
          <w:szCs w:val="24"/>
        </w:rPr>
        <w:t>hrough lying</w:t>
      </w:r>
      <w:r w:rsidR="004E0F9A">
        <w:rPr>
          <w:rFonts w:ascii="Times New Roman" w:hAnsi="Times New Roman" w:cs="Times New Roman"/>
          <w:sz w:val="24"/>
          <w:szCs w:val="24"/>
        </w:rPr>
        <w:t xml:space="preserve"> about how much produce or inco</w:t>
      </w:r>
      <w:r w:rsidR="000C0934">
        <w:rPr>
          <w:rFonts w:ascii="Times New Roman" w:hAnsi="Times New Roman" w:cs="Times New Roman"/>
          <w:sz w:val="24"/>
          <w:szCs w:val="24"/>
        </w:rPr>
        <w:t>me they earned or simply refusing</w:t>
      </w:r>
      <w:r w:rsidR="004E0F9A">
        <w:rPr>
          <w:rFonts w:ascii="Times New Roman" w:hAnsi="Times New Roman" w:cs="Times New Roman"/>
          <w:sz w:val="24"/>
          <w:szCs w:val="24"/>
        </w:rPr>
        <w:t xml:space="preserve"> to pay upfront.</w:t>
      </w:r>
      <w:r w:rsidR="003B34D8">
        <w:rPr>
          <w:rStyle w:val="FootnoteReference"/>
          <w:rFonts w:ascii="Times New Roman" w:hAnsi="Times New Roman" w:cs="Times New Roman"/>
          <w:sz w:val="24"/>
          <w:szCs w:val="24"/>
        </w:rPr>
        <w:footnoteReference w:id="13"/>
      </w:r>
      <w:r w:rsidR="004E0F9A">
        <w:rPr>
          <w:rFonts w:ascii="Times New Roman" w:hAnsi="Times New Roman" w:cs="Times New Roman"/>
          <w:sz w:val="24"/>
          <w:szCs w:val="24"/>
        </w:rPr>
        <w:t xml:space="preserve"> </w:t>
      </w:r>
    </w:p>
    <w:p w:rsidR="00BF529C" w:rsidRDefault="004E0F9A" w:rsidP="000C220C">
      <w:pPr>
        <w:spacing w:line="480" w:lineRule="auto"/>
      </w:pPr>
      <w:r>
        <w:rPr>
          <w:rFonts w:ascii="Times New Roman" w:hAnsi="Times New Roman" w:cs="Times New Roman"/>
          <w:sz w:val="24"/>
          <w:szCs w:val="24"/>
        </w:rPr>
        <w:t xml:space="preserve">Tithe was intended towards the upkeep of the church but a good portion of it also went towards the priest’s income. If a priest therefore discovered that </w:t>
      </w:r>
      <w:r w:rsidR="002E0797">
        <w:rPr>
          <w:rFonts w:ascii="Times New Roman" w:hAnsi="Times New Roman" w:cs="Times New Roman"/>
          <w:sz w:val="24"/>
          <w:szCs w:val="24"/>
        </w:rPr>
        <w:t xml:space="preserve">the tithe was not being fully paid, they could choose to pursue this in the church court, but doing so meant that they ran the risk of angering their parishioners and potentially being pushed out in favour of a rival cleric that the village community may believe would treat them fairer. Many priests therefore </w:t>
      </w:r>
      <w:r w:rsidR="002E0797">
        <w:rPr>
          <w:rFonts w:ascii="Times New Roman" w:hAnsi="Times New Roman" w:cs="Times New Roman"/>
          <w:sz w:val="24"/>
          <w:szCs w:val="24"/>
        </w:rPr>
        <w:lastRenderedPageBreak/>
        <w:t xml:space="preserve">relied more on preventative measures, with regular sermons specifically designed to scare their parishioners into paying </w:t>
      </w:r>
      <w:r w:rsidR="00DA33D0">
        <w:rPr>
          <w:rFonts w:ascii="Times New Roman" w:hAnsi="Times New Roman" w:cs="Times New Roman"/>
          <w:sz w:val="24"/>
          <w:szCs w:val="24"/>
        </w:rPr>
        <w:t>the full tithe.</w:t>
      </w:r>
      <w:r w:rsidR="003B34D8">
        <w:rPr>
          <w:rStyle w:val="FootnoteReference"/>
          <w:rFonts w:ascii="Times New Roman" w:hAnsi="Times New Roman" w:cs="Times New Roman"/>
          <w:sz w:val="24"/>
          <w:szCs w:val="24"/>
        </w:rPr>
        <w:footnoteReference w:id="14"/>
      </w:r>
      <w:r w:rsidR="00DA33D0">
        <w:rPr>
          <w:rFonts w:ascii="Times New Roman" w:hAnsi="Times New Roman" w:cs="Times New Roman"/>
          <w:sz w:val="24"/>
          <w:szCs w:val="24"/>
        </w:rPr>
        <w:t xml:space="preserve"> Here we see then how much power the clergy held over the rural community and vice versa.</w:t>
      </w:r>
    </w:p>
    <w:p w:rsidR="00AE77C6" w:rsidRDefault="00BF529C" w:rsidP="000C220C">
      <w:pPr>
        <w:spacing w:line="480" w:lineRule="auto"/>
        <w:rPr>
          <w:rFonts w:ascii="Times New Roman" w:hAnsi="Times New Roman" w:cs="Times New Roman"/>
          <w:sz w:val="24"/>
          <w:szCs w:val="24"/>
        </w:rPr>
      </w:pPr>
      <w:r>
        <w:rPr>
          <w:rFonts w:ascii="Times New Roman" w:hAnsi="Times New Roman" w:cs="Times New Roman"/>
          <w:sz w:val="24"/>
          <w:szCs w:val="24"/>
        </w:rPr>
        <w:t>Tithe data over a region, much</w:t>
      </w:r>
      <w:r w:rsidRPr="00BF529C">
        <w:rPr>
          <w:rFonts w:ascii="Times New Roman" w:hAnsi="Times New Roman" w:cs="Times New Roman"/>
          <w:sz w:val="24"/>
          <w:szCs w:val="24"/>
        </w:rPr>
        <w:t xml:space="preserve"> like the information given in manorial surveys, can </w:t>
      </w:r>
      <w:r>
        <w:rPr>
          <w:rFonts w:ascii="Times New Roman" w:hAnsi="Times New Roman" w:cs="Times New Roman"/>
          <w:sz w:val="24"/>
          <w:szCs w:val="24"/>
        </w:rPr>
        <w:t xml:space="preserve">also </w:t>
      </w:r>
      <w:r w:rsidRPr="00BF529C">
        <w:rPr>
          <w:rFonts w:ascii="Times New Roman" w:hAnsi="Times New Roman" w:cs="Times New Roman"/>
          <w:sz w:val="24"/>
          <w:szCs w:val="24"/>
        </w:rPr>
        <w:t xml:space="preserve">be examined over time to provide an overview of different trends. Trends such as which estates and individuals were thriving and bountiful at which times, and how significant </w:t>
      </w:r>
      <w:r w:rsidR="00966173">
        <w:rPr>
          <w:rFonts w:ascii="Times New Roman" w:hAnsi="Times New Roman" w:cs="Times New Roman"/>
          <w:sz w:val="24"/>
          <w:szCs w:val="24"/>
        </w:rPr>
        <w:t>historical events like the Black</w:t>
      </w:r>
      <w:r w:rsidRPr="00BF529C">
        <w:rPr>
          <w:rFonts w:ascii="Times New Roman" w:hAnsi="Times New Roman" w:cs="Times New Roman"/>
          <w:sz w:val="24"/>
          <w:szCs w:val="24"/>
        </w:rPr>
        <w:t xml:space="preserve"> </w:t>
      </w:r>
      <w:r w:rsidR="00966173">
        <w:rPr>
          <w:rFonts w:ascii="Times New Roman" w:hAnsi="Times New Roman" w:cs="Times New Roman"/>
          <w:sz w:val="24"/>
          <w:szCs w:val="24"/>
        </w:rPr>
        <w:t>Death</w:t>
      </w:r>
      <w:r w:rsidRPr="00BF529C">
        <w:rPr>
          <w:rFonts w:ascii="Times New Roman" w:hAnsi="Times New Roman" w:cs="Times New Roman"/>
          <w:sz w:val="24"/>
          <w:szCs w:val="24"/>
        </w:rPr>
        <w:t xml:space="preserve"> or a change in the monarchy affected rural communities in terms of wealth and power.</w:t>
      </w:r>
      <w:r>
        <w:rPr>
          <w:rFonts w:ascii="Times New Roman" w:hAnsi="Times New Roman" w:cs="Times New Roman"/>
          <w:sz w:val="24"/>
          <w:szCs w:val="24"/>
        </w:rPr>
        <w:t xml:space="preserve"> For example</w:t>
      </w:r>
      <w:r w:rsidR="00C774EC">
        <w:rPr>
          <w:rFonts w:ascii="Times New Roman" w:hAnsi="Times New Roman" w:cs="Times New Roman"/>
          <w:sz w:val="24"/>
          <w:szCs w:val="24"/>
        </w:rPr>
        <w:t>,</w:t>
      </w:r>
      <w:r>
        <w:rPr>
          <w:rFonts w:ascii="Times New Roman" w:hAnsi="Times New Roman" w:cs="Times New Roman"/>
          <w:sz w:val="24"/>
          <w:szCs w:val="24"/>
        </w:rPr>
        <w:t xml:space="preserve"> tithe records from the </w:t>
      </w:r>
      <w:r w:rsidR="00966173">
        <w:rPr>
          <w:rFonts w:ascii="Times New Roman" w:hAnsi="Times New Roman" w:cs="Times New Roman"/>
          <w:sz w:val="24"/>
          <w:szCs w:val="24"/>
        </w:rPr>
        <w:t>north-eastern area of England show that at the start of the fifteenth century, grain production in the region between Tyne and Tees fell to less than a third</w:t>
      </w:r>
      <w:r>
        <w:rPr>
          <w:rFonts w:ascii="Times New Roman" w:hAnsi="Times New Roman" w:cs="Times New Roman"/>
          <w:sz w:val="24"/>
          <w:szCs w:val="24"/>
        </w:rPr>
        <w:t xml:space="preserve"> </w:t>
      </w:r>
      <w:r w:rsidR="00966173">
        <w:rPr>
          <w:rFonts w:ascii="Times New Roman" w:hAnsi="Times New Roman" w:cs="Times New Roman"/>
          <w:sz w:val="24"/>
          <w:szCs w:val="24"/>
        </w:rPr>
        <w:t>than what it had bee</w:t>
      </w:r>
      <w:r w:rsidR="00C774EC">
        <w:rPr>
          <w:rFonts w:ascii="Times New Roman" w:hAnsi="Times New Roman" w:cs="Times New Roman"/>
          <w:sz w:val="24"/>
          <w:szCs w:val="24"/>
        </w:rPr>
        <w:t>n a century before,</w:t>
      </w:r>
      <w:r w:rsidR="003B34D8">
        <w:rPr>
          <w:rStyle w:val="FootnoteReference"/>
          <w:rFonts w:ascii="Times New Roman" w:hAnsi="Times New Roman" w:cs="Times New Roman"/>
          <w:sz w:val="24"/>
          <w:szCs w:val="24"/>
        </w:rPr>
        <w:footnoteReference w:id="15"/>
      </w:r>
      <w:r w:rsidR="00C774EC">
        <w:rPr>
          <w:rFonts w:ascii="Times New Roman" w:hAnsi="Times New Roman" w:cs="Times New Roman"/>
          <w:sz w:val="24"/>
          <w:szCs w:val="24"/>
        </w:rPr>
        <w:t xml:space="preserve"> which shows just how far reaching the effect</w:t>
      </w:r>
      <w:r w:rsidR="005A5C82">
        <w:rPr>
          <w:rFonts w:ascii="Times New Roman" w:hAnsi="Times New Roman" w:cs="Times New Roman"/>
          <w:sz w:val="24"/>
          <w:szCs w:val="24"/>
        </w:rPr>
        <w:t>s</w:t>
      </w:r>
      <w:r w:rsidR="00C774EC">
        <w:rPr>
          <w:rFonts w:ascii="Times New Roman" w:hAnsi="Times New Roman" w:cs="Times New Roman"/>
          <w:sz w:val="24"/>
          <w:szCs w:val="24"/>
        </w:rPr>
        <w:t xml:space="preserve"> of the Black Death</w:t>
      </w:r>
      <w:r w:rsidR="005A5C82">
        <w:rPr>
          <w:rFonts w:ascii="Times New Roman" w:hAnsi="Times New Roman" w:cs="Times New Roman"/>
          <w:sz w:val="24"/>
          <w:szCs w:val="24"/>
        </w:rPr>
        <w:t xml:space="preserve"> were</w:t>
      </w:r>
      <w:r w:rsidR="00C774EC">
        <w:rPr>
          <w:rFonts w:ascii="Times New Roman" w:hAnsi="Times New Roman" w:cs="Times New Roman"/>
          <w:sz w:val="24"/>
          <w:szCs w:val="24"/>
        </w:rPr>
        <w:t xml:space="preserve"> even decades after the fact.</w:t>
      </w:r>
    </w:p>
    <w:p w:rsidR="00AE77C6" w:rsidRDefault="001E26BD" w:rsidP="000C220C">
      <w:pPr>
        <w:spacing w:line="480" w:lineRule="auto"/>
        <w:rPr>
          <w:rFonts w:ascii="Times New Roman" w:hAnsi="Times New Roman" w:cs="Times New Roman"/>
          <w:sz w:val="24"/>
          <w:szCs w:val="24"/>
        </w:rPr>
      </w:pPr>
      <w:r>
        <w:rPr>
          <w:rFonts w:ascii="Times New Roman" w:hAnsi="Times New Roman" w:cs="Times New Roman"/>
          <w:sz w:val="24"/>
          <w:szCs w:val="24"/>
        </w:rPr>
        <w:t>One kind of important legal</w:t>
      </w:r>
      <w:r w:rsidR="00F02490">
        <w:rPr>
          <w:rFonts w:ascii="Times New Roman" w:hAnsi="Times New Roman" w:cs="Times New Roman"/>
          <w:sz w:val="24"/>
          <w:szCs w:val="24"/>
        </w:rPr>
        <w:t xml:space="preserve"> document</w:t>
      </w:r>
      <w:r w:rsidR="00AE77C6">
        <w:rPr>
          <w:rFonts w:ascii="Times New Roman" w:hAnsi="Times New Roman" w:cs="Times New Roman"/>
          <w:sz w:val="24"/>
          <w:szCs w:val="24"/>
        </w:rPr>
        <w:t>, and in some ways very similar to the Will</w:t>
      </w:r>
      <w:r w:rsidR="00A02228">
        <w:rPr>
          <w:rFonts w:ascii="Times New Roman" w:hAnsi="Times New Roman" w:cs="Times New Roman"/>
          <w:sz w:val="24"/>
          <w:szCs w:val="24"/>
        </w:rPr>
        <w:t>,</w:t>
      </w:r>
      <w:r w:rsidR="00AE77C6">
        <w:rPr>
          <w:rFonts w:ascii="Times New Roman" w:hAnsi="Times New Roman" w:cs="Times New Roman"/>
          <w:sz w:val="24"/>
          <w:szCs w:val="24"/>
        </w:rPr>
        <w:t xml:space="preserve"> was</w:t>
      </w:r>
      <w:r w:rsidR="00A02228">
        <w:rPr>
          <w:rFonts w:ascii="Times New Roman" w:hAnsi="Times New Roman" w:cs="Times New Roman"/>
          <w:sz w:val="24"/>
          <w:szCs w:val="24"/>
        </w:rPr>
        <w:t xml:space="preserve"> </w:t>
      </w:r>
      <w:r w:rsidR="00AB1CF3">
        <w:rPr>
          <w:rFonts w:ascii="Times New Roman" w:hAnsi="Times New Roman" w:cs="Times New Roman"/>
          <w:sz w:val="24"/>
          <w:szCs w:val="24"/>
        </w:rPr>
        <w:t>the C</w:t>
      </w:r>
      <w:r>
        <w:rPr>
          <w:rFonts w:ascii="Times New Roman" w:hAnsi="Times New Roman" w:cs="Times New Roman"/>
          <w:sz w:val="24"/>
          <w:szCs w:val="24"/>
        </w:rPr>
        <w:t>harter. M</w:t>
      </w:r>
      <w:r w:rsidR="00F02490">
        <w:rPr>
          <w:rFonts w:ascii="Times New Roman" w:hAnsi="Times New Roman" w:cs="Times New Roman"/>
          <w:sz w:val="24"/>
          <w:szCs w:val="24"/>
        </w:rPr>
        <w:t>ost of which survive as transcripts preserved in cartularies of religious houses</w:t>
      </w:r>
      <w:r>
        <w:rPr>
          <w:rFonts w:ascii="Times New Roman" w:hAnsi="Times New Roman" w:cs="Times New Roman"/>
          <w:sz w:val="24"/>
          <w:szCs w:val="24"/>
        </w:rPr>
        <w:t xml:space="preserve"> thus making them a kind of ecclesiastical record as well</w:t>
      </w:r>
      <w:r w:rsidR="00F02490">
        <w:rPr>
          <w:rFonts w:ascii="Times New Roman" w:hAnsi="Times New Roman" w:cs="Times New Roman"/>
          <w:sz w:val="24"/>
          <w:szCs w:val="24"/>
        </w:rPr>
        <w:t>.</w:t>
      </w:r>
      <w:r w:rsidR="003B34D8">
        <w:rPr>
          <w:rStyle w:val="FootnoteReference"/>
          <w:rFonts w:ascii="Times New Roman" w:hAnsi="Times New Roman" w:cs="Times New Roman"/>
          <w:sz w:val="24"/>
          <w:szCs w:val="24"/>
        </w:rPr>
        <w:footnoteReference w:id="16"/>
      </w:r>
      <w:r w:rsidR="00A02228">
        <w:rPr>
          <w:rFonts w:ascii="Times New Roman" w:hAnsi="Times New Roman" w:cs="Times New Roman"/>
          <w:sz w:val="24"/>
          <w:szCs w:val="24"/>
        </w:rPr>
        <w:t xml:space="preserve"> Charters may </w:t>
      </w:r>
      <w:r w:rsidR="00247EB8">
        <w:rPr>
          <w:rFonts w:ascii="Times New Roman" w:hAnsi="Times New Roman" w:cs="Times New Roman"/>
          <w:sz w:val="24"/>
          <w:szCs w:val="24"/>
        </w:rPr>
        <w:t xml:space="preserve">potentially </w:t>
      </w:r>
      <w:r w:rsidR="00A02228">
        <w:rPr>
          <w:rFonts w:ascii="Times New Roman" w:hAnsi="Times New Roman" w:cs="Times New Roman"/>
          <w:sz w:val="24"/>
          <w:szCs w:val="24"/>
        </w:rPr>
        <w:t>be considered as the medieval equivalent of the modern Deed and as such can tell us about the history of ownership of rural estates, and due to the nature of inheritance also contains information on genealogy.</w:t>
      </w:r>
      <w:r w:rsidR="00941801">
        <w:rPr>
          <w:rFonts w:ascii="Times New Roman" w:hAnsi="Times New Roman" w:cs="Times New Roman"/>
          <w:sz w:val="24"/>
          <w:szCs w:val="24"/>
        </w:rPr>
        <w:t xml:space="preserve"> </w:t>
      </w:r>
      <w:r w:rsidR="00975C40">
        <w:rPr>
          <w:rFonts w:ascii="Times New Roman" w:hAnsi="Times New Roman" w:cs="Times New Roman"/>
          <w:sz w:val="24"/>
          <w:szCs w:val="24"/>
        </w:rPr>
        <w:t>Royal Charters were typically used to sanction the shift of a town to becoming a city, and are still used today as evidenced by places such as Chelmsford or Inverness which each received their Charters in the last few decades.</w:t>
      </w:r>
      <w:r w:rsidR="003B34D8">
        <w:rPr>
          <w:rStyle w:val="FootnoteReference"/>
          <w:rFonts w:ascii="Times New Roman" w:hAnsi="Times New Roman" w:cs="Times New Roman"/>
          <w:sz w:val="24"/>
          <w:szCs w:val="24"/>
        </w:rPr>
        <w:footnoteReference w:id="17"/>
      </w:r>
      <w:r w:rsidR="00975C40">
        <w:rPr>
          <w:rFonts w:ascii="Times New Roman" w:hAnsi="Times New Roman" w:cs="Times New Roman"/>
          <w:sz w:val="24"/>
          <w:szCs w:val="24"/>
        </w:rPr>
        <w:t xml:space="preserve"> </w:t>
      </w:r>
    </w:p>
    <w:p w:rsidR="00F02490" w:rsidRDefault="00975C40"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Private </w:t>
      </w:r>
      <w:r w:rsidR="00AB1CF3">
        <w:rPr>
          <w:rFonts w:ascii="Times New Roman" w:hAnsi="Times New Roman" w:cs="Times New Roman"/>
          <w:sz w:val="24"/>
          <w:szCs w:val="24"/>
        </w:rPr>
        <w:t>Charters</w:t>
      </w:r>
      <w:r>
        <w:rPr>
          <w:rFonts w:ascii="Times New Roman" w:hAnsi="Times New Roman" w:cs="Times New Roman"/>
          <w:sz w:val="24"/>
          <w:szCs w:val="24"/>
        </w:rPr>
        <w:t xml:space="preserve"> on the other hand,</w:t>
      </w:r>
      <w:r w:rsidR="00AB1CF3">
        <w:rPr>
          <w:rFonts w:ascii="Times New Roman" w:hAnsi="Times New Roman" w:cs="Times New Roman"/>
          <w:sz w:val="24"/>
          <w:szCs w:val="24"/>
        </w:rPr>
        <w:t xml:space="preserve"> almost exclusively dealt with rural settlements o</w:t>
      </w:r>
      <w:r w:rsidR="00D813FD">
        <w:rPr>
          <w:rFonts w:ascii="Times New Roman" w:hAnsi="Times New Roman" w:cs="Times New Roman"/>
          <w:sz w:val="24"/>
          <w:szCs w:val="24"/>
        </w:rPr>
        <w:t>ver urban</w:t>
      </w:r>
      <w:r w:rsidR="00DA1B5F">
        <w:rPr>
          <w:rFonts w:ascii="Times New Roman" w:hAnsi="Times New Roman" w:cs="Times New Roman"/>
          <w:sz w:val="24"/>
          <w:szCs w:val="24"/>
        </w:rPr>
        <w:t xml:space="preserve">, and from the eighth century onwards, often referred to land granted to lay people instead of </w:t>
      </w:r>
      <w:r w:rsidR="00DA1B5F">
        <w:rPr>
          <w:rFonts w:ascii="Times New Roman" w:hAnsi="Times New Roman" w:cs="Times New Roman"/>
          <w:sz w:val="24"/>
          <w:szCs w:val="24"/>
        </w:rPr>
        <w:lastRenderedPageBreak/>
        <w:t>just the aristocracy or the church.</w:t>
      </w:r>
      <w:r w:rsidR="003B34D8">
        <w:rPr>
          <w:rStyle w:val="FootnoteReference"/>
          <w:rFonts w:ascii="Times New Roman" w:hAnsi="Times New Roman" w:cs="Times New Roman"/>
          <w:sz w:val="24"/>
          <w:szCs w:val="24"/>
        </w:rPr>
        <w:footnoteReference w:id="18"/>
      </w:r>
      <w:r w:rsidR="00DA1B5F">
        <w:rPr>
          <w:rFonts w:ascii="Times New Roman" w:hAnsi="Times New Roman" w:cs="Times New Roman"/>
          <w:sz w:val="24"/>
          <w:szCs w:val="24"/>
        </w:rPr>
        <w:t xml:space="preserve"> By the second half of the thirteenth century we even start to see how Charters are being used at village level, and these can therefore be used to get another glimpse into </w:t>
      </w:r>
      <w:r w:rsidR="00E764BB">
        <w:rPr>
          <w:rFonts w:ascii="Times New Roman" w:hAnsi="Times New Roman" w:cs="Times New Roman"/>
          <w:sz w:val="24"/>
          <w:szCs w:val="24"/>
        </w:rPr>
        <w:t>the inner workings of rural society from a local standpoint.</w:t>
      </w:r>
      <w:r w:rsidR="003B34D8">
        <w:rPr>
          <w:rStyle w:val="FootnoteReference"/>
          <w:rFonts w:ascii="Times New Roman" w:hAnsi="Times New Roman" w:cs="Times New Roman"/>
          <w:sz w:val="24"/>
          <w:szCs w:val="24"/>
        </w:rPr>
        <w:footnoteReference w:id="19"/>
      </w:r>
      <w:r w:rsidR="00E764BB">
        <w:rPr>
          <w:rFonts w:ascii="Times New Roman" w:hAnsi="Times New Roman" w:cs="Times New Roman"/>
          <w:sz w:val="24"/>
          <w:szCs w:val="24"/>
        </w:rPr>
        <w:t xml:space="preserve"> Furthermore, while </w:t>
      </w:r>
      <w:r w:rsidR="00941801">
        <w:rPr>
          <w:rFonts w:ascii="Times New Roman" w:hAnsi="Times New Roman" w:cs="Times New Roman"/>
          <w:sz w:val="24"/>
          <w:szCs w:val="24"/>
        </w:rPr>
        <w:t>Charters often dealt with t</w:t>
      </w:r>
      <w:r w:rsidR="00E764BB">
        <w:rPr>
          <w:rFonts w:ascii="Times New Roman" w:hAnsi="Times New Roman" w:cs="Times New Roman"/>
          <w:sz w:val="24"/>
          <w:szCs w:val="24"/>
        </w:rPr>
        <w:t xml:space="preserve">he transference of property, </w:t>
      </w:r>
      <w:r w:rsidR="00941801">
        <w:rPr>
          <w:rFonts w:ascii="Times New Roman" w:hAnsi="Times New Roman" w:cs="Times New Roman"/>
          <w:sz w:val="24"/>
          <w:szCs w:val="24"/>
        </w:rPr>
        <w:t xml:space="preserve">the property itself was </w:t>
      </w:r>
      <w:r w:rsidR="00E764BB">
        <w:rPr>
          <w:rFonts w:ascii="Times New Roman" w:hAnsi="Times New Roman" w:cs="Times New Roman"/>
          <w:sz w:val="24"/>
          <w:szCs w:val="24"/>
        </w:rPr>
        <w:t>not necessarily limited to land. B</w:t>
      </w:r>
      <w:r w:rsidR="00941801">
        <w:rPr>
          <w:rFonts w:ascii="Times New Roman" w:hAnsi="Times New Roman" w:cs="Times New Roman"/>
          <w:sz w:val="24"/>
          <w:szCs w:val="24"/>
        </w:rPr>
        <w:t>uildings, livestock, and even ‘unfr</w:t>
      </w:r>
      <w:r w:rsidR="00C14C23">
        <w:rPr>
          <w:rFonts w:ascii="Times New Roman" w:hAnsi="Times New Roman" w:cs="Times New Roman"/>
          <w:sz w:val="24"/>
          <w:szCs w:val="24"/>
        </w:rPr>
        <w:t>ee persons’ were also included.</w:t>
      </w:r>
      <w:r w:rsidR="003B34D8">
        <w:rPr>
          <w:rStyle w:val="FootnoteReference"/>
          <w:rFonts w:ascii="Times New Roman" w:hAnsi="Times New Roman" w:cs="Times New Roman"/>
          <w:sz w:val="24"/>
          <w:szCs w:val="24"/>
        </w:rPr>
        <w:footnoteReference w:id="20"/>
      </w:r>
      <w:r w:rsidR="00C14C23">
        <w:rPr>
          <w:rFonts w:ascii="Times New Roman" w:hAnsi="Times New Roman" w:cs="Times New Roman"/>
          <w:sz w:val="24"/>
          <w:szCs w:val="24"/>
        </w:rPr>
        <w:t xml:space="preserve"> Through this we can therefore see how little agency the lower classes had over their own lives, for even the peasantry, while not considered tradeable goods like the unfree serfs, had their livelihoods closely connected to </w:t>
      </w:r>
      <w:r w:rsidR="004741E9">
        <w:rPr>
          <w:rFonts w:ascii="Times New Roman" w:hAnsi="Times New Roman" w:cs="Times New Roman"/>
          <w:sz w:val="24"/>
          <w:szCs w:val="24"/>
        </w:rPr>
        <w:t>the land and property belonging to the manorial lord, and a change in ownership could also mean a change in jobs, taxation, and rights.</w:t>
      </w:r>
    </w:p>
    <w:p w:rsidR="00A6078B" w:rsidRDefault="00A6078B" w:rsidP="000C220C">
      <w:pPr>
        <w:spacing w:line="480" w:lineRule="auto"/>
        <w:rPr>
          <w:rFonts w:ascii="Times New Roman" w:hAnsi="Times New Roman" w:cs="Times New Roman"/>
          <w:sz w:val="24"/>
          <w:szCs w:val="24"/>
        </w:rPr>
      </w:pPr>
      <w:r>
        <w:rPr>
          <w:rFonts w:ascii="Times New Roman" w:hAnsi="Times New Roman" w:cs="Times New Roman"/>
          <w:sz w:val="24"/>
          <w:szCs w:val="24"/>
        </w:rPr>
        <w:t>Another documentary source that is often cited as being a great resource for information on rural life in medieval England</w:t>
      </w:r>
      <w:r w:rsidR="00703B1D">
        <w:rPr>
          <w:rFonts w:ascii="Times New Roman" w:hAnsi="Times New Roman" w:cs="Times New Roman"/>
          <w:sz w:val="24"/>
          <w:szCs w:val="24"/>
        </w:rPr>
        <w:t>, and one that does not include a statistical component unlike those previously mentioned,</w:t>
      </w:r>
      <w:r>
        <w:rPr>
          <w:rFonts w:ascii="Times New Roman" w:hAnsi="Times New Roman" w:cs="Times New Roman"/>
          <w:sz w:val="24"/>
          <w:szCs w:val="24"/>
        </w:rPr>
        <w:t xml:space="preserve"> is the illuminations contained in certain medieval manuscripts.</w:t>
      </w:r>
      <w:r w:rsidR="00CE3760">
        <w:rPr>
          <w:rFonts w:ascii="Times New Roman" w:hAnsi="Times New Roman" w:cs="Times New Roman"/>
          <w:sz w:val="24"/>
          <w:szCs w:val="24"/>
        </w:rPr>
        <w:t xml:space="preserve"> Due to the nature of time keeping in the Middle Ages, the year was built around religious dates like Saints feast days, and the changing of the seasons.</w:t>
      </w:r>
      <w:r w:rsidR="003B34D8">
        <w:rPr>
          <w:rStyle w:val="FootnoteReference"/>
          <w:rFonts w:ascii="Times New Roman" w:hAnsi="Times New Roman" w:cs="Times New Roman"/>
          <w:sz w:val="24"/>
          <w:szCs w:val="24"/>
        </w:rPr>
        <w:footnoteReference w:id="21"/>
      </w:r>
      <w:r w:rsidR="00CE3760">
        <w:rPr>
          <w:rFonts w:ascii="Times New Roman" w:hAnsi="Times New Roman" w:cs="Times New Roman"/>
          <w:sz w:val="24"/>
          <w:szCs w:val="24"/>
        </w:rPr>
        <w:t xml:space="preserve"> This is why so many illuminations in Psalters and Books of Hours, when not depicting biblical scenes, are of agricultural ones showing peasants performing various tasks in accordance with different points in the agricultural cycle.</w:t>
      </w:r>
    </w:p>
    <w:p w:rsidR="00AA4C9D" w:rsidRDefault="000D5BB6"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best example of this is found within the Luttrell Psalter, with a series of images in the margins depicting each stage </w:t>
      </w:r>
      <w:r w:rsidR="000B1C9C">
        <w:rPr>
          <w:rFonts w:ascii="Times New Roman" w:hAnsi="Times New Roman" w:cs="Times New Roman"/>
          <w:sz w:val="24"/>
          <w:szCs w:val="24"/>
        </w:rPr>
        <w:t xml:space="preserve">of the agricultural year from ploughing and sowing a field, to </w:t>
      </w:r>
      <w:r w:rsidR="000B1C9C">
        <w:rPr>
          <w:rFonts w:ascii="Times New Roman" w:hAnsi="Times New Roman" w:cs="Times New Roman"/>
          <w:sz w:val="24"/>
          <w:szCs w:val="24"/>
        </w:rPr>
        <w:lastRenderedPageBreak/>
        <w:t>crow scaring while the wheat is growing, and finally to the harvest and transportation.</w:t>
      </w:r>
      <w:r w:rsidR="00BD0CA7">
        <w:rPr>
          <w:rFonts w:ascii="Times New Roman" w:hAnsi="Times New Roman" w:cs="Times New Roman"/>
          <w:sz w:val="24"/>
          <w:szCs w:val="24"/>
        </w:rPr>
        <w:t xml:space="preserve"> Peasantry are of course not the </w:t>
      </w:r>
      <w:r w:rsidR="00422A04">
        <w:rPr>
          <w:rFonts w:ascii="Times New Roman" w:hAnsi="Times New Roman" w:cs="Times New Roman"/>
          <w:sz w:val="24"/>
          <w:szCs w:val="24"/>
        </w:rPr>
        <w:t>only people shown in the images, the manuscript was commissioned by Sir Geoffrey Luttrell and was intended to act as a record of his life.</w:t>
      </w:r>
      <w:r w:rsidR="003B34D8">
        <w:rPr>
          <w:rStyle w:val="FootnoteReference"/>
          <w:rFonts w:ascii="Times New Roman" w:hAnsi="Times New Roman" w:cs="Times New Roman"/>
          <w:sz w:val="24"/>
          <w:szCs w:val="24"/>
        </w:rPr>
        <w:footnoteReference w:id="22"/>
      </w:r>
      <w:r w:rsidR="00422A04">
        <w:rPr>
          <w:rFonts w:ascii="Times New Roman" w:hAnsi="Times New Roman" w:cs="Times New Roman"/>
          <w:sz w:val="24"/>
          <w:szCs w:val="24"/>
        </w:rPr>
        <w:t xml:space="preserve"> Naturally therefore there are multiple scenes that show Sir Geoffrey in his role as Lord of the Manor, often accompanied by his family members</w:t>
      </w:r>
      <w:r w:rsidR="008F49AC">
        <w:rPr>
          <w:rFonts w:ascii="Times New Roman" w:hAnsi="Times New Roman" w:cs="Times New Roman"/>
          <w:sz w:val="24"/>
          <w:szCs w:val="24"/>
        </w:rPr>
        <w:t xml:space="preserve"> on their rural estate.</w:t>
      </w:r>
    </w:p>
    <w:p w:rsidR="00AA4C9D" w:rsidRDefault="00D41596" w:rsidP="000C220C">
      <w:pPr>
        <w:spacing w:line="480" w:lineRule="auto"/>
        <w:rPr>
          <w:rFonts w:ascii="Times New Roman" w:hAnsi="Times New Roman" w:cs="Times New Roman"/>
          <w:sz w:val="24"/>
          <w:szCs w:val="24"/>
        </w:rPr>
      </w:pPr>
      <w:r>
        <w:rPr>
          <w:rFonts w:ascii="Times New Roman" w:hAnsi="Times New Roman" w:cs="Times New Roman"/>
          <w:sz w:val="24"/>
          <w:szCs w:val="24"/>
        </w:rPr>
        <w:t>Members of the ruling classes like Sir Geoffrey relied on the labour of the peasantry and serfs to survive, as such they could not afford to ignore them but neither did they always give them due respect. Being commissioned by the wealthy, illuminated manuscripts tended to reflect their perspective on pastoral life</w:t>
      </w:r>
      <w:r w:rsidR="00B17466">
        <w:rPr>
          <w:rFonts w:ascii="Times New Roman" w:hAnsi="Times New Roman" w:cs="Times New Roman"/>
          <w:sz w:val="24"/>
          <w:szCs w:val="24"/>
        </w:rPr>
        <w:t>, one that was often idealised or overly flattering to the Lord and misrepresentative of the peasantry. The Luttrell Psalter is significant because it is currently considered to be one of the most accurate representations of rural life, and while still probably somewhat idealised, has been invaluable to scholars researching day to day life</w:t>
      </w:r>
      <w:r w:rsidR="00355063">
        <w:rPr>
          <w:rFonts w:ascii="Times New Roman" w:hAnsi="Times New Roman" w:cs="Times New Roman"/>
          <w:sz w:val="24"/>
          <w:szCs w:val="24"/>
        </w:rPr>
        <w:t xml:space="preserve"> of the inhabitants on a medieval rural estate.</w:t>
      </w:r>
      <w:r w:rsidR="003B34D8">
        <w:rPr>
          <w:rStyle w:val="FootnoteReference"/>
          <w:rFonts w:ascii="Times New Roman" w:hAnsi="Times New Roman" w:cs="Times New Roman"/>
          <w:sz w:val="24"/>
          <w:szCs w:val="24"/>
        </w:rPr>
        <w:footnoteReference w:id="23"/>
      </w:r>
    </w:p>
    <w:p w:rsidR="00215FCC" w:rsidRDefault="00703B1D" w:rsidP="000C220C">
      <w:pPr>
        <w:spacing w:line="480" w:lineRule="auto"/>
        <w:rPr>
          <w:rFonts w:ascii="Times New Roman" w:hAnsi="Times New Roman" w:cs="Times New Roman"/>
          <w:sz w:val="24"/>
          <w:szCs w:val="24"/>
        </w:rPr>
      </w:pPr>
      <w:r>
        <w:rPr>
          <w:rFonts w:ascii="Times New Roman" w:hAnsi="Times New Roman" w:cs="Times New Roman"/>
          <w:sz w:val="24"/>
          <w:szCs w:val="24"/>
        </w:rPr>
        <w:t>Illuminated manuscripts are not the only examples of a more literary type of source for rural England however. One type that has received growing interest in recent years is the contemporary sermon</w:t>
      </w:r>
      <w:r w:rsidR="00C05C99">
        <w:rPr>
          <w:rFonts w:ascii="Times New Roman" w:hAnsi="Times New Roman" w:cs="Times New Roman"/>
          <w:sz w:val="24"/>
          <w:szCs w:val="24"/>
        </w:rPr>
        <w:t xml:space="preserve"> and particularly the </w:t>
      </w:r>
      <w:r w:rsidR="00C05C99">
        <w:rPr>
          <w:rFonts w:ascii="Times New Roman" w:hAnsi="Times New Roman" w:cs="Times New Roman"/>
          <w:i/>
          <w:sz w:val="24"/>
          <w:szCs w:val="24"/>
        </w:rPr>
        <w:t xml:space="preserve">ad status </w:t>
      </w:r>
      <w:r w:rsidR="00C05C99">
        <w:rPr>
          <w:rFonts w:ascii="Times New Roman" w:hAnsi="Times New Roman" w:cs="Times New Roman"/>
          <w:sz w:val="24"/>
          <w:szCs w:val="24"/>
        </w:rPr>
        <w:t>genre, which were sermons that were addressed to specific groups within society.</w:t>
      </w:r>
      <w:r w:rsidR="003B34D8">
        <w:rPr>
          <w:rStyle w:val="FootnoteReference"/>
          <w:rFonts w:ascii="Times New Roman" w:hAnsi="Times New Roman" w:cs="Times New Roman"/>
          <w:sz w:val="24"/>
          <w:szCs w:val="24"/>
        </w:rPr>
        <w:footnoteReference w:id="24"/>
      </w:r>
      <w:r w:rsidR="00C05C99">
        <w:rPr>
          <w:rFonts w:ascii="Times New Roman" w:hAnsi="Times New Roman" w:cs="Times New Roman"/>
          <w:sz w:val="24"/>
          <w:szCs w:val="24"/>
        </w:rPr>
        <w:t xml:space="preserve"> Like manorial surveys and tithe records, sermons provide an insight into the relationship between tenants and their lords and local clergy, but in a way that comes across as much more personal</w:t>
      </w:r>
      <w:r w:rsidR="001714F3">
        <w:rPr>
          <w:rFonts w:ascii="Times New Roman" w:hAnsi="Times New Roman" w:cs="Times New Roman"/>
          <w:sz w:val="24"/>
          <w:szCs w:val="24"/>
        </w:rPr>
        <w:t xml:space="preserve">. Such sermons reflect the attitude of the preacher to his congregation </w:t>
      </w:r>
      <w:r w:rsidR="0030107B">
        <w:rPr>
          <w:rFonts w:ascii="Times New Roman" w:hAnsi="Times New Roman" w:cs="Times New Roman"/>
          <w:sz w:val="24"/>
          <w:szCs w:val="24"/>
        </w:rPr>
        <w:t xml:space="preserve">and </w:t>
      </w:r>
      <w:r w:rsidR="00215FCC">
        <w:rPr>
          <w:rFonts w:ascii="Times New Roman" w:hAnsi="Times New Roman" w:cs="Times New Roman"/>
          <w:sz w:val="24"/>
          <w:szCs w:val="24"/>
        </w:rPr>
        <w:t xml:space="preserve">as such are often coloured by personal bias. But just as reading a diary will create a more empathetic response in the reader than </w:t>
      </w:r>
      <w:r w:rsidR="00215FCC">
        <w:rPr>
          <w:rFonts w:ascii="Times New Roman" w:hAnsi="Times New Roman" w:cs="Times New Roman"/>
          <w:sz w:val="24"/>
          <w:szCs w:val="24"/>
        </w:rPr>
        <w:lastRenderedPageBreak/>
        <w:t>examining a taxation assessment, the personal literary nature of the sermon helps remind us that we are dealing with real people and can give us a richer impression of rural life.</w:t>
      </w:r>
    </w:p>
    <w:p w:rsidR="00703B1D" w:rsidRDefault="00DA7F73" w:rsidP="000C220C">
      <w:pPr>
        <w:spacing w:line="480" w:lineRule="auto"/>
        <w:rPr>
          <w:rFonts w:ascii="Times New Roman" w:hAnsi="Times New Roman" w:cs="Times New Roman"/>
          <w:sz w:val="24"/>
          <w:szCs w:val="24"/>
        </w:rPr>
      </w:pPr>
      <w:r>
        <w:rPr>
          <w:rFonts w:ascii="Times New Roman" w:hAnsi="Times New Roman" w:cs="Times New Roman"/>
          <w:sz w:val="24"/>
          <w:szCs w:val="24"/>
        </w:rPr>
        <w:t>T</w:t>
      </w:r>
      <w:r w:rsidR="0030107B">
        <w:rPr>
          <w:rFonts w:ascii="Times New Roman" w:hAnsi="Times New Roman" w:cs="Times New Roman"/>
          <w:sz w:val="24"/>
          <w:szCs w:val="24"/>
        </w:rPr>
        <w:t>he subject matter of a sermon can</w:t>
      </w:r>
      <w:r w:rsidR="006C2886">
        <w:rPr>
          <w:rFonts w:ascii="Times New Roman" w:hAnsi="Times New Roman" w:cs="Times New Roman"/>
          <w:sz w:val="24"/>
          <w:szCs w:val="24"/>
        </w:rPr>
        <w:t xml:space="preserve"> for instance,</w:t>
      </w:r>
      <w:r w:rsidR="0030107B">
        <w:rPr>
          <w:rFonts w:ascii="Times New Roman" w:hAnsi="Times New Roman" w:cs="Times New Roman"/>
          <w:sz w:val="24"/>
          <w:szCs w:val="24"/>
        </w:rPr>
        <w:t xml:space="preserve"> inform us about the state and occurrences in the local community. As mentioned above, a sermon that focusses heavily on the spiritual punishments to be suffered as a result of dishonest</w:t>
      </w:r>
      <w:r w:rsidR="007A0413">
        <w:rPr>
          <w:rFonts w:ascii="Times New Roman" w:hAnsi="Times New Roman" w:cs="Times New Roman"/>
          <w:sz w:val="24"/>
          <w:szCs w:val="24"/>
        </w:rPr>
        <w:t xml:space="preserve"> accounting, is a strong indicator that parishioners had been avoiding paying tithe. Equally sermons can reflect the events of wider society</w:t>
      </w:r>
      <w:r w:rsidR="006C2886">
        <w:rPr>
          <w:rFonts w:ascii="Times New Roman" w:hAnsi="Times New Roman" w:cs="Times New Roman"/>
          <w:sz w:val="24"/>
          <w:szCs w:val="24"/>
        </w:rPr>
        <w:t>,</w:t>
      </w:r>
      <w:r w:rsidR="007A0413">
        <w:rPr>
          <w:rFonts w:ascii="Times New Roman" w:hAnsi="Times New Roman" w:cs="Times New Roman"/>
          <w:sz w:val="24"/>
          <w:szCs w:val="24"/>
        </w:rPr>
        <w:t xml:space="preserve"> as evidenced by the spattering of</w:t>
      </w:r>
      <w:r w:rsidR="006C2886">
        <w:rPr>
          <w:rFonts w:ascii="Times New Roman" w:hAnsi="Times New Roman" w:cs="Times New Roman"/>
          <w:sz w:val="24"/>
          <w:szCs w:val="24"/>
        </w:rPr>
        <w:t xml:space="preserve"> sermons addressed to the laity</w:t>
      </w:r>
      <w:r w:rsidR="007A0413">
        <w:rPr>
          <w:rFonts w:ascii="Times New Roman" w:hAnsi="Times New Roman" w:cs="Times New Roman"/>
          <w:sz w:val="24"/>
          <w:szCs w:val="24"/>
        </w:rPr>
        <w:t xml:space="preserve"> encouraging them to join the crusade as a form of penitence.</w:t>
      </w:r>
      <w:r w:rsidR="003B34D8">
        <w:rPr>
          <w:rStyle w:val="FootnoteReference"/>
          <w:rFonts w:ascii="Times New Roman" w:hAnsi="Times New Roman" w:cs="Times New Roman"/>
          <w:sz w:val="24"/>
          <w:szCs w:val="24"/>
        </w:rPr>
        <w:footnoteReference w:id="25"/>
      </w:r>
      <w:r w:rsidR="00D54E9D">
        <w:rPr>
          <w:rFonts w:ascii="Times New Roman" w:hAnsi="Times New Roman" w:cs="Times New Roman"/>
          <w:sz w:val="24"/>
          <w:szCs w:val="24"/>
        </w:rPr>
        <w:t xml:space="preserve"> Often </w:t>
      </w:r>
      <w:r w:rsidR="00CB00C8">
        <w:rPr>
          <w:rFonts w:ascii="Times New Roman" w:hAnsi="Times New Roman" w:cs="Times New Roman"/>
          <w:sz w:val="24"/>
          <w:szCs w:val="24"/>
        </w:rPr>
        <w:t>preachers</w:t>
      </w:r>
      <w:r w:rsidR="00D54E9D">
        <w:rPr>
          <w:rFonts w:ascii="Times New Roman" w:hAnsi="Times New Roman" w:cs="Times New Roman"/>
          <w:sz w:val="24"/>
          <w:szCs w:val="24"/>
        </w:rPr>
        <w:t xml:space="preserve"> included many metaphors</w:t>
      </w:r>
      <w:r w:rsidR="00CB00C8">
        <w:rPr>
          <w:rFonts w:ascii="Times New Roman" w:hAnsi="Times New Roman" w:cs="Times New Roman"/>
          <w:sz w:val="24"/>
          <w:szCs w:val="24"/>
        </w:rPr>
        <w:t xml:space="preserve"> in their sermons</w:t>
      </w:r>
      <w:r w:rsidR="00D54E9D">
        <w:rPr>
          <w:rFonts w:ascii="Times New Roman" w:hAnsi="Times New Roman" w:cs="Times New Roman"/>
          <w:sz w:val="24"/>
          <w:szCs w:val="24"/>
        </w:rPr>
        <w:t>, linking the parables and teachings of the bible to events</w:t>
      </w:r>
      <w:r w:rsidR="00CB00C8">
        <w:rPr>
          <w:rFonts w:ascii="Times New Roman" w:hAnsi="Times New Roman" w:cs="Times New Roman"/>
          <w:sz w:val="24"/>
          <w:szCs w:val="24"/>
        </w:rPr>
        <w:t xml:space="preserve"> and scenes</w:t>
      </w:r>
      <w:r w:rsidR="00D54E9D">
        <w:rPr>
          <w:rFonts w:ascii="Times New Roman" w:hAnsi="Times New Roman" w:cs="Times New Roman"/>
          <w:sz w:val="24"/>
          <w:szCs w:val="24"/>
        </w:rPr>
        <w:t xml:space="preserve"> closer to home, and thus more familiar to their parishioners.</w:t>
      </w:r>
      <w:r w:rsidR="00CB00C8">
        <w:rPr>
          <w:rFonts w:ascii="Times New Roman" w:hAnsi="Times New Roman" w:cs="Times New Roman"/>
          <w:sz w:val="24"/>
          <w:szCs w:val="24"/>
        </w:rPr>
        <w:t xml:space="preserve"> Thus sermons can provide us with another glimpse into the day to day life of rural communities.</w:t>
      </w:r>
    </w:p>
    <w:p w:rsidR="00B827CC" w:rsidRDefault="00CB00C8" w:rsidP="000C220C">
      <w:pPr>
        <w:spacing w:line="480" w:lineRule="auto"/>
        <w:rPr>
          <w:rFonts w:ascii="Times New Roman" w:hAnsi="Times New Roman" w:cs="Times New Roman"/>
          <w:sz w:val="24"/>
          <w:szCs w:val="24"/>
        </w:rPr>
      </w:pPr>
      <w:r>
        <w:rPr>
          <w:rFonts w:ascii="Times New Roman" w:hAnsi="Times New Roman" w:cs="Times New Roman"/>
          <w:sz w:val="24"/>
          <w:szCs w:val="24"/>
        </w:rPr>
        <w:t>Such scenes are likewise present in much of m</w:t>
      </w:r>
      <w:r w:rsidR="00B827CC">
        <w:rPr>
          <w:rFonts w:ascii="Times New Roman" w:hAnsi="Times New Roman" w:cs="Times New Roman"/>
          <w:sz w:val="24"/>
          <w:szCs w:val="24"/>
        </w:rPr>
        <w:t>edieval poetry and prose</w:t>
      </w:r>
      <w:r>
        <w:rPr>
          <w:rFonts w:ascii="Times New Roman" w:hAnsi="Times New Roman" w:cs="Times New Roman"/>
          <w:sz w:val="24"/>
          <w:szCs w:val="24"/>
        </w:rPr>
        <w:t>, which</w:t>
      </w:r>
      <w:r w:rsidR="00B827CC">
        <w:rPr>
          <w:rFonts w:ascii="Times New Roman" w:hAnsi="Times New Roman" w:cs="Times New Roman"/>
          <w:sz w:val="24"/>
          <w:szCs w:val="24"/>
        </w:rPr>
        <w:t xml:space="preserve"> </w:t>
      </w:r>
      <w:r>
        <w:rPr>
          <w:rFonts w:ascii="Times New Roman" w:hAnsi="Times New Roman" w:cs="Times New Roman"/>
          <w:sz w:val="24"/>
          <w:szCs w:val="24"/>
        </w:rPr>
        <w:t xml:space="preserve">also </w:t>
      </w:r>
      <w:r w:rsidR="00B827CC">
        <w:rPr>
          <w:rFonts w:ascii="Times New Roman" w:hAnsi="Times New Roman" w:cs="Times New Roman"/>
          <w:sz w:val="24"/>
          <w:szCs w:val="24"/>
        </w:rPr>
        <w:t>offer a more secular, personal look at rural life in England</w:t>
      </w:r>
      <w:r w:rsidR="00707670">
        <w:rPr>
          <w:rFonts w:ascii="Times New Roman" w:hAnsi="Times New Roman" w:cs="Times New Roman"/>
          <w:sz w:val="24"/>
          <w:szCs w:val="24"/>
        </w:rPr>
        <w:t>. These pieces of literature</w:t>
      </w:r>
      <w:r w:rsidR="004C0956">
        <w:rPr>
          <w:rFonts w:ascii="Times New Roman" w:hAnsi="Times New Roman" w:cs="Times New Roman"/>
          <w:sz w:val="24"/>
          <w:szCs w:val="24"/>
        </w:rPr>
        <w:t xml:space="preserve"> almost always </w:t>
      </w:r>
      <w:r w:rsidR="00707670">
        <w:rPr>
          <w:rFonts w:ascii="Times New Roman" w:hAnsi="Times New Roman" w:cs="Times New Roman"/>
          <w:sz w:val="24"/>
          <w:szCs w:val="24"/>
        </w:rPr>
        <w:t>include a reference to</w:t>
      </w:r>
      <w:r w:rsidR="004C0956">
        <w:rPr>
          <w:rFonts w:ascii="Times New Roman" w:hAnsi="Times New Roman" w:cs="Times New Roman"/>
          <w:sz w:val="24"/>
          <w:szCs w:val="24"/>
        </w:rPr>
        <w:t xml:space="preserve"> the importance of labour as demonstrated in the poem </w:t>
      </w:r>
      <w:r w:rsidR="004C0956" w:rsidRPr="004C0956">
        <w:rPr>
          <w:rFonts w:ascii="Times New Roman" w:hAnsi="Times New Roman" w:cs="Times New Roman"/>
          <w:i/>
          <w:sz w:val="24"/>
          <w:szCs w:val="24"/>
        </w:rPr>
        <w:t>Song of the Husbandman</w:t>
      </w:r>
      <w:r w:rsidR="004C0956">
        <w:rPr>
          <w:rFonts w:ascii="Times New Roman" w:hAnsi="Times New Roman" w:cs="Times New Roman"/>
          <w:i/>
          <w:sz w:val="24"/>
          <w:szCs w:val="24"/>
        </w:rPr>
        <w:t xml:space="preserve"> </w:t>
      </w:r>
      <w:r w:rsidR="004C0956">
        <w:rPr>
          <w:rFonts w:ascii="Times New Roman" w:hAnsi="Times New Roman" w:cs="Times New Roman"/>
          <w:sz w:val="24"/>
          <w:szCs w:val="24"/>
        </w:rPr>
        <w:t>from the early fourteenth century</w:t>
      </w:r>
      <w:r w:rsidR="003B34D8">
        <w:rPr>
          <w:rFonts w:ascii="Times New Roman" w:hAnsi="Times New Roman" w:cs="Times New Roman"/>
          <w:sz w:val="24"/>
          <w:szCs w:val="24"/>
        </w:rPr>
        <w:t>,</w:t>
      </w:r>
      <w:r w:rsidR="003B34D8">
        <w:rPr>
          <w:rStyle w:val="FootnoteReference"/>
          <w:rFonts w:ascii="Times New Roman" w:hAnsi="Times New Roman" w:cs="Times New Roman"/>
          <w:sz w:val="24"/>
          <w:szCs w:val="24"/>
        </w:rPr>
        <w:footnoteReference w:id="26"/>
      </w:r>
      <w:r w:rsidR="004C0956">
        <w:rPr>
          <w:rFonts w:ascii="Times New Roman" w:hAnsi="Times New Roman" w:cs="Times New Roman"/>
          <w:sz w:val="24"/>
          <w:szCs w:val="24"/>
        </w:rPr>
        <w:t xml:space="preserve"> and considered to be the predecessor of the later, better known </w:t>
      </w:r>
      <w:r w:rsidR="00707670">
        <w:rPr>
          <w:rFonts w:ascii="Times New Roman" w:hAnsi="Times New Roman" w:cs="Times New Roman"/>
          <w:sz w:val="24"/>
          <w:szCs w:val="24"/>
        </w:rPr>
        <w:t xml:space="preserve">poem </w:t>
      </w:r>
      <w:r w:rsidR="004C0956">
        <w:rPr>
          <w:rFonts w:ascii="Times New Roman" w:hAnsi="Times New Roman" w:cs="Times New Roman"/>
          <w:i/>
          <w:sz w:val="24"/>
          <w:szCs w:val="24"/>
        </w:rPr>
        <w:t xml:space="preserve">Piers Plowman </w:t>
      </w:r>
      <w:r w:rsidR="004C0956">
        <w:rPr>
          <w:rFonts w:ascii="Times New Roman" w:hAnsi="Times New Roman" w:cs="Times New Roman"/>
          <w:sz w:val="24"/>
          <w:szCs w:val="24"/>
        </w:rPr>
        <w:t>by William Langland</w:t>
      </w:r>
      <w:r w:rsidR="00707670">
        <w:rPr>
          <w:rFonts w:ascii="Times New Roman" w:hAnsi="Times New Roman" w:cs="Times New Roman"/>
          <w:sz w:val="24"/>
          <w:szCs w:val="24"/>
        </w:rPr>
        <w:t xml:space="preserve">, which looks at the state of English society in the wake of the Black Death and </w:t>
      </w:r>
      <w:r w:rsidR="00316ED0">
        <w:rPr>
          <w:rFonts w:ascii="Times New Roman" w:hAnsi="Times New Roman" w:cs="Times New Roman"/>
          <w:sz w:val="24"/>
          <w:szCs w:val="24"/>
        </w:rPr>
        <w:t xml:space="preserve">rather aptly, </w:t>
      </w:r>
      <w:r w:rsidR="00707670">
        <w:rPr>
          <w:rFonts w:ascii="Times New Roman" w:hAnsi="Times New Roman" w:cs="Times New Roman"/>
          <w:sz w:val="24"/>
          <w:szCs w:val="24"/>
        </w:rPr>
        <w:t>the move away from the feudal system towards a labour economy</w:t>
      </w:r>
      <w:r w:rsidR="004C0956">
        <w:rPr>
          <w:rFonts w:ascii="Times New Roman" w:hAnsi="Times New Roman" w:cs="Times New Roman"/>
          <w:sz w:val="24"/>
          <w:szCs w:val="24"/>
        </w:rPr>
        <w:t>.</w:t>
      </w:r>
      <w:r w:rsidR="003B34D8">
        <w:rPr>
          <w:rStyle w:val="FootnoteReference"/>
          <w:rFonts w:ascii="Times New Roman" w:hAnsi="Times New Roman" w:cs="Times New Roman"/>
          <w:sz w:val="24"/>
          <w:szCs w:val="24"/>
        </w:rPr>
        <w:footnoteReference w:id="27"/>
      </w:r>
      <w:r w:rsidR="0048653E">
        <w:rPr>
          <w:rFonts w:ascii="Times New Roman" w:hAnsi="Times New Roman" w:cs="Times New Roman"/>
          <w:sz w:val="24"/>
          <w:szCs w:val="24"/>
        </w:rPr>
        <w:t xml:space="preserve"> Poems like these can also show the beliefs held by people in medieval England, and in particular the different perceptions of different classes. Katherine C. Little argues that when it comes to rural medieval life, the general view was that </w:t>
      </w:r>
      <w:r w:rsidR="0048653E">
        <w:rPr>
          <w:rFonts w:ascii="Times New Roman" w:hAnsi="Times New Roman" w:cs="Times New Roman"/>
          <w:sz w:val="24"/>
          <w:szCs w:val="24"/>
        </w:rPr>
        <w:lastRenderedPageBreak/>
        <w:t>leisure was reserved for the nobleman, and labour for the peasantry. A peasant who is not labouring is therefore not pardoned as being at leisure but instead chastised and labelled idle, greedy, and sinful.</w:t>
      </w:r>
      <w:r w:rsidR="003B34D8">
        <w:rPr>
          <w:rStyle w:val="FootnoteReference"/>
          <w:rFonts w:ascii="Times New Roman" w:hAnsi="Times New Roman" w:cs="Times New Roman"/>
          <w:sz w:val="24"/>
          <w:szCs w:val="24"/>
        </w:rPr>
        <w:footnoteReference w:id="28"/>
      </w:r>
    </w:p>
    <w:p w:rsidR="00316ED0" w:rsidRDefault="00316ED0" w:rsidP="000C220C">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 can see, there is plenty of information to be gathered from documentary sources that shed light on rural life in Medieval England </w:t>
      </w:r>
      <w:r w:rsidR="00D93468">
        <w:rPr>
          <w:rFonts w:ascii="Times New Roman" w:hAnsi="Times New Roman" w:cs="Times New Roman"/>
          <w:sz w:val="24"/>
          <w:szCs w:val="24"/>
        </w:rPr>
        <w:t>and it comes in many different forms. Manorial and Ecclesiastical records represent the two industries at the heart of rural society, the manor and the church</w:t>
      </w:r>
      <w:r w:rsidR="0067258E">
        <w:rPr>
          <w:rFonts w:ascii="Times New Roman" w:hAnsi="Times New Roman" w:cs="Times New Roman"/>
          <w:sz w:val="24"/>
          <w:szCs w:val="24"/>
        </w:rPr>
        <w:t>, and thus provide the bulk of relevant documents. Manor</w:t>
      </w:r>
      <w:r w:rsidR="00CE161A">
        <w:rPr>
          <w:rFonts w:ascii="Times New Roman" w:hAnsi="Times New Roman" w:cs="Times New Roman"/>
          <w:sz w:val="24"/>
          <w:szCs w:val="24"/>
        </w:rPr>
        <w:t>ial court rolls and surveys, as well as</w:t>
      </w:r>
      <w:r w:rsidR="0067258E">
        <w:rPr>
          <w:rFonts w:ascii="Times New Roman" w:hAnsi="Times New Roman" w:cs="Times New Roman"/>
          <w:sz w:val="24"/>
          <w:szCs w:val="24"/>
        </w:rPr>
        <w:t xml:space="preserve"> tithe records </w:t>
      </w:r>
      <w:r w:rsidR="00CE161A">
        <w:rPr>
          <w:rFonts w:ascii="Times New Roman" w:hAnsi="Times New Roman" w:cs="Times New Roman"/>
          <w:sz w:val="24"/>
          <w:szCs w:val="24"/>
        </w:rPr>
        <w:t>each provide a wealth of statistical data that when examined in bulk can reveal fluctuating patterns in rural communities over time particularly in regards to land and power distribution</w:t>
      </w:r>
      <w:r w:rsidR="00D707D7">
        <w:rPr>
          <w:rFonts w:ascii="Times New Roman" w:hAnsi="Times New Roman" w:cs="Times New Roman"/>
          <w:sz w:val="24"/>
          <w:szCs w:val="24"/>
        </w:rPr>
        <w:t>, and how significant events like the Black Death affected things</w:t>
      </w:r>
      <w:r w:rsidR="00CE161A">
        <w:rPr>
          <w:rFonts w:ascii="Times New Roman" w:hAnsi="Times New Roman" w:cs="Times New Roman"/>
          <w:sz w:val="24"/>
          <w:szCs w:val="24"/>
        </w:rPr>
        <w:t>. Such information can therefore give us a big picture view of r</w:t>
      </w:r>
      <w:r w:rsidR="00D707D7">
        <w:rPr>
          <w:rFonts w:ascii="Times New Roman" w:hAnsi="Times New Roman" w:cs="Times New Roman"/>
          <w:sz w:val="24"/>
          <w:szCs w:val="24"/>
        </w:rPr>
        <w:t>ural life and how it functioned.</w:t>
      </w:r>
      <w:r w:rsidR="002F587A">
        <w:rPr>
          <w:rFonts w:ascii="Times New Roman" w:hAnsi="Times New Roman" w:cs="Times New Roman"/>
          <w:sz w:val="24"/>
          <w:szCs w:val="24"/>
        </w:rPr>
        <w:t xml:space="preserve"> Wills and Charters take a closer look at specific communities and areas of land. They each can be used to trace the history of ownership of a rural estate or track the genealogy of a rural family.</w:t>
      </w:r>
      <w:r w:rsidR="003B3D02">
        <w:rPr>
          <w:rFonts w:ascii="Times New Roman" w:hAnsi="Times New Roman" w:cs="Times New Roman"/>
          <w:sz w:val="24"/>
          <w:szCs w:val="24"/>
        </w:rPr>
        <w:t xml:space="preserve"> Illuminated manuscripts, contemporary sermons, and medieval poetry and prose are examples of literary documents that are an excellent source of information for rural medieval life from a more colourful, personal perspective.</w:t>
      </w:r>
    </w:p>
    <w:p w:rsidR="008D5370" w:rsidRDefault="008D5370" w:rsidP="000C220C">
      <w:pPr>
        <w:spacing w:line="480" w:lineRule="auto"/>
        <w:rPr>
          <w:rFonts w:ascii="Times New Roman" w:hAnsi="Times New Roman" w:cs="Times New Roman"/>
          <w:sz w:val="24"/>
          <w:szCs w:val="24"/>
        </w:rPr>
      </w:pPr>
      <w:r>
        <w:rPr>
          <w:rFonts w:ascii="Times New Roman" w:hAnsi="Times New Roman" w:cs="Times New Roman"/>
          <w:sz w:val="24"/>
          <w:szCs w:val="24"/>
        </w:rPr>
        <w:t>Naturally the disadvantage of several of these kind of documents is their propensity to be biased. Wills and Illuminated manuscripts for instance were made for the wealthy nobles and as such referred to the lower classes either peripherally, or in the case of the latter, from an often inaccurate subjective viewpoint</w:t>
      </w:r>
      <w:r w:rsidR="00804FBB">
        <w:rPr>
          <w:rFonts w:ascii="Times New Roman" w:hAnsi="Times New Roman" w:cs="Times New Roman"/>
          <w:sz w:val="24"/>
          <w:szCs w:val="24"/>
        </w:rPr>
        <w:t>.</w:t>
      </w:r>
      <w:r w:rsidR="00F5294D">
        <w:rPr>
          <w:rFonts w:ascii="Times New Roman" w:hAnsi="Times New Roman" w:cs="Times New Roman"/>
          <w:sz w:val="24"/>
          <w:szCs w:val="24"/>
        </w:rPr>
        <w:t xml:space="preserve"> While contemporary sermons and medieval literature were of course influenced by the authors own views and beliefs.</w:t>
      </w:r>
      <w:r w:rsidR="0016271C">
        <w:rPr>
          <w:rFonts w:ascii="Times New Roman" w:hAnsi="Times New Roman" w:cs="Times New Roman"/>
          <w:sz w:val="24"/>
          <w:szCs w:val="24"/>
        </w:rPr>
        <w:t xml:space="preserve"> But in viewing all of these documents together, the result is an extensive and fairly accurate view of rural life in medieval England.</w:t>
      </w:r>
    </w:p>
    <w:p w:rsidR="00721BC1" w:rsidRDefault="00721BC1" w:rsidP="007F634A">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rsidR="004A2755" w:rsidRDefault="004A2755" w:rsidP="007F634A">
      <w:pPr>
        <w:spacing w:line="240" w:lineRule="auto"/>
        <w:rPr>
          <w:rFonts w:ascii="Times New Roman" w:hAnsi="Times New Roman" w:cs="Times New Roman"/>
          <w:sz w:val="24"/>
          <w:szCs w:val="24"/>
        </w:rPr>
      </w:pPr>
      <w:r w:rsidRPr="004A2755">
        <w:rPr>
          <w:rFonts w:ascii="Times New Roman" w:hAnsi="Times New Roman" w:cs="Times New Roman"/>
          <w:sz w:val="24"/>
          <w:szCs w:val="24"/>
        </w:rPr>
        <w:t>Bailey</w:t>
      </w:r>
      <w:r>
        <w:rPr>
          <w:rFonts w:ascii="Times New Roman" w:hAnsi="Times New Roman" w:cs="Times New Roman"/>
          <w:sz w:val="24"/>
          <w:szCs w:val="24"/>
        </w:rPr>
        <w:t>, M.</w:t>
      </w:r>
      <w:r w:rsidRPr="004A2755">
        <w:rPr>
          <w:rFonts w:ascii="Times New Roman" w:hAnsi="Times New Roman" w:cs="Times New Roman"/>
          <w:sz w:val="24"/>
          <w:szCs w:val="24"/>
        </w:rPr>
        <w:t xml:space="preserve">, </w:t>
      </w:r>
      <w:r w:rsidRPr="004A2755">
        <w:rPr>
          <w:rFonts w:ascii="Times New Roman" w:hAnsi="Times New Roman" w:cs="Times New Roman"/>
          <w:i/>
          <w:sz w:val="24"/>
          <w:szCs w:val="24"/>
        </w:rPr>
        <w:t xml:space="preserve">The English Manor C.1200 To C.1500 </w:t>
      </w:r>
      <w:r w:rsidRPr="004A2755">
        <w:rPr>
          <w:rFonts w:ascii="Times New Roman" w:hAnsi="Times New Roman" w:cs="Times New Roman"/>
          <w:sz w:val="24"/>
          <w:szCs w:val="24"/>
        </w:rPr>
        <w:t>(Manchester: Manchester University Press, 2002).</w:t>
      </w:r>
    </w:p>
    <w:p w:rsidR="00721BC1" w:rsidRDefault="00721BC1" w:rsidP="007F634A">
      <w:pPr>
        <w:spacing w:line="240" w:lineRule="auto"/>
        <w:rPr>
          <w:rFonts w:ascii="Times New Roman" w:hAnsi="Times New Roman" w:cs="Times New Roman"/>
          <w:sz w:val="24"/>
          <w:szCs w:val="24"/>
        </w:rPr>
      </w:pPr>
      <w:r w:rsidRPr="00721BC1">
        <w:rPr>
          <w:rFonts w:ascii="Times New Roman" w:hAnsi="Times New Roman" w:cs="Times New Roman"/>
          <w:sz w:val="24"/>
          <w:szCs w:val="24"/>
        </w:rPr>
        <w:t>Bishop</w:t>
      </w:r>
      <w:r>
        <w:rPr>
          <w:rFonts w:ascii="Times New Roman" w:hAnsi="Times New Roman" w:cs="Times New Roman"/>
          <w:sz w:val="24"/>
          <w:szCs w:val="24"/>
        </w:rPr>
        <w:t>, M.</w:t>
      </w:r>
      <w:r w:rsidRPr="00721BC1">
        <w:rPr>
          <w:rFonts w:ascii="Times New Roman" w:hAnsi="Times New Roman" w:cs="Times New Roman"/>
          <w:sz w:val="24"/>
          <w:szCs w:val="24"/>
        </w:rPr>
        <w:t xml:space="preserve">, </w:t>
      </w:r>
      <w:r w:rsidRPr="00721BC1">
        <w:rPr>
          <w:rFonts w:ascii="Times New Roman" w:hAnsi="Times New Roman" w:cs="Times New Roman"/>
          <w:i/>
          <w:sz w:val="24"/>
          <w:szCs w:val="24"/>
        </w:rPr>
        <w:t xml:space="preserve">The Middle Ages </w:t>
      </w:r>
      <w:r w:rsidRPr="00721BC1">
        <w:rPr>
          <w:rFonts w:ascii="Times New Roman" w:hAnsi="Times New Roman" w:cs="Times New Roman"/>
          <w:sz w:val="24"/>
          <w:szCs w:val="24"/>
        </w:rPr>
        <w:t>(Boston: First Mariner Books, 2001</w:t>
      </w:r>
      <w:r>
        <w:rPr>
          <w:rFonts w:ascii="Times New Roman" w:hAnsi="Times New Roman" w:cs="Times New Roman"/>
          <w:sz w:val="24"/>
          <w:szCs w:val="24"/>
        </w:rPr>
        <w:t>).</w:t>
      </w:r>
    </w:p>
    <w:p w:rsidR="003D28DE" w:rsidRDefault="003D28DE" w:rsidP="007F634A">
      <w:pPr>
        <w:spacing w:line="240" w:lineRule="auto"/>
        <w:rPr>
          <w:rFonts w:ascii="Times New Roman" w:hAnsi="Times New Roman" w:cs="Times New Roman"/>
          <w:sz w:val="24"/>
          <w:szCs w:val="24"/>
        </w:rPr>
      </w:pPr>
      <w:r w:rsidRPr="003D28DE">
        <w:rPr>
          <w:rFonts w:ascii="Times New Roman" w:hAnsi="Times New Roman" w:cs="Times New Roman"/>
          <w:sz w:val="24"/>
          <w:szCs w:val="24"/>
        </w:rPr>
        <w:t>Bovey</w:t>
      </w:r>
      <w:r>
        <w:rPr>
          <w:rFonts w:ascii="Times New Roman" w:hAnsi="Times New Roman" w:cs="Times New Roman"/>
          <w:sz w:val="24"/>
          <w:szCs w:val="24"/>
        </w:rPr>
        <w:t>, A.</w:t>
      </w:r>
      <w:r w:rsidRPr="003D28DE">
        <w:rPr>
          <w:rFonts w:ascii="Times New Roman" w:hAnsi="Times New Roman" w:cs="Times New Roman"/>
          <w:sz w:val="24"/>
          <w:szCs w:val="24"/>
        </w:rPr>
        <w:t xml:space="preserve">, ‘Peasants and their role in rural life’, The British Library, (2015), [Online]. Available at </w:t>
      </w:r>
      <w:hyperlink r:id="rId9" w:history="1">
        <w:r w:rsidRPr="003D28DE">
          <w:rPr>
            <w:rStyle w:val="Hyperlink"/>
            <w:rFonts w:ascii="Times New Roman" w:hAnsi="Times New Roman" w:cs="Times New Roman"/>
            <w:sz w:val="24"/>
            <w:szCs w:val="24"/>
          </w:rPr>
          <w:t>https://www.bl.uk/the-middle-ages/articles/peasants-and-their-role-in-rural-life</w:t>
        </w:r>
      </w:hyperlink>
      <w:r w:rsidRPr="003D28DE">
        <w:rPr>
          <w:rFonts w:ascii="Times New Roman" w:hAnsi="Times New Roman" w:cs="Times New Roman"/>
          <w:sz w:val="24"/>
          <w:szCs w:val="24"/>
        </w:rPr>
        <w:t>. (Accessed on 13</w:t>
      </w:r>
      <w:r w:rsidRPr="003D28DE">
        <w:rPr>
          <w:rFonts w:ascii="Times New Roman" w:hAnsi="Times New Roman" w:cs="Times New Roman"/>
          <w:sz w:val="24"/>
          <w:szCs w:val="24"/>
          <w:vertAlign w:val="superscript"/>
        </w:rPr>
        <w:t>th</w:t>
      </w:r>
      <w:r w:rsidRPr="003D28DE">
        <w:rPr>
          <w:rFonts w:ascii="Times New Roman" w:hAnsi="Times New Roman" w:cs="Times New Roman"/>
          <w:sz w:val="24"/>
          <w:szCs w:val="24"/>
        </w:rPr>
        <w:t xml:space="preserve"> August 2018).</w:t>
      </w:r>
    </w:p>
    <w:p w:rsidR="00E75113" w:rsidRDefault="00E75113" w:rsidP="007F634A">
      <w:pPr>
        <w:spacing w:line="240" w:lineRule="auto"/>
        <w:rPr>
          <w:rFonts w:ascii="Times New Roman" w:hAnsi="Times New Roman" w:cs="Times New Roman"/>
          <w:sz w:val="24"/>
          <w:szCs w:val="24"/>
        </w:rPr>
      </w:pPr>
      <w:r w:rsidRPr="00E75113">
        <w:rPr>
          <w:rFonts w:ascii="Times New Roman" w:hAnsi="Times New Roman" w:cs="Times New Roman"/>
          <w:sz w:val="24"/>
          <w:szCs w:val="24"/>
        </w:rPr>
        <w:t>Briggs</w:t>
      </w:r>
      <w:r>
        <w:rPr>
          <w:rFonts w:ascii="Times New Roman" w:hAnsi="Times New Roman" w:cs="Times New Roman"/>
          <w:sz w:val="24"/>
          <w:szCs w:val="24"/>
        </w:rPr>
        <w:t>, C.</w:t>
      </w:r>
      <w:r w:rsidRPr="00E75113">
        <w:rPr>
          <w:rFonts w:ascii="Times New Roman" w:hAnsi="Times New Roman" w:cs="Times New Roman"/>
          <w:sz w:val="24"/>
          <w:szCs w:val="24"/>
        </w:rPr>
        <w:t xml:space="preserve">, </w:t>
      </w:r>
      <w:r w:rsidRPr="00E75113">
        <w:rPr>
          <w:rFonts w:ascii="Times New Roman" w:hAnsi="Times New Roman" w:cs="Times New Roman"/>
          <w:i/>
          <w:sz w:val="24"/>
          <w:szCs w:val="24"/>
        </w:rPr>
        <w:t>Credit and the Rural Economy in Europe, c. 1100-1850</w:t>
      </w:r>
      <w:r w:rsidRPr="00E75113">
        <w:rPr>
          <w:rFonts w:ascii="Times New Roman" w:hAnsi="Times New Roman" w:cs="Times New Roman"/>
          <w:sz w:val="24"/>
          <w:szCs w:val="24"/>
        </w:rPr>
        <w:t>, eds. P.R. Schofield and T. Lambrecht (Turnhout: Brepols Publishers, 2009).</w:t>
      </w:r>
    </w:p>
    <w:p w:rsidR="00D42664" w:rsidRDefault="00D42664" w:rsidP="007F634A">
      <w:pPr>
        <w:spacing w:line="240" w:lineRule="auto"/>
        <w:rPr>
          <w:rFonts w:ascii="Times New Roman" w:hAnsi="Times New Roman" w:cs="Times New Roman"/>
          <w:sz w:val="24"/>
          <w:szCs w:val="24"/>
        </w:rPr>
      </w:pPr>
      <w:r w:rsidRPr="00D42664">
        <w:rPr>
          <w:rFonts w:ascii="Times New Roman" w:hAnsi="Times New Roman" w:cs="Times New Roman"/>
          <w:sz w:val="24"/>
          <w:szCs w:val="24"/>
        </w:rPr>
        <w:t>Brown</w:t>
      </w:r>
      <w:r>
        <w:rPr>
          <w:rFonts w:ascii="Times New Roman" w:hAnsi="Times New Roman" w:cs="Times New Roman"/>
          <w:sz w:val="24"/>
          <w:szCs w:val="24"/>
        </w:rPr>
        <w:t xml:space="preserve">, W., </w:t>
      </w:r>
      <w:r w:rsidRPr="00D42664">
        <w:rPr>
          <w:rFonts w:ascii="Times New Roman" w:hAnsi="Times New Roman" w:cs="Times New Roman"/>
          <w:sz w:val="24"/>
          <w:szCs w:val="24"/>
        </w:rPr>
        <w:t>Costambeys</w:t>
      </w:r>
      <w:r>
        <w:rPr>
          <w:rFonts w:ascii="Times New Roman" w:hAnsi="Times New Roman" w:cs="Times New Roman"/>
          <w:sz w:val="24"/>
          <w:szCs w:val="24"/>
        </w:rPr>
        <w:t xml:space="preserve">, M., </w:t>
      </w:r>
      <w:r w:rsidRPr="00D42664">
        <w:rPr>
          <w:rFonts w:ascii="Times New Roman" w:hAnsi="Times New Roman" w:cs="Times New Roman"/>
          <w:sz w:val="24"/>
          <w:szCs w:val="24"/>
        </w:rPr>
        <w:t>Innes</w:t>
      </w:r>
      <w:r>
        <w:rPr>
          <w:rFonts w:ascii="Times New Roman" w:hAnsi="Times New Roman" w:cs="Times New Roman"/>
          <w:sz w:val="24"/>
          <w:szCs w:val="24"/>
        </w:rPr>
        <w:t xml:space="preserve">, M., and </w:t>
      </w:r>
      <w:r w:rsidRPr="00D42664">
        <w:rPr>
          <w:rFonts w:ascii="Times New Roman" w:hAnsi="Times New Roman" w:cs="Times New Roman"/>
          <w:sz w:val="24"/>
          <w:szCs w:val="24"/>
        </w:rPr>
        <w:t>Kosto</w:t>
      </w:r>
      <w:r>
        <w:rPr>
          <w:rFonts w:ascii="Times New Roman" w:hAnsi="Times New Roman" w:cs="Times New Roman"/>
          <w:sz w:val="24"/>
          <w:szCs w:val="24"/>
        </w:rPr>
        <w:t>, A.</w:t>
      </w:r>
      <w:r w:rsidRPr="00D42664">
        <w:rPr>
          <w:rFonts w:ascii="Times New Roman" w:hAnsi="Times New Roman" w:cs="Times New Roman"/>
          <w:sz w:val="24"/>
          <w:szCs w:val="24"/>
        </w:rPr>
        <w:t xml:space="preserve">, </w:t>
      </w:r>
      <w:r w:rsidRPr="00D42664">
        <w:rPr>
          <w:rFonts w:ascii="Times New Roman" w:hAnsi="Times New Roman" w:cs="Times New Roman"/>
          <w:i/>
          <w:sz w:val="24"/>
          <w:szCs w:val="24"/>
        </w:rPr>
        <w:t xml:space="preserve">Documentary Culture and the Laity in the Early Middle Ages </w:t>
      </w:r>
      <w:r w:rsidRPr="00D42664">
        <w:rPr>
          <w:rFonts w:ascii="Times New Roman" w:hAnsi="Times New Roman" w:cs="Times New Roman"/>
          <w:sz w:val="24"/>
          <w:szCs w:val="24"/>
        </w:rPr>
        <w:t>(Cambridge: Cambridge University Press, 2013).</w:t>
      </w:r>
    </w:p>
    <w:p w:rsidR="004A2755" w:rsidRDefault="004A2755" w:rsidP="007F634A">
      <w:pPr>
        <w:spacing w:line="240" w:lineRule="auto"/>
        <w:rPr>
          <w:rFonts w:ascii="Times New Roman" w:hAnsi="Times New Roman" w:cs="Times New Roman"/>
          <w:sz w:val="24"/>
          <w:szCs w:val="24"/>
        </w:rPr>
      </w:pPr>
      <w:r w:rsidRPr="004A2755">
        <w:rPr>
          <w:rFonts w:ascii="Times New Roman" w:hAnsi="Times New Roman" w:cs="Times New Roman"/>
          <w:sz w:val="24"/>
          <w:szCs w:val="24"/>
        </w:rPr>
        <w:t>Clarke</w:t>
      </w:r>
      <w:r>
        <w:rPr>
          <w:rFonts w:ascii="Times New Roman" w:hAnsi="Times New Roman" w:cs="Times New Roman"/>
          <w:sz w:val="24"/>
          <w:szCs w:val="24"/>
        </w:rPr>
        <w:t>, H.B.</w:t>
      </w:r>
      <w:r w:rsidRPr="004A2755">
        <w:rPr>
          <w:rFonts w:ascii="Times New Roman" w:hAnsi="Times New Roman" w:cs="Times New Roman"/>
          <w:sz w:val="24"/>
          <w:szCs w:val="24"/>
        </w:rPr>
        <w:t xml:space="preserve">, </w:t>
      </w:r>
      <w:r w:rsidRPr="004A2755">
        <w:rPr>
          <w:rFonts w:ascii="Times New Roman" w:hAnsi="Times New Roman" w:cs="Times New Roman"/>
          <w:i/>
          <w:sz w:val="24"/>
          <w:szCs w:val="24"/>
        </w:rPr>
        <w:t xml:space="preserve">Anglo-Norman Studies XXX: Proceedings of the Battle Conference 2007, </w:t>
      </w:r>
      <w:r w:rsidRPr="004A2755">
        <w:rPr>
          <w:rFonts w:ascii="Times New Roman" w:hAnsi="Times New Roman" w:cs="Times New Roman"/>
          <w:sz w:val="24"/>
          <w:szCs w:val="24"/>
        </w:rPr>
        <w:t>ed. C.P. Lewis (Woodbridge: The Boydell Press, 2008)</w:t>
      </w:r>
      <w:r>
        <w:rPr>
          <w:rFonts w:ascii="Times New Roman" w:hAnsi="Times New Roman" w:cs="Times New Roman"/>
          <w:sz w:val="24"/>
          <w:szCs w:val="24"/>
        </w:rPr>
        <w:t>.</w:t>
      </w:r>
    </w:p>
    <w:p w:rsidR="0019374C" w:rsidRDefault="0019374C" w:rsidP="007F634A">
      <w:pPr>
        <w:spacing w:line="240" w:lineRule="auto"/>
        <w:rPr>
          <w:rFonts w:ascii="Times New Roman" w:hAnsi="Times New Roman" w:cs="Times New Roman"/>
          <w:sz w:val="24"/>
          <w:szCs w:val="24"/>
        </w:rPr>
      </w:pPr>
      <w:r w:rsidRPr="0019374C">
        <w:rPr>
          <w:rFonts w:ascii="Times New Roman" w:hAnsi="Times New Roman" w:cs="Times New Roman"/>
          <w:sz w:val="24"/>
          <w:szCs w:val="24"/>
        </w:rPr>
        <w:t>Dodds</w:t>
      </w:r>
      <w:r>
        <w:rPr>
          <w:rFonts w:ascii="Times New Roman" w:hAnsi="Times New Roman" w:cs="Times New Roman"/>
          <w:sz w:val="24"/>
          <w:szCs w:val="24"/>
        </w:rPr>
        <w:t xml:space="preserve">, B., and </w:t>
      </w:r>
      <w:r w:rsidRPr="0019374C">
        <w:rPr>
          <w:rFonts w:ascii="Times New Roman" w:hAnsi="Times New Roman" w:cs="Times New Roman"/>
          <w:sz w:val="24"/>
          <w:szCs w:val="24"/>
        </w:rPr>
        <w:t>Britnell</w:t>
      </w:r>
      <w:r>
        <w:rPr>
          <w:rFonts w:ascii="Times New Roman" w:hAnsi="Times New Roman" w:cs="Times New Roman"/>
          <w:sz w:val="24"/>
          <w:szCs w:val="24"/>
        </w:rPr>
        <w:t>, R.</w:t>
      </w:r>
      <w:r w:rsidRPr="0019374C">
        <w:rPr>
          <w:rFonts w:ascii="Times New Roman" w:hAnsi="Times New Roman" w:cs="Times New Roman"/>
          <w:sz w:val="24"/>
          <w:szCs w:val="24"/>
        </w:rPr>
        <w:t xml:space="preserve">, </w:t>
      </w:r>
      <w:r w:rsidRPr="0019374C">
        <w:rPr>
          <w:rFonts w:ascii="Times New Roman" w:hAnsi="Times New Roman" w:cs="Times New Roman"/>
          <w:i/>
          <w:sz w:val="24"/>
          <w:szCs w:val="24"/>
        </w:rPr>
        <w:t xml:space="preserve">Agriculture and Rural Society After the Black Death: Common Themes and Regional Variations </w:t>
      </w:r>
      <w:r w:rsidRPr="0019374C">
        <w:rPr>
          <w:rFonts w:ascii="Times New Roman" w:hAnsi="Times New Roman" w:cs="Times New Roman"/>
          <w:sz w:val="24"/>
          <w:szCs w:val="24"/>
        </w:rPr>
        <w:t>(Hertfordshire: University of Hertfordshire Press, 2008).</w:t>
      </w:r>
    </w:p>
    <w:p w:rsidR="002315EE" w:rsidRDefault="002315EE" w:rsidP="007F634A">
      <w:pPr>
        <w:spacing w:line="240" w:lineRule="auto"/>
        <w:rPr>
          <w:rFonts w:ascii="Times New Roman" w:hAnsi="Times New Roman" w:cs="Times New Roman"/>
          <w:sz w:val="24"/>
          <w:szCs w:val="24"/>
        </w:rPr>
      </w:pPr>
      <w:r w:rsidRPr="002315EE">
        <w:rPr>
          <w:rFonts w:ascii="Times New Roman" w:hAnsi="Times New Roman" w:cs="Times New Roman"/>
          <w:sz w:val="24"/>
          <w:szCs w:val="24"/>
        </w:rPr>
        <w:t>Faulkner</w:t>
      </w:r>
      <w:r>
        <w:rPr>
          <w:rFonts w:ascii="Times New Roman" w:hAnsi="Times New Roman" w:cs="Times New Roman"/>
          <w:sz w:val="24"/>
          <w:szCs w:val="24"/>
        </w:rPr>
        <w:t>, A.E.</w:t>
      </w:r>
      <w:r w:rsidRPr="002315EE">
        <w:rPr>
          <w:rFonts w:ascii="Times New Roman" w:hAnsi="Times New Roman" w:cs="Times New Roman"/>
          <w:sz w:val="24"/>
          <w:szCs w:val="24"/>
        </w:rPr>
        <w:t xml:space="preserve">, </w:t>
      </w:r>
      <w:r w:rsidRPr="002315EE">
        <w:rPr>
          <w:rFonts w:ascii="Times New Roman" w:hAnsi="Times New Roman" w:cs="Times New Roman"/>
          <w:i/>
          <w:sz w:val="24"/>
          <w:szCs w:val="24"/>
        </w:rPr>
        <w:t xml:space="preserve">Historical Dictionary of Late Medieval England, 1272-1485 </w:t>
      </w:r>
      <w:r w:rsidRPr="002315EE">
        <w:rPr>
          <w:rFonts w:ascii="Times New Roman" w:hAnsi="Times New Roman" w:cs="Times New Roman"/>
          <w:sz w:val="24"/>
          <w:szCs w:val="24"/>
        </w:rPr>
        <w:t>(Westport: Gr</w:t>
      </w:r>
      <w:r>
        <w:rPr>
          <w:rFonts w:ascii="Times New Roman" w:hAnsi="Times New Roman" w:cs="Times New Roman"/>
          <w:sz w:val="24"/>
          <w:szCs w:val="24"/>
        </w:rPr>
        <w:t>eenwood Publishing Group, 2002).</w:t>
      </w:r>
    </w:p>
    <w:p w:rsidR="00721BC1" w:rsidRDefault="00721BC1" w:rsidP="007F634A">
      <w:pPr>
        <w:spacing w:line="240" w:lineRule="auto"/>
        <w:rPr>
          <w:rFonts w:ascii="Times New Roman" w:hAnsi="Times New Roman" w:cs="Times New Roman"/>
          <w:sz w:val="24"/>
          <w:szCs w:val="24"/>
        </w:rPr>
      </w:pPr>
      <w:r w:rsidRPr="00721BC1">
        <w:rPr>
          <w:rFonts w:ascii="Times New Roman" w:hAnsi="Times New Roman" w:cs="Times New Roman"/>
          <w:sz w:val="24"/>
          <w:szCs w:val="24"/>
        </w:rPr>
        <w:t>James</w:t>
      </w:r>
      <w:r>
        <w:rPr>
          <w:rFonts w:ascii="Times New Roman" w:hAnsi="Times New Roman" w:cs="Times New Roman"/>
          <w:sz w:val="24"/>
          <w:szCs w:val="24"/>
        </w:rPr>
        <w:t>, H.</w:t>
      </w:r>
      <w:r w:rsidRPr="00721BC1">
        <w:rPr>
          <w:rFonts w:ascii="Times New Roman" w:hAnsi="Times New Roman" w:cs="Times New Roman"/>
          <w:sz w:val="24"/>
          <w:szCs w:val="24"/>
        </w:rPr>
        <w:t xml:space="preserve">, </w:t>
      </w:r>
      <w:r w:rsidRPr="00721BC1">
        <w:rPr>
          <w:rFonts w:ascii="Times New Roman" w:hAnsi="Times New Roman" w:cs="Times New Roman"/>
          <w:i/>
          <w:sz w:val="24"/>
          <w:szCs w:val="24"/>
        </w:rPr>
        <w:t xml:space="preserve">Domesday Book, Or the Great Survey of England of William the Conqueror, A. D. 1086: Facsimile of the Part Relating to Essex (Classic Reprint) </w:t>
      </w:r>
      <w:r w:rsidRPr="00721BC1">
        <w:rPr>
          <w:rFonts w:ascii="Times New Roman" w:hAnsi="Times New Roman" w:cs="Times New Roman"/>
          <w:sz w:val="24"/>
          <w:szCs w:val="24"/>
        </w:rPr>
        <w:t>(London: FB&amp;C Ltd, 2017).</w:t>
      </w:r>
    </w:p>
    <w:p w:rsidR="003D28DE" w:rsidRDefault="003D28DE" w:rsidP="007F634A">
      <w:pPr>
        <w:spacing w:line="240" w:lineRule="auto"/>
        <w:rPr>
          <w:rFonts w:ascii="Times New Roman" w:hAnsi="Times New Roman" w:cs="Times New Roman"/>
          <w:sz w:val="24"/>
          <w:szCs w:val="24"/>
        </w:rPr>
      </w:pPr>
      <w:r w:rsidRPr="003D28DE">
        <w:rPr>
          <w:rFonts w:ascii="Times New Roman" w:hAnsi="Times New Roman" w:cs="Times New Roman"/>
          <w:sz w:val="24"/>
          <w:szCs w:val="24"/>
        </w:rPr>
        <w:t>Kienzle</w:t>
      </w:r>
      <w:r>
        <w:rPr>
          <w:rFonts w:ascii="Times New Roman" w:hAnsi="Times New Roman" w:cs="Times New Roman"/>
          <w:sz w:val="24"/>
          <w:szCs w:val="24"/>
        </w:rPr>
        <w:t xml:space="preserve">, B.M., and </w:t>
      </w:r>
      <w:r w:rsidRPr="003D28DE">
        <w:rPr>
          <w:rFonts w:ascii="Times New Roman" w:hAnsi="Times New Roman" w:cs="Times New Roman"/>
          <w:sz w:val="24"/>
          <w:szCs w:val="24"/>
        </w:rPr>
        <w:t>Zaleski</w:t>
      </w:r>
      <w:r>
        <w:rPr>
          <w:rFonts w:ascii="Times New Roman" w:hAnsi="Times New Roman" w:cs="Times New Roman"/>
          <w:sz w:val="24"/>
          <w:szCs w:val="24"/>
        </w:rPr>
        <w:t>, J.</w:t>
      </w:r>
      <w:r w:rsidRPr="003D28DE">
        <w:rPr>
          <w:rFonts w:ascii="Times New Roman" w:hAnsi="Times New Roman" w:cs="Times New Roman"/>
          <w:sz w:val="24"/>
          <w:szCs w:val="24"/>
        </w:rPr>
        <w:t xml:space="preserve">, ‘A History of Medieval Christian Preaching as Seen in the Manuscripts of Houghton Library’, Harvard College Library, (2012), [Online]. Available at </w:t>
      </w:r>
      <w:hyperlink r:id="rId10" w:history="1">
        <w:r w:rsidRPr="003D28DE">
          <w:rPr>
            <w:rStyle w:val="Hyperlink"/>
            <w:rFonts w:ascii="Times New Roman" w:hAnsi="Times New Roman" w:cs="Times New Roman"/>
            <w:sz w:val="24"/>
            <w:szCs w:val="24"/>
          </w:rPr>
          <w:t>http://hcl.harvard.edu/libraries/houghton/collections/early_manuscripts/preaching/purpose.cfm</w:t>
        </w:r>
      </w:hyperlink>
      <w:r w:rsidRPr="003D28DE">
        <w:rPr>
          <w:rFonts w:ascii="Times New Roman" w:hAnsi="Times New Roman" w:cs="Times New Roman"/>
          <w:sz w:val="24"/>
          <w:szCs w:val="24"/>
        </w:rPr>
        <w:t>. (Accessed on 13</w:t>
      </w:r>
      <w:r w:rsidRPr="003D28DE">
        <w:rPr>
          <w:rFonts w:ascii="Times New Roman" w:hAnsi="Times New Roman" w:cs="Times New Roman"/>
          <w:sz w:val="24"/>
          <w:szCs w:val="24"/>
          <w:vertAlign w:val="superscript"/>
        </w:rPr>
        <w:t>th</w:t>
      </w:r>
      <w:r w:rsidRPr="003D28DE">
        <w:rPr>
          <w:rFonts w:ascii="Times New Roman" w:hAnsi="Times New Roman" w:cs="Times New Roman"/>
          <w:sz w:val="24"/>
          <w:szCs w:val="24"/>
        </w:rPr>
        <w:t xml:space="preserve"> August 2018).</w:t>
      </w:r>
    </w:p>
    <w:p w:rsidR="002818EC" w:rsidRDefault="002818EC" w:rsidP="007F634A">
      <w:pPr>
        <w:spacing w:line="240" w:lineRule="auto"/>
        <w:rPr>
          <w:rFonts w:ascii="Times New Roman" w:hAnsi="Times New Roman" w:cs="Times New Roman"/>
          <w:sz w:val="24"/>
          <w:szCs w:val="24"/>
        </w:rPr>
      </w:pPr>
      <w:r w:rsidRPr="002818EC">
        <w:rPr>
          <w:rFonts w:ascii="Times New Roman" w:hAnsi="Times New Roman" w:cs="Times New Roman"/>
          <w:sz w:val="24"/>
          <w:szCs w:val="24"/>
        </w:rPr>
        <w:t>Little</w:t>
      </w:r>
      <w:r>
        <w:rPr>
          <w:rFonts w:ascii="Times New Roman" w:hAnsi="Times New Roman" w:cs="Times New Roman"/>
          <w:sz w:val="24"/>
          <w:szCs w:val="24"/>
        </w:rPr>
        <w:t>, K.C.</w:t>
      </w:r>
      <w:r w:rsidRPr="002818EC">
        <w:rPr>
          <w:rFonts w:ascii="Times New Roman" w:hAnsi="Times New Roman" w:cs="Times New Roman"/>
          <w:sz w:val="24"/>
          <w:szCs w:val="24"/>
        </w:rPr>
        <w:t xml:space="preserve">, </w:t>
      </w:r>
      <w:r w:rsidRPr="002818EC">
        <w:rPr>
          <w:rFonts w:ascii="Times New Roman" w:hAnsi="Times New Roman" w:cs="Times New Roman"/>
          <w:i/>
          <w:sz w:val="24"/>
          <w:szCs w:val="24"/>
        </w:rPr>
        <w:t xml:space="preserve">Transforming Work: Early Modern Pastoral and Late Medieval Poetry, </w:t>
      </w:r>
      <w:r w:rsidRPr="002818EC">
        <w:rPr>
          <w:rFonts w:ascii="Times New Roman" w:hAnsi="Times New Roman" w:cs="Times New Roman"/>
          <w:sz w:val="24"/>
          <w:szCs w:val="24"/>
        </w:rPr>
        <w:t>(Indiana: University of Notre Dame Press, 2013).</w:t>
      </w:r>
    </w:p>
    <w:p w:rsidR="008C3167" w:rsidRDefault="008C3167" w:rsidP="007F634A">
      <w:pPr>
        <w:spacing w:line="240" w:lineRule="auto"/>
        <w:rPr>
          <w:rFonts w:ascii="Times New Roman" w:hAnsi="Times New Roman" w:cs="Times New Roman"/>
          <w:sz w:val="24"/>
          <w:szCs w:val="24"/>
        </w:rPr>
      </w:pPr>
      <w:r w:rsidRPr="008C3167">
        <w:rPr>
          <w:rFonts w:ascii="Times New Roman" w:hAnsi="Times New Roman" w:cs="Times New Roman"/>
          <w:sz w:val="24"/>
          <w:szCs w:val="24"/>
        </w:rPr>
        <w:t>Morrison</w:t>
      </w:r>
      <w:r>
        <w:rPr>
          <w:rFonts w:ascii="Times New Roman" w:hAnsi="Times New Roman" w:cs="Times New Roman"/>
          <w:sz w:val="24"/>
          <w:szCs w:val="24"/>
        </w:rPr>
        <w:t>, J.</w:t>
      </w:r>
      <w:r w:rsidRPr="008C3167">
        <w:rPr>
          <w:rFonts w:ascii="Times New Roman" w:hAnsi="Times New Roman" w:cs="Times New Roman"/>
          <w:sz w:val="24"/>
          <w:szCs w:val="24"/>
        </w:rPr>
        <w:t xml:space="preserve">, </w:t>
      </w:r>
      <w:r w:rsidRPr="008C3167">
        <w:rPr>
          <w:rFonts w:ascii="Times New Roman" w:hAnsi="Times New Roman" w:cs="Times New Roman"/>
          <w:i/>
          <w:sz w:val="24"/>
          <w:szCs w:val="24"/>
        </w:rPr>
        <w:t xml:space="preserve">Essential Public Affairs for Journalists </w:t>
      </w:r>
      <w:r w:rsidRPr="008C3167">
        <w:rPr>
          <w:rFonts w:ascii="Times New Roman" w:hAnsi="Times New Roman" w:cs="Times New Roman"/>
          <w:sz w:val="24"/>
          <w:szCs w:val="24"/>
        </w:rPr>
        <w:t>(Oxford:</w:t>
      </w:r>
      <w:r>
        <w:rPr>
          <w:rFonts w:ascii="Times New Roman" w:hAnsi="Times New Roman" w:cs="Times New Roman"/>
          <w:sz w:val="24"/>
          <w:szCs w:val="24"/>
        </w:rPr>
        <w:t xml:space="preserve"> Oxford University Press, 2017).</w:t>
      </w:r>
    </w:p>
    <w:p w:rsidR="001B5715" w:rsidRDefault="001B5715" w:rsidP="007F634A">
      <w:pPr>
        <w:spacing w:line="240" w:lineRule="auto"/>
        <w:rPr>
          <w:rFonts w:ascii="Times New Roman" w:hAnsi="Times New Roman" w:cs="Times New Roman"/>
          <w:sz w:val="24"/>
          <w:szCs w:val="24"/>
        </w:rPr>
      </w:pPr>
      <w:r w:rsidRPr="001B5715">
        <w:rPr>
          <w:rFonts w:ascii="Times New Roman" w:hAnsi="Times New Roman" w:cs="Times New Roman"/>
          <w:sz w:val="24"/>
          <w:szCs w:val="24"/>
        </w:rPr>
        <w:t>Phillips</w:t>
      </w:r>
      <w:r>
        <w:rPr>
          <w:rFonts w:ascii="Times New Roman" w:hAnsi="Times New Roman" w:cs="Times New Roman"/>
          <w:sz w:val="24"/>
          <w:szCs w:val="24"/>
        </w:rPr>
        <w:t>, C.</w:t>
      </w:r>
      <w:r w:rsidRPr="001B5715">
        <w:rPr>
          <w:rFonts w:ascii="Times New Roman" w:hAnsi="Times New Roman" w:cs="Times New Roman"/>
          <w:sz w:val="24"/>
          <w:szCs w:val="24"/>
        </w:rPr>
        <w:t xml:space="preserve">, ‘Wills’, Medieval Genealogy, (2017), [Online]. Available from </w:t>
      </w:r>
      <w:hyperlink r:id="rId11" w:history="1">
        <w:r w:rsidRPr="001B5715">
          <w:rPr>
            <w:rStyle w:val="Hyperlink"/>
            <w:rFonts w:ascii="Times New Roman" w:hAnsi="Times New Roman" w:cs="Times New Roman"/>
            <w:sz w:val="24"/>
            <w:szCs w:val="24"/>
          </w:rPr>
          <w:t>http://www.medievalgenealogy.org.uk/guide/wil.shtml</w:t>
        </w:r>
      </w:hyperlink>
      <w:r w:rsidRPr="001B5715">
        <w:rPr>
          <w:rFonts w:ascii="Times New Roman" w:hAnsi="Times New Roman" w:cs="Times New Roman"/>
          <w:sz w:val="24"/>
          <w:szCs w:val="24"/>
        </w:rPr>
        <w:t>. (Accessed on 10</w:t>
      </w:r>
      <w:r w:rsidRPr="001B5715">
        <w:rPr>
          <w:rFonts w:ascii="Times New Roman" w:hAnsi="Times New Roman" w:cs="Times New Roman"/>
          <w:sz w:val="24"/>
          <w:szCs w:val="24"/>
          <w:vertAlign w:val="superscript"/>
        </w:rPr>
        <w:t>th</w:t>
      </w:r>
      <w:r w:rsidRPr="001B5715">
        <w:rPr>
          <w:rFonts w:ascii="Times New Roman" w:hAnsi="Times New Roman" w:cs="Times New Roman"/>
          <w:sz w:val="24"/>
          <w:szCs w:val="24"/>
        </w:rPr>
        <w:t xml:space="preserve"> August 2018).</w:t>
      </w:r>
    </w:p>
    <w:p w:rsidR="00721BC1" w:rsidRDefault="00721BC1" w:rsidP="007F634A">
      <w:pPr>
        <w:spacing w:line="240" w:lineRule="auto"/>
        <w:rPr>
          <w:rFonts w:ascii="Times New Roman" w:hAnsi="Times New Roman" w:cs="Times New Roman"/>
          <w:sz w:val="24"/>
          <w:szCs w:val="24"/>
        </w:rPr>
      </w:pPr>
      <w:r>
        <w:rPr>
          <w:rFonts w:ascii="Times New Roman" w:hAnsi="Times New Roman" w:cs="Times New Roman"/>
          <w:sz w:val="24"/>
          <w:szCs w:val="24"/>
        </w:rPr>
        <w:t xml:space="preserve">Razi, Z. and </w:t>
      </w:r>
      <w:r w:rsidRPr="00721BC1">
        <w:rPr>
          <w:rFonts w:ascii="Times New Roman" w:hAnsi="Times New Roman" w:cs="Times New Roman"/>
          <w:sz w:val="24"/>
          <w:szCs w:val="24"/>
        </w:rPr>
        <w:t>Smith,</w:t>
      </w:r>
      <w:r>
        <w:rPr>
          <w:rFonts w:ascii="Times New Roman" w:hAnsi="Times New Roman" w:cs="Times New Roman"/>
          <w:sz w:val="24"/>
          <w:szCs w:val="24"/>
        </w:rPr>
        <w:t xml:space="preserve"> R.,</w:t>
      </w:r>
      <w:r w:rsidRPr="00721BC1">
        <w:rPr>
          <w:rFonts w:ascii="Times New Roman" w:hAnsi="Times New Roman" w:cs="Times New Roman"/>
          <w:sz w:val="24"/>
          <w:szCs w:val="24"/>
        </w:rPr>
        <w:t xml:space="preserve"> </w:t>
      </w:r>
      <w:r w:rsidRPr="00721BC1">
        <w:rPr>
          <w:rFonts w:ascii="Times New Roman" w:hAnsi="Times New Roman" w:cs="Times New Roman"/>
          <w:i/>
          <w:sz w:val="24"/>
          <w:szCs w:val="24"/>
        </w:rPr>
        <w:t xml:space="preserve">Medieval Society and the Manor Court </w:t>
      </w:r>
      <w:r w:rsidRPr="00721BC1">
        <w:rPr>
          <w:rFonts w:ascii="Times New Roman" w:hAnsi="Times New Roman" w:cs="Times New Roman"/>
          <w:sz w:val="24"/>
          <w:szCs w:val="24"/>
        </w:rPr>
        <w:t>(Oxford: Clarendon Press, 1996)</w:t>
      </w:r>
      <w:r>
        <w:rPr>
          <w:rFonts w:ascii="Times New Roman" w:hAnsi="Times New Roman" w:cs="Times New Roman"/>
          <w:sz w:val="24"/>
          <w:szCs w:val="24"/>
        </w:rPr>
        <w:t>.</w:t>
      </w:r>
    </w:p>
    <w:p w:rsidR="0019374C" w:rsidRDefault="0019374C" w:rsidP="007F634A">
      <w:pPr>
        <w:spacing w:line="240" w:lineRule="auto"/>
        <w:rPr>
          <w:rFonts w:ascii="Times New Roman" w:hAnsi="Times New Roman" w:cs="Times New Roman"/>
          <w:sz w:val="24"/>
          <w:szCs w:val="24"/>
        </w:rPr>
      </w:pPr>
      <w:r w:rsidRPr="0019374C">
        <w:rPr>
          <w:rFonts w:ascii="Times New Roman" w:hAnsi="Times New Roman" w:cs="Times New Roman"/>
          <w:sz w:val="24"/>
          <w:szCs w:val="24"/>
        </w:rPr>
        <w:t>Rio</w:t>
      </w:r>
      <w:r>
        <w:rPr>
          <w:rFonts w:ascii="Times New Roman" w:hAnsi="Times New Roman" w:cs="Times New Roman"/>
          <w:sz w:val="24"/>
          <w:szCs w:val="24"/>
        </w:rPr>
        <w:t>, A.</w:t>
      </w:r>
      <w:r w:rsidRPr="0019374C">
        <w:rPr>
          <w:rFonts w:ascii="Times New Roman" w:hAnsi="Times New Roman" w:cs="Times New Roman"/>
          <w:sz w:val="24"/>
          <w:szCs w:val="24"/>
        </w:rPr>
        <w:t xml:space="preserve">, ‘Early Medieval Charters: A Guide For Students’, The Making of Charlemagne’s Europe, (2018), [Online]. Available at </w:t>
      </w:r>
      <w:hyperlink r:id="rId12" w:history="1">
        <w:r w:rsidRPr="0019374C">
          <w:rPr>
            <w:rStyle w:val="Hyperlink"/>
            <w:rFonts w:ascii="Times New Roman" w:hAnsi="Times New Roman" w:cs="Times New Roman"/>
            <w:sz w:val="24"/>
            <w:szCs w:val="24"/>
          </w:rPr>
          <w:t>http://charlemagneseurope.ac.uk/charter-basics/</w:t>
        </w:r>
      </w:hyperlink>
      <w:r w:rsidRPr="0019374C">
        <w:rPr>
          <w:rFonts w:ascii="Times New Roman" w:hAnsi="Times New Roman" w:cs="Times New Roman"/>
          <w:sz w:val="24"/>
          <w:szCs w:val="24"/>
        </w:rPr>
        <w:t>. (Accessed on 12</w:t>
      </w:r>
      <w:r w:rsidRPr="0019374C">
        <w:rPr>
          <w:rFonts w:ascii="Times New Roman" w:hAnsi="Times New Roman" w:cs="Times New Roman"/>
          <w:sz w:val="24"/>
          <w:szCs w:val="24"/>
          <w:vertAlign w:val="superscript"/>
        </w:rPr>
        <w:t>th</w:t>
      </w:r>
      <w:r w:rsidRPr="0019374C">
        <w:rPr>
          <w:rFonts w:ascii="Times New Roman" w:hAnsi="Times New Roman" w:cs="Times New Roman"/>
          <w:sz w:val="24"/>
          <w:szCs w:val="24"/>
        </w:rPr>
        <w:t xml:space="preserve"> August 2018).</w:t>
      </w:r>
    </w:p>
    <w:p w:rsidR="00400B1A" w:rsidRDefault="00400B1A" w:rsidP="007F634A">
      <w:pPr>
        <w:spacing w:line="240" w:lineRule="auto"/>
        <w:rPr>
          <w:rFonts w:ascii="Times New Roman" w:hAnsi="Times New Roman" w:cs="Times New Roman"/>
          <w:sz w:val="24"/>
          <w:szCs w:val="24"/>
        </w:rPr>
      </w:pPr>
      <w:r w:rsidRPr="00400B1A">
        <w:rPr>
          <w:rFonts w:ascii="Times New Roman" w:hAnsi="Times New Roman" w:cs="Times New Roman"/>
          <w:sz w:val="24"/>
          <w:szCs w:val="24"/>
        </w:rPr>
        <w:t>Schaus</w:t>
      </w:r>
      <w:r>
        <w:rPr>
          <w:rFonts w:ascii="Times New Roman" w:hAnsi="Times New Roman" w:cs="Times New Roman"/>
          <w:sz w:val="24"/>
          <w:szCs w:val="24"/>
        </w:rPr>
        <w:t>, M.C.</w:t>
      </w:r>
      <w:r w:rsidRPr="00400B1A">
        <w:rPr>
          <w:rFonts w:ascii="Times New Roman" w:hAnsi="Times New Roman" w:cs="Times New Roman"/>
          <w:sz w:val="24"/>
          <w:szCs w:val="24"/>
        </w:rPr>
        <w:t xml:space="preserve">, </w:t>
      </w:r>
      <w:r w:rsidRPr="00400B1A">
        <w:rPr>
          <w:rFonts w:ascii="Times New Roman" w:hAnsi="Times New Roman" w:cs="Times New Roman"/>
          <w:i/>
          <w:sz w:val="24"/>
          <w:szCs w:val="24"/>
        </w:rPr>
        <w:t xml:space="preserve">Women and Gender in Medieval Europe: An Encyclopedia </w:t>
      </w:r>
      <w:r>
        <w:rPr>
          <w:rFonts w:ascii="Times New Roman" w:hAnsi="Times New Roman" w:cs="Times New Roman"/>
          <w:sz w:val="24"/>
          <w:szCs w:val="24"/>
        </w:rPr>
        <w:t>(Abingdon: Routledge, 2006).</w:t>
      </w:r>
    </w:p>
    <w:p w:rsidR="001B5715" w:rsidRDefault="001B5715" w:rsidP="007F634A">
      <w:pPr>
        <w:spacing w:line="240" w:lineRule="auto"/>
        <w:rPr>
          <w:rFonts w:ascii="Times New Roman" w:hAnsi="Times New Roman" w:cs="Times New Roman"/>
          <w:sz w:val="24"/>
          <w:szCs w:val="24"/>
        </w:rPr>
      </w:pPr>
      <w:r w:rsidRPr="001B5715">
        <w:rPr>
          <w:rFonts w:ascii="Times New Roman" w:hAnsi="Times New Roman" w:cs="Times New Roman"/>
          <w:sz w:val="24"/>
          <w:szCs w:val="24"/>
        </w:rPr>
        <w:t>Slavin</w:t>
      </w:r>
      <w:r>
        <w:rPr>
          <w:rFonts w:ascii="Times New Roman" w:hAnsi="Times New Roman" w:cs="Times New Roman"/>
          <w:sz w:val="24"/>
          <w:szCs w:val="24"/>
        </w:rPr>
        <w:t>, P.</w:t>
      </w:r>
      <w:r w:rsidRPr="001B5715">
        <w:rPr>
          <w:rFonts w:ascii="Times New Roman" w:hAnsi="Times New Roman" w:cs="Times New Roman"/>
          <w:sz w:val="24"/>
          <w:szCs w:val="24"/>
        </w:rPr>
        <w:t xml:space="preserve">, </w:t>
      </w:r>
      <w:r w:rsidRPr="001B5715">
        <w:rPr>
          <w:rFonts w:ascii="Times New Roman" w:hAnsi="Times New Roman" w:cs="Times New Roman"/>
          <w:i/>
          <w:sz w:val="24"/>
          <w:szCs w:val="24"/>
        </w:rPr>
        <w:t xml:space="preserve">Understanding Medieval Primary Sources: Using Historical Sources to Discover Medieval Europe, </w:t>
      </w:r>
      <w:r w:rsidRPr="001B5715">
        <w:rPr>
          <w:rFonts w:ascii="Times New Roman" w:hAnsi="Times New Roman" w:cs="Times New Roman"/>
          <w:sz w:val="24"/>
          <w:szCs w:val="24"/>
        </w:rPr>
        <w:t>ed. J.T. Rosenthal (Abingdon: Routledge, 2012)</w:t>
      </w:r>
      <w:r>
        <w:rPr>
          <w:rFonts w:ascii="Times New Roman" w:hAnsi="Times New Roman" w:cs="Times New Roman"/>
          <w:sz w:val="24"/>
          <w:szCs w:val="24"/>
        </w:rPr>
        <w:t>.</w:t>
      </w:r>
    </w:p>
    <w:p w:rsidR="003D28DE" w:rsidRDefault="003D28DE" w:rsidP="007F634A">
      <w:pPr>
        <w:spacing w:line="240" w:lineRule="auto"/>
        <w:rPr>
          <w:rFonts w:ascii="Times New Roman" w:hAnsi="Times New Roman" w:cs="Times New Roman"/>
          <w:sz w:val="24"/>
          <w:szCs w:val="24"/>
        </w:rPr>
      </w:pPr>
      <w:r w:rsidRPr="003D28DE">
        <w:rPr>
          <w:rFonts w:ascii="Times New Roman" w:hAnsi="Times New Roman" w:cs="Times New Roman"/>
          <w:sz w:val="24"/>
          <w:szCs w:val="24"/>
        </w:rPr>
        <w:t xml:space="preserve">‘The Luttrell Psalter’, The British Library, (2018), [Online]. Available at </w:t>
      </w:r>
      <w:hyperlink r:id="rId13" w:history="1">
        <w:r w:rsidRPr="003D28DE">
          <w:rPr>
            <w:rStyle w:val="Hyperlink"/>
            <w:rFonts w:ascii="Times New Roman" w:hAnsi="Times New Roman" w:cs="Times New Roman"/>
            <w:sz w:val="24"/>
            <w:szCs w:val="24"/>
          </w:rPr>
          <w:t>https://www.bl.uk/collection-items/the-luttrell-psalter</w:t>
        </w:r>
      </w:hyperlink>
      <w:r w:rsidRPr="003D28DE">
        <w:rPr>
          <w:rFonts w:ascii="Times New Roman" w:hAnsi="Times New Roman" w:cs="Times New Roman"/>
          <w:sz w:val="24"/>
          <w:szCs w:val="24"/>
        </w:rPr>
        <w:t>. (Accessed on 13</w:t>
      </w:r>
      <w:r w:rsidRPr="003D28DE">
        <w:rPr>
          <w:rFonts w:ascii="Times New Roman" w:hAnsi="Times New Roman" w:cs="Times New Roman"/>
          <w:sz w:val="24"/>
          <w:szCs w:val="24"/>
          <w:vertAlign w:val="superscript"/>
        </w:rPr>
        <w:t>th</w:t>
      </w:r>
      <w:r w:rsidRPr="003D28DE">
        <w:rPr>
          <w:rFonts w:ascii="Times New Roman" w:hAnsi="Times New Roman" w:cs="Times New Roman"/>
          <w:sz w:val="24"/>
          <w:szCs w:val="24"/>
        </w:rPr>
        <w:t xml:space="preserve"> August 2018).</w:t>
      </w:r>
    </w:p>
    <w:p w:rsidR="00400B1A" w:rsidRDefault="00400B1A" w:rsidP="007F634A">
      <w:pPr>
        <w:spacing w:line="240" w:lineRule="auto"/>
        <w:rPr>
          <w:rFonts w:ascii="Times New Roman" w:hAnsi="Times New Roman" w:cs="Times New Roman"/>
          <w:sz w:val="24"/>
          <w:szCs w:val="24"/>
        </w:rPr>
      </w:pPr>
      <w:r w:rsidRPr="00400B1A">
        <w:rPr>
          <w:rFonts w:ascii="Times New Roman" w:hAnsi="Times New Roman" w:cs="Times New Roman"/>
          <w:sz w:val="24"/>
          <w:szCs w:val="24"/>
        </w:rPr>
        <w:lastRenderedPageBreak/>
        <w:t xml:space="preserve">The National Archives, ‘Wills and probate before 1858: further research’, (2018), [Online]. Available from </w:t>
      </w:r>
      <w:hyperlink r:id="rId14" w:history="1">
        <w:r w:rsidRPr="00400B1A">
          <w:rPr>
            <w:rStyle w:val="Hyperlink"/>
            <w:rFonts w:ascii="Times New Roman" w:hAnsi="Times New Roman" w:cs="Times New Roman"/>
            <w:sz w:val="24"/>
            <w:szCs w:val="24"/>
          </w:rPr>
          <w:t>http://www.nationalarchives.gov.uk/help-with-your-research/research-guides/wills-and-probate-before-1858-further-research/</w:t>
        </w:r>
      </w:hyperlink>
      <w:r w:rsidRPr="00400B1A">
        <w:rPr>
          <w:rFonts w:ascii="Times New Roman" w:hAnsi="Times New Roman" w:cs="Times New Roman"/>
          <w:sz w:val="24"/>
          <w:szCs w:val="24"/>
        </w:rPr>
        <w:t>. (Accessed on 10</w:t>
      </w:r>
      <w:r w:rsidRPr="00400B1A">
        <w:rPr>
          <w:rFonts w:ascii="Times New Roman" w:hAnsi="Times New Roman" w:cs="Times New Roman"/>
          <w:sz w:val="24"/>
          <w:szCs w:val="24"/>
          <w:vertAlign w:val="superscript"/>
        </w:rPr>
        <w:t>th</w:t>
      </w:r>
      <w:r w:rsidRPr="00400B1A">
        <w:rPr>
          <w:rFonts w:ascii="Times New Roman" w:hAnsi="Times New Roman" w:cs="Times New Roman"/>
          <w:sz w:val="24"/>
          <w:szCs w:val="24"/>
        </w:rPr>
        <w:t xml:space="preserve"> August 2018).</w:t>
      </w:r>
    </w:p>
    <w:p w:rsidR="005E3BE3" w:rsidRPr="00721BC1" w:rsidRDefault="005E3BE3" w:rsidP="007F634A">
      <w:pPr>
        <w:spacing w:line="240" w:lineRule="auto"/>
        <w:rPr>
          <w:rFonts w:ascii="Times New Roman" w:hAnsi="Times New Roman" w:cs="Times New Roman"/>
          <w:sz w:val="24"/>
          <w:szCs w:val="24"/>
        </w:rPr>
      </w:pPr>
      <w:r w:rsidRPr="005E3BE3">
        <w:rPr>
          <w:rFonts w:ascii="Times New Roman" w:hAnsi="Times New Roman" w:cs="Times New Roman"/>
          <w:sz w:val="24"/>
          <w:szCs w:val="24"/>
        </w:rPr>
        <w:t xml:space="preserve">‘William Langland, Piers Plowman’, The British Library, (2018), [Online]. Available at </w:t>
      </w:r>
      <w:hyperlink r:id="rId15" w:history="1">
        <w:r w:rsidRPr="005E3BE3">
          <w:rPr>
            <w:rStyle w:val="Hyperlink"/>
            <w:rFonts w:ascii="Times New Roman" w:hAnsi="Times New Roman" w:cs="Times New Roman"/>
            <w:sz w:val="24"/>
            <w:szCs w:val="24"/>
          </w:rPr>
          <w:t>http://www.bl.uk/learning/timeline/item126920.html</w:t>
        </w:r>
      </w:hyperlink>
      <w:r w:rsidRPr="005E3BE3">
        <w:rPr>
          <w:rFonts w:ascii="Times New Roman" w:hAnsi="Times New Roman" w:cs="Times New Roman"/>
          <w:sz w:val="24"/>
          <w:szCs w:val="24"/>
        </w:rPr>
        <w:t>. (Accessed on 13</w:t>
      </w:r>
      <w:r w:rsidRPr="005E3BE3">
        <w:rPr>
          <w:rFonts w:ascii="Times New Roman" w:hAnsi="Times New Roman" w:cs="Times New Roman"/>
          <w:sz w:val="24"/>
          <w:szCs w:val="24"/>
          <w:vertAlign w:val="superscript"/>
        </w:rPr>
        <w:t>th</w:t>
      </w:r>
      <w:r w:rsidRPr="005E3BE3">
        <w:rPr>
          <w:rFonts w:ascii="Times New Roman" w:hAnsi="Times New Roman" w:cs="Times New Roman"/>
          <w:sz w:val="24"/>
          <w:szCs w:val="24"/>
        </w:rPr>
        <w:t xml:space="preserve"> August 2018).</w:t>
      </w:r>
    </w:p>
    <w:sectPr w:rsidR="005E3BE3" w:rsidRPr="00721BC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452C" w:rsidRDefault="00BC452C" w:rsidP="004F181E">
      <w:pPr>
        <w:spacing w:after="0" w:line="240" w:lineRule="auto"/>
      </w:pPr>
      <w:r>
        <w:separator/>
      </w:r>
    </w:p>
  </w:endnote>
  <w:endnote w:type="continuationSeparator" w:id="0">
    <w:p w:rsidR="00BC452C" w:rsidRDefault="00BC452C" w:rsidP="004F1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8386790"/>
      <w:docPartObj>
        <w:docPartGallery w:val="Page Numbers (Bottom of Page)"/>
        <w:docPartUnique/>
      </w:docPartObj>
    </w:sdtPr>
    <w:sdtEndPr>
      <w:rPr>
        <w:noProof/>
      </w:rPr>
    </w:sdtEndPr>
    <w:sdtContent>
      <w:p w:rsidR="00AF71AA" w:rsidRDefault="00AF71AA">
        <w:pPr>
          <w:pStyle w:val="Footer"/>
        </w:pPr>
        <w:r>
          <w:fldChar w:fldCharType="begin"/>
        </w:r>
        <w:r>
          <w:instrText xml:space="preserve"> PAGE   \* MERGEFORMAT </w:instrText>
        </w:r>
        <w:r>
          <w:fldChar w:fldCharType="separate"/>
        </w:r>
        <w:r w:rsidR="001200DA">
          <w:rPr>
            <w:noProof/>
          </w:rPr>
          <w:t>1</w:t>
        </w:r>
        <w:r>
          <w:rPr>
            <w:noProof/>
          </w:rPr>
          <w:fldChar w:fldCharType="end"/>
        </w:r>
      </w:p>
    </w:sdtContent>
  </w:sdt>
  <w:p w:rsidR="00AF71AA" w:rsidRDefault="00AF71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452C" w:rsidRDefault="00BC452C" w:rsidP="004F181E">
      <w:pPr>
        <w:spacing w:after="0" w:line="240" w:lineRule="auto"/>
      </w:pPr>
      <w:r>
        <w:separator/>
      </w:r>
    </w:p>
  </w:footnote>
  <w:footnote w:type="continuationSeparator" w:id="0">
    <w:p w:rsidR="00BC452C" w:rsidRDefault="00BC452C" w:rsidP="004F181E">
      <w:pPr>
        <w:spacing w:after="0" w:line="240" w:lineRule="auto"/>
      </w:pPr>
      <w:r>
        <w:continuationSeparator/>
      </w:r>
    </w:p>
  </w:footnote>
  <w:footnote w:id="1">
    <w:p w:rsidR="004F181E" w:rsidRPr="00BF72A7" w:rsidRDefault="004F181E">
      <w:pPr>
        <w:pStyle w:val="FootnoteText"/>
        <w:rPr>
          <w:rFonts w:cs="Times New Roman"/>
        </w:rPr>
      </w:pPr>
      <w:r w:rsidRPr="00BF72A7">
        <w:rPr>
          <w:rStyle w:val="FootnoteReference"/>
          <w:rFonts w:cs="Times New Roman"/>
        </w:rPr>
        <w:footnoteRef/>
      </w:r>
      <w:r w:rsidRPr="00BF72A7">
        <w:rPr>
          <w:rFonts w:cs="Times New Roman"/>
        </w:rPr>
        <w:t xml:space="preserve"> </w:t>
      </w:r>
      <w:r w:rsidR="00BF72A7" w:rsidRPr="00BF72A7">
        <w:rPr>
          <w:rFonts w:cs="Times New Roman"/>
        </w:rPr>
        <w:t xml:space="preserve">M. Bishop, </w:t>
      </w:r>
      <w:r w:rsidR="00BF72A7" w:rsidRPr="00BF72A7">
        <w:rPr>
          <w:rFonts w:cs="Times New Roman"/>
          <w:i/>
        </w:rPr>
        <w:t xml:space="preserve">The Middle Ages </w:t>
      </w:r>
      <w:r w:rsidR="00BF72A7" w:rsidRPr="00BF72A7">
        <w:rPr>
          <w:rFonts w:cs="Times New Roman"/>
        </w:rPr>
        <w:t>(Boston: First Mariner Books, 2001)</w:t>
      </w:r>
      <w:r w:rsidR="00487B25">
        <w:rPr>
          <w:rFonts w:cs="Times New Roman"/>
        </w:rPr>
        <w:t>,</w:t>
      </w:r>
      <w:r w:rsidR="00BF72A7" w:rsidRPr="00BF72A7">
        <w:rPr>
          <w:rFonts w:cs="Times New Roman"/>
        </w:rPr>
        <w:t xml:space="preserve"> p. 209.</w:t>
      </w:r>
    </w:p>
  </w:footnote>
  <w:footnote w:id="2">
    <w:p w:rsidR="004F181E" w:rsidRPr="00BF72A7" w:rsidRDefault="004F181E">
      <w:pPr>
        <w:pStyle w:val="FootnoteText"/>
      </w:pPr>
      <w:r w:rsidRPr="00BF72A7">
        <w:rPr>
          <w:rStyle w:val="FootnoteReference"/>
          <w:rFonts w:ascii="Times New Roman" w:hAnsi="Times New Roman" w:cs="Times New Roman"/>
        </w:rPr>
        <w:footnoteRef/>
      </w:r>
      <w:r>
        <w:t xml:space="preserve"> </w:t>
      </w:r>
      <w:r w:rsidR="00BF72A7">
        <w:t xml:space="preserve">Z. Razi, and R. Smith, </w:t>
      </w:r>
      <w:r w:rsidR="00BF72A7">
        <w:rPr>
          <w:i/>
        </w:rPr>
        <w:t xml:space="preserve">Medieval Society and the Manor Court </w:t>
      </w:r>
      <w:r w:rsidR="00BF72A7">
        <w:t>(Oxford: Clarendon Press, 1996)</w:t>
      </w:r>
      <w:r w:rsidR="00487B25">
        <w:t>,</w:t>
      </w:r>
      <w:r w:rsidR="00BF72A7">
        <w:t xml:space="preserve"> p. 6.</w:t>
      </w:r>
    </w:p>
  </w:footnote>
  <w:footnote w:id="3">
    <w:p w:rsidR="004F181E" w:rsidRDefault="004F181E">
      <w:pPr>
        <w:pStyle w:val="FootnoteText"/>
      </w:pPr>
      <w:r>
        <w:rPr>
          <w:rStyle w:val="FootnoteReference"/>
        </w:rPr>
        <w:footnoteRef/>
      </w:r>
      <w:r>
        <w:t xml:space="preserve"> </w:t>
      </w:r>
      <w:r w:rsidR="009C42E9">
        <w:t xml:space="preserve">Razi and Smith, </w:t>
      </w:r>
      <w:r w:rsidR="009C42E9">
        <w:rPr>
          <w:i/>
        </w:rPr>
        <w:t>Medieval Society and the Manor Court,</w:t>
      </w:r>
      <w:r w:rsidR="009C42E9">
        <w:t xml:space="preserve"> p. 8.</w:t>
      </w:r>
    </w:p>
  </w:footnote>
  <w:footnote w:id="4">
    <w:p w:rsidR="004F181E" w:rsidRDefault="004F181E">
      <w:pPr>
        <w:pStyle w:val="FootnoteText"/>
      </w:pPr>
      <w:r>
        <w:rPr>
          <w:rStyle w:val="FootnoteReference"/>
        </w:rPr>
        <w:footnoteRef/>
      </w:r>
      <w:r>
        <w:t xml:space="preserve"> </w:t>
      </w:r>
      <w:r w:rsidR="009C42E9">
        <w:t xml:space="preserve">Razi and Smith, </w:t>
      </w:r>
      <w:r w:rsidR="009C42E9">
        <w:rPr>
          <w:i/>
        </w:rPr>
        <w:t xml:space="preserve">Medieval Society and the Manor Court, </w:t>
      </w:r>
      <w:r w:rsidR="009C42E9">
        <w:t>p. 14.</w:t>
      </w:r>
    </w:p>
  </w:footnote>
  <w:footnote w:id="5">
    <w:p w:rsidR="004F181E" w:rsidRPr="009C42E9" w:rsidRDefault="004F181E">
      <w:pPr>
        <w:pStyle w:val="FootnoteText"/>
      </w:pPr>
      <w:r>
        <w:rPr>
          <w:rStyle w:val="FootnoteReference"/>
        </w:rPr>
        <w:footnoteRef/>
      </w:r>
      <w:r>
        <w:t xml:space="preserve"> </w:t>
      </w:r>
      <w:r w:rsidR="009C42E9">
        <w:t xml:space="preserve">H. James, </w:t>
      </w:r>
      <w:r w:rsidR="009C42E9" w:rsidRPr="009C42E9">
        <w:rPr>
          <w:i/>
        </w:rPr>
        <w:t>Domesday Book, Or the Great Survey of England of William the Conqueror, A. D. 1086: Facsimile of the Part Relating to Essex (Classic Reprint)</w:t>
      </w:r>
      <w:r w:rsidR="009C42E9">
        <w:rPr>
          <w:i/>
        </w:rPr>
        <w:t xml:space="preserve"> </w:t>
      </w:r>
      <w:r w:rsidR="009C42E9">
        <w:t>(London: FB&amp;C Ltd, 2017).</w:t>
      </w:r>
    </w:p>
  </w:footnote>
  <w:footnote w:id="6">
    <w:p w:rsidR="004F181E" w:rsidRPr="0042063B" w:rsidRDefault="004F181E">
      <w:pPr>
        <w:pStyle w:val="FootnoteText"/>
      </w:pPr>
      <w:r>
        <w:rPr>
          <w:rStyle w:val="FootnoteReference"/>
        </w:rPr>
        <w:footnoteRef/>
      </w:r>
      <w:r>
        <w:t xml:space="preserve"> </w:t>
      </w:r>
      <w:r w:rsidR="0042063B">
        <w:t xml:space="preserve">H.B. Clarke, </w:t>
      </w:r>
      <w:r w:rsidR="0042063B" w:rsidRPr="0042063B">
        <w:rPr>
          <w:i/>
        </w:rPr>
        <w:t>Anglo-Norman Studies XXX: Proceedings of the Battle Conference 2007</w:t>
      </w:r>
      <w:r w:rsidR="0042063B">
        <w:rPr>
          <w:i/>
        </w:rPr>
        <w:t xml:space="preserve">, </w:t>
      </w:r>
      <w:r w:rsidR="0042063B">
        <w:t>ed. C.P. Lewis (Woodbridge: The Boydell Press, 2008)</w:t>
      </w:r>
      <w:r w:rsidR="00487B25">
        <w:t>,</w:t>
      </w:r>
      <w:r w:rsidR="0042063B">
        <w:t xml:space="preserve"> p. 80.</w:t>
      </w:r>
    </w:p>
  </w:footnote>
  <w:footnote w:id="7">
    <w:p w:rsidR="004F181E" w:rsidRPr="00D76D03" w:rsidRDefault="004F181E">
      <w:pPr>
        <w:pStyle w:val="FootnoteText"/>
      </w:pPr>
      <w:r>
        <w:rPr>
          <w:rStyle w:val="FootnoteReference"/>
        </w:rPr>
        <w:footnoteRef/>
      </w:r>
      <w:r>
        <w:t xml:space="preserve"> </w:t>
      </w:r>
      <w:r w:rsidR="00D76D03">
        <w:t xml:space="preserve">M. Bailey, </w:t>
      </w:r>
      <w:r w:rsidR="00D76D03" w:rsidRPr="00D76D03">
        <w:rPr>
          <w:i/>
        </w:rPr>
        <w:t>The English Manor C.1200 To C.1500</w:t>
      </w:r>
      <w:r w:rsidR="00D76D03">
        <w:rPr>
          <w:i/>
        </w:rPr>
        <w:t xml:space="preserve"> </w:t>
      </w:r>
      <w:r w:rsidR="00D76D03">
        <w:t>(Manchester: Manchester University Press, 2002).</w:t>
      </w:r>
    </w:p>
  </w:footnote>
  <w:footnote w:id="8">
    <w:p w:rsidR="004F181E" w:rsidRDefault="004F181E">
      <w:pPr>
        <w:pStyle w:val="FootnoteText"/>
      </w:pPr>
      <w:r>
        <w:rPr>
          <w:rStyle w:val="FootnoteReference"/>
        </w:rPr>
        <w:footnoteRef/>
      </w:r>
      <w:r>
        <w:t xml:space="preserve"> </w:t>
      </w:r>
      <w:r w:rsidR="00487B25">
        <w:t>C. Phillips, ‘</w:t>
      </w:r>
      <w:r w:rsidR="00FC4719">
        <w:t>Wills</w:t>
      </w:r>
      <w:r w:rsidR="00487B25">
        <w:t>’, Medieval Genealogy, (2017), [O</w:t>
      </w:r>
      <w:r w:rsidR="00FC4719">
        <w:t xml:space="preserve">nline]. Available from </w:t>
      </w:r>
      <w:hyperlink r:id="rId1" w:history="1">
        <w:r w:rsidR="00FC4719" w:rsidRPr="00E778B1">
          <w:rPr>
            <w:rStyle w:val="Hyperlink"/>
          </w:rPr>
          <w:t>http://www.medievalgenealogy.org.uk/guide/wil.shtml</w:t>
        </w:r>
      </w:hyperlink>
      <w:r w:rsidR="00FC4719">
        <w:t>. (Accessed on 10</w:t>
      </w:r>
      <w:r w:rsidR="00FC4719" w:rsidRPr="00FC4719">
        <w:rPr>
          <w:vertAlign w:val="superscript"/>
        </w:rPr>
        <w:t>th</w:t>
      </w:r>
      <w:r w:rsidR="00FC4719">
        <w:t xml:space="preserve"> August 2018).</w:t>
      </w:r>
    </w:p>
  </w:footnote>
  <w:footnote w:id="9">
    <w:p w:rsidR="004F181E" w:rsidRPr="00FC4719" w:rsidRDefault="004F181E">
      <w:pPr>
        <w:pStyle w:val="FootnoteText"/>
      </w:pPr>
      <w:r>
        <w:rPr>
          <w:rStyle w:val="FootnoteReference"/>
        </w:rPr>
        <w:footnoteRef/>
      </w:r>
      <w:r>
        <w:t xml:space="preserve"> </w:t>
      </w:r>
      <w:r w:rsidR="00FC4719">
        <w:t xml:space="preserve">P. Slavin, </w:t>
      </w:r>
      <w:r w:rsidR="00FC4719" w:rsidRPr="00FC4719">
        <w:rPr>
          <w:i/>
        </w:rPr>
        <w:t>Understanding Medieval Primary Sources: Using Historical Sou</w:t>
      </w:r>
      <w:r w:rsidR="00FC4719">
        <w:rPr>
          <w:i/>
        </w:rPr>
        <w:t xml:space="preserve">rces to Discover Medieval Europe, </w:t>
      </w:r>
      <w:r w:rsidR="00FC4719">
        <w:t>ed. J.T. Rosenthal (Abingdon: Routledge, 2012)</w:t>
      </w:r>
      <w:r w:rsidR="00487B25">
        <w:t>, p. 145.</w:t>
      </w:r>
    </w:p>
  </w:footnote>
  <w:footnote w:id="10">
    <w:p w:rsidR="003B34D8" w:rsidRDefault="003B34D8">
      <w:pPr>
        <w:pStyle w:val="FootnoteText"/>
      </w:pPr>
      <w:r>
        <w:rPr>
          <w:rStyle w:val="FootnoteReference"/>
        </w:rPr>
        <w:footnoteRef/>
      </w:r>
      <w:r>
        <w:t xml:space="preserve"> </w:t>
      </w:r>
      <w:r w:rsidR="00487B25">
        <w:t>The National Archives, ‘</w:t>
      </w:r>
      <w:r w:rsidR="00487B25" w:rsidRPr="00487B25">
        <w:t>Wills and probate before 1858: further research</w:t>
      </w:r>
      <w:r w:rsidR="00487B25">
        <w:t xml:space="preserve">’, (2018), [Online]. Available from </w:t>
      </w:r>
      <w:hyperlink r:id="rId2" w:history="1">
        <w:r w:rsidR="00487B25" w:rsidRPr="00E778B1">
          <w:rPr>
            <w:rStyle w:val="Hyperlink"/>
          </w:rPr>
          <w:t>http://www.nationalarchives.gov.uk/help-with-your-research/research-guides/wills-and-probate-before-1858-further-research/</w:t>
        </w:r>
      </w:hyperlink>
      <w:r w:rsidR="00487B25">
        <w:t>. (Accessed on 10</w:t>
      </w:r>
      <w:r w:rsidR="00487B25" w:rsidRPr="00487B25">
        <w:rPr>
          <w:vertAlign w:val="superscript"/>
        </w:rPr>
        <w:t>th</w:t>
      </w:r>
      <w:r w:rsidR="00487B25">
        <w:t xml:space="preserve"> August 2018).</w:t>
      </w:r>
    </w:p>
  </w:footnote>
  <w:footnote w:id="11">
    <w:p w:rsidR="003B34D8" w:rsidRPr="00C24506" w:rsidRDefault="003B34D8">
      <w:pPr>
        <w:pStyle w:val="FootnoteText"/>
      </w:pPr>
      <w:r>
        <w:rPr>
          <w:rStyle w:val="FootnoteReference"/>
        </w:rPr>
        <w:footnoteRef/>
      </w:r>
      <w:r>
        <w:t xml:space="preserve"> </w:t>
      </w:r>
      <w:r w:rsidR="00A841AA">
        <w:t>M.C. Schaus</w:t>
      </w:r>
      <w:r w:rsidR="00C24506">
        <w:t xml:space="preserve">, </w:t>
      </w:r>
      <w:r w:rsidR="00C24506" w:rsidRPr="00C24506">
        <w:rPr>
          <w:i/>
        </w:rPr>
        <w:t>Women and Gender in Medieval Europe: An Encyclopedia</w:t>
      </w:r>
      <w:r w:rsidR="00C24506">
        <w:rPr>
          <w:i/>
        </w:rPr>
        <w:t xml:space="preserve"> </w:t>
      </w:r>
      <w:r w:rsidR="00C24506">
        <w:t>(Abingdon: Routledge, 2006), p. 700.</w:t>
      </w:r>
    </w:p>
  </w:footnote>
  <w:footnote w:id="12">
    <w:p w:rsidR="003B34D8" w:rsidRPr="004B5E8A" w:rsidRDefault="003B34D8">
      <w:pPr>
        <w:pStyle w:val="FootnoteText"/>
      </w:pPr>
      <w:r>
        <w:rPr>
          <w:rStyle w:val="FootnoteReference"/>
        </w:rPr>
        <w:footnoteRef/>
      </w:r>
      <w:r>
        <w:t xml:space="preserve"> </w:t>
      </w:r>
      <w:r w:rsidR="004B5E8A">
        <w:t xml:space="preserve">A.E. Faulkner, </w:t>
      </w:r>
      <w:r w:rsidR="004B5E8A" w:rsidRPr="004B5E8A">
        <w:rPr>
          <w:i/>
        </w:rPr>
        <w:t>Historical Dictionary of Late Medieval England, 1272-1485</w:t>
      </w:r>
      <w:r w:rsidR="004B5E8A">
        <w:rPr>
          <w:i/>
        </w:rPr>
        <w:t xml:space="preserve"> </w:t>
      </w:r>
      <w:r w:rsidR="004B5E8A">
        <w:t>(Westport: Greenwood Publishing Group, 2002), p. 553.</w:t>
      </w:r>
    </w:p>
  </w:footnote>
  <w:footnote w:id="13">
    <w:p w:rsidR="003B34D8" w:rsidRDefault="003B34D8">
      <w:pPr>
        <w:pStyle w:val="FootnoteText"/>
      </w:pPr>
      <w:r w:rsidRPr="00BA0374">
        <w:rPr>
          <w:rStyle w:val="FootnoteReference"/>
        </w:rPr>
        <w:footnoteRef/>
      </w:r>
      <w:r w:rsidRPr="00BA0374">
        <w:rPr>
          <w:i/>
        </w:rPr>
        <w:t xml:space="preserve"> </w:t>
      </w:r>
      <w:r w:rsidR="00610E63">
        <w:rPr>
          <w:i/>
        </w:rPr>
        <w:t>i</w:t>
      </w:r>
      <w:r w:rsidR="00BA0374" w:rsidRPr="00BA0374">
        <w:rPr>
          <w:i/>
        </w:rPr>
        <w:t>bid</w:t>
      </w:r>
      <w:r w:rsidR="00BA0374">
        <w:t>.</w:t>
      </w:r>
    </w:p>
  </w:footnote>
  <w:footnote w:id="14">
    <w:p w:rsidR="003B34D8" w:rsidRPr="00BA0374" w:rsidRDefault="003B34D8">
      <w:pPr>
        <w:pStyle w:val="FootnoteText"/>
        <w:rPr>
          <w:i/>
        </w:rPr>
      </w:pPr>
      <w:r>
        <w:rPr>
          <w:rStyle w:val="FootnoteReference"/>
        </w:rPr>
        <w:footnoteRef/>
      </w:r>
      <w:r>
        <w:t xml:space="preserve"> </w:t>
      </w:r>
      <w:r w:rsidR="00610E63">
        <w:rPr>
          <w:i/>
        </w:rPr>
        <w:t>ibid</w:t>
      </w:r>
      <w:r w:rsidR="00BA0374">
        <w:rPr>
          <w:i/>
        </w:rPr>
        <w:t>.</w:t>
      </w:r>
    </w:p>
  </w:footnote>
  <w:footnote w:id="15">
    <w:p w:rsidR="003B34D8" w:rsidRPr="00610E63" w:rsidRDefault="003B34D8">
      <w:pPr>
        <w:pStyle w:val="FootnoteText"/>
      </w:pPr>
      <w:r>
        <w:rPr>
          <w:rStyle w:val="FootnoteReference"/>
        </w:rPr>
        <w:footnoteRef/>
      </w:r>
      <w:r>
        <w:t xml:space="preserve"> </w:t>
      </w:r>
      <w:r w:rsidR="00610E63">
        <w:t xml:space="preserve">B. Dodds, and R. Britnell, </w:t>
      </w:r>
      <w:r w:rsidR="00610E63" w:rsidRPr="00610E63">
        <w:rPr>
          <w:i/>
        </w:rPr>
        <w:t>Agriculture and Rural Society After the Black Death: Common Themes and Regional Variations</w:t>
      </w:r>
      <w:r w:rsidR="00610E63">
        <w:rPr>
          <w:i/>
        </w:rPr>
        <w:t xml:space="preserve"> </w:t>
      </w:r>
      <w:r w:rsidR="00610E63">
        <w:t>(Hertfordshire: University of Hertfordshire Press, 2008).</w:t>
      </w:r>
    </w:p>
  </w:footnote>
  <w:footnote w:id="16">
    <w:p w:rsidR="003B34D8" w:rsidRDefault="003B34D8">
      <w:pPr>
        <w:pStyle w:val="FootnoteText"/>
      </w:pPr>
      <w:r>
        <w:rPr>
          <w:rStyle w:val="FootnoteReference"/>
        </w:rPr>
        <w:footnoteRef/>
      </w:r>
      <w:r>
        <w:t xml:space="preserve"> </w:t>
      </w:r>
      <w:r w:rsidR="00610E63">
        <w:t>A. Rio, ‘</w:t>
      </w:r>
      <w:r w:rsidR="00610E63" w:rsidRPr="00610E63">
        <w:t>Early Medieval Charters: A Guide For Students</w:t>
      </w:r>
      <w:r w:rsidR="00610E63">
        <w:t xml:space="preserve">’, The Making of Charlemagne’s Europe, (2018), [Online]. Available at </w:t>
      </w:r>
      <w:hyperlink r:id="rId3" w:history="1">
        <w:r w:rsidR="00610E63" w:rsidRPr="00E778B1">
          <w:rPr>
            <w:rStyle w:val="Hyperlink"/>
          </w:rPr>
          <w:t>http://charlemagneseurope.ac.uk/charter-basics/</w:t>
        </w:r>
      </w:hyperlink>
      <w:r w:rsidR="00610E63">
        <w:t>. (Accessed on 12</w:t>
      </w:r>
      <w:r w:rsidR="00610E63" w:rsidRPr="00610E63">
        <w:rPr>
          <w:vertAlign w:val="superscript"/>
        </w:rPr>
        <w:t>th</w:t>
      </w:r>
      <w:r w:rsidR="00610E63">
        <w:t xml:space="preserve"> August 2018).</w:t>
      </w:r>
    </w:p>
  </w:footnote>
  <w:footnote w:id="17">
    <w:p w:rsidR="003B34D8" w:rsidRPr="000211D6" w:rsidRDefault="003B34D8">
      <w:pPr>
        <w:pStyle w:val="FootnoteText"/>
      </w:pPr>
      <w:r>
        <w:rPr>
          <w:rStyle w:val="FootnoteReference"/>
        </w:rPr>
        <w:footnoteRef/>
      </w:r>
      <w:r>
        <w:t xml:space="preserve"> </w:t>
      </w:r>
      <w:r w:rsidR="000211D6">
        <w:t xml:space="preserve">J. Morrison, </w:t>
      </w:r>
      <w:r w:rsidR="000211D6">
        <w:rPr>
          <w:i/>
        </w:rPr>
        <w:t xml:space="preserve">Essential Public Affairs for Journalists </w:t>
      </w:r>
      <w:r w:rsidR="000211D6">
        <w:t>(Oxford: Oxford University Press, 2017), p. 308.</w:t>
      </w:r>
    </w:p>
  </w:footnote>
  <w:footnote w:id="18">
    <w:p w:rsidR="003B34D8" w:rsidRPr="00A3293F" w:rsidRDefault="003B34D8">
      <w:pPr>
        <w:pStyle w:val="FootnoteText"/>
      </w:pPr>
      <w:r>
        <w:rPr>
          <w:rStyle w:val="FootnoteReference"/>
        </w:rPr>
        <w:footnoteRef/>
      </w:r>
      <w:r>
        <w:t xml:space="preserve"> </w:t>
      </w:r>
      <w:r w:rsidR="00622575">
        <w:t xml:space="preserve">W. Brown, M. Costambeys, M. Innes, and A. Kosto, </w:t>
      </w:r>
      <w:r w:rsidR="00622575" w:rsidRPr="00622575">
        <w:rPr>
          <w:i/>
        </w:rPr>
        <w:t>Documentary Culture and the Laity in the Early Middle Ages</w:t>
      </w:r>
      <w:r w:rsidR="00A3293F">
        <w:rPr>
          <w:i/>
        </w:rPr>
        <w:t xml:space="preserve"> </w:t>
      </w:r>
      <w:r w:rsidR="00A3293F">
        <w:t>(Cambridge: Cambridge University Press, 2013).</w:t>
      </w:r>
    </w:p>
  </w:footnote>
  <w:footnote w:id="19">
    <w:p w:rsidR="003B34D8" w:rsidRPr="00A3293F" w:rsidRDefault="003B34D8" w:rsidP="00A3293F">
      <w:pPr>
        <w:pStyle w:val="FootnoteText"/>
      </w:pPr>
      <w:r>
        <w:rPr>
          <w:rStyle w:val="FootnoteReference"/>
        </w:rPr>
        <w:footnoteRef/>
      </w:r>
      <w:r>
        <w:t xml:space="preserve"> </w:t>
      </w:r>
      <w:r w:rsidR="00A3293F">
        <w:t xml:space="preserve">C. Briggs, </w:t>
      </w:r>
      <w:r w:rsidR="00A3293F" w:rsidRPr="00A3293F">
        <w:rPr>
          <w:i/>
        </w:rPr>
        <w:t>Credit and the Rural Economy in Europe, c. 1100-1850</w:t>
      </w:r>
      <w:r w:rsidR="00A3293F" w:rsidRPr="00A3293F">
        <w:t>,</w:t>
      </w:r>
      <w:r w:rsidR="00A3293F">
        <w:t xml:space="preserve"> eds. P.R. Schofield and T. Lambrecht (Turnhout: Brepols Publishers, 2009).</w:t>
      </w:r>
    </w:p>
  </w:footnote>
  <w:footnote w:id="20">
    <w:p w:rsidR="003B34D8" w:rsidRDefault="003B34D8">
      <w:pPr>
        <w:pStyle w:val="FootnoteText"/>
      </w:pPr>
      <w:r>
        <w:rPr>
          <w:rStyle w:val="FootnoteReference"/>
        </w:rPr>
        <w:footnoteRef/>
      </w:r>
      <w:r>
        <w:t xml:space="preserve"> </w:t>
      </w:r>
      <w:r w:rsidR="00381954">
        <w:t>A. Rio, ‘Early Medieval Charters, Charlemagne’s Europe, [Online].</w:t>
      </w:r>
    </w:p>
  </w:footnote>
  <w:footnote w:id="21">
    <w:p w:rsidR="003B34D8" w:rsidRDefault="003B34D8">
      <w:pPr>
        <w:pStyle w:val="FootnoteText"/>
      </w:pPr>
      <w:r>
        <w:rPr>
          <w:rStyle w:val="FootnoteReference"/>
        </w:rPr>
        <w:footnoteRef/>
      </w:r>
      <w:r>
        <w:t xml:space="preserve"> </w:t>
      </w:r>
      <w:r w:rsidR="008E3E07">
        <w:t>A. Bovey, ‘</w:t>
      </w:r>
      <w:r w:rsidR="008E3E07" w:rsidRPr="008E3E07">
        <w:t>Peasants and their role in rural life</w:t>
      </w:r>
      <w:r w:rsidR="008E3E07">
        <w:t xml:space="preserve">’, The British Library, (2015), [Online]. Available at </w:t>
      </w:r>
      <w:hyperlink r:id="rId4" w:history="1">
        <w:r w:rsidR="008E3E07" w:rsidRPr="00E778B1">
          <w:rPr>
            <w:rStyle w:val="Hyperlink"/>
          </w:rPr>
          <w:t>https://www.bl.uk/the-middle-ages/articles/peasants-and-their-role-in-rural-life</w:t>
        </w:r>
      </w:hyperlink>
      <w:r w:rsidR="008E3E07">
        <w:t>. (Accessed on 13</w:t>
      </w:r>
      <w:r w:rsidR="008E3E07" w:rsidRPr="008E3E07">
        <w:rPr>
          <w:vertAlign w:val="superscript"/>
        </w:rPr>
        <w:t>th</w:t>
      </w:r>
      <w:r w:rsidR="008E3E07">
        <w:t xml:space="preserve"> August 2018).</w:t>
      </w:r>
    </w:p>
  </w:footnote>
  <w:footnote w:id="22">
    <w:p w:rsidR="003B34D8" w:rsidRDefault="003B34D8">
      <w:pPr>
        <w:pStyle w:val="FootnoteText"/>
      </w:pPr>
      <w:r>
        <w:rPr>
          <w:rStyle w:val="FootnoteReference"/>
        </w:rPr>
        <w:footnoteRef/>
      </w:r>
      <w:r>
        <w:t xml:space="preserve"> </w:t>
      </w:r>
      <w:r w:rsidR="00624091">
        <w:t xml:space="preserve">‘The Luttrell Psalter’, The British Library, (2018), [Online]. Available at </w:t>
      </w:r>
      <w:hyperlink r:id="rId5" w:history="1">
        <w:r w:rsidR="00624091" w:rsidRPr="00E778B1">
          <w:rPr>
            <w:rStyle w:val="Hyperlink"/>
          </w:rPr>
          <w:t>https://www.bl.uk/collection-items/the-luttrell-psalter</w:t>
        </w:r>
      </w:hyperlink>
      <w:r w:rsidR="00624091">
        <w:t>. (Accessed on 13</w:t>
      </w:r>
      <w:r w:rsidR="00624091" w:rsidRPr="00624091">
        <w:rPr>
          <w:vertAlign w:val="superscript"/>
        </w:rPr>
        <w:t>th</w:t>
      </w:r>
      <w:r w:rsidR="00624091">
        <w:t xml:space="preserve"> August 2018).</w:t>
      </w:r>
    </w:p>
  </w:footnote>
  <w:footnote w:id="23">
    <w:p w:rsidR="003B34D8" w:rsidRDefault="003B34D8">
      <w:pPr>
        <w:pStyle w:val="FootnoteText"/>
      </w:pPr>
      <w:r>
        <w:rPr>
          <w:rStyle w:val="FootnoteReference"/>
        </w:rPr>
        <w:footnoteRef/>
      </w:r>
      <w:r>
        <w:t xml:space="preserve"> </w:t>
      </w:r>
      <w:r w:rsidR="00624091">
        <w:t>ibid.</w:t>
      </w:r>
    </w:p>
  </w:footnote>
  <w:footnote w:id="24">
    <w:p w:rsidR="003B34D8" w:rsidRDefault="003B34D8">
      <w:pPr>
        <w:pStyle w:val="FootnoteText"/>
      </w:pPr>
      <w:r>
        <w:rPr>
          <w:rStyle w:val="FootnoteReference"/>
        </w:rPr>
        <w:footnoteRef/>
      </w:r>
      <w:r>
        <w:t xml:space="preserve"> </w:t>
      </w:r>
      <w:r w:rsidR="0023067A">
        <w:t xml:space="preserve">P. Slavin, </w:t>
      </w:r>
      <w:r w:rsidR="0023067A" w:rsidRPr="00FC4719">
        <w:rPr>
          <w:i/>
        </w:rPr>
        <w:t>Underst</w:t>
      </w:r>
      <w:r w:rsidR="0023067A">
        <w:rPr>
          <w:i/>
        </w:rPr>
        <w:t xml:space="preserve">anding Medieval Primary Sources, </w:t>
      </w:r>
      <w:r w:rsidR="0023067A">
        <w:t>p. 145.</w:t>
      </w:r>
    </w:p>
  </w:footnote>
  <w:footnote w:id="25">
    <w:p w:rsidR="003B34D8" w:rsidRDefault="003B34D8" w:rsidP="0023067A">
      <w:pPr>
        <w:pStyle w:val="FootnoteText"/>
      </w:pPr>
      <w:r>
        <w:rPr>
          <w:rStyle w:val="FootnoteReference"/>
        </w:rPr>
        <w:footnoteRef/>
      </w:r>
      <w:r>
        <w:t xml:space="preserve"> </w:t>
      </w:r>
      <w:r w:rsidR="0023067A">
        <w:t xml:space="preserve">B.M. Kienzle, and J. Zaleski, ‘A History of Medieval Christian Preaching as Seen in the Manuscripts of Houghton Library’, Harvard College Library, (2012), [Online]. Available at </w:t>
      </w:r>
      <w:hyperlink r:id="rId6" w:history="1">
        <w:r w:rsidR="0023067A" w:rsidRPr="009D6CD0">
          <w:rPr>
            <w:rStyle w:val="Hyperlink"/>
          </w:rPr>
          <w:t>http://hcl.harvard.edu/libraries/houghton/collections/early_manuscripts/preaching/purpose.cfm</w:t>
        </w:r>
      </w:hyperlink>
      <w:r w:rsidR="0023067A">
        <w:t>. (Accessed on 13</w:t>
      </w:r>
      <w:r w:rsidR="0023067A" w:rsidRPr="0023067A">
        <w:rPr>
          <w:vertAlign w:val="superscript"/>
        </w:rPr>
        <w:t>th</w:t>
      </w:r>
      <w:r w:rsidR="0023067A">
        <w:t xml:space="preserve"> August 2018).</w:t>
      </w:r>
    </w:p>
  </w:footnote>
  <w:footnote w:id="26">
    <w:p w:rsidR="003B34D8" w:rsidRPr="0023067A" w:rsidRDefault="003B34D8">
      <w:pPr>
        <w:pStyle w:val="FootnoteText"/>
      </w:pPr>
      <w:r>
        <w:rPr>
          <w:rStyle w:val="FootnoteReference"/>
        </w:rPr>
        <w:footnoteRef/>
      </w:r>
      <w:r>
        <w:t xml:space="preserve"> </w:t>
      </w:r>
      <w:r w:rsidR="0023067A">
        <w:t xml:space="preserve">K.C. Little, </w:t>
      </w:r>
      <w:r w:rsidR="0023067A" w:rsidRPr="0023067A">
        <w:rPr>
          <w:i/>
        </w:rPr>
        <w:t>Transforming Work: Early Modern Pastoral and Late Medieval Poetry</w:t>
      </w:r>
      <w:r w:rsidR="0023067A">
        <w:rPr>
          <w:i/>
        </w:rPr>
        <w:t xml:space="preserve">, </w:t>
      </w:r>
      <w:r w:rsidR="0023067A">
        <w:t>(Indiana: University of Notre Dame Press, 2013</w:t>
      </w:r>
      <w:r w:rsidR="001800E6">
        <w:t>).</w:t>
      </w:r>
    </w:p>
  </w:footnote>
  <w:footnote w:id="27">
    <w:p w:rsidR="003B34D8" w:rsidRDefault="003B34D8" w:rsidP="0023067A">
      <w:pPr>
        <w:pStyle w:val="FootnoteText"/>
        <w:tabs>
          <w:tab w:val="center" w:pos="4513"/>
        </w:tabs>
      </w:pPr>
      <w:r>
        <w:rPr>
          <w:rStyle w:val="FootnoteReference"/>
        </w:rPr>
        <w:footnoteRef/>
      </w:r>
      <w:r>
        <w:t xml:space="preserve"> </w:t>
      </w:r>
      <w:r w:rsidR="001800E6">
        <w:t xml:space="preserve">‘William Langland, Piers Plowman’, The British Library, (2018), [Online]. Available at </w:t>
      </w:r>
      <w:hyperlink r:id="rId7" w:history="1">
        <w:r w:rsidR="001800E6" w:rsidRPr="009D6CD0">
          <w:rPr>
            <w:rStyle w:val="Hyperlink"/>
          </w:rPr>
          <w:t>http://www.bl.uk/learning/timeline/item126920.html</w:t>
        </w:r>
      </w:hyperlink>
      <w:r w:rsidR="001800E6">
        <w:t>. (Accessed on 13</w:t>
      </w:r>
      <w:r w:rsidR="001800E6" w:rsidRPr="001800E6">
        <w:rPr>
          <w:vertAlign w:val="superscript"/>
        </w:rPr>
        <w:t>th</w:t>
      </w:r>
      <w:r w:rsidR="001800E6">
        <w:t xml:space="preserve"> August 2018).</w:t>
      </w:r>
      <w:r w:rsidR="0023067A">
        <w:tab/>
      </w:r>
    </w:p>
  </w:footnote>
  <w:footnote w:id="28">
    <w:p w:rsidR="003B34D8" w:rsidRDefault="003B34D8">
      <w:pPr>
        <w:pStyle w:val="FootnoteText"/>
      </w:pPr>
      <w:r>
        <w:rPr>
          <w:rStyle w:val="FootnoteReference"/>
        </w:rPr>
        <w:footnoteRef/>
      </w:r>
      <w:r>
        <w:t xml:space="preserve"> </w:t>
      </w:r>
      <w:r w:rsidR="001800E6">
        <w:t xml:space="preserve">K.C. Little, </w:t>
      </w:r>
      <w:r w:rsidR="001800E6" w:rsidRPr="0023067A">
        <w:rPr>
          <w:i/>
        </w:rPr>
        <w:t>Transforming Work: Early Modern Pastoral and Late Medieval Poetry</w:t>
      </w:r>
      <w:r w:rsidR="001800E6">
        <w:rPr>
          <w:i/>
        </w:rPr>
        <w:t xml:space="preserve">, </w:t>
      </w:r>
      <w:r w:rsidR="001800E6">
        <w:t>(Indiana: University of Notre Dame Press, 2013).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94C3D2A"/>
    <w:multiLevelType w:val="hybridMultilevel"/>
    <w:tmpl w:val="A858C0EC"/>
    <w:lvl w:ilvl="0" w:tplc="BC966BEA">
      <w:start w:val="1"/>
      <w:numFmt w:val="lowerLetter"/>
      <w:lvlText w:val="(%1)"/>
      <w:lvlJc w:val="left"/>
      <w:pPr>
        <w:ind w:left="1440"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DB5"/>
    <w:rsid w:val="000211D6"/>
    <w:rsid w:val="00021709"/>
    <w:rsid w:val="00046EC6"/>
    <w:rsid w:val="0009089F"/>
    <w:rsid w:val="000B1C9C"/>
    <w:rsid w:val="000C0934"/>
    <w:rsid w:val="000C220C"/>
    <w:rsid w:val="000C5478"/>
    <w:rsid w:val="000D5BB6"/>
    <w:rsid w:val="000E4679"/>
    <w:rsid w:val="00101E7E"/>
    <w:rsid w:val="001200DA"/>
    <w:rsid w:val="00130724"/>
    <w:rsid w:val="001468A8"/>
    <w:rsid w:val="0016271C"/>
    <w:rsid w:val="00162B05"/>
    <w:rsid w:val="001714F3"/>
    <w:rsid w:val="001800E6"/>
    <w:rsid w:val="00193432"/>
    <w:rsid w:val="0019374C"/>
    <w:rsid w:val="001B560E"/>
    <w:rsid w:val="001B5715"/>
    <w:rsid w:val="001E26BD"/>
    <w:rsid w:val="001E528E"/>
    <w:rsid w:val="001F405D"/>
    <w:rsid w:val="00215FCC"/>
    <w:rsid w:val="0023067A"/>
    <w:rsid w:val="002315EE"/>
    <w:rsid w:val="00247EB8"/>
    <w:rsid w:val="00267132"/>
    <w:rsid w:val="0027188C"/>
    <w:rsid w:val="002818EC"/>
    <w:rsid w:val="002E0797"/>
    <w:rsid w:val="002F04A8"/>
    <w:rsid w:val="002F587A"/>
    <w:rsid w:val="0030107B"/>
    <w:rsid w:val="00316ED0"/>
    <w:rsid w:val="00331C76"/>
    <w:rsid w:val="00355063"/>
    <w:rsid w:val="00355833"/>
    <w:rsid w:val="0036310B"/>
    <w:rsid w:val="00365969"/>
    <w:rsid w:val="00381954"/>
    <w:rsid w:val="00397160"/>
    <w:rsid w:val="003A2828"/>
    <w:rsid w:val="003B34D8"/>
    <w:rsid w:val="003B3D02"/>
    <w:rsid w:val="003B6F53"/>
    <w:rsid w:val="003D28DE"/>
    <w:rsid w:val="003E02AF"/>
    <w:rsid w:val="00400B1A"/>
    <w:rsid w:val="0042063B"/>
    <w:rsid w:val="0042095B"/>
    <w:rsid w:val="00422A04"/>
    <w:rsid w:val="00430013"/>
    <w:rsid w:val="0044384E"/>
    <w:rsid w:val="0045705B"/>
    <w:rsid w:val="004739A9"/>
    <w:rsid w:val="004741E9"/>
    <w:rsid w:val="00475C5F"/>
    <w:rsid w:val="0048653E"/>
    <w:rsid w:val="00487B25"/>
    <w:rsid w:val="00492AB2"/>
    <w:rsid w:val="00495D73"/>
    <w:rsid w:val="004A0425"/>
    <w:rsid w:val="004A2755"/>
    <w:rsid w:val="004B5E8A"/>
    <w:rsid w:val="004C0956"/>
    <w:rsid w:val="004C209C"/>
    <w:rsid w:val="004C4154"/>
    <w:rsid w:val="004D6CBE"/>
    <w:rsid w:val="004E0F9A"/>
    <w:rsid w:val="004E5032"/>
    <w:rsid w:val="004F181E"/>
    <w:rsid w:val="00513CA7"/>
    <w:rsid w:val="00530926"/>
    <w:rsid w:val="00557DB5"/>
    <w:rsid w:val="005615D6"/>
    <w:rsid w:val="00593145"/>
    <w:rsid w:val="005A08C7"/>
    <w:rsid w:val="005A5C82"/>
    <w:rsid w:val="005E3BE3"/>
    <w:rsid w:val="005F4CFC"/>
    <w:rsid w:val="006028CB"/>
    <w:rsid w:val="00610E63"/>
    <w:rsid w:val="00620502"/>
    <w:rsid w:val="00622575"/>
    <w:rsid w:val="00624091"/>
    <w:rsid w:val="00653178"/>
    <w:rsid w:val="00662383"/>
    <w:rsid w:val="0067258E"/>
    <w:rsid w:val="006A11B2"/>
    <w:rsid w:val="006A4433"/>
    <w:rsid w:val="006C2886"/>
    <w:rsid w:val="006C491D"/>
    <w:rsid w:val="006D48C7"/>
    <w:rsid w:val="00703B1D"/>
    <w:rsid w:val="00706089"/>
    <w:rsid w:val="00707670"/>
    <w:rsid w:val="00707A3E"/>
    <w:rsid w:val="00721BC1"/>
    <w:rsid w:val="00723192"/>
    <w:rsid w:val="00726946"/>
    <w:rsid w:val="00753E18"/>
    <w:rsid w:val="007712C5"/>
    <w:rsid w:val="007A0413"/>
    <w:rsid w:val="007A3515"/>
    <w:rsid w:val="007B10DB"/>
    <w:rsid w:val="007F634A"/>
    <w:rsid w:val="00804FBB"/>
    <w:rsid w:val="00811337"/>
    <w:rsid w:val="00824D05"/>
    <w:rsid w:val="008474FD"/>
    <w:rsid w:val="00892784"/>
    <w:rsid w:val="008B0701"/>
    <w:rsid w:val="008B38CA"/>
    <w:rsid w:val="008C0FAC"/>
    <w:rsid w:val="008C3167"/>
    <w:rsid w:val="008D5370"/>
    <w:rsid w:val="008D7A88"/>
    <w:rsid w:val="008E3E07"/>
    <w:rsid w:val="008F49AC"/>
    <w:rsid w:val="0090143F"/>
    <w:rsid w:val="0091114D"/>
    <w:rsid w:val="00941801"/>
    <w:rsid w:val="00941815"/>
    <w:rsid w:val="00966173"/>
    <w:rsid w:val="009726E7"/>
    <w:rsid w:val="00975C40"/>
    <w:rsid w:val="009A5029"/>
    <w:rsid w:val="009A5C60"/>
    <w:rsid w:val="009B426B"/>
    <w:rsid w:val="009C42E9"/>
    <w:rsid w:val="009F05C4"/>
    <w:rsid w:val="00A0058C"/>
    <w:rsid w:val="00A02228"/>
    <w:rsid w:val="00A03FD7"/>
    <w:rsid w:val="00A124E3"/>
    <w:rsid w:val="00A21341"/>
    <w:rsid w:val="00A3293F"/>
    <w:rsid w:val="00A34A90"/>
    <w:rsid w:val="00A42159"/>
    <w:rsid w:val="00A6078B"/>
    <w:rsid w:val="00A73B83"/>
    <w:rsid w:val="00A841AA"/>
    <w:rsid w:val="00A8593D"/>
    <w:rsid w:val="00A877C6"/>
    <w:rsid w:val="00AA4C9D"/>
    <w:rsid w:val="00AB1CF3"/>
    <w:rsid w:val="00AB4AAD"/>
    <w:rsid w:val="00AB58CB"/>
    <w:rsid w:val="00AE047B"/>
    <w:rsid w:val="00AE1490"/>
    <w:rsid w:val="00AE77C6"/>
    <w:rsid w:val="00AE7D56"/>
    <w:rsid w:val="00AF71AA"/>
    <w:rsid w:val="00B17466"/>
    <w:rsid w:val="00B25A24"/>
    <w:rsid w:val="00B275BF"/>
    <w:rsid w:val="00B54524"/>
    <w:rsid w:val="00B75EF2"/>
    <w:rsid w:val="00B827CC"/>
    <w:rsid w:val="00BA0374"/>
    <w:rsid w:val="00BC4316"/>
    <w:rsid w:val="00BC452C"/>
    <w:rsid w:val="00BD0CA7"/>
    <w:rsid w:val="00BE3AED"/>
    <w:rsid w:val="00BF529C"/>
    <w:rsid w:val="00BF72A7"/>
    <w:rsid w:val="00BF7A9D"/>
    <w:rsid w:val="00C05C99"/>
    <w:rsid w:val="00C12BE0"/>
    <w:rsid w:val="00C14C23"/>
    <w:rsid w:val="00C24506"/>
    <w:rsid w:val="00C372C2"/>
    <w:rsid w:val="00C774EC"/>
    <w:rsid w:val="00C8354E"/>
    <w:rsid w:val="00CB00C8"/>
    <w:rsid w:val="00CE161A"/>
    <w:rsid w:val="00CE3760"/>
    <w:rsid w:val="00CF2BA6"/>
    <w:rsid w:val="00D15F77"/>
    <w:rsid w:val="00D24B9F"/>
    <w:rsid w:val="00D41596"/>
    <w:rsid w:val="00D42664"/>
    <w:rsid w:val="00D54E9D"/>
    <w:rsid w:val="00D707D7"/>
    <w:rsid w:val="00D76D03"/>
    <w:rsid w:val="00D81162"/>
    <w:rsid w:val="00D813FD"/>
    <w:rsid w:val="00D867B6"/>
    <w:rsid w:val="00D90FB4"/>
    <w:rsid w:val="00D92AD9"/>
    <w:rsid w:val="00D93468"/>
    <w:rsid w:val="00DA1B5F"/>
    <w:rsid w:val="00DA33D0"/>
    <w:rsid w:val="00DA7F73"/>
    <w:rsid w:val="00DC02F4"/>
    <w:rsid w:val="00DE4D93"/>
    <w:rsid w:val="00DF60FD"/>
    <w:rsid w:val="00E058DD"/>
    <w:rsid w:val="00E06490"/>
    <w:rsid w:val="00E07955"/>
    <w:rsid w:val="00E1005F"/>
    <w:rsid w:val="00E22456"/>
    <w:rsid w:val="00E356E3"/>
    <w:rsid w:val="00E46BE4"/>
    <w:rsid w:val="00E72631"/>
    <w:rsid w:val="00E75113"/>
    <w:rsid w:val="00E764BB"/>
    <w:rsid w:val="00E768D6"/>
    <w:rsid w:val="00E80A90"/>
    <w:rsid w:val="00EC1302"/>
    <w:rsid w:val="00ED2B74"/>
    <w:rsid w:val="00ED7D0A"/>
    <w:rsid w:val="00F02490"/>
    <w:rsid w:val="00F5294D"/>
    <w:rsid w:val="00F539F2"/>
    <w:rsid w:val="00F624BB"/>
    <w:rsid w:val="00F64FB9"/>
    <w:rsid w:val="00F74E8D"/>
    <w:rsid w:val="00FB0D81"/>
    <w:rsid w:val="00FC1A74"/>
    <w:rsid w:val="00FC4719"/>
    <w:rsid w:val="00FE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2E0117-19E3-44B5-A2E4-D5B448578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101E7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DB5"/>
    <w:pPr>
      <w:spacing w:after="200" w:line="276" w:lineRule="auto"/>
      <w:ind w:left="720"/>
      <w:contextualSpacing/>
    </w:pPr>
    <w:rPr>
      <w:rFonts w:ascii="Calibri" w:eastAsia="Calibri" w:hAnsi="Calibri" w:cs="Arial"/>
    </w:rPr>
  </w:style>
  <w:style w:type="character" w:styleId="Hyperlink">
    <w:name w:val="Hyperlink"/>
    <w:basedOn w:val="DefaultParagraphFont"/>
    <w:uiPriority w:val="99"/>
    <w:unhideWhenUsed/>
    <w:rsid w:val="00E1005F"/>
    <w:rPr>
      <w:color w:val="0563C1" w:themeColor="hyperlink"/>
      <w:u w:val="single"/>
    </w:rPr>
  </w:style>
  <w:style w:type="character" w:styleId="FollowedHyperlink">
    <w:name w:val="FollowedHyperlink"/>
    <w:basedOn w:val="DefaultParagraphFont"/>
    <w:uiPriority w:val="99"/>
    <w:semiHidden/>
    <w:unhideWhenUsed/>
    <w:rsid w:val="00C8354E"/>
    <w:rPr>
      <w:color w:val="954F72" w:themeColor="followedHyperlink"/>
      <w:u w:val="single"/>
    </w:rPr>
  </w:style>
  <w:style w:type="character" w:styleId="CommentReference">
    <w:name w:val="annotation reference"/>
    <w:basedOn w:val="DefaultParagraphFont"/>
    <w:uiPriority w:val="99"/>
    <w:semiHidden/>
    <w:unhideWhenUsed/>
    <w:rsid w:val="001F405D"/>
    <w:rPr>
      <w:sz w:val="16"/>
      <w:szCs w:val="16"/>
    </w:rPr>
  </w:style>
  <w:style w:type="paragraph" w:styleId="CommentText">
    <w:name w:val="annotation text"/>
    <w:basedOn w:val="Normal"/>
    <w:link w:val="CommentTextChar"/>
    <w:uiPriority w:val="99"/>
    <w:semiHidden/>
    <w:unhideWhenUsed/>
    <w:rsid w:val="001F405D"/>
    <w:pPr>
      <w:spacing w:line="240" w:lineRule="auto"/>
    </w:pPr>
    <w:rPr>
      <w:sz w:val="20"/>
      <w:szCs w:val="20"/>
    </w:rPr>
  </w:style>
  <w:style w:type="character" w:customStyle="1" w:styleId="CommentTextChar">
    <w:name w:val="Comment Text Char"/>
    <w:basedOn w:val="DefaultParagraphFont"/>
    <w:link w:val="CommentText"/>
    <w:uiPriority w:val="99"/>
    <w:semiHidden/>
    <w:rsid w:val="001F405D"/>
    <w:rPr>
      <w:sz w:val="20"/>
      <w:szCs w:val="20"/>
    </w:rPr>
  </w:style>
  <w:style w:type="paragraph" w:styleId="CommentSubject">
    <w:name w:val="annotation subject"/>
    <w:basedOn w:val="CommentText"/>
    <w:next w:val="CommentText"/>
    <w:link w:val="CommentSubjectChar"/>
    <w:uiPriority w:val="99"/>
    <w:semiHidden/>
    <w:unhideWhenUsed/>
    <w:rsid w:val="001F405D"/>
    <w:rPr>
      <w:b/>
      <w:bCs/>
    </w:rPr>
  </w:style>
  <w:style w:type="character" w:customStyle="1" w:styleId="CommentSubjectChar">
    <w:name w:val="Comment Subject Char"/>
    <w:basedOn w:val="CommentTextChar"/>
    <w:link w:val="CommentSubject"/>
    <w:uiPriority w:val="99"/>
    <w:semiHidden/>
    <w:rsid w:val="001F405D"/>
    <w:rPr>
      <w:b/>
      <w:bCs/>
      <w:sz w:val="20"/>
      <w:szCs w:val="20"/>
    </w:rPr>
  </w:style>
  <w:style w:type="paragraph" w:styleId="BalloonText">
    <w:name w:val="Balloon Text"/>
    <w:basedOn w:val="Normal"/>
    <w:link w:val="BalloonTextChar"/>
    <w:uiPriority w:val="99"/>
    <w:semiHidden/>
    <w:unhideWhenUsed/>
    <w:rsid w:val="001F405D"/>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1F405D"/>
    <w:rPr>
      <w:rFonts w:ascii="Arial" w:hAnsi="Arial" w:cs="Arial"/>
      <w:sz w:val="18"/>
      <w:szCs w:val="18"/>
    </w:rPr>
  </w:style>
  <w:style w:type="character" w:customStyle="1" w:styleId="UnresolvedMention">
    <w:name w:val="Unresolved Mention"/>
    <w:basedOn w:val="DefaultParagraphFont"/>
    <w:uiPriority w:val="99"/>
    <w:semiHidden/>
    <w:unhideWhenUsed/>
    <w:rsid w:val="00AE047B"/>
    <w:rPr>
      <w:color w:val="808080"/>
      <w:shd w:val="clear" w:color="auto" w:fill="E6E6E6"/>
    </w:rPr>
  </w:style>
  <w:style w:type="paragraph" w:styleId="FootnoteText">
    <w:name w:val="footnote text"/>
    <w:basedOn w:val="Normal"/>
    <w:link w:val="FootnoteTextChar"/>
    <w:uiPriority w:val="99"/>
    <w:unhideWhenUsed/>
    <w:rsid w:val="004F181E"/>
    <w:pPr>
      <w:spacing w:after="0" w:line="240" w:lineRule="auto"/>
    </w:pPr>
    <w:rPr>
      <w:sz w:val="20"/>
      <w:szCs w:val="20"/>
    </w:rPr>
  </w:style>
  <w:style w:type="character" w:customStyle="1" w:styleId="FootnoteTextChar">
    <w:name w:val="Footnote Text Char"/>
    <w:basedOn w:val="DefaultParagraphFont"/>
    <w:link w:val="FootnoteText"/>
    <w:uiPriority w:val="99"/>
    <w:rsid w:val="004F181E"/>
    <w:rPr>
      <w:sz w:val="20"/>
      <w:szCs w:val="20"/>
    </w:rPr>
  </w:style>
  <w:style w:type="character" w:styleId="FootnoteReference">
    <w:name w:val="footnote reference"/>
    <w:basedOn w:val="DefaultParagraphFont"/>
    <w:uiPriority w:val="99"/>
    <w:semiHidden/>
    <w:unhideWhenUsed/>
    <w:rsid w:val="004F181E"/>
    <w:rPr>
      <w:vertAlign w:val="superscript"/>
    </w:rPr>
  </w:style>
  <w:style w:type="paragraph" w:styleId="Header">
    <w:name w:val="header"/>
    <w:basedOn w:val="Normal"/>
    <w:link w:val="HeaderChar"/>
    <w:uiPriority w:val="99"/>
    <w:unhideWhenUsed/>
    <w:rsid w:val="00AF7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1AA"/>
  </w:style>
  <w:style w:type="paragraph" w:styleId="Footer">
    <w:name w:val="footer"/>
    <w:basedOn w:val="Normal"/>
    <w:link w:val="FooterChar"/>
    <w:uiPriority w:val="99"/>
    <w:unhideWhenUsed/>
    <w:rsid w:val="00AF7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1AA"/>
  </w:style>
  <w:style w:type="character" w:customStyle="1" w:styleId="Heading3Char">
    <w:name w:val="Heading 3 Char"/>
    <w:basedOn w:val="DefaultParagraphFont"/>
    <w:link w:val="Heading3"/>
    <w:rsid w:val="00101E7E"/>
    <w:rPr>
      <w:rFonts w:ascii="Tahoma" w:eastAsia="SimSun" w:hAnsi="Tahoma" w:cs="Tahoma"/>
      <w:b/>
      <w:bCs/>
      <w:sz w:val="20"/>
      <w:szCs w:val="20"/>
      <w:lang w:eastAsia="zh-CN"/>
    </w:rPr>
  </w:style>
  <w:style w:type="paragraph" w:styleId="NormalWeb">
    <w:name w:val="Normal (Web)"/>
    <w:basedOn w:val="Normal"/>
    <w:rsid w:val="00101E7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uk/collection-items/the-luttrell-psalt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harlemagneseurope.ac.uk/charter-bas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edievalgenealogy.org.uk/guide/wil.shtml" TargetMode="External"/><Relationship Id="rId5" Type="http://schemas.openxmlformats.org/officeDocument/2006/relationships/webSettings" Target="webSettings.xml"/><Relationship Id="rId15" Type="http://schemas.openxmlformats.org/officeDocument/2006/relationships/hyperlink" Target="http://www.bl.uk/learning/timeline/item126920.html" TargetMode="External"/><Relationship Id="rId10" Type="http://schemas.openxmlformats.org/officeDocument/2006/relationships/hyperlink" Target="http://hcl.harvard.edu/libraries/houghton/collections/early_manuscripts/preaching/purpose.cfm" TargetMode="External"/><Relationship Id="rId4" Type="http://schemas.openxmlformats.org/officeDocument/2006/relationships/settings" Target="settings.xml"/><Relationship Id="rId9" Type="http://schemas.openxmlformats.org/officeDocument/2006/relationships/hyperlink" Target="https://www.bl.uk/the-middle-ages/articles/peasants-and-their-role-in-rural-life" TargetMode="External"/><Relationship Id="rId14" Type="http://schemas.openxmlformats.org/officeDocument/2006/relationships/hyperlink" Target="http://www.nationalarchives.gov.uk/help-with-your-research/research-guides/wills-and-probate-before-1858-further-researc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charlemagneseurope.ac.uk/charter-basics/" TargetMode="External"/><Relationship Id="rId7" Type="http://schemas.openxmlformats.org/officeDocument/2006/relationships/hyperlink" Target="http://www.bl.uk/learning/timeline/item126920.html" TargetMode="External"/><Relationship Id="rId2" Type="http://schemas.openxmlformats.org/officeDocument/2006/relationships/hyperlink" Target="http://www.nationalarchives.gov.uk/help-with-your-research/research-guides/wills-and-probate-before-1858-further-research/" TargetMode="External"/><Relationship Id="rId1" Type="http://schemas.openxmlformats.org/officeDocument/2006/relationships/hyperlink" Target="http://www.medievalgenealogy.org.uk/guide/wil.shtml" TargetMode="External"/><Relationship Id="rId6" Type="http://schemas.openxmlformats.org/officeDocument/2006/relationships/hyperlink" Target="http://hcl.harvard.edu/libraries/houghton/collections/early_manuscripts/preaching/purpose.cfm" TargetMode="External"/><Relationship Id="rId5" Type="http://schemas.openxmlformats.org/officeDocument/2006/relationships/hyperlink" Target="https://www.bl.uk/collection-items/the-luttrell-psalter" TargetMode="External"/><Relationship Id="rId4" Type="http://schemas.openxmlformats.org/officeDocument/2006/relationships/hyperlink" Target="https://www.bl.uk/the-middle-ages/articles/peasants-and-their-role-in-rura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A7EAA-9490-4C2D-8217-653B33870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1047</TotalTime>
  <Pages>13</Pages>
  <Words>3227</Words>
  <Characters>18395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 Caisey</cp:lastModifiedBy>
  <cp:revision>143</cp:revision>
  <dcterms:created xsi:type="dcterms:W3CDTF">2018-07-16T13:44:00Z</dcterms:created>
  <dcterms:modified xsi:type="dcterms:W3CDTF">2018-08-27T13:20:00Z</dcterms:modified>
</cp:coreProperties>
</file>