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5A7A8" w14:textId="77777777" w:rsidR="00B71D34" w:rsidRPr="00C14EF4" w:rsidRDefault="00B71D34" w:rsidP="00B71D34">
      <w:pPr>
        <w:spacing w:line="278" w:lineRule="auto"/>
        <w:rPr>
          <w:color w:val="000000" w:themeColor="text1"/>
        </w:rPr>
      </w:pPr>
      <w:r w:rsidRPr="00C14EF4">
        <w:rPr>
          <w:rFonts w:cs="Arial"/>
          <w:noProof/>
          <w:color w:val="000000" w:themeColor="text1"/>
        </w:rPr>
        <w:drawing>
          <wp:anchor distT="0" distB="0" distL="114300" distR="114300" simplePos="0" relativeHeight="251659264" behindDoc="0" locked="0" layoutInCell="1" allowOverlap="1" wp14:anchorId="7EF88B00" wp14:editId="1FF97E9B">
            <wp:simplePos x="0" y="0"/>
            <wp:positionH relativeFrom="margin">
              <wp:align>center</wp:align>
            </wp:positionH>
            <wp:positionV relativeFrom="paragraph">
              <wp:posOffset>0</wp:posOffset>
            </wp:positionV>
            <wp:extent cx="1809750" cy="723900"/>
            <wp:effectExtent l="0" t="0" r="0" b="0"/>
            <wp:wrapSquare wrapText="bothSides"/>
            <wp:docPr id="1995606523" name="Picture 19956065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54DAC2D" w14:textId="77777777" w:rsidR="00B71D34" w:rsidRPr="00C14EF4" w:rsidRDefault="00B71D34" w:rsidP="00B71D34">
      <w:pPr>
        <w:spacing w:line="278" w:lineRule="auto"/>
        <w:rPr>
          <w:color w:val="000000" w:themeColor="text1"/>
        </w:rPr>
      </w:pPr>
    </w:p>
    <w:p w14:paraId="2FD31383" w14:textId="77777777" w:rsidR="00B71D34" w:rsidRPr="00C14EF4" w:rsidRDefault="00B71D34" w:rsidP="00B71D34">
      <w:pPr>
        <w:spacing w:line="278" w:lineRule="auto"/>
        <w:rPr>
          <w:color w:val="000000" w:themeColor="text1"/>
        </w:rPr>
      </w:pPr>
    </w:p>
    <w:p w14:paraId="4FA06846" w14:textId="77777777" w:rsidR="00B71D34" w:rsidRPr="00C14EF4" w:rsidRDefault="00B71D34" w:rsidP="00B71D34">
      <w:pPr>
        <w:jc w:val="center"/>
        <w:rPr>
          <w:b/>
          <w:bCs/>
          <w:color w:val="000000" w:themeColor="text1"/>
          <w:sz w:val="36"/>
          <w:szCs w:val="36"/>
        </w:rPr>
      </w:pPr>
    </w:p>
    <w:p w14:paraId="57CD1D8B" w14:textId="77777777" w:rsidR="00B71D34" w:rsidRPr="00C14EF4" w:rsidRDefault="00B71D34" w:rsidP="00B71D34">
      <w:pPr>
        <w:rPr>
          <w:b/>
          <w:bCs/>
          <w:color w:val="000000" w:themeColor="text1"/>
          <w:sz w:val="36"/>
          <w:szCs w:val="36"/>
        </w:rPr>
      </w:pPr>
      <w:r>
        <w:rPr>
          <w:b/>
          <w:bCs/>
          <w:color w:val="000000" w:themeColor="text1"/>
          <w:sz w:val="36"/>
          <w:szCs w:val="36"/>
        </w:rPr>
        <w:t>Assignment Title:</w:t>
      </w:r>
    </w:p>
    <w:tbl>
      <w:tblPr>
        <w:tblStyle w:val="TableGrid"/>
        <w:tblW w:w="0" w:type="auto"/>
        <w:tblLook w:val="04A0" w:firstRow="1" w:lastRow="0" w:firstColumn="1" w:lastColumn="0" w:noHBand="0" w:noVBand="1"/>
      </w:tblPr>
      <w:tblGrid>
        <w:gridCol w:w="9016"/>
      </w:tblGrid>
      <w:tr w:rsidR="00B71D34" w14:paraId="7B1F8790" w14:textId="77777777" w:rsidTr="004434E9">
        <w:tc>
          <w:tcPr>
            <w:tcW w:w="9350" w:type="dxa"/>
          </w:tcPr>
          <w:p w14:paraId="72F34EB6" w14:textId="77777777" w:rsidR="00B71D34" w:rsidRDefault="00B71D34" w:rsidP="004434E9">
            <w:pPr>
              <w:jc w:val="center"/>
              <w:rPr>
                <w:b/>
                <w:bCs/>
                <w:color w:val="000000" w:themeColor="text1"/>
                <w:sz w:val="36"/>
                <w:szCs w:val="36"/>
              </w:rPr>
            </w:pPr>
            <w:r w:rsidRPr="00093629">
              <w:rPr>
                <w:b/>
                <w:bCs/>
                <w:color w:val="000000" w:themeColor="text1"/>
                <w:sz w:val="36"/>
                <w:szCs w:val="36"/>
              </w:rPr>
              <w:t>Individual report</w:t>
            </w:r>
            <w:r>
              <w:rPr>
                <w:b/>
                <w:bCs/>
                <w:color w:val="000000" w:themeColor="text1"/>
                <w:sz w:val="36"/>
                <w:szCs w:val="36"/>
              </w:rPr>
              <w:t xml:space="preserve"> </w:t>
            </w:r>
          </w:p>
        </w:tc>
      </w:tr>
    </w:tbl>
    <w:p w14:paraId="03A08B70" w14:textId="77777777" w:rsidR="00B71D34" w:rsidRDefault="00B71D34" w:rsidP="00B71D34">
      <w:pPr>
        <w:rPr>
          <w:b/>
          <w:bCs/>
          <w:color w:val="000000" w:themeColor="text1"/>
          <w:sz w:val="36"/>
          <w:szCs w:val="36"/>
        </w:rPr>
      </w:pPr>
    </w:p>
    <w:tbl>
      <w:tblPr>
        <w:tblStyle w:val="TableGrid"/>
        <w:tblW w:w="9493" w:type="dxa"/>
        <w:tblLook w:val="04A0" w:firstRow="1" w:lastRow="0" w:firstColumn="1" w:lastColumn="0" w:noHBand="0" w:noVBand="1"/>
      </w:tblPr>
      <w:tblGrid>
        <w:gridCol w:w="1980"/>
        <w:gridCol w:w="3456"/>
        <w:gridCol w:w="2497"/>
        <w:gridCol w:w="1560"/>
      </w:tblGrid>
      <w:tr w:rsidR="00B71D34" w:rsidRPr="00CF0E1E" w14:paraId="597F5EA6"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111FF5C"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Student Name:</w:t>
            </w:r>
          </w:p>
        </w:tc>
        <w:tc>
          <w:tcPr>
            <w:tcW w:w="3456" w:type="dxa"/>
            <w:tcBorders>
              <w:top w:val="single" w:sz="4" w:space="0" w:color="auto"/>
              <w:left w:val="single" w:sz="4" w:space="0" w:color="auto"/>
              <w:bottom w:val="single" w:sz="4" w:space="0" w:color="auto"/>
              <w:right w:val="single" w:sz="4" w:space="0" w:color="auto"/>
            </w:tcBorders>
            <w:hideMark/>
          </w:tcPr>
          <w:p w14:paraId="6A7E44AF"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 xml:space="preserve">Keshu </w:t>
            </w:r>
            <w:proofErr w:type="spellStart"/>
            <w:r w:rsidRPr="00A30A49">
              <w:rPr>
                <w:rFonts w:ascii="Arial" w:hAnsi="Arial" w:cs="Arial"/>
                <w:b/>
                <w:bCs/>
                <w:color w:val="000000" w:themeColor="text1"/>
              </w:rPr>
              <w:t>Jivabhai</w:t>
            </w:r>
            <w:proofErr w:type="spellEnd"/>
            <w:r w:rsidRPr="00A30A49">
              <w:rPr>
                <w:rFonts w:ascii="Arial" w:hAnsi="Arial" w:cs="Arial"/>
                <w:b/>
                <w:bCs/>
                <w:color w:val="000000" w:themeColor="text1"/>
              </w:rPr>
              <w:t xml:space="preserve"> </w:t>
            </w:r>
            <w:proofErr w:type="spellStart"/>
            <w:r w:rsidRPr="00A30A49">
              <w:rPr>
                <w:rFonts w:ascii="Arial" w:hAnsi="Arial" w:cs="Arial"/>
                <w:b/>
                <w:bCs/>
                <w:color w:val="000000" w:themeColor="text1"/>
              </w:rPr>
              <w:t>Karavadra</w:t>
            </w:r>
            <w:proofErr w:type="spellEnd"/>
          </w:p>
        </w:tc>
        <w:tc>
          <w:tcPr>
            <w:tcW w:w="2497"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91DECBB"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Student ID No.:</w:t>
            </w:r>
          </w:p>
        </w:tc>
        <w:tc>
          <w:tcPr>
            <w:tcW w:w="1560" w:type="dxa"/>
            <w:tcBorders>
              <w:top w:val="single" w:sz="4" w:space="0" w:color="auto"/>
              <w:left w:val="single" w:sz="4" w:space="0" w:color="auto"/>
              <w:bottom w:val="single" w:sz="4" w:space="0" w:color="auto"/>
              <w:right w:val="single" w:sz="4" w:space="0" w:color="auto"/>
            </w:tcBorders>
            <w:hideMark/>
          </w:tcPr>
          <w:p w14:paraId="5C0F7EC6"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2439531</w:t>
            </w:r>
          </w:p>
        </w:tc>
      </w:tr>
      <w:tr w:rsidR="00B71D34" w:rsidRPr="00CF0E1E" w14:paraId="7759918B"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65EF5A7"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Programme:</w:t>
            </w:r>
          </w:p>
        </w:tc>
        <w:tc>
          <w:tcPr>
            <w:tcW w:w="7513" w:type="dxa"/>
            <w:gridSpan w:val="3"/>
            <w:tcBorders>
              <w:top w:val="single" w:sz="4" w:space="0" w:color="auto"/>
              <w:left w:val="single" w:sz="4" w:space="0" w:color="auto"/>
              <w:bottom w:val="single" w:sz="4" w:space="0" w:color="auto"/>
              <w:right w:val="single" w:sz="4" w:space="0" w:color="auto"/>
            </w:tcBorders>
            <w:hideMark/>
          </w:tcPr>
          <w:p w14:paraId="0402B800"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Master of Business Administration – International Business</w:t>
            </w:r>
          </w:p>
        </w:tc>
      </w:tr>
      <w:tr w:rsidR="00B71D34" w:rsidRPr="00CF0E1E" w14:paraId="5048E851"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2316E84"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Module:</w:t>
            </w:r>
          </w:p>
        </w:tc>
        <w:tc>
          <w:tcPr>
            <w:tcW w:w="3456" w:type="dxa"/>
            <w:tcBorders>
              <w:top w:val="single" w:sz="4" w:space="0" w:color="auto"/>
              <w:left w:val="single" w:sz="4" w:space="0" w:color="auto"/>
              <w:bottom w:val="single" w:sz="4" w:space="0" w:color="auto"/>
              <w:right w:val="single" w:sz="4" w:space="0" w:color="auto"/>
            </w:tcBorders>
            <w:hideMark/>
          </w:tcPr>
          <w:p w14:paraId="7D69A2E1" w14:textId="7B6C29A4" w:rsidR="00B71D34" w:rsidRPr="00A30A49" w:rsidRDefault="00B71D34" w:rsidP="004434E9">
            <w:pPr>
              <w:spacing w:after="160"/>
              <w:rPr>
                <w:rFonts w:ascii="Arial" w:hAnsi="Arial" w:cs="Arial"/>
                <w:b/>
                <w:bCs/>
                <w:color w:val="000000" w:themeColor="text1"/>
              </w:rPr>
            </w:pPr>
            <w:r>
              <w:rPr>
                <w:rFonts w:ascii="Arial" w:hAnsi="Arial" w:cs="Arial"/>
                <w:b/>
                <w:bCs/>
                <w:color w:val="000000" w:themeColor="text1"/>
              </w:rPr>
              <w:t xml:space="preserve">Strategic Management  </w:t>
            </w:r>
          </w:p>
        </w:tc>
        <w:tc>
          <w:tcPr>
            <w:tcW w:w="2497"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89A8547"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Module Code:</w:t>
            </w:r>
          </w:p>
        </w:tc>
        <w:tc>
          <w:tcPr>
            <w:tcW w:w="1560" w:type="dxa"/>
            <w:tcBorders>
              <w:top w:val="single" w:sz="4" w:space="0" w:color="auto"/>
              <w:left w:val="single" w:sz="4" w:space="0" w:color="auto"/>
              <w:bottom w:val="single" w:sz="4" w:space="0" w:color="auto"/>
              <w:right w:val="single" w:sz="4" w:space="0" w:color="auto"/>
            </w:tcBorders>
            <w:hideMark/>
          </w:tcPr>
          <w:p w14:paraId="3AF7D23B" w14:textId="0B7CB3E9"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LCMB70</w:t>
            </w:r>
            <w:r>
              <w:rPr>
                <w:rFonts w:ascii="Arial" w:hAnsi="Arial" w:cs="Arial"/>
                <w:b/>
                <w:bCs/>
                <w:color w:val="000000" w:themeColor="text1"/>
              </w:rPr>
              <w:t>03</w:t>
            </w:r>
          </w:p>
        </w:tc>
      </w:tr>
      <w:tr w:rsidR="00B71D34" w:rsidRPr="00CF0E1E" w14:paraId="4BF7DD7B" w14:textId="77777777" w:rsidTr="004434E9">
        <w:tc>
          <w:tcPr>
            <w:tcW w:w="1980"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8053ED3"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Lecturer:</w:t>
            </w:r>
          </w:p>
        </w:tc>
        <w:tc>
          <w:tcPr>
            <w:tcW w:w="3456" w:type="dxa"/>
            <w:tcBorders>
              <w:top w:val="single" w:sz="4" w:space="0" w:color="auto"/>
              <w:left w:val="single" w:sz="4" w:space="0" w:color="auto"/>
              <w:bottom w:val="single" w:sz="4" w:space="0" w:color="auto"/>
              <w:right w:val="single" w:sz="4" w:space="0" w:color="auto"/>
            </w:tcBorders>
            <w:hideMark/>
          </w:tcPr>
          <w:p w14:paraId="1C47DE80" w14:textId="58741A8A" w:rsidR="00B71D34" w:rsidRPr="00597955" w:rsidRDefault="00B71D34" w:rsidP="004434E9">
            <w:pPr>
              <w:spacing w:after="160"/>
              <w:rPr>
                <w:rFonts w:ascii="Arial" w:hAnsi="Arial" w:cs="Arial"/>
                <w:b/>
                <w:bCs/>
                <w:color w:val="000000" w:themeColor="text1"/>
              </w:rPr>
            </w:pPr>
            <w:proofErr w:type="spellStart"/>
            <w:r>
              <w:rPr>
                <w:rFonts w:ascii="Arial" w:eastAsia="Arial" w:hAnsi="Arial" w:cs="Arial"/>
                <w:b/>
              </w:rPr>
              <w:t>Zulf</w:t>
            </w:r>
            <w:proofErr w:type="spellEnd"/>
            <w:r>
              <w:rPr>
                <w:rFonts w:ascii="Arial" w:eastAsia="Arial" w:hAnsi="Arial" w:cs="Arial"/>
                <w:b/>
              </w:rPr>
              <w:t xml:space="preserve"> Khan</w:t>
            </w:r>
            <w:r w:rsidRPr="00597955">
              <w:rPr>
                <w:rFonts w:ascii="Arial" w:eastAsia="Arial" w:hAnsi="Arial" w:cs="Arial"/>
                <w:b/>
              </w:rPr>
              <w:t xml:space="preserve"> </w:t>
            </w:r>
            <w:r w:rsidRPr="00597955">
              <w:rPr>
                <w:rFonts w:ascii="Arial" w:hAnsi="Arial" w:cs="Arial"/>
                <w:b/>
                <w:bCs/>
                <w:color w:val="000000" w:themeColor="text1"/>
              </w:rPr>
              <w:t>(Birmingham)</w:t>
            </w:r>
          </w:p>
        </w:tc>
        <w:tc>
          <w:tcPr>
            <w:tcW w:w="2497"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C2F90AC" w14:textId="77777777" w:rsidR="00B71D34" w:rsidRPr="00A30A49" w:rsidRDefault="00B71D34" w:rsidP="004434E9">
            <w:pPr>
              <w:spacing w:after="160"/>
              <w:rPr>
                <w:rFonts w:ascii="Arial" w:hAnsi="Arial" w:cs="Arial"/>
                <w:b/>
                <w:bCs/>
                <w:color w:val="000000" w:themeColor="text1"/>
              </w:rPr>
            </w:pPr>
            <w:r w:rsidRPr="00A30A49">
              <w:rPr>
                <w:rFonts w:ascii="Arial" w:hAnsi="Arial" w:cs="Arial"/>
                <w:b/>
                <w:bCs/>
                <w:color w:val="000000" w:themeColor="text1"/>
              </w:rPr>
              <w:t>Submission Date:</w:t>
            </w:r>
          </w:p>
        </w:tc>
        <w:tc>
          <w:tcPr>
            <w:tcW w:w="1560"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7CDC47E" w14:textId="47CB7671" w:rsidR="00B71D34" w:rsidRPr="00A30A49" w:rsidRDefault="00B71D34" w:rsidP="004434E9">
            <w:pPr>
              <w:spacing w:after="160"/>
              <w:rPr>
                <w:rFonts w:ascii="Arial" w:hAnsi="Arial" w:cs="Arial"/>
                <w:b/>
                <w:bCs/>
                <w:color w:val="000000" w:themeColor="text1"/>
              </w:rPr>
            </w:pPr>
            <w:r>
              <w:rPr>
                <w:rFonts w:ascii="Arial" w:hAnsi="Arial" w:cs="Arial"/>
                <w:b/>
                <w:bCs/>
                <w:color w:val="000000" w:themeColor="text1"/>
              </w:rPr>
              <w:t>01</w:t>
            </w:r>
            <w:r w:rsidRPr="00A30A49">
              <w:rPr>
                <w:rFonts w:ascii="Arial" w:hAnsi="Arial" w:cs="Arial"/>
                <w:b/>
                <w:bCs/>
                <w:color w:val="000000" w:themeColor="text1"/>
              </w:rPr>
              <w:t>/0</w:t>
            </w:r>
            <w:r>
              <w:rPr>
                <w:rFonts w:ascii="Arial" w:hAnsi="Arial" w:cs="Arial"/>
                <w:b/>
                <w:bCs/>
                <w:color w:val="000000" w:themeColor="text1"/>
              </w:rPr>
              <w:t>4</w:t>
            </w:r>
            <w:r w:rsidRPr="00A30A49">
              <w:rPr>
                <w:rFonts w:ascii="Arial" w:hAnsi="Arial" w:cs="Arial"/>
                <w:b/>
                <w:bCs/>
                <w:color w:val="000000" w:themeColor="text1"/>
              </w:rPr>
              <w:t>/2026</w:t>
            </w:r>
          </w:p>
        </w:tc>
      </w:tr>
    </w:tbl>
    <w:p w14:paraId="415BAA2D"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br w:type="page"/>
      </w:r>
    </w:p>
    <w:p w14:paraId="749C4E32" w14:textId="77777777" w:rsidR="00AA48EB" w:rsidRPr="00D32803" w:rsidRDefault="00AA48EB" w:rsidP="00AA48EB">
      <w:pPr>
        <w:jc w:val="center"/>
        <w:rPr>
          <w:rFonts w:ascii="Arial" w:eastAsia="Aptos" w:hAnsi="Arial" w:cs="Arial"/>
          <w:b/>
          <w:bCs/>
          <w:kern w:val="0"/>
          <w:sz w:val="28"/>
          <w:szCs w:val="28"/>
          <w:lang w:val="en-US" w:bidi="bn-BD"/>
        </w:rPr>
      </w:pPr>
      <w:r w:rsidRPr="00D32803">
        <w:rPr>
          <w:rFonts w:ascii="Arial" w:eastAsia="Aptos" w:hAnsi="Arial" w:cs="Arial"/>
          <w:b/>
          <w:bCs/>
          <w:kern w:val="0"/>
          <w:sz w:val="28"/>
          <w:szCs w:val="28"/>
          <w:lang w:val="en-US" w:bidi="bn-BD"/>
        </w:rPr>
        <w:lastRenderedPageBreak/>
        <w:t>Table of Contents</w:t>
      </w:r>
    </w:p>
    <w:p w14:paraId="2B70C9CE" w14:textId="77777777" w:rsidR="00AA48EB" w:rsidRPr="00D32803" w:rsidRDefault="00AA48EB" w:rsidP="00AA48EB">
      <w:pPr>
        <w:jc w:val="center"/>
        <w:rPr>
          <w:rFonts w:ascii="Arial" w:eastAsia="Aptos" w:hAnsi="Arial" w:cs="Arial"/>
          <w:b/>
          <w:bCs/>
          <w:kern w:val="0"/>
          <w:sz w:val="28"/>
          <w:szCs w:val="28"/>
          <w:lang w:val="en-US" w:bidi="bn-BD"/>
        </w:rPr>
      </w:pPr>
    </w:p>
    <w:p w14:paraId="20FA9E35"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SECTION 1: STRATEGIC ANALYSIS</w:t>
      </w:r>
    </w:p>
    <w:p w14:paraId="49941DD6"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1.0 </w:t>
      </w:r>
      <w:proofErr w:type="spellStart"/>
      <w:r w:rsidRPr="00D32803">
        <w:rPr>
          <w:rFonts w:ascii="Arial" w:eastAsia="Aptos" w:hAnsi="Arial" w:cs="Arial"/>
          <w:kern w:val="0"/>
          <w:sz w:val="24"/>
          <w:szCs w:val="24"/>
          <w:lang w:val="en-US" w:bidi="bn-BD"/>
        </w:rPr>
        <w:t>Organisational</w:t>
      </w:r>
      <w:proofErr w:type="spellEnd"/>
      <w:r w:rsidRPr="00D32803">
        <w:rPr>
          <w:rFonts w:ascii="Arial" w:eastAsia="Aptos" w:hAnsi="Arial" w:cs="Arial"/>
          <w:kern w:val="0"/>
          <w:sz w:val="24"/>
          <w:szCs w:val="24"/>
          <w:lang w:val="en-US" w:bidi="bn-BD"/>
        </w:rPr>
        <w:t xml:space="preserve"> Context </w:t>
      </w:r>
      <w:r>
        <w:rPr>
          <w:rFonts w:ascii="Arial" w:eastAsia="Aptos" w:hAnsi="Arial" w:cs="Arial"/>
          <w:kern w:val="0"/>
          <w:sz w:val="24"/>
          <w:szCs w:val="24"/>
          <w:lang w:val="en-US" w:bidi="bn-BD"/>
        </w:rPr>
        <w:t>and Overview………………………………………. 3-5</w:t>
      </w:r>
      <w:r w:rsidRPr="00D32803">
        <w:rPr>
          <w:rFonts w:ascii="Arial" w:eastAsia="Aptos" w:hAnsi="Arial" w:cs="Arial"/>
          <w:kern w:val="0"/>
          <w:sz w:val="24"/>
          <w:szCs w:val="24"/>
          <w:lang w:val="en-US" w:bidi="bn-BD"/>
        </w:rPr>
        <w:br/>
      </w:r>
    </w:p>
    <w:p w14:paraId="524978A0"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2.0 External and Internal Env</w:t>
      </w:r>
      <w:r>
        <w:rPr>
          <w:rFonts w:ascii="Arial" w:eastAsia="Aptos" w:hAnsi="Arial" w:cs="Arial"/>
          <w:kern w:val="0"/>
          <w:sz w:val="24"/>
          <w:szCs w:val="24"/>
          <w:lang w:val="en-US" w:bidi="bn-BD"/>
        </w:rPr>
        <w:t>ironment Analysis………………………………. 5</w:t>
      </w:r>
      <w:r w:rsidRPr="00D32803">
        <w:rPr>
          <w:rFonts w:ascii="Arial" w:eastAsia="Aptos" w:hAnsi="Arial" w:cs="Arial"/>
          <w:kern w:val="0"/>
          <w:sz w:val="24"/>
          <w:szCs w:val="24"/>
          <w:lang w:val="en-US" w:bidi="bn-BD"/>
        </w:rPr>
        <w:t>-11</w:t>
      </w:r>
      <w:r w:rsidRPr="00D32803">
        <w:rPr>
          <w:rFonts w:ascii="Arial" w:eastAsia="Aptos" w:hAnsi="Arial" w:cs="Arial"/>
          <w:kern w:val="0"/>
          <w:sz w:val="24"/>
          <w:szCs w:val="24"/>
          <w:lang w:val="en-US" w:bidi="bn-BD"/>
        </w:rPr>
        <w:br/>
      </w:r>
    </w:p>
    <w:p w14:paraId="67A582D1"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3.0 Corporate Social Responsibility an</w:t>
      </w:r>
      <w:r>
        <w:rPr>
          <w:rFonts w:ascii="Arial" w:eastAsia="Aptos" w:hAnsi="Arial" w:cs="Arial"/>
          <w:kern w:val="0"/>
          <w:sz w:val="24"/>
          <w:szCs w:val="24"/>
          <w:lang w:val="en-US" w:bidi="bn-BD"/>
        </w:rPr>
        <w:t>d Sustainability Goals…………………</w:t>
      </w:r>
      <w:r w:rsidRPr="00D32803">
        <w:rPr>
          <w:rFonts w:ascii="Arial" w:eastAsia="Aptos" w:hAnsi="Arial" w:cs="Arial"/>
          <w:kern w:val="0"/>
          <w:sz w:val="24"/>
          <w:szCs w:val="24"/>
          <w:lang w:val="en-US" w:bidi="bn-BD"/>
        </w:rPr>
        <w:t>12</w:t>
      </w:r>
      <w:r w:rsidRPr="00D32803">
        <w:rPr>
          <w:rFonts w:ascii="Arial" w:eastAsia="Aptos" w:hAnsi="Arial" w:cs="Arial"/>
          <w:kern w:val="0"/>
          <w:sz w:val="24"/>
          <w:szCs w:val="24"/>
          <w:lang w:val="en-US" w:bidi="bn-BD"/>
        </w:rPr>
        <w:br/>
      </w:r>
    </w:p>
    <w:p w14:paraId="53986CF5"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4.0 Overall and Holistic Perspective: Balanced Scorecard An</w:t>
      </w:r>
      <w:r>
        <w:rPr>
          <w:rFonts w:ascii="Arial" w:eastAsia="Aptos" w:hAnsi="Arial" w:cs="Arial"/>
          <w:kern w:val="0"/>
          <w:sz w:val="24"/>
          <w:szCs w:val="24"/>
          <w:lang w:val="en-US" w:bidi="bn-BD"/>
        </w:rPr>
        <w:t>alysis………….13-16</w:t>
      </w:r>
      <w:r w:rsidRPr="00D32803">
        <w:rPr>
          <w:rFonts w:ascii="Arial" w:eastAsia="Aptos" w:hAnsi="Arial" w:cs="Arial"/>
          <w:kern w:val="0"/>
          <w:sz w:val="24"/>
          <w:szCs w:val="24"/>
          <w:lang w:val="en-US" w:bidi="bn-BD"/>
        </w:rPr>
        <w:br/>
      </w:r>
    </w:p>
    <w:p w14:paraId="1998D576"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5.0 Strategic Decisions and</w:t>
      </w:r>
      <w:r>
        <w:rPr>
          <w:rFonts w:ascii="Arial" w:eastAsia="Aptos" w:hAnsi="Arial" w:cs="Arial"/>
          <w:kern w:val="0"/>
          <w:sz w:val="24"/>
          <w:szCs w:val="24"/>
          <w:lang w:val="en-US" w:bidi="bn-BD"/>
        </w:rPr>
        <w:t xml:space="preserve"> Implementation…………………………………….16</w:t>
      </w:r>
      <w:r w:rsidRPr="00D32803">
        <w:rPr>
          <w:rFonts w:ascii="Arial" w:eastAsia="Aptos" w:hAnsi="Arial" w:cs="Arial"/>
          <w:kern w:val="0"/>
          <w:sz w:val="24"/>
          <w:szCs w:val="24"/>
          <w:lang w:val="en-US" w:bidi="bn-BD"/>
        </w:rPr>
        <w:t>-17</w:t>
      </w:r>
      <w:r w:rsidRPr="00D32803">
        <w:rPr>
          <w:rFonts w:ascii="Arial" w:eastAsia="Aptos" w:hAnsi="Arial" w:cs="Arial"/>
          <w:kern w:val="0"/>
          <w:sz w:val="24"/>
          <w:szCs w:val="24"/>
          <w:lang w:val="en-US" w:bidi="bn-BD"/>
        </w:rPr>
        <w:br/>
      </w:r>
    </w:p>
    <w:p w14:paraId="1741DD45"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kern w:val="0"/>
          <w:sz w:val="24"/>
          <w:szCs w:val="24"/>
          <w:lang w:val="en-US" w:bidi="bn-BD"/>
        </w:rPr>
        <w:t>6.0 Strategic Evaluation and</w:t>
      </w:r>
      <w:r>
        <w:rPr>
          <w:rFonts w:ascii="Arial" w:eastAsia="Aptos" w:hAnsi="Arial" w:cs="Arial"/>
          <w:kern w:val="0"/>
          <w:sz w:val="24"/>
          <w:szCs w:val="24"/>
          <w:lang w:val="en-US" w:bidi="bn-BD"/>
        </w:rPr>
        <w:t xml:space="preserve"> Recommendations………………………………. 18-21</w:t>
      </w:r>
      <w:r w:rsidRPr="00D32803">
        <w:rPr>
          <w:rFonts w:ascii="Arial" w:eastAsia="Aptos" w:hAnsi="Arial" w:cs="Arial"/>
          <w:b/>
          <w:bCs/>
          <w:kern w:val="0"/>
          <w:sz w:val="24"/>
          <w:szCs w:val="24"/>
          <w:lang w:val="en-US" w:bidi="bn-BD"/>
        </w:rPr>
        <w:br/>
      </w:r>
    </w:p>
    <w:p w14:paraId="54D26BE5"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SECTION 2: REFLECTIVE ACCOUNT</w:t>
      </w:r>
    </w:p>
    <w:p w14:paraId="27820324"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Gibbs Reflective </w:t>
      </w:r>
      <w:r>
        <w:rPr>
          <w:rFonts w:ascii="Arial" w:eastAsia="Aptos" w:hAnsi="Arial" w:cs="Arial"/>
          <w:kern w:val="0"/>
          <w:sz w:val="24"/>
          <w:szCs w:val="24"/>
          <w:lang w:val="en-US" w:bidi="bn-BD"/>
        </w:rPr>
        <w:t>Cycle……………………………………………………………. 21</w:t>
      </w:r>
      <w:r w:rsidRPr="00D32803">
        <w:rPr>
          <w:rFonts w:ascii="Arial" w:eastAsia="Aptos" w:hAnsi="Arial" w:cs="Arial"/>
          <w:kern w:val="0"/>
          <w:sz w:val="24"/>
          <w:szCs w:val="24"/>
          <w:lang w:val="en-US" w:bidi="bn-BD"/>
        </w:rPr>
        <w:t>-23</w:t>
      </w:r>
    </w:p>
    <w:p w14:paraId="41BF327A" w14:textId="77777777" w:rsidR="00AA48EB" w:rsidRPr="00D32803" w:rsidRDefault="00AA48EB" w:rsidP="00AA48EB">
      <w:pPr>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REFERENCES…………………………………………</w:t>
      </w:r>
      <w:r>
        <w:rPr>
          <w:rFonts w:ascii="Arial" w:eastAsia="Aptos" w:hAnsi="Arial" w:cs="Arial"/>
          <w:kern w:val="0"/>
          <w:sz w:val="24"/>
          <w:szCs w:val="24"/>
          <w:lang w:val="en-US" w:bidi="bn-BD"/>
        </w:rPr>
        <w:t>…………………………. 24</w:t>
      </w:r>
      <w:r w:rsidRPr="00D32803">
        <w:rPr>
          <w:rFonts w:ascii="Arial" w:eastAsia="Aptos" w:hAnsi="Arial" w:cs="Arial"/>
          <w:kern w:val="0"/>
          <w:sz w:val="24"/>
          <w:szCs w:val="24"/>
          <w:lang w:val="en-US" w:bidi="bn-BD"/>
        </w:rPr>
        <w:t>-28</w:t>
      </w:r>
    </w:p>
    <w:p w14:paraId="5F004736" w14:textId="77777777" w:rsidR="00AA48EB" w:rsidRPr="00D32803" w:rsidRDefault="00AA48EB" w:rsidP="00AA48EB">
      <w:pPr>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br w:type="page"/>
      </w:r>
    </w:p>
    <w:p w14:paraId="28B8DB1B"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SECTION 1: STRATEGIC ANALYSIS</w:t>
      </w:r>
    </w:p>
    <w:p w14:paraId="56BA514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 xml:space="preserve">1.0 </w:t>
      </w:r>
      <w:proofErr w:type="spellStart"/>
      <w:r>
        <w:rPr>
          <w:rFonts w:ascii="Arial" w:eastAsia="Aptos" w:hAnsi="Arial" w:cs="Arial"/>
          <w:b/>
          <w:bCs/>
          <w:kern w:val="0"/>
          <w:sz w:val="24"/>
          <w:szCs w:val="24"/>
          <w:lang w:val="en-US" w:bidi="bn-BD"/>
        </w:rPr>
        <w:t>Organisational</w:t>
      </w:r>
      <w:proofErr w:type="spellEnd"/>
      <w:r w:rsidRPr="00D32803">
        <w:rPr>
          <w:rFonts w:ascii="Arial" w:eastAsia="Aptos" w:hAnsi="Arial" w:cs="Arial"/>
          <w:b/>
          <w:bCs/>
          <w:kern w:val="0"/>
          <w:sz w:val="24"/>
          <w:szCs w:val="24"/>
          <w:lang w:val="en-US" w:bidi="bn-BD"/>
        </w:rPr>
        <w:t xml:space="preserve"> Context and Overview.</w:t>
      </w:r>
    </w:p>
    <w:p w14:paraId="44CD1305"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1.1 Company overview and historical review.</w:t>
      </w:r>
    </w:p>
    <w:p w14:paraId="0A5F74D2"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Unilever PLC is a British transnational consumer goods company, one of the largest fast-moving consumer goods (FMCG) companies in the world. It was established in 1929 as a result of the merger of a British soap manufacturer</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Lever Brothers</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with a Dutch margarine producer, Margarine </w:t>
      </w:r>
      <w:proofErr w:type="spellStart"/>
      <w:r w:rsidRPr="00D32803">
        <w:rPr>
          <w:rFonts w:ascii="Arial" w:eastAsia="Aptos" w:hAnsi="Arial" w:cs="Arial"/>
          <w:bCs/>
          <w:kern w:val="0"/>
          <w:sz w:val="24"/>
          <w:szCs w:val="24"/>
          <w:lang w:val="en-US" w:bidi="bn-BD"/>
        </w:rPr>
        <w:t>Unie</w:t>
      </w:r>
      <w:proofErr w:type="spellEnd"/>
      <w:r w:rsidRPr="00D32803">
        <w:rPr>
          <w:rFonts w:ascii="Arial" w:eastAsia="Aptos" w:hAnsi="Arial" w:cs="Arial"/>
          <w:bCs/>
          <w:kern w:val="0"/>
          <w:sz w:val="24"/>
          <w:szCs w:val="24"/>
          <w:lang w:val="en-US" w:bidi="bn-BD"/>
        </w:rPr>
        <w:t xml:space="preserve">, which formed a dual-listed company structure, which remained in use until unification under a single, London-based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in 2020 (Jones, 2005). Unilever has its headquarters in London, the United Kingdom, and operates in around 190 countries and employs more than 127,000 people worldwide (Unilever, 2023a).</w:t>
      </w:r>
    </w:p>
    <w:p w14:paraId="0B115324" w14:textId="517FC9D0"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mission statement of Unilever focuses on its goal: it strives to make a sustainable life a standard practice (Unilever, 2023b). The vision of the company explains the goals to become the global leader in sustainable business and prove that purpose-oriented business models would achieve the highest performance. Such vision indicates what Collins and Porras (1996) define as a core ideology which encompasses a combination of core values and the vision of what one wishes to be in future.</w:t>
      </w:r>
    </w:p>
    <w:p w14:paraId="32AF3E0E" w14:textId="53951EFD"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business model of Unilever functions under three main segments: Beauty and Wellbeing, Personal Care and Home Care</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with a minor Foods and Refreshment division that was introduced recently as a result of portfolio restructuring (Unilever Annual Report, 2023). The brand-centric approach that the company has adopted is to control more than 400 brands yet invest in only about 30 power brands such as Dove, Hellmann's, Knorr, Axe/Lynx, and Sunsilk. This portfolio strategy can be seen as a reflection of what Prahalad and Hamel (1990) described as the use of core competencies in numerous applications in the market.</w:t>
      </w:r>
    </w:p>
    <w:p w14:paraId="07EC7ED9"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1.2 Industry Analysis, Market Position.</w:t>
      </w:r>
    </w:p>
    <w:p w14:paraId="16CB038E" w14:textId="77777777" w:rsidR="00AA48EB" w:rsidRPr="005E7AB5" w:rsidRDefault="00AA48EB" w:rsidP="00AA48EB">
      <w:pPr>
        <w:spacing w:line="360" w:lineRule="auto"/>
        <w:rPr>
          <w:rFonts w:ascii="Arial" w:eastAsia="Aptos" w:hAnsi="Arial" w:cs="Arial"/>
          <w:bCs/>
          <w:kern w:val="0"/>
          <w:sz w:val="24"/>
          <w:szCs w:val="24"/>
          <w:lang w:val="en-US" w:bidi="bn-BD"/>
        </w:rPr>
      </w:pPr>
    </w:p>
    <w:tbl>
      <w:tblPr>
        <w:tblStyle w:val="TableGrid1"/>
        <w:tblW w:w="10687" w:type="dxa"/>
        <w:tblInd w:w="-832" w:type="dxa"/>
        <w:tblLook w:val="04A0" w:firstRow="1" w:lastRow="0" w:firstColumn="1" w:lastColumn="0" w:noHBand="0" w:noVBand="1"/>
      </w:tblPr>
      <w:tblGrid>
        <w:gridCol w:w="1310"/>
        <w:gridCol w:w="1697"/>
        <w:gridCol w:w="2452"/>
        <w:gridCol w:w="5228"/>
      </w:tblGrid>
      <w:tr w:rsidR="00AA48EB" w:rsidRPr="005E7AB5" w14:paraId="3EB3B398" w14:textId="77777777" w:rsidTr="004434E9">
        <w:trPr>
          <w:trHeight w:val="979"/>
        </w:trPr>
        <w:tc>
          <w:tcPr>
            <w:tcW w:w="0" w:type="auto"/>
            <w:noWrap/>
            <w:hideMark/>
          </w:tcPr>
          <w:p w14:paraId="05542552"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lastRenderedPageBreak/>
              <w:t>Company</w:t>
            </w:r>
          </w:p>
        </w:tc>
        <w:tc>
          <w:tcPr>
            <w:tcW w:w="1697" w:type="dxa"/>
            <w:noWrap/>
            <w:hideMark/>
          </w:tcPr>
          <w:p w14:paraId="08288040"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t>Main Areas of Competition</w:t>
            </w:r>
          </w:p>
        </w:tc>
        <w:tc>
          <w:tcPr>
            <w:tcW w:w="2452" w:type="dxa"/>
            <w:noWrap/>
            <w:hideMark/>
          </w:tcPr>
          <w:p w14:paraId="14CCD957"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t>Approximate Global Position/Share*</w:t>
            </w:r>
          </w:p>
        </w:tc>
        <w:tc>
          <w:tcPr>
            <w:tcW w:w="5228" w:type="dxa"/>
            <w:noWrap/>
            <w:hideMark/>
          </w:tcPr>
          <w:p w14:paraId="11BA9A07" w14:textId="77777777" w:rsidR="00AA48EB" w:rsidRPr="005E7AB5" w:rsidRDefault="00AA48EB" w:rsidP="004434E9">
            <w:pPr>
              <w:spacing w:after="160" w:line="360" w:lineRule="auto"/>
              <w:rPr>
                <w:rFonts w:ascii="Arial" w:eastAsia="Aptos" w:hAnsi="Arial" w:cs="Arial"/>
                <w:b/>
                <w:bCs/>
                <w:sz w:val="24"/>
                <w:szCs w:val="24"/>
              </w:rPr>
            </w:pPr>
            <w:r w:rsidRPr="005E7AB5">
              <w:rPr>
                <w:rFonts w:ascii="Arial" w:eastAsia="Aptos" w:hAnsi="Arial" w:cs="Arial"/>
                <w:b/>
                <w:bCs/>
                <w:sz w:val="24"/>
                <w:szCs w:val="24"/>
              </w:rPr>
              <w:t>How They Compete with Unilever</w:t>
            </w:r>
          </w:p>
        </w:tc>
      </w:tr>
      <w:tr w:rsidR="00AA48EB" w:rsidRPr="005E7AB5" w14:paraId="153CECAC" w14:textId="77777777" w:rsidTr="004434E9">
        <w:trPr>
          <w:trHeight w:val="2612"/>
        </w:trPr>
        <w:tc>
          <w:tcPr>
            <w:tcW w:w="0" w:type="auto"/>
            <w:hideMark/>
          </w:tcPr>
          <w:p w14:paraId="0EFD98C7"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Unilever</w:t>
            </w:r>
          </w:p>
        </w:tc>
        <w:tc>
          <w:tcPr>
            <w:tcW w:w="1697" w:type="dxa"/>
            <w:hideMark/>
          </w:tcPr>
          <w:p w14:paraId="31DAB381"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Beauty and Wellbeing, Personal Care, Home Care, Foods, Ice Cream</w:t>
            </w:r>
          </w:p>
        </w:tc>
        <w:tc>
          <w:tcPr>
            <w:tcW w:w="2452" w:type="dxa"/>
            <w:hideMark/>
          </w:tcPr>
          <w:p w14:paraId="2E2531F5"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Approx. 4.3% global FMCG market share (Statista, 2024)</w:t>
            </w:r>
          </w:p>
        </w:tc>
        <w:tc>
          <w:tcPr>
            <w:tcW w:w="5228" w:type="dxa"/>
            <w:hideMark/>
          </w:tcPr>
          <w:p w14:paraId="63FA5287"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brand equity, sustainability positioning, global distribution and emerging market strength</w:t>
            </w:r>
          </w:p>
        </w:tc>
      </w:tr>
      <w:tr w:rsidR="00AA48EB" w:rsidRPr="005E7AB5" w14:paraId="23805B18" w14:textId="77777777" w:rsidTr="004434E9">
        <w:trPr>
          <w:trHeight w:val="2622"/>
        </w:trPr>
        <w:tc>
          <w:tcPr>
            <w:tcW w:w="0" w:type="auto"/>
            <w:hideMark/>
          </w:tcPr>
          <w:p w14:paraId="5D503DFA"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Procter &amp; Gamble</w:t>
            </w:r>
          </w:p>
        </w:tc>
        <w:tc>
          <w:tcPr>
            <w:tcW w:w="1697" w:type="dxa"/>
            <w:hideMark/>
          </w:tcPr>
          <w:p w14:paraId="6A668233"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Personal Care, Fabric Care, Home Care, Grooming, Baby Care</w:t>
            </w:r>
          </w:p>
        </w:tc>
        <w:tc>
          <w:tcPr>
            <w:tcW w:w="2452" w:type="dxa"/>
            <w:hideMark/>
          </w:tcPr>
          <w:p w14:paraId="799DCB52"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One of the top global FMCG firms, ahead of Unilever in several household and personal care categories (Statista, 2024)</w:t>
            </w:r>
          </w:p>
        </w:tc>
        <w:tc>
          <w:tcPr>
            <w:tcW w:w="5228" w:type="dxa"/>
            <w:hideMark/>
          </w:tcPr>
          <w:p w14:paraId="358DFF1A"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superior marketing execution, innovation, premium product performance and category focus</w:t>
            </w:r>
          </w:p>
        </w:tc>
      </w:tr>
      <w:tr w:rsidR="00AA48EB" w:rsidRPr="005E7AB5" w14:paraId="33A97792" w14:textId="77777777" w:rsidTr="004434E9">
        <w:trPr>
          <w:trHeight w:val="2206"/>
        </w:trPr>
        <w:tc>
          <w:tcPr>
            <w:tcW w:w="0" w:type="auto"/>
            <w:hideMark/>
          </w:tcPr>
          <w:p w14:paraId="0E33689C"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Nestlé</w:t>
            </w:r>
          </w:p>
        </w:tc>
        <w:tc>
          <w:tcPr>
            <w:tcW w:w="1697" w:type="dxa"/>
            <w:hideMark/>
          </w:tcPr>
          <w:p w14:paraId="6540E7AF"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Food, Beverages, Nutrition, Health Science, Confectionery</w:t>
            </w:r>
          </w:p>
        </w:tc>
        <w:tc>
          <w:tcPr>
            <w:tcW w:w="2452" w:type="dxa"/>
            <w:hideMark/>
          </w:tcPr>
          <w:p w14:paraId="06051B90"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Largest global FMCG player by market scale (Statista, 2024)</w:t>
            </w:r>
          </w:p>
        </w:tc>
        <w:tc>
          <w:tcPr>
            <w:tcW w:w="5228" w:type="dxa"/>
            <w:hideMark/>
          </w:tcPr>
          <w:p w14:paraId="0CFF27E0"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food category leadership, R&amp;D scale, nutrition positioning and global distribution</w:t>
            </w:r>
          </w:p>
        </w:tc>
      </w:tr>
      <w:tr w:rsidR="00AA48EB" w:rsidRPr="005E7AB5" w14:paraId="20AD8557" w14:textId="77777777" w:rsidTr="004434E9">
        <w:trPr>
          <w:trHeight w:val="1791"/>
        </w:trPr>
        <w:tc>
          <w:tcPr>
            <w:tcW w:w="0" w:type="auto"/>
            <w:hideMark/>
          </w:tcPr>
          <w:p w14:paraId="075CE28D"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Reckitt</w:t>
            </w:r>
          </w:p>
        </w:tc>
        <w:tc>
          <w:tcPr>
            <w:tcW w:w="1697" w:type="dxa"/>
            <w:hideMark/>
          </w:tcPr>
          <w:p w14:paraId="116BEBC8"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Health, Hygiene, Nutrition, Home Care</w:t>
            </w:r>
          </w:p>
        </w:tc>
        <w:tc>
          <w:tcPr>
            <w:tcW w:w="2452" w:type="dxa"/>
            <w:hideMark/>
          </w:tcPr>
          <w:p w14:paraId="7440FFBD"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Smaller overall scale than Unilever but strong in selected categories (Euromonitor, 2024)</w:t>
            </w:r>
          </w:p>
        </w:tc>
        <w:tc>
          <w:tcPr>
            <w:tcW w:w="5228" w:type="dxa"/>
            <w:hideMark/>
          </w:tcPr>
          <w:p w14:paraId="7C9FFCAD" w14:textId="77777777" w:rsidR="00AA48EB" w:rsidRPr="005E7AB5" w:rsidRDefault="00AA48EB" w:rsidP="004434E9">
            <w:pPr>
              <w:spacing w:after="160" w:line="360" w:lineRule="auto"/>
              <w:rPr>
                <w:rFonts w:ascii="Arial" w:eastAsia="Aptos" w:hAnsi="Arial" w:cs="Arial"/>
                <w:bCs/>
                <w:sz w:val="24"/>
                <w:szCs w:val="24"/>
              </w:rPr>
            </w:pPr>
            <w:r w:rsidRPr="005E7AB5">
              <w:rPr>
                <w:rFonts w:ascii="Arial" w:eastAsia="Aptos" w:hAnsi="Arial" w:cs="Arial"/>
                <w:bCs/>
                <w:sz w:val="24"/>
                <w:szCs w:val="24"/>
              </w:rPr>
              <w:t>Competes through focused category leadership, product efficacy claims and faster decision-making in narrower segments</w:t>
            </w:r>
          </w:p>
        </w:tc>
      </w:tr>
    </w:tbl>
    <w:p w14:paraId="3BE12443" w14:textId="77777777" w:rsidR="00AA48EB" w:rsidRPr="00AA48EB" w:rsidRDefault="00AA48EB" w:rsidP="00AA48EB">
      <w:pPr>
        <w:spacing w:line="360" w:lineRule="auto"/>
        <w:jc w:val="center"/>
        <w:rPr>
          <w:rFonts w:ascii="Arial" w:eastAsia="Aptos" w:hAnsi="Arial" w:cs="Arial"/>
          <w:bCs/>
          <w:i/>
          <w:iCs/>
          <w:kern w:val="0"/>
          <w:u w:val="single"/>
          <w:lang w:val="en-US" w:bidi="bn-BD"/>
        </w:rPr>
      </w:pPr>
      <w:r w:rsidRPr="00AA48EB">
        <w:rPr>
          <w:rFonts w:ascii="Arial" w:eastAsia="Aptos" w:hAnsi="Arial" w:cs="Arial"/>
          <w:b/>
          <w:bCs/>
          <w:i/>
          <w:iCs/>
          <w:kern w:val="0"/>
          <w:u w:val="single"/>
          <w:lang w:val="en-US" w:bidi="bn-BD"/>
        </w:rPr>
        <w:t>Table 1: Comparison of Unilever and Major FMCG Competitors</w:t>
      </w:r>
    </w:p>
    <w:p w14:paraId="4738E705" w14:textId="58382AEA" w:rsidR="00AA48EB" w:rsidRPr="005667B5" w:rsidRDefault="00AA48EB" w:rsidP="00750398">
      <w:pPr>
        <w:spacing w:line="360" w:lineRule="auto"/>
        <w:jc w:val="both"/>
        <w:rPr>
          <w:rFonts w:ascii="Arial" w:eastAsia="Aptos" w:hAnsi="Arial" w:cs="Arial"/>
          <w:bCs/>
          <w:kern w:val="0"/>
          <w:sz w:val="24"/>
          <w:szCs w:val="24"/>
          <w:lang w:val="en-US" w:bidi="bn-BD"/>
        </w:rPr>
      </w:pPr>
      <w:r w:rsidRPr="005667B5">
        <w:rPr>
          <w:rFonts w:ascii="Arial" w:eastAsia="Aptos" w:hAnsi="Arial" w:cs="Arial"/>
          <w:bCs/>
          <w:kern w:val="0"/>
          <w:sz w:val="24"/>
          <w:szCs w:val="24"/>
          <w:lang w:val="en-US" w:bidi="bn-BD"/>
        </w:rPr>
        <w:t>Unilever is a competitive global FMCG company whose success is determined by the strength of the brand, innovation, efficiency in distribution and pricing power. It has two major competitors</w:t>
      </w:r>
      <w:r>
        <w:rPr>
          <w:rFonts w:ascii="Arial" w:eastAsia="Aptos" w:hAnsi="Arial" w:cs="Arial"/>
          <w:bCs/>
          <w:kern w:val="0"/>
          <w:sz w:val="24"/>
          <w:szCs w:val="24"/>
          <w:lang w:val="en-US" w:bidi="bn-BD"/>
        </w:rPr>
        <w:t>,</w:t>
      </w:r>
      <w:r w:rsidRPr="005667B5">
        <w:rPr>
          <w:rFonts w:ascii="Arial" w:eastAsia="Aptos" w:hAnsi="Arial" w:cs="Arial"/>
          <w:bCs/>
          <w:kern w:val="0"/>
          <w:sz w:val="24"/>
          <w:szCs w:val="24"/>
          <w:lang w:val="en-US" w:bidi="bn-BD"/>
        </w:rPr>
        <w:t xml:space="preserve"> such as Procter and Gamble, Nestle and Reckitt that compete </w:t>
      </w:r>
      <w:r w:rsidRPr="005667B5">
        <w:rPr>
          <w:rFonts w:ascii="Arial" w:eastAsia="Aptos" w:hAnsi="Arial" w:cs="Arial"/>
          <w:bCs/>
          <w:kern w:val="0"/>
          <w:sz w:val="24"/>
          <w:szCs w:val="24"/>
          <w:lang w:val="en-US" w:bidi="bn-BD"/>
        </w:rPr>
        <w:lastRenderedPageBreak/>
        <w:t xml:space="preserve">within the same consumer category but with different strategic focus. The nearest competitor is Procter and Gamble, especially in the areas of beauty, personal and home care and tends to be more profitable in the areas of speed of innovation and margin discipline as it has a more focused portfolio. Nestle is more of </w:t>
      </w:r>
      <w:r>
        <w:rPr>
          <w:rFonts w:ascii="Arial" w:eastAsia="Aptos" w:hAnsi="Arial" w:cs="Arial"/>
          <w:bCs/>
          <w:kern w:val="0"/>
          <w:sz w:val="24"/>
          <w:szCs w:val="24"/>
          <w:lang w:val="en-US" w:bidi="bn-BD"/>
        </w:rPr>
        <w:t xml:space="preserve">a </w:t>
      </w:r>
      <w:r w:rsidRPr="005667B5">
        <w:rPr>
          <w:rFonts w:ascii="Arial" w:eastAsia="Aptos" w:hAnsi="Arial" w:cs="Arial"/>
          <w:bCs/>
          <w:kern w:val="0"/>
          <w:sz w:val="24"/>
          <w:szCs w:val="24"/>
          <w:lang w:val="en-US" w:bidi="bn-BD"/>
        </w:rPr>
        <w:t xml:space="preserve">food and </w:t>
      </w:r>
      <w:r>
        <w:rPr>
          <w:rFonts w:ascii="Arial" w:eastAsia="Aptos" w:hAnsi="Arial" w:cs="Arial"/>
          <w:bCs/>
          <w:kern w:val="0"/>
          <w:sz w:val="24"/>
          <w:szCs w:val="24"/>
          <w:lang w:val="en-US" w:bidi="bn-BD"/>
        </w:rPr>
        <w:t>beverage company</w:t>
      </w:r>
      <w:r w:rsidRPr="005667B5">
        <w:rPr>
          <w:rFonts w:ascii="Arial" w:eastAsia="Aptos" w:hAnsi="Arial" w:cs="Arial"/>
          <w:bCs/>
          <w:kern w:val="0"/>
          <w:sz w:val="24"/>
          <w:szCs w:val="24"/>
          <w:lang w:val="en-US" w:bidi="bn-BD"/>
        </w:rPr>
        <w:t>, which has high category concentration, whereas Reckitt concentrates on hygiene, health and household products. In general, the key problem facing Unilever cannot be scaled but rather greater strategic coherence and performance than equally large and competitive players in the global FMCG market.</w:t>
      </w:r>
    </w:p>
    <w:p w14:paraId="6D038BFF"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2.0 External and internal environment Analysis.</w:t>
      </w:r>
    </w:p>
    <w:p w14:paraId="3C1EA608"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sidRPr="0013748A">
        <w:rPr>
          <w:rFonts w:ascii="Arial" w:eastAsia="Aptos" w:hAnsi="Arial" w:cs="Arial"/>
          <w:b/>
          <w:bCs/>
          <w:kern w:val="0"/>
          <w:sz w:val="24"/>
          <w:szCs w:val="24"/>
          <w:lang w:val="en-US" w:bidi="bn-BD"/>
        </w:rPr>
        <w:t>2.1 Externa</w:t>
      </w:r>
      <w:r>
        <w:rPr>
          <w:rFonts w:ascii="Arial" w:eastAsia="Aptos" w:hAnsi="Arial" w:cs="Arial"/>
          <w:b/>
          <w:bCs/>
          <w:kern w:val="0"/>
          <w:sz w:val="24"/>
          <w:szCs w:val="24"/>
          <w:lang w:val="en-US" w:bidi="bn-BD"/>
        </w:rPr>
        <w:t>l Environment: PESTEL Analysis.</w:t>
      </w:r>
    </w:p>
    <w:p w14:paraId="7ED44610" w14:textId="17D8AD21"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PESTEL analysis is a strategic concept that is employed to evaluate macro environmental forces that affect the performance and strategic decision-making of </w:t>
      </w:r>
      <w:proofErr w:type="spellStart"/>
      <w:r w:rsidRPr="005E7AB5">
        <w:rPr>
          <w:rFonts w:ascii="Arial" w:eastAsia="Aptos" w:hAnsi="Arial" w:cs="Arial"/>
          <w:bCs/>
          <w:kern w:val="0"/>
          <w:sz w:val="24"/>
          <w:szCs w:val="24"/>
          <w:lang w:val="en-US" w:bidi="bn-BD"/>
        </w:rPr>
        <w:t>organisations</w:t>
      </w:r>
      <w:proofErr w:type="spellEnd"/>
      <w:r w:rsidRPr="005E7AB5">
        <w:rPr>
          <w:rFonts w:ascii="Arial" w:eastAsia="Aptos" w:hAnsi="Arial" w:cs="Arial"/>
          <w:bCs/>
          <w:kern w:val="0"/>
          <w:sz w:val="24"/>
          <w:szCs w:val="24"/>
          <w:lang w:val="en-US" w:bidi="bn-BD"/>
        </w:rPr>
        <w:t xml:space="preserve">. According to Johnson, Scholes and Whittington (2017), it allows the companies to </w:t>
      </w:r>
      <w:proofErr w:type="spellStart"/>
      <w:r>
        <w:rPr>
          <w:rFonts w:ascii="Arial" w:eastAsia="Aptos" w:hAnsi="Arial" w:cs="Arial"/>
          <w:bCs/>
          <w:kern w:val="0"/>
          <w:sz w:val="24"/>
          <w:szCs w:val="24"/>
          <w:lang w:val="en-US" w:bidi="bn-BD"/>
        </w:rPr>
        <w:t>recognise</w:t>
      </w:r>
      <w:proofErr w:type="spellEnd"/>
      <w:r w:rsidRPr="005E7AB5">
        <w:rPr>
          <w:rFonts w:ascii="Arial" w:eastAsia="Aptos" w:hAnsi="Arial" w:cs="Arial"/>
          <w:bCs/>
          <w:kern w:val="0"/>
          <w:sz w:val="24"/>
          <w:szCs w:val="24"/>
          <w:lang w:val="en-US" w:bidi="bn-BD"/>
        </w:rPr>
        <w:t xml:space="preserve"> any external opportunities, threats and constraints that influence long-term competitiveness. In the case of Unilever, a company with operations in almost 190 countries, PESTEL is very applicable since its growth, profitability, supply chain strength and brand image are intensely influenced by political, economic, social, technological, environmental and legal fluctuations. The framework is used to assess the external pressures that are aligned to the strategic focus of Unilever, such as the growth, portfolio </w:t>
      </w:r>
      <w:proofErr w:type="spellStart"/>
      <w:r w:rsidRPr="005E7AB5">
        <w:rPr>
          <w:rFonts w:ascii="Arial" w:eastAsia="Aptos" w:hAnsi="Arial" w:cs="Arial"/>
          <w:bCs/>
          <w:kern w:val="0"/>
          <w:sz w:val="24"/>
          <w:szCs w:val="24"/>
          <w:lang w:val="en-US" w:bidi="bn-BD"/>
        </w:rPr>
        <w:t>optimisation</w:t>
      </w:r>
      <w:proofErr w:type="spellEnd"/>
      <w:r w:rsidRPr="005E7AB5">
        <w:rPr>
          <w:rFonts w:ascii="Arial" w:eastAsia="Aptos" w:hAnsi="Arial" w:cs="Arial"/>
          <w:bCs/>
          <w:kern w:val="0"/>
          <w:sz w:val="24"/>
          <w:szCs w:val="24"/>
          <w:lang w:val="en-US" w:bidi="bn-BD"/>
        </w:rPr>
        <w:t xml:space="preserve">, digital transformation </w:t>
      </w:r>
      <w:r>
        <w:rPr>
          <w:rFonts w:ascii="Arial" w:eastAsia="Aptos" w:hAnsi="Arial" w:cs="Arial"/>
          <w:bCs/>
          <w:kern w:val="0"/>
          <w:sz w:val="24"/>
          <w:szCs w:val="24"/>
          <w:lang w:val="en-US" w:bidi="bn-BD"/>
        </w:rPr>
        <w:t>and sustainability integration.</w:t>
      </w:r>
    </w:p>
    <w:p w14:paraId="3090C6C1"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2.1.1 Political Factors</w:t>
      </w:r>
    </w:p>
    <w:p w14:paraId="3D25A62A" w14:textId="1BECFADC"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Unilever is affected politically by trade policies, geopolitical instability and intervention by the state. Unilever</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being a multinational FMCG company</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relies on global sourcing and distribution</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therefore</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it is susceptible to trade barriers and tariffs. The regulatory divergence between the UK and </w:t>
      </w:r>
      <w:r>
        <w:rPr>
          <w:rFonts w:ascii="Arial" w:eastAsia="Aptos" w:hAnsi="Arial" w:cs="Arial"/>
          <w:bCs/>
          <w:kern w:val="0"/>
          <w:sz w:val="24"/>
          <w:szCs w:val="24"/>
          <w:lang w:val="en-US" w:bidi="bn-BD"/>
        </w:rPr>
        <w:t xml:space="preserve">the </w:t>
      </w:r>
      <w:r w:rsidRPr="005E7AB5">
        <w:rPr>
          <w:rFonts w:ascii="Arial" w:eastAsia="Aptos" w:hAnsi="Arial" w:cs="Arial"/>
          <w:bCs/>
          <w:kern w:val="0"/>
          <w:sz w:val="24"/>
          <w:szCs w:val="24"/>
          <w:lang w:val="en-US" w:bidi="bn-BD"/>
        </w:rPr>
        <w:t>EU that has followed the UK departing the EU has enhanced complexity and cost in administration (House of Commons Library, 2023). Also, operational and reputational risks to companies in the impacted locations have been caused by geopolitical conflicts</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including the Russia-Ukr</w:t>
      </w:r>
      <w:r>
        <w:rPr>
          <w:rFonts w:ascii="Arial" w:eastAsia="Aptos" w:hAnsi="Arial" w:cs="Arial"/>
          <w:bCs/>
          <w:kern w:val="0"/>
          <w:sz w:val="24"/>
          <w:szCs w:val="24"/>
          <w:lang w:val="en-US" w:bidi="bn-BD"/>
        </w:rPr>
        <w:t>aine war (Reuters, 2023a).</w:t>
      </w:r>
    </w:p>
    <w:p w14:paraId="6864811B" w14:textId="6BA6913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lastRenderedPageBreak/>
        <w:t xml:space="preserve">Sustainability regulations are also on the increase through government intervention. The Corporate Sustainability Reporting Directive (CSRD) of the European Union mandates that more information should be disclosed about the environmental and social performance (European Commission, 2023). Such policies increase </w:t>
      </w:r>
      <w:r>
        <w:rPr>
          <w:rFonts w:ascii="Arial" w:eastAsia="Aptos" w:hAnsi="Arial" w:cs="Arial"/>
          <w:bCs/>
          <w:kern w:val="0"/>
          <w:sz w:val="24"/>
          <w:szCs w:val="24"/>
          <w:lang w:val="en-US" w:bidi="bn-BD"/>
        </w:rPr>
        <w:t xml:space="preserve">the </w:t>
      </w:r>
      <w:r w:rsidRPr="005E7AB5">
        <w:rPr>
          <w:rFonts w:ascii="Arial" w:eastAsia="Aptos" w:hAnsi="Arial" w:cs="Arial"/>
          <w:bCs/>
          <w:kern w:val="0"/>
          <w:sz w:val="24"/>
          <w:szCs w:val="24"/>
          <w:lang w:val="en-US" w:bidi="bn-BD"/>
        </w:rPr>
        <w:t xml:space="preserve">costs of compliance and </w:t>
      </w:r>
      <w:proofErr w:type="spellStart"/>
      <w:r>
        <w:rPr>
          <w:rFonts w:ascii="Arial" w:eastAsia="Aptos" w:hAnsi="Arial" w:cs="Arial"/>
          <w:bCs/>
          <w:kern w:val="0"/>
          <w:sz w:val="24"/>
          <w:szCs w:val="24"/>
          <w:lang w:val="en-US" w:bidi="bn-BD"/>
        </w:rPr>
        <w:t>generalise</w:t>
      </w:r>
      <w:proofErr w:type="spellEnd"/>
      <w:r w:rsidRPr="005E7AB5">
        <w:rPr>
          <w:rFonts w:ascii="Arial" w:eastAsia="Aptos" w:hAnsi="Arial" w:cs="Arial"/>
          <w:bCs/>
          <w:kern w:val="0"/>
          <w:sz w:val="24"/>
          <w:szCs w:val="24"/>
          <w:lang w:val="en-US" w:bidi="bn-BD"/>
        </w:rPr>
        <w:t xml:space="preserve"> the expectations of the stakeholders. Unilever will be required, therefore, to cope with political risks at an early stage in different institutional settings to ensure</w:t>
      </w:r>
      <w:r>
        <w:rPr>
          <w:rFonts w:ascii="Arial" w:eastAsia="Aptos" w:hAnsi="Arial" w:cs="Arial"/>
          <w:bCs/>
          <w:kern w:val="0"/>
          <w:sz w:val="24"/>
          <w:szCs w:val="24"/>
          <w:lang w:val="en-US" w:bidi="bn-BD"/>
        </w:rPr>
        <w:t xml:space="preserve"> stability and competitiveness.</w:t>
      </w:r>
    </w:p>
    <w:p w14:paraId="72B9DF91"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2.1.2 Economic Factors</w:t>
      </w:r>
    </w:p>
    <w:p w14:paraId="5FC2BA0E" w14:textId="1A666AE0"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Consumer demand, costs and profitability in </w:t>
      </w:r>
      <w:r>
        <w:rPr>
          <w:rFonts w:ascii="Arial" w:eastAsia="Aptos" w:hAnsi="Arial" w:cs="Arial"/>
          <w:bCs/>
          <w:kern w:val="0"/>
          <w:sz w:val="24"/>
          <w:szCs w:val="24"/>
          <w:lang w:val="en-US" w:bidi="bn-BD"/>
        </w:rPr>
        <w:t xml:space="preserve">the </w:t>
      </w:r>
      <w:r w:rsidRPr="005E7AB5">
        <w:rPr>
          <w:rFonts w:ascii="Arial" w:eastAsia="Aptos" w:hAnsi="Arial" w:cs="Arial"/>
          <w:bCs/>
          <w:kern w:val="0"/>
          <w:sz w:val="24"/>
          <w:szCs w:val="24"/>
          <w:lang w:val="en-US" w:bidi="bn-BD"/>
        </w:rPr>
        <w:t>FMCG sector are directly related to economic conditions. In 2022-2023, the costs of raw materials, packaging, transport and energy became particularly high due to inflation (OECD, 2023). Unilever reacted by raising prices because it needed to safeguard profits, yet this decreased demand because consumers grew price-sensitive (Unilever, 2024a). This brings the dilemma of profit</w:t>
      </w:r>
      <w:r>
        <w:rPr>
          <w:rFonts w:ascii="Arial" w:eastAsia="Aptos" w:hAnsi="Arial" w:cs="Arial"/>
          <w:bCs/>
          <w:kern w:val="0"/>
          <w:sz w:val="24"/>
          <w:szCs w:val="24"/>
          <w:lang w:val="en-US" w:bidi="bn-BD"/>
        </w:rPr>
        <w:t>ability and affordability.</w:t>
      </w:r>
    </w:p>
    <w:p w14:paraId="4C689901" w14:textId="369AC794"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The chance of growth varies in regions. Saturated markets are those developed and emerging markets </w:t>
      </w:r>
      <w:r>
        <w:rPr>
          <w:rFonts w:ascii="Arial" w:eastAsia="Aptos" w:hAnsi="Arial" w:cs="Arial"/>
          <w:bCs/>
          <w:kern w:val="0"/>
          <w:sz w:val="24"/>
          <w:szCs w:val="24"/>
          <w:lang w:val="en-US" w:bidi="bn-BD"/>
        </w:rPr>
        <w:t xml:space="preserve">that </w:t>
      </w:r>
      <w:r w:rsidRPr="005E7AB5">
        <w:rPr>
          <w:rFonts w:ascii="Arial" w:eastAsia="Aptos" w:hAnsi="Arial" w:cs="Arial"/>
          <w:bCs/>
          <w:kern w:val="0"/>
          <w:sz w:val="24"/>
          <w:szCs w:val="24"/>
          <w:lang w:val="en-US" w:bidi="bn-BD"/>
        </w:rPr>
        <w:t xml:space="preserve">provide development with </w:t>
      </w:r>
      <w:r>
        <w:rPr>
          <w:rFonts w:ascii="Arial" w:eastAsia="Aptos" w:hAnsi="Arial" w:cs="Arial"/>
          <w:bCs/>
          <w:kern w:val="0"/>
          <w:sz w:val="24"/>
          <w:szCs w:val="24"/>
          <w:lang w:val="en-US" w:bidi="bn-BD"/>
        </w:rPr>
        <w:t xml:space="preserve">an </w:t>
      </w:r>
      <w:r w:rsidRPr="005E7AB5">
        <w:rPr>
          <w:rFonts w:ascii="Arial" w:eastAsia="Aptos" w:hAnsi="Arial" w:cs="Arial"/>
          <w:bCs/>
          <w:kern w:val="0"/>
          <w:sz w:val="24"/>
          <w:szCs w:val="24"/>
          <w:lang w:val="en-US" w:bidi="bn-BD"/>
        </w:rPr>
        <w:t xml:space="preserve">increase in incomes and </w:t>
      </w:r>
      <w:proofErr w:type="spellStart"/>
      <w:r w:rsidRPr="005E7AB5">
        <w:rPr>
          <w:rFonts w:ascii="Arial" w:eastAsia="Aptos" w:hAnsi="Arial" w:cs="Arial"/>
          <w:bCs/>
          <w:kern w:val="0"/>
          <w:sz w:val="24"/>
          <w:szCs w:val="24"/>
          <w:lang w:val="en-US" w:bidi="bn-BD"/>
        </w:rPr>
        <w:t>urbanisation</w:t>
      </w:r>
      <w:proofErr w:type="spellEnd"/>
      <w:r w:rsidRPr="005E7AB5">
        <w:rPr>
          <w:rFonts w:ascii="Arial" w:eastAsia="Aptos" w:hAnsi="Arial" w:cs="Arial"/>
          <w:bCs/>
          <w:kern w:val="0"/>
          <w:sz w:val="24"/>
          <w:szCs w:val="24"/>
          <w:lang w:val="en-US" w:bidi="bn-BD"/>
        </w:rPr>
        <w:t xml:space="preserve"> (World Bank, 2024). These are</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however</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markets that have higher risks and volatility </w:t>
      </w:r>
      <w:r>
        <w:rPr>
          <w:rFonts w:ascii="Arial" w:eastAsia="Aptos" w:hAnsi="Arial" w:cs="Arial"/>
          <w:bCs/>
          <w:kern w:val="0"/>
          <w:sz w:val="24"/>
          <w:szCs w:val="24"/>
          <w:lang w:val="en-US" w:bidi="bn-BD"/>
        </w:rPr>
        <w:t>in</w:t>
      </w:r>
      <w:r w:rsidRPr="005E7AB5">
        <w:rPr>
          <w:rFonts w:ascii="Arial" w:eastAsia="Aptos" w:hAnsi="Arial" w:cs="Arial"/>
          <w:bCs/>
          <w:kern w:val="0"/>
          <w:sz w:val="24"/>
          <w:szCs w:val="24"/>
          <w:lang w:val="en-US" w:bidi="bn-BD"/>
        </w:rPr>
        <w:t xml:space="preserve"> currency. The economic pressure has also facilitated the development of the growth of private-label</w:t>
      </w:r>
      <w:r>
        <w:rPr>
          <w:rFonts w:ascii="Arial" w:eastAsia="Aptos" w:hAnsi="Arial" w:cs="Arial"/>
          <w:bCs/>
          <w:kern w:val="0"/>
          <w:sz w:val="24"/>
          <w:szCs w:val="24"/>
          <w:lang w:val="en-US" w:bidi="bn-BD"/>
        </w:rPr>
        <w:t xml:space="preserve"> products</w:t>
      </w:r>
      <w:r w:rsidRPr="005E7AB5">
        <w:rPr>
          <w:rFonts w:ascii="Arial" w:eastAsia="Aptos" w:hAnsi="Arial" w:cs="Arial"/>
          <w:bCs/>
          <w:kern w:val="0"/>
          <w:sz w:val="24"/>
          <w:szCs w:val="24"/>
          <w:lang w:val="en-US" w:bidi="bn-BD"/>
        </w:rPr>
        <w:t>, especially in Europe</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where consumers are interested in alternatives that are cheaper (McKinsey &amp; Company, 2024). This undermines brand loyalty and stiffens competition</w:t>
      </w:r>
      <w:r>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and Unilever needs to st</w:t>
      </w:r>
      <w:r>
        <w:rPr>
          <w:rFonts w:ascii="Arial" w:eastAsia="Aptos" w:hAnsi="Arial" w:cs="Arial"/>
          <w:bCs/>
          <w:kern w:val="0"/>
          <w:sz w:val="24"/>
          <w:szCs w:val="24"/>
          <w:lang w:val="en-US" w:bidi="bn-BD"/>
        </w:rPr>
        <w:t>rengthen value differentiation.</w:t>
      </w:r>
    </w:p>
    <w:p w14:paraId="63C2A71C"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2.1.3 Social Factors</w:t>
      </w:r>
    </w:p>
    <w:p w14:paraId="3D91BEA7" w14:textId="53CB199E" w:rsidR="00AA48EB" w:rsidRPr="005E7AB5" w:rsidRDefault="00AA48EB" w:rsidP="00750398">
      <w:pPr>
        <w:spacing w:line="360" w:lineRule="auto"/>
        <w:jc w:val="both"/>
        <w:rPr>
          <w:rFonts w:ascii="Arial" w:eastAsia="Aptos" w:hAnsi="Arial" w:cs="Arial"/>
          <w:bCs/>
          <w:kern w:val="0"/>
          <w:sz w:val="24"/>
          <w:szCs w:val="24"/>
          <w:lang w:val="en-US" w:bidi="bn-BD"/>
        </w:rPr>
      </w:pPr>
      <w:r>
        <w:rPr>
          <w:rFonts w:ascii="Arial" w:eastAsia="Aptos" w:hAnsi="Arial" w:cs="Arial"/>
          <w:bCs/>
          <w:kern w:val="0"/>
          <w:sz w:val="24"/>
          <w:szCs w:val="24"/>
          <w:lang w:val="en-US" w:bidi="bn-BD"/>
        </w:rPr>
        <w:t>Consumer</w:t>
      </w:r>
      <w:r w:rsidRPr="005E7AB5">
        <w:rPr>
          <w:rFonts w:ascii="Arial" w:eastAsia="Aptos" w:hAnsi="Arial" w:cs="Arial"/>
          <w:bCs/>
          <w:kern w:val="0"/>
          <w:sz w:val="24"/>
          <w:szCs w:val="24"/>
          <w:lang w:val="en-US" w:bidi="bn-BD"/>
        </w:rPr>
        <w:t xml:space="preserve"> </w:t>
      </w:r>
      <w:proofErr w:type="spellStart"/>
      <w:r w:rsidRPr="005E7AB5">
        <w:rPr>
          <w:rFonts w:ascii="Arial" w:eastAsia="Aptos" w:hAnsi="Arial" w:cs="Arial"/>
          <w:bCs/>
          <w:kern w:val="0"/>
          <w:sz w:val="24"/>
          <w:szCs w:val="24"/>
          <w:lang w:val="en-US" w:bidi="bn-BD"/>
        </w:rPr>
        <w:t>behaviour</w:t>
      </w:r>
      <w:proofErr w:type="spellEnd"/>
      <w:r w:rsidRPr="005E7AB5">
        <w:rPr>
          <w:rFonts w:ascii="Arial" w:eastAsia="Aptos" w:hAnsi="Arial" w:cs="Arial"/>
          <w:bCs/>
          <w:kern w:val="0"/>
          <w:sz w:val="24"/>
          <w:szCs w:val="24"/>
          <w:lang w:val="en-US" w:bidi="bn-BD"/>
        </w:rPr>
        <w:t xml:space="preserve"> and expectations are changing due to social trends. The need to have healthier, natural, and ethically sourced products rises (</w:t>
      </w:r>
      <w:proofErr w:type="spellStart"/>
      <w:r w:rsidRPr="005E7AB5">
        <w:rPr>
          <w:rFonts w:ascii="Arial" w:eastAsia="Aptos" w:hAnsi="Arial" w:cs="Arial"/>
          <w:bCs/>
          <w:kern w:val="0"/>
          <w:sz w:val="24"/>
          <w:szCs w:val="24"/>
          <w:lang w:val="en-US" w:bidi="bn-BD"/>
        </w:rPr>
        <w:t>NielsenIQ</w:t>
      </w:r>
      <w:proofErr w:type="spellEnd"/>
      <w:r w:rsidRPr="005E7AB5">
        <w:rPr>
          <w:rFonts w:ascii="Arial" w:eastAsia="Aptos" w:hAnsi="Arial" w:cs="Arial"/>
          <w:bCs/>
          <w:kern w:val="0"/>
          <w:sz w:val="24"/>
          <w:szCs w:val="24"/>
          <w:lang w:val="en-US" w:bidi="bn-BD"/>
        </w:rPr>
        <w:t xml:space="preserve">, 2023). Transparency in sourcing, ingredients and corporate values is also expected by the consumers. This is very important to Unilever, as brands like Dove and </w:t>
      </w:r>
      <w:r>
        <w:rPr>
          <w:rFonts w:ascii="Arial" w:eastAsia="Aptos" w:hAnsi="Arial" w:cs="Arial"/>
          <w:bCs/>
          <w:kern w:val="0"/>
          <w:sz w:val="24"/>
          <w:szCs w:val="24"/>
          <w:lang w:val="en-US" w:bidi="bn-BD"/>
        </w:rPr>
        <w:t>Hellmann's</w:t>
      </w:r>
      <w:r w:rsidRPr="005E7AB5">
        <w:rPr>
          <w:rFonts w:ascii="Arial" w:eastAsia="Aptos" w:hAnsi="Arial" w:cs="Arial"/>
          <w:bCs/>
          <w:kern w:val="0"/>
          <w:sz w:val="24"/>
          <w:szCs w:val="24"/>
          <w:lang w:val="en-US" w:bidi="bn-BD"/>
        </w:rPr>
        <w:t xml:space="preserve"> are dependent on the trust </w:t>
      </w:r>
      <w:r>
        <w:rPr>
          <w:rFonts w:ascii="Arial" w:eastAsia="Aptos" w:hAnsi="Arial" w:cs="Arial"/>
          <w:bCs/>
          <w:kern w:val="0"/>
          <w:sz w:val="24"/>
          <w:szCs w:val="24"/>
          <w:lang w:val="en-US" w:bidi="bn-BD"/>
        </w:rPr>
        <w:t>and purpose-driven positioning.</w:t>
      </w:r>
    </w:p>
    <w:p w14:paraId="1B4BF293" w14:textId="7B8F83A9"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Markets are also affected by changes in demographics. The ageing majorities within the developed economies promote the demand of high-end and health-oriented products, and the younger populations in the emerging markets foster the </w:t>
      </w:r>
      <w:r w:rsidRPr="005E7AB5">
        <w:rPr>
          <w:rFonts w:ascii="Arial" w:eastAsia="Aptos" w:hAnsi="Arial" w:cs="Arial"/>
          <w:bCs/>
          <w:kern w:val="0"/>
          <w:sz w:val="24"/>
          <w:szCs w:val="24"/>
          <w:lang w:val="en-US" w:bidi="bn-BD"/>
        </w:rPr>
        <w:lastRenderedPageBreak/>
        <w:t xml:space="preserve">development through digital communication and experimentation (Euromonitor, 2024). </w:t>
      </w:r>
      <w:r>
        <w:rPr>
          <w:rFonts w:ascii="Arial" w:eastAsia="Aptos" w:hAnsi="Arial" w:cs="Arial"/>
          <w:bCs/>
          <w:kern w:val="0"/>
          <w:sz w:val="24"/>
          <w:szCs w:val="24"/>
          <w:lang w:val="en-US" w:bidi="bn-BD"/>
        </w:rPr>
        <w:t>Social</w:t>
      </w:r>
      <w:r w:rsidRPr="005E7AB5">
        <w:rPr>
          <w:rFonts w:ascii="Arial" w:eastAsia="Aptos" w:hAnsi="Arial" w:cs="Arial"/>
          <w:bCs/>
          <w:kern w:val="0"/>
          <w:sz w:val="24"/>
          <w:szCs w:val="24"/>
          <w:lang w:val="en-US" w:bidi="bn-BD"/>
        </w:rPr>
        <w:t xml:space="preserve"> media increases chances and threats alike as a brand message or criticism becomes viral. In the case of Unilever, high brand reputation and social legitimacy is henc</w:t>
      </w:r>
      <w:r>
        <w:rPr>
          <w:rFonts w:ascii="Arial" w:eastAsia="Aptos" w:hAnsi="Arial" w:cs="Arial"/>
          <w:bCs/>
          <w:kern w:val="0"/>
          <w:sz w:val="24"/>
          <w:szCs w:val="24"/>
          <w:lang w:val="en-US" w:bidi="bn-BD"/>
        </w:rPr>
        <w:t>e the key to continued success.</w:t>
      </w:r>
    </w:p>
    <w:p w14:paraId="4BA5A614"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2.1.4 Technological Factors</w:t>
      </w:r>
    </w:p>
    <w:p w14:paraId="2CE11B58" w14:textId="7777777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The FMCG competition is changing due to technological developments. E-commerce, digital marketing, artificial intelligence and data analytics are necessary to enhance customer interactions and efficiency. Unilever has increased online capabilities in order to facilitate omnichannel and improve responsiveness (Unilever, 2024a). Data analytics enhances the forecasting, promo</w:t>
      </w:r>
      <w:r>
        <w:rPr>
          <w:rFonts w:ascii="Arial" w:eastAsia="Aptos" w:hAnsi="Arial" w:cs="Arial"/>
          <w:bCs/>
          <w:kern w:val="0"/>
          <w:sz w:val="24"/>
          <w:szCs w:val="24"/>
          <w:lang w:val="en-US" w:bidi="bn-BD"/>
        </w:rPr>
        <w:t>tions and inventory management.</w:t>
      </w:r>
    </w:p>
    <w:p w14:paraId="52E2BCC9" w14:textId="123F3D56"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But technology reduces barriers to entry, which means that digitally native brands can use direct-to-consumer and social media to compete </w:t>
      </w:r>
      <w:proofErr w:type="spellStart"/>
      <w:r>
        <w:rPr>
          <w:rFonts w:ascii="Arial" w:eastAsia="Aptos" w:hAnsi="Arial" w:cs="Arial"/>
          <w:bCs/>
          <w:kern w:val="0"/>
          <w:sz w:val="24"/>
          <w:szCs w:val="24"/>
          <w:lang w:val="en-US" w:bidi="bn-BD"/>
        </w:rPr>
        <w:t>favourably</w:t>
      </w:r>
      <w:proofErr w:type="spellEnd"/>
      <w:r w:rsidRPr="005E7AB5">
        <w:rPr>
          <w:rFonts w:ascii="Arial" w:eastAsia="Aptos" w:hAnsi="Arial" w:cs="Arial"/>
          <w:bCs/>
          <w:kern w:val="0"/>
          <w:sz w:val="24"/>
          <w:szCs w:val="24"/>
          <w:lang w:val="en-US" w:bidi="bn-BD"/>
        </w:rPr>
        <w:t xml:space="preserve"> (McKinsey &amp; Company, 2024). This decreases the economies of scale and escalates competition. Unilever needs to integrate scale and agility, innovation and data-driven decisions. There should be constant investment </w:t>
      </w:r>
      <w:r>
        <w:rPr>
          <w:rFonts w:ascii="Arial" w:eastAsia="Aptos" w:hAnsi="Arial" w:cs="Arial"/>
          <w:bCs/>
          <w:kern w:val="0"/>
          <w:sz w:val="24"/>
          <w:szCs w:val="24"/>
          <w:lang w:val="en-US" w:bidi="bn-BD"/>
        </w:rPr>
        <w:t>in</w:t>
      </w:r>
      <w:r w:rsidRPr="005E7AB5">
        <w:rPr>
          <w:rFonts w:ascii="Arial" w:eastAsia="Aptos" w:hAnsi="Arial" w:cs="Arial"/>
          <w:bCs/>
          <w:kern w:val="0"/>
          <w:sz w:val="24"/>
          <w:szCs w:val="24"/>
          <w:lang w:val="en-US" w:bidi="bn-BD"/>
        </w:rPr>
        <w:t xml:space="preserve"> technology in order to remain competitive and keep pace with the m</w:t>
      </w:r>
      <w:r>
        <w:rPr>
          <w:rFonts w:ascii="Arial" w:eastAsia="Aptos" w:hAnsi="Arial" w:cs="Arial"/>
          <w:bCs/>
          <w:kern w:val="0"/>
          <w:sz w:val="24"/>
          <w:szCs w:val="24"/>
          <w:lang w:val="en-US" w:bidi="bn-BD"/>
        </w:rPr>
        <w:t>arket.</w:t>
      </w:r>
    </w:p>
    <w:p w14:paraId="5F713F3D"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2.1.5 Environmental Factors</w:t>
      </w:r>
    </w:p>
    <w:p w14:paraId="1693E74C" w14:textId="3BF8E9C3"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Problems of the environment </w:t>
      </w:r>
      <w:r>
        <w:rPr>
          <w:rFonts w:ascii="Arial" w:eastAsia="Aptos" w:hAnsi="Arial" w:cs="Arial"/>
          <w:bCs/>
          <w:kern w:val="0"/>
          <w:sz w:val="24"/>
          <w:szCs w:val="24"/>
          <w:lang w:val="en-US" w:bidi="bn-BD"/>
        </w:rPr>
        <w:t xml:space="preserve">have </w:t>
      </w:r>
      <w:r w:rsidRPr="005E7AB5">
        <w:rPr>
          <w:rFonts w:ascii="Arial" w:eastAsia="Aptos" w:hAnsi="Arial" w:cs="Arial"/>
          <w:bCs/>
          <w:kern w:val="0"/>
          <w:sz w:val="24"/>
          <w:szCs w:val="24"/>
          <w:lang w:val="en-US" w:bidi="bn-BD"/>
        </w:rPr>
        <w:t>become a more important part of the strategy of Unilever. The climate change impacts agricultural inputs like palm oil, tea, cocoa and dairy that lead to disruptions in supply and cost volatility (IPCC, 2023). Consumer preferences are also affected by environmental issues, especially the sustainability factor, plastic waste and carbon emissions.</w:t>
      </w:r>
    </w:p>
    <w:p w14:paraId="431D03CF" w14:textId="7777777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The regulatory pressure is on the increase due to policies like the UK Plastic Packaging Tax that drives the reduction of plastic consumption and high recycling rates (HM Revenue &amp; Customs, 2024). Unilever has also as a goal achieved sustainability through circular packaging, yet it is still an expensive and complicated task. Operational resilience, investor expectations and brand differentiation have become closely connected with environmental performance and sustainability is becoming a strategic requirement </w:t>
      </w:r>
      <w:r>
        <w:rPr>
          <w:rFonts w:ascii="Arial" w:eastAsia="Aptos" w:hAnsi="Arial" w:cs="Arial"/>
          <w:bCs/>
          <w:kern w:val="0"/>
          <w:sz w:val="24"/>
          <w:szCs w:val="24"/>
          <w:lang w:val="en-US" w:bidi="bn-BD"/>
        </w:rPr>
        <w:t>and not an optional initiative.</w:t>
      </w:r>
    </w:p>
    <w:p w14:paraId="4B27F4B0"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2.1.6 Legal Factors</w:t>
      </w:r>
    </w:p>
    <w:p w14:paraId="56E2F1A2" w14:textId="06CBC23B"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lastRenderedPageBreak/>
        <w:t xml:space="preserve">Unilever is greatly affected by legal factors because of its international operations. The company should follow the laws regarding product safety, labelling, competition, </w:t>
      </w:r>
      <w:proofErr w:type="spellStart"/>
      <w:r w:rsidRPr="005E7AB5">
        <w:rPr>
          <w:rFonts w:ascii="Arial" w:eastAsia="Aptos" w:hAnsi="Arial" w:cs="Arial"/>
          <w:bCs/>
          <w:kern w:val="0"/>
          <w:sz w:val="24"/>
          <w:szCs w:val="24"/>
          <w:lang w:val="en-US" w:bidi="bn-BD"/>
        </w:rPr>
        <w:t>labour</w:t>
      </w:r>
      <w:proofErr w:type="spellEnd"/>
      <w:r w:rsidRPr="005E7AB5">
        <w:rPr>
          <w:rFonts w:ascii="Arial" w:eastAsia="Aptos" w:hAnsi="Arial" w:cs="Arial"/>
          <w:bCs/>
          <w:kern w:val="0"/>
          <w:sz w:val="24"/>
          <w:szCs w:val="24"/>
          <w:lang w:val="en-US" w:bidi="bn-BD"/>
        </w:rPr>
        <w:t xml:space="preserve"> regulation and environmental reporting. The brand trust can be destroyed easily in the markets of non-compliance because of the high consumption levels of the products in the FMCG markets. Most recent laws (ESG disclosure policies and modern slavery) have heightened the compliance costs (UK Government, 2024; European Commission, 2023).</w:t>
      </w:r>
    </w:p>
    <w:p w14:paraId="5B5CAAB1" w14:textId="0CEBEAE4" w:rsidR="00AA48EB" w:rsidRPr="005E7AB5" w:rsidRDefault="00AA48EB" w:rsidP="00750398">
      <w:pPr>
        <w:spacing w:line="360" w:lineRule="auto"/>
        <w:jc w:val="both"/>
        <w:rPr>
          <w:rFonts w:ascii="Arial" w:eastAsia="Aptos" w:hAnsi="Arial" w:cs="Arial"/>
          <w:bCs/>
          <w:kern w:val="0"/>
          <w:sz w:val="24"/>
          <w:szCs w:val="24"/>
          <w:lang w:val="en-US" w:bidi="bn-BD"/>
        </w:rPr>
      </w:pPr>
      <w:r>
        <w:rPr>
          <w:rFonts w:ascii="Arial" w:eastAsia="Aptos" w:hAnsi="Arial" w:cs="Arial"/>
          <w:bCs/>
          <w:kern w:val="0"/>
          <w:sz w:val="24"/>
          <w:szCs w:val="24"/>
          <w:lang w:val="en-US" w:bidi="bn-BD"/>
        </w:rPr>
        <w:t>The safety</w:t>
      </w:r>
      <w:r w:rsidRPr="005E7AB5">
        <w:rPr>
          <w:rFonts w:ascii="Arial" w:eastAsia="Aptos" w:hAnsi="Arial" w:cs="Arial"/>
          <w:bCs/>
          <w:kern w:val="0"/>
          <w:sz w:val="24"/>
          <w:szCs w:val="24"/>
          <w:lang w:val="en-US" w:bidi="bn-BD"/>
        </w:rPr>
        <w:t xml:space="preserve"> of data is also of great concern as digital marketing continues to grow. Laws like UK GDPR stipulate disclosure, permission and safe processing of consumer information (Information Commissioner's Office, 2024). In the case of Unilever, it is not only that legal compliance is required to prevent punishment; it is also because it ensures credibility and trust of those interested in </w:t>
      </w:r>
      <w:r>
        <w:rPr>
          <w:rFonts w:ascii="Arial" w:eastAsia="Aptos" w:hAnsi="Arial" w:cs="Arial"/>
          <w:bCs/>
          <w:kern w:val="0"/>
          <w:sz w:val="24"/>
          <w:szCs w:val="24"/>
          <w:lang w:val="en-US" w:bidi="bn-BD"/>
        </w:rPr>
        <w:t>the company all over the world.</w:t>
      </w:r>
    </w:p>
    <w:p w14:paraId="0D0D3626" w14:textId="77777777" w:rsidR="00AA48EB" w:rsidRPr="0013748A" w:rsidRDefault="00AA48EB" w:rsidP="00750398">
      <w:pPr>
        <w:spacing w:line="360" w:lineRule="auto"/>
        <w:jc w:val="both"/>
        <w:rPr>
          <w:rFonts w:ascii="Arial" w:eastAsia="Aptos" w:hAnsi="Arial" w:cs="Arial"/>
          <w:b/>
          <w:bCs/>
          <w:kern w:val="0"/>
          <w:sz w:val="24"/>
          <w:szCs w:val="24"/>
          <w:lang w:val="en-US" w:bidi="bn-BD"/>
        </w:rPr>
      </w:pPr>
      <w:r w:rsidRPr="0013748A">
        <w:rPr>
          <w:rFonts w:ascii="Arial" w:eastAsia="Aptos" w:hAnsi="Arial" w:cs="Arial"/>
          <w:b/>
          <w:bCs/>
          <w:kern w:val="0"/>
          <w:sz w:val="24"/>
          <w:szCs w:val="24"/>
          <w:lang w:val="en-US" w:bidi="bn-BD"/>
        </w:rPr>
        <w:t>2.1.7 PESTEL</w:t>
      </w:r>
      <w:r>
        <w:rPr>
          <w:rFonts w:ascii="Arial" w:eastAsia="Aptos" w:hAnsi="Arial" w:cs="Arial"/>
          <w:b/>
          <w:bCs/>
          <w:kern w:val="0"/>
          <w:sz w:val="24"/>
          <w:szCs w:val="24"/>
          <w:lang w:val="en-US" w:bidi="bn-BD"/>
        </w:rPr>
        <w:t xml:space="preserve"> Analysis Strategy Implication.</w:t>
      </w:r>
    </w:p>
    <w:p w14:paraId="4EE30E38" w14:textId="7777777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The analysis shows that Unilever is in a dynamic and complex environment that is typified by regulatory pressure, economic uncertainty, technology disruption and increased stakeholder expectations. The main strategic implications are the necessity to enhance the resilience of the supply chain to any geopolitical and environmental threats, to invest in digital innovations to respond to the changing consumer </w:t>
      </w:r>
      <w:proofErr w:type="spellStart"/>
      <w:r w:rsidRPr="005E7AB5">
        <w:rPr>
          <w:rFonts w:ascii="Arial" w:eastAsia="Aptos" w:hAnsi="Arial" w:cs="Arial"/>
          <w:bCs/>
          <w:kern w:val="0"/>
          <w:sz w:val="24"/>
          <w:szCs w:val="24"/>
          <w:lang w:val="en-US" w:bidi="bn-BD"/>
        </w:rPr>
        <w:t>behaviour</w:t>
      </w:r>
      <w:proofErr w:type="spellEnd"/>
      <w:r w:rsidRPr="005E7AB5">
        <w:rPr>
          <w:rFonts w:ascii="Arial" w:eastAsia="Aptos" w:hAnsi="Arial" w:cs="Arial"/>
          <w:bCs/>
          <w:kern w:val="0"/>
          <w:sz w:val="24"/>
          <w:szCs w:val="24"/>
          <w:lang w:val="en-US" w:bidi="bn-BD"/>
        </w:rPr>
        <w:t>, to remain portfolio-focused to secure the margin, and to consider sustainability as a component of the core strategy. All in all, Unilever has no option but to be flexible and adaptive to stay competitive as the global market changes.</w:t>
      </w:r>
    </w:p>
    <w:p w14:paraId="77A55FF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2.3 Internal Environment Analysis.</w:t>
      </w:r>
    </w:p>
    <w:p w14:paraId="1E5EAC7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Important Resources and Capabilities.</w:t>
      </w:r>
    </w:p>
    <w:p w14:paraId="310A49B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Resource-based theory (Barney, 1991) assumes that competitive advantages that are sustainable are based on resources that are valuable, rare, inimitable and embedded in an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The resource base of Unilever is </w:t>
      </w:r>
      <w:proofErr w:type="spellStart"/>
      <w:r w:rsidRPr="00D32803">
        <w:rPr>
          <w:rFonts w:ascii="Arial" w:eastAsia="Aptos" w:hAnsi="Arial" w:cs="Arial"/>
          <w:bCs/>
          <w:kern w:val="0"/>
          <w:sz w:val="24"/>
          <w:szCs w:val="24"/>
          <w:lang w:val="en-US" w:bidi="bn-BD"/>
        </w:rPr>
        <w:t>characterised</w:t>
      </w:r>
      <w:proofErr w:type="spellEnd"/>
      <w:r w:rsidRPr="00D32803">
        <w:rPr>
          <w:rFonts w:ascii="Arial" w:eastAsia="Aptos" w:hAnsi="Arial" w:cs="Arial"/>
          <w:bCs/>
          <w:kern w:val="0"/>
          <w:sz w:val="24"/>
          <w:szCs w:val="24"/>
          <w:lang w:val="en-US" w:bidi="bn-BD"/>
        </w:rPr>
        <w:t xml:space="preserve"> by the aspect of scale and embedded capability.</w:t>
      </w:r>
    </w:p>
    <w:p w14:paraId="72B9A83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Tangible Resources:</w:t>
      </w:r>
    </w:p>
    <w:p w14:paraId="577770E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With over 270 manufacturing plants across the globe (Unilever, 2023a), Unilever has economic diversification and economies of scale. Cash flow available to capital </w:t>
      </w:r>
      <w:r w:rsidRPr="00D32803">
        <w:rPr>
          <w:rFonts w:ascii="Arial" w:eastAsia="Aptos" w:hAnsi="Arial" w:cs="Arial"/>
          <w:bCs/>
          <w:kern w:val="0"/>
          <w:sz w:val="24"/>
          <w:szCs w:val="24"/>
          <w:lang w:val="en-US" w:bidi="bn-BD"/>
        </w:rPr>
        <w:lastRenderedPageBreak/>
        <w:t>investment, acquisitions and shareholders was EUR 7.9 billion in 2022. The connections established with international retail chains are the means of an effective route-to-market.</w:t>
      </w:r>
    </w:p>
    <w:p w14:paraId="1C32C11C"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Intangible Resources:</w:t>
      </w:r>
    </w:p>
    <w:p w14:paraId="62270053"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most strategically important intangible resource of the firm is the brand portfolio. There are recognition and loyalty, as well as premium prices, created by brands like Dove that are worth EUR 6.8 billion (Brand Finance, 2023). Differentiation is enhanced by intellectual property in formulations, packaging innovations and sustainability processes. Corporate reputation (and sustainability leadership in particular) is a boost to legitimacy among regulators, NGOs and customers.</w:t>
      </w:r>
    </w:p>
    <w:p w14:paraId="0D444FF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Human Resources:</w:t>
      </w:r>
    </w:p>
    <w:p w14:paraId="10BD5C9A"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Cs/>
          <w:kern w:val="0"/>
          <w:sz w:val="24"/>
          <w:szCs w:val="24"/>
          <w:lang w:val="en-US" w:bidi="bn-BD"/>
        </w:rPr>
        <w:t xml:space="preserve">Decades of managerial experience give an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depth. The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has about 6,000 employees in the R&amp;D team who have been assisting product innovation across global </w:t>
      </w:r>
      <w:proofErr w:type="spellStart"/>
      <w:r w:rsidRPr="00D32803">
        <w:rPr>
          <w:rFonts w:ascii="Arial" w:eastAsia="Aptos" w:hAnsi="Arial" w:cs="Arial"/>
          <w:bCs/>
          <w:kern w:val="0"/>
          <w:sz w:val="24"/>
          <w:szCs w:val="24"/>
          <w:lang w:val="en-US" w:bidi="bn-BD"/>
        </w:rPr>
        <w:t>centres</w:t>
      </w:r>
      <w:proofErr w:type="spellEnd"/>
      <w:r w:rsidRPr="00D32803">
        <w:rPr>
          <w:rFonts w:ascii="Arial" w:eastAsia="Aptos" w:hAnsi="Arial" w:cs="Arial"/>
          <w:bCs/>
          <w:kern w:val="0"/>
          <w:sz w:val="24"/>
          <w:szCs w:val="24"/>
          <w:lang w:val="en-US" w:bidi="bn-BD"/>
        </w:rPr>
        <w:t xml:space="preserve"> (Unilever, 2023a). The local management teams can provide contextual intelligence that is important in responsiveness to emerging markets.</w:t>
      </w:r>
    </w:p>
    <w:p w14:paraId="4B96428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Core Competencies</w:t>
      </w:r>
    </w:p>
    <w:p w14:paraId="5E842DC8"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Prahalad and Hamel (1990) understand core competencies as integrative </w:t>
      </w:r>
      <w:proofErr w:type="spellStart"/>
      <w:r w:rsidRPr="00D32803">
        <w:rPr>
          <w:rFonts w:ascii="Arial" w:eastAsia="Aptos" w:hAnsi="Arial" w:cs="Arial"/>
          <w:bCs/>
          <w:kern w:val="0"/>
          <w:sz w:val="24"/>
          <w:szCs w:val="24"/>
          <w:lang w:val="en-US" w:bidi="bn-BD"/>
        </w:rPr>
        <w:t>organisational</w:t>
      </w:r>
      <w:proofErr w:type="spellEnd"/>
      <w:r w:rsidRPr="00D32803">
        <w:rPr>
          <w:rFonts w:ascii="Arial" w:eastAsia="Aptos" w:hAnsi="Arial" w:cs="Arial"/>
          <w:bCs/>
          <w:kern w:val="0"/>
          <w:sz w:val="24"/>
          <w:szCs w:val="24"/>
          <w:lang w:val="en-US" w:bidi="bn-BD"/>
        </w:rPr>
        <w:t xml:space="preserve"> learning. The key competencies of Unilever are:</w:t>
      </w:r>
    </w:p>
    <w:p w14:paraId="0FDD3697"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Brand Building Expertise: Extensive experience in positioning, advertising and global brand stewardship, in more than one category (Kapferer, 2012).</w:t>
      </w:r>
    </w:p>
    <w:p w14:paraId="3483E5AB"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Global Distribution Excellence: Advanced route-to-market solutions and retailer alliances in both the developed and developing economies.</w:t>
      </w:r>
    </w:p>
    <w:p w14:paraId="430EAE68"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Sustainable Innovation Integration: Incorporating sustainability in product design, sourcing and packaging.</w:t>
      </w:r>
    </w:p>
    <w:p w14:paraId="2545AB18" w14:textId="77777777" w:rsidR="00AA48EB" w:rsidRPr="00D32803" w:rsidRDefault="00AA48EB" w:rsidP="00AA48EB">
      <w:pPr>
        <w:numPr>
          <w:ilvl w:val="0"/>
          <w:numId w:val="15"/>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Category and Consumer Insight: Capabilities in advanced analytics and category management</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and providing differentiated value propositions.</w:t>
      </w:r>
    </w:p>
    <w:p w14:paraId="7CC16CF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2.4 VRIO Framework Analysis</w:t>
      </w:r>
    </w:p>
    <w:p w14:paraId="237F2BBC"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bCs/>
          <w:kern w:val="0"/>
          <w:sz w:val="24"/>
          <w:szCs w:val="24"/>
          <w:lang w:val="en-US" w:bidi="bn-BD"/>
        </w:rPr>
        <w:t>The capability to produce sustainable competitive advantage of resources is assessed in a systematic way by the VRIO framework (Barney, 1991).</w:t>
      </w:r>
    </w:p>
    <w:tbl>
      <w:tblPr>
        <w:tblStyle w:val="TableGrid1"/>
        <w:tblW w:w="10516" w:type="dxa"/>
        <w:tblInd w:w="-725" w:type="dxa"/>
        <w:tblLook w:val="04A0" w:firstRow="1" w:lastRow="0" w:firstColumn="1" w:lastColumn="0" w:noHBand="0" w:noVBand="1"/>
      </w:tblPr>
      <w:tblGrid>
        <w:gridCol w:w="3018"/>
        <w:gridCol w:w="1217"/>
        <w:gridCol w:w="1082"/>
        <w:gridCol w:w="1377"/>
        <w:gridCol w:w="1406"/>
        <w:gridCol w:w="2416"/>
      </w:tblGrid>
      <w:tr w:rsidR="00AA48EB" w:rsidRPr="00D32803" w14:paraId="27626A54" w14:textId="77777777" w:rsidTr="004434E9">
        <w:trPr>
          <w:trHeight w:val="1004"/>
        </w:trPr>
        <w:tc>
          <w:tcPr>
            <w:tcW w:w="3018" w:type="dxa"/>
            <w:hideMark/>
          </w:tcPr>
          <w:p w14:paraId="60BD8EA8"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lastRenderedPageBreak/>
              <w:t>Resource/Capability</w:t>
            </w:r>
          </w:p>
        </w:tc>
        <w:tc>
          <w:tcPr>
            <w:tcW w:w="0" w:type="auto"/>
            <w:hideMark/>
          </w:tcPr>
          <w:p w14:paraId="6316A82F"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Valuable</w:t>
            </w:r>
          </w:p>
        </w:tc>
        <w:tc>
          <w:tcPr>
            <w:tcW w:w="0" w:type="auto"/>
            <w:hideMark/>
          </w:tcPr>
          <w:p w14:paraId="773EF527"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Rare</w:t>
            </w:r>
          </w:p>
        </w:tc>
        <w:tc>
          <w:tcPr>
            <w:tcW w:w="1377" w:type="dxa"/>
            <w:hideMark/>
          </w:tcPr>
          <w:p w14:paraId="454FD074"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Inimitable</w:t>
            </w:r>
          </w:p>
        </w:tc>
        <w:tc>
          <w:tcPr>
            <w:tcW w:w="0" w:type="auto"/>
            <w:hideMark/>
          </w:tcPr>
          <w:p w14:paraId="21FCD293"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Organized</w:t>
            </w:r>
          </w:p>
        </w:tc>
        <w:tc>
          <w:tcPr>
            <w:tcW w:w="2416" w:type="dxa"/>
            <w:hideMark/>
          </w:tcPr>
          <w:p w14:paraId="7B272279" w14:textId="77777777" w:rsidR="00AA48EB" w:rsidRPr="00D32803" w:rsidRDefault="00AA48EB" w:rsidP="004434E9">
            <w:pPr>
              <w:spacing w:line="360" w:lineRule="auto"/>
              <w:jc w:val="center"/>
              <w:rPr>
                <w:rFonts w:ascii="Arial" w:eastAsia="Aptos" w:hAnsi="Arial" w:cs="Arial"/>
                <w:b/>
                <w:bCs/>
                <w:sz w:val="24"/>
                <w:szCs w:val="24"/>
              </w:rPr>
            </w:pPr>
            <w:r w:rsidRPr="00D32803">
              <w:rPr>
                <w:rFonts w:ascii="Arial" w:eastAsia="Aptos" w:hAnsi="Arial" w:cs="Arial"/>
                <w:b/>
                <w:bCs/>
                <w:sz w:val="24"/>
                <w:szCs w:val="24"/>
              </w:rPr>
              <w:t>Competitive Implication</w:t>
            </w:r>
          </w:p>
        </w:tc>
      </w:tr>
      <w:tr w:rsidR="00AA48EB" w:rsidRPr="00D32803" w14:paraId="51570039" w14:textId="77777777" w:rsidTr="004434E9">
        <w:trPr>
          <w:trHeight w:val="1415"/>
        </w:trPr>
        <w:tc>
          <w:tcPr>
            <w:tcW w:w="3018" w:type="dxa"/>
            <w:hideMark/>
          </w:tcPr>
          <w:p w14:paraId="0595E16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Brand Portfolio</w:t>
            </w:r>
          </w:p>
        </w:tc>
        <w:tc>
          <w:tcPr>
            <w:tcW w:w="0" w:type="auto"/>
            <w:hideMark/>
          </w:tcPr>
          <w:p w14:paraId="61F5BBF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2B388A0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3314418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2B23A69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11BB1666"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Sustained Competitive Advantage</w:t>
            </w:r>
          </w:p>
        </w:tc>
      </w:tr>
      <w:tr w:rsidR="00AA48EB" w:rsidRPr="00D32803" w14:paraId="320A08B8" w14:textId="77777777" w:rsidTr="004434E9">
        <w:trPr>
          <w:trHeight w:val="578"/>
        </w:trPr>
        <w:tc>
          <w:tcPr>
            <w:tcW w:w="3018" w:type="dxa"/>
            <w:hideMark/>
          </w:tcPr>
          <w:p w14:paraId="11B07B4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Global Distribution</w:t>
            </w:r>
          </w:p>
        </w:tc>
        <w:tc>
          <w:tcPr>
            <w:tcW w:w="0" w:type="auto"/>
            <w:hideMark/>
          </w:tcPr>
          <w:p w14:paraId="3A75195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395A2FA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1377" w:type="dxa"/>
            <w:hideMark/>
          </w:tcPr>
          <w:p w14:paraId="53E37FC6"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0" w:type="auto"/>
            <w:hideMark/>
          </w:tcPr>
          <w:p w14:paraId="59A9A1C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5BB10B4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Competitive Parity</w:t>
            </w:r>
          </w:p>
        </w:tc>
      </w:tr>
      <w:tr w:rsidR="00AA48EB" w:rsidRPr="00D32803" w14:paraId="5C886CA7" w14:textId="77777777" w:rsidTr="004434E9">
        <w:trPr>
          <w:trHeight w:val="1415"/>
        </w:trPr>
        <w:tc>
          <w:tcPr>
            <w:tcW w:w="3018" w:type="dxa"/>
            <w:hideMark/>
          </w:tcPr>
          <w:p w14:paraId="45FD4C97"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R&amp;D Capabilities</w:t>
            </w:r>
          </w:p>
        </w:tc>
        <w:tc>
          <w:tcPr>
            <w:tcW w:w="0" w:type="auto"/>
            <w:hideMark/>
          </w:tcPr>
          <w:p w14:paraId="21701D37"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651D911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3A53C51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0" w:type="auto"/>
            <w:hideMark/>
          </w:tcPr>
          <w:p w14:paraId="3ABDFEB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25E1A51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Temporary Competitive Advantage</w:t>
            </w:r>
          </w:p>
        </w:tc>
      </w:tr>
      <w:tr w:rsidR="00AA48EB" w:rsidRPr="00D32803" w14:paraId="4C892A72" w14:textId="77777777" w:rsidTr="004434E9">
        <w:trPr>
          <w:trHeight w:val="1415"/>
        </w:trPr>
        <w:tc>
          <w:tcPr>
            <w:tcW w:w="3018" w:type="dxa"/>
            <w:hideMark/>
          </w:tcPr>
          <w:p w14:paraId="78BD2D10"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Sustainability Leadership</w:t>
            </w:r>
          </w:p>
        </w:tc>
        <w:tc>
          <w:tcPr>
            <w:tcW w:w="0" w:type="auto"/>
            <w:hideMark/>
          </w:tcPr>
          <w:p w14:paraId="0C76BC52"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422352D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602E76D2"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0" w:type="auto"/>
            <w:hideMark/>
          </w:tcPr>
          <w:p w14:paraId="7191394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6B4EE3E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Temporary Competitive Advantage</w:t>
            </w:r>
          </w:p>
        </w:tc>
      </w:tr>
      <w:tr w:rsidR="00AA48EB" w:rsidRPr="00D32803" w14:paraId="6B959EF1" w14:textId="77777777" w:rsidTr="004434E9">
        <w:trPr>
          <w:trHeight w:val="563"/>
        </w:trPr>
        <w:tc>
          <w:tcPr>
            <w:tcW w:w="3018" w:type="dxa"/>
            <w:hideMark/>
          </w:tcPr>
          <w:p w14:paraId="452E2D0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Manufacturing Scale</w:t>
            </w:r>
          </w:p>
        </w:tc>
        <w:tc>
          <w:tcPr>
            <w:tcW w:w="0" w:type="auto"/>
            <w:hideMark/>
          </w:tcPr>
          <w:p w14:paraId="1783638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268E0C0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1377" w:type="dxa"/>
            <w:hideMark/>
          </w:tcPr>
          <w:p w14:paraId="32706E8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No</w:t>
            </w:r>
          </w:p>
        </w:tc>
        <w:tc>
          <w:tcPr>
            <w:tcW w:w="0" w:type="auto"/>
            <w:hideMark/>
          </w:tcPr>
          <w:p w14:paraId="1E4C8F1A"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7A1AA76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Competitive Parity</w:t>
            </w:r>
          </w:p>
        </w:tc>
      </w:tr>
      <w:tr w:rsidR="00AA48EB" w:rsidRPr="00D32803" w14:paraId="0A3992E6" w14:textId="77777777" w:rsidTr="004434E9">
        <w:trPr>
          <w:trHeight w:val="1415"/>
        </w:trPr>
        <w:tc>
          <w:tcPr>
            <w:tcW w:w="3018" w:type="dxa"/>
            <w:hideMark/>
          </w:tcPr>
          <w:p w14:paraId="65FF731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Consumer Insights</w:t>
            </w:r>
          </w:p>
        </w:tc>
        <w:tc>
          <w:tcPr>
            <w:tcW w:w="0" w:type="auto"/>
            <w:hideMark/>
          </w:tcPr>
          <w:p w14:paraId="13F0319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00AA888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2945733F"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0" w:type="auto"/>
            <w:hideMark/>
          </w:tcPr>
          <w:p w14:paraId="6863128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3BCB8852"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Temporary Competitive Advantage</w:t>
            </w:r>
          </w:p>
        </w:tc>
      </w:tr>
      <w:tr w:rsidR="00AA48EB" w:rsidRPr="00D32803" w14:paraId="007C33FF" w14:textId="77777777" w:rsidTr="004434E9">
        <w:trPr>
          <w:trHeight w:val="1415"/>
        </w:trPr>
        <w:tc>
          <w:tcPr>
            <w:tcW w:w="3018" w:type="dxa"/>
            <w:hideMark/>
          </w:tcPr>
          <w:p w14:paraId="5DC5449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Local Market Presence</w:t>
            </w:r>
          </w:p>
        </w:tc>
        <w:tc>
          <w:tcPr>
            <w:tcW w:w="0" w:type="auto"/>
            <w:hideMark/>
          </w:tcPr>
          <w:p w14:paraId="73E62AA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60002169"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Partially</w:t>
            </w:r>
          </w:p>
        </w:tc>
        <w:tc>
          <w:tcPr>
            <w:tcW w:w="1377" w:type="dxa"/>
            <w:hideMark/>
          </w:tcPr>
          <w:p w14:paraId="000EAF0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0" w:type="auto"/>
            <w:hideMark/>
          </w:tcPr>
          <w:p w14:paraId="4E5CAEDA"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Yes</w:t>
            </w:r>
          </w:p>
        </w:tc>
        <w:tc>
          <w:tcPr>
            <w:tcW w:w="2416" w:type="dxa"/>
            <w:hideMark/>
          </w:tcPr>
          <w:p w14:paraId="54ACB3D7"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Sustained Competitive Advantage</w:t>
            </w:r>
          </w:p>
        </w:tc>
      </w:tr>
    </w:tbl>
    <w:p w14:paraId="37E37EE6" w14:textId="77777777" w:rsidR="00AA48EB" w:rsidRPr="00AA48EB" w:rsidRDefault="00AA48EB" w:rsidP="00AA48EB">
      <w:pPr>
        <w:spacing w:line="360" w:lineRule="auto"/>
        <w:jc w:val="center"/>
        <w:rPr>
          <w:rFonts w:ascii="Arial" w:eastAsia="Aptos" w:hAnsi="Arial" w:cs="Arial"/>
          <w:b/>
          <w:bCs/>
          <w:i/>
          <w:iCs/>
          <w:kern w:val="0"/>
          <w:u w:val="single"/>
          <w:lang w:val="en-US" w:bidi="bn-BD"/>
        </w:rPr>
      </w:pPr>
      <w:r w:rsidRPr="00AA48EB">
        <w:rPr>
          <w:rFonts w:ascii="Arial" w:eastAsia="Aptos" w:hAnsi="Arial" w:cs="Arial"/>
          <w:b/>
          <w:bCs/>
          <w:i/>
          <w:iCs/>
          <w:kern w:val="0"/>
          <w:u w:val="single"/>
          <w:lang w:val="en-US" w:bidi="bn-BD"/>
        </w:rPr>
        <w:t>Table 2: VRIO Analysis of Unilever’s Key Resources and Capabilities</w:t>
      </w:r>
    </w:p>
    <w:p w14:paraId="2D881F6A"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Brand Portfolio: The brands like Dove and Hellmann's have built large brand equity and emotional appeal that competitors can hardly duplicate (Aaker, 1991). The assets are well exploited in the </w:t>
      </w:r>
      <w:proofErr w:type="spellStart"/>
      <w:r w:rsidRPr="00D32803">
        <w:rPr>
          <w:rFonts w:ascii="Arial" w:eastAsia="Aptos" w:hAnsi="Arial" w:cs="Arial"/>
          <w:kern w:val="0"/>
          <w:sz w:val="24"/>
          <w:szCs w:val="24"/>
          <w:lang w:val="en-US" w:bidi="bn-BD"/>
        </w:rPr>
        <w:t>organisational</w:t>
      </w:r>
      <w:proofErr w:type="spellEnd"/>
      <w:r w:rsidRPr="00D32803">
        <w:rPr>
          <w:rFonts w:ascii="Arial" w:eastAsia="Aptos" w:hAnsi="Arial" w:cs="Arial"/>
          <w:kern w:val="0"/>
          <w:sz w:val="24"/>
          <w:szCs w:val="24"/>
          <w:lang w:val="en-US" w:bidi="bn-BD"/>
        </w:rPr>
        <w:t xml:space="preserve"> systems, which facilitate sustained competitive advantage.</w:t>
      </w:r>
    </w:p>
    <w:p w14:paraId="5A29ECFD"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GLOBAL Distribution: This is very useful, but similar networks are available with other companies like Procter and Gamble and Nestle, hence there is no competitive advantage.</w:t>
      </w:r>
    </w:p>
    <w:p w14:paraId="15758AB1"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Sustainability Leadership: Programs like Sustainable Living Plan have differentiated positioning, but there is a threat of imitation as sustainability becomes standard (Hart, 1995), which is a temporary advantage.</w:t>
      </w:r>
    </w:p>
    <w:p w14:paraId="5956678A" w14:textId="77777777" w:rsidR="00AA48EB" w:rsidRPr="00D32803" w:rsidRDefault="00AA48EB" w:rsidP="00AA48EB">
      <w:pPr>
        <w:spacing w:line="360" w:lineRule="auto"/>
        <w:jc w:val="both"/>
        <w:rPr>
          <w:rFonts w:ascii="Arial" w:eastAsia="Aptos" w:hAnsi="Arial" w:cs="Arial"/>
          <w:b/>
          <w:bCs/>
          <w:kern w:val="0"/>
          <w:sz w:val="24"/>
          <w:szCs w:val="24"/>
          <w:lang w:val="en-US" w:bidi="bn-BD"/>
        </w:rPr>
      </w:pPr>
      <w:r w:rsidRPr="00D32803">
        <w:rPr>
          <w:rFonts w:ascii="Arial" w:eastAsia="Aptos" w:hAnsi="Arial" w:cs="Arial"/>
          <w:kern w:val="0"/>
          <w:sz w:val="24"/>
          <w:szCs w:val="24"/>
          <w:lang w:val="en-US" w:bidi="bn-BD"/>
        </w:rPr>
        <w:t>Local Market Presence: Extensive activities in new markets with the help of relational capital and institutional knowledge are hard to imitate within a short period (Khanna and Palepu, 2010), which implies a long-term advantage.</w:t>
      </w:r>
    </w:p>
    <w:p w14:paraId="62CEFEA9"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2.5 Internal Competitiveness and Strength.</w:t>
      </w:r>
    </w:p>
    <w:p w14:paraId="3A0C77F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internal strengths of Unilever fit well in the framework of the value chain that was created by Michael Porter (1985).</w:t>
      </w:r>
    </w:p>
    <w:p w14:paraId="0B62AE53"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Primary Activities:</w:t>
      </w:r>
    </w:p>
    <w:p w14:paraId="63C66218"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Inbound logistics take advantage of the global sourcing networks. The scale of manufacturing and continuous efficiency </w:t>
      </w:r>
      <w:proofErr w:type="spellStart"/>
      <w:r w:rsidRPr="00D32803">
        <w:rPr>
          <w:rFonts w:ascii="Arial" w:eastAsia="Aptos" w:hAnsi="Arial" w:cs="Arial"/>
          <w:bCs/>
          <w:kern w:val="0"/>
          <w:sz w:val="24"/>
          <w:szCs w:val="24"/>
          <w:lang w:val="en-US" w:bidi="bn-BD"/>
        </w:rPr>
        <w:t>programmes</w:t>
      </w:r>
      <w:proofErr w:type="spellEnd"/>
      <w:r w:rsidRPr="00D32803">
        <w:rPr>
          <w:rFonts w:ascii="Arial" w:eastAsia="Aptos" w:hAnsi="Arial" w:cs="Arial"/>
          <w:bCs/>
          <w:kern w:val="0"/>
          <w:sz w:val="24"/>
          <w:szCs w:val="24"/>
          <w:lang w:val="en-US" w:bidi="bn-BD"/>
        </w:rPr>
        <w:t xml:space="preserve"> benefits operations. Inbound logistics take advantage of large-scale retail alliances. Brand equity is maintained by marketing using integrated campaigns. Responsiveness is increased through consumer interaction through digital channels.</w:t>
      </w:r>
    </w:p>
    <w:p w14:paraId="4CAE188C"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Support Activities:</w:t>
      </w:r>
    </w:p>
    <w:p w14:paraId="4DF086EE"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Strong infrastructure has complex systems of governance and control. Leadership development and diversity goals are assisted by human resource management. Innovation pipelines are maintained by technology development through R&amp;D </w:t>
      </w:r>
      <w:proofErr w:type="spellStart"/>
      <w:r w:rsidRPr="00D32803">
        <w:rPr>
          <w:rFonts w:ascii="Arial" w:eastAsia="Aptos" w:hAnsi="Arial" w:cs="Arial"/>
          <w:bCs/>
          <w:kern w:val="0"/>
          <w:sz w:val="24"/>
          <w:szCs w:val="24"/>
          <w:lang w:val="en-US" w:bidi="bn-BD"/>
        </w:rPr>
        <w:t>centres</w:t>
      </w:r>
      <w:proofErr w:type="spellEnd"/>
      <w:r w:rsidRPr="00D32803">
        <w:rPr>
          <w:rFonts w:ascii="Arial" w:eastAsia="Aptos" w:hAnsi="Arial" w:cs="Arial"/>
          <w:bCs/>
          <w:kern w:val="0"/>
          <w:sz w:val="24"/>
          <w:szCs w:val="24"/>
          <w:lang w:val="en-US" w:bidi="bn-BD"/>
        </w:rPr>
        <w:t>. Sustainable sourcing is incorporated in procurement, and it improves differentiation.</w:t>
      </w:r>
    </w:p>
    <w:p w14:paraId="1F752AA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 combination of these capabilities creates </w:t>
      </w:r>
      <w:proofErr w:type="spellStart"/>
      <w:r w:rsidRPr="00D32803">
        <w:rPr>
          <w:rFonts w:ascii="Arial" w:eastAsia="Aptos" w:hAnsi="Arial" w:cs="Arial"/>
          <w:bCs/>
          <w:kern w:val="0"/>
          <w:sz w:val="24"/>
          <w:szCs w:val="24"/>
          <w:lang w:val="en-US" w:bidi="bn-BD"/>
        </w:rPr>
        <w:t>organisational</w:t>
      </w:r>
      <w:proofErr w:type="spellEnd"/>
      <w:r w:rsidRPr="00D32803">
        <w:rPr>
          <w:rFonts w:ascii="Arial" w:eastAsia="Aptos" w:hAnsi="Arial" w:cs="Arial"/>
          <w:bCs/>
          <w:kern w:val="0"/>
          <w:sz w:val="24"/>
          <w:szCs w:val="24"/>
          <w:lang w:val="en-US" w:bidi="bn-BD"/>
        </w:rPr>
        <w:t xml:space="preserve"> synergy, which aligns with the idea of coordinated capability proposed by Grant (2019). Competitive advantage is a systemic creation of alignment of the strength of the brand, the distribution reach and integrating sustainability.</w:t>
      </w:r>
    </w:p>
    <w:p w14:paraId="6CF252D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However, there are still structural flaws. The complexity of the portfolio can water down the strategy. Agility would be inhibited by bureaucratic inertia compared to challenger brands. Operational and portfolio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 xml:space="preserve"> opportunities are reflected by performance differences in relation to Nestlé and Procter &amp; Gamble, especially in the area of volume growth (Bernstein Research, 2023).</w:t>
      </w:r>
    </w:p>
    <w:p w14:paraId="2760B37C" w14:textId="77777777" w:rsidR="00AA48EB" w:rsidRPr="00D32803" w:rsidRDefault="00AA48EB" w:rsidP="00AA48EB">
      <w:pPr>
        <w:spacing w:line="360" w:lineRule="auto"/>
        <w:rPr>
          <w:rFonts w:ascii="Arial" w:eastAsia="Aptos" w:hAnsi="Arial" w:cs="Arial"/>
          <w:b/>
          <w:bCs/>
          <w:kern w:val="0"/>
          <w:sz w:val="24"/>
          <w:szCs w:val="24"/>
          <w:lang w:val="en-US" w:bidi="bn-BD"/>
        </w:rPr>
      </w:pPr>
    </w:p>
    <w:p w14:paraId="43D26A7F"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3.0 Corporate Social Responsibility and Sustainability Goals.</w:t>
      </w:r>
    </w:p>
    <w:p w14:paraId="7A4C6ACA" w14:textId="77777777" w:rsidR="00AA48EB" w:rsidRPr="00D32803" w:rsidRDefault="00AA48EB" w:rsidP="00AA48EB">
      <w:pPr>
        <w:spacing w:line="360" w:lineRule="auto"/>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t xml:space="preserve">3.1 </w:t>
      </w:r>
      <w:r w:rsidRPr="00D32803">
        <w:rPr>
          <w:rFonts w:ascii="Arial" w:eastAsia="Aptos" w:hAnsi="Arial" w:cs="Arial"/>
          <w:b/>
          <w:bCs/>
          <w:kern w:val="0"/>
          <w:sz w:val="24"/>
          <w:szCs w:val="24"/>
          <w:lang w:val="en-US" w:bidi="bn-BD"/>
        </w:rPr>
        <w:t>Strategy of Corporate Social Responsibility.</w:t>
      </w:r>
    </w:p>
    <w:p w14:paraId="60A9D3B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Unilever has integrated its corporate social responsibility (CSR) in its strategic framework, which demonstrates the triple bottom line framework of Elkington (1997), where economic, environmental and social performance are balanced. When Unilever had a new CEO, Paul Polman, who took office in 2010, sustainability became </w:t>
      </w:r>
      <w:proofErr w:type="spellStart"/>
      <w:r w:rsidRPr="00D32803">
        <w:rPr>
          <w:rFonts w:ascii="Arial" w:eastAsia="Aptos" w:hAnsi="Arial" w:cs="Arial"/>
          <w:bCs/>
          <w:kern w:val="0"/>
          <w:sz w:val="24"/>
          <w:szCs w:val="24"/>
          <w:lang w:val="en-US" w:bidi="bn-BD"/>
        </w:rPr>
        <w:t>institutionalised</w:t>
      </w:r>
      <w:proofErr w:type="spellEnd"/>
      <w:r w:rsidRPr="00D32803">
        <w:rPr>
          <w:rFonts w:ascii="Arial" w:eastAsia="Aptos" w:hAnsi="Arial" w:cs="Arial"/>
          <w:bCs/>
          <w:kern w:val="0"/>
          <w:sz w:val="24"/>
          <w:szCs w:val="24"/>
          <w:lang w:val="en-US" w:bidi="bn-BD"/>
        </w:rPr>
        <w:t xml:space="preserve"> as a growth driver instead of a requirement as per the Unilever Sustainable Living Plan (USLP), released in 2010 (Polman and Winston, 2021).</w:t>
      </w:r>
    </w:p>
    <w:p w14:paraId="6E2C4249"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USLP was replaced in 2020 by the Unilever Compass framework, which presents quantifiable commitments. Among environmental goals, there are the attainment of net-zero emissions throughout the value chain by 2039, all plastic packs reusable, recyclable, or compostable by 2025, and a reduction in the use of virgin plastic (Unilever, 2023b). Social objectives aim at enhancing the livelihoods of the supply chains, gender equity, and living wages.</w:t>
      </w:r>
    </w:p>
    <w:p w14:paraId="32F7E1CE"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Using the CSR pyramid of Carroll (1991), Unilever meets the economic responsibility by achieving sustainability in its profitability, legal responsibility by following the laws, ethical responsibility by being responsible in its sourcing and human rights policy, and philanthropic responsibility by investing in communities. However, tensions persist. The use of palm oil in the face of deforestation has been subject to criticism (Greenpeace, 2022). In addition, Trian Partners' activist pressure also raised the perception of trade-offs between sustainability focus and financial returns (Reuters, 2022).</w:t>
      </w:r>
    </w:p>
    <w:p w14:paraId="6A9E7C44"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3.2 Sharing Business Objectives.</w:t>
      </w:r>
    </w:p>
    <w:p w14:paraId="5D123423"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bCs/>
          <w:kern w:val="0"/>
          <w:sz w:val="24"/>
          <w:szCs w:val="24"/>
          <w:lang w:val="en-US" w:bidi="bn-BD"/>
        </w:rPr>
        <w:t xml:space="preserve">Unilever has also seen its so-called sustainable living brands reportedly increase at a faster rate than the rest of the portfolio (Unilever, 2019), which is why the shared value thesis proposed by Porter and Kramer (2011) holds. Integration of sustainability helps in cost savings, </w:t>
      </w:r>
      <w:proofErr w:type="spellStart"/>
      <w:r>
        <w:rPr>
          <w:rFonts w:ascii="Arial" w:eastAsia="Aptos" w:hAnsi="Arial" w:cs="Arial"/>
          <w:bCs/>
          <w:kern w:val="0"/>
          <w:sz w:val="24"/>
          <w:szCs w:val="24"/>
          <w:lang w:val="en-US" w:bidi="bn-BD"/>
        </w:rPr>
        <w:t>minimisation</w:t>
      </w:r>
      <w:proofErr w:type="spellEnd"/>
      <w:r w:rsidRPr="00D32803">
        <w:rPr>
          <w:rFonts w:ascii="Arial" w:eastAsia="Aptos" w:hAnsi="Arial" w:cs="Arial"/>
          <w:bCs/>
          <w:kern w:val="0"/>
          <w:sz w:val="24"/>
          <w:szCs w:val="24"/>
          <w:lang w:val="en-US" w:bidi="bn-BD"/>
        </w:rPr>
        <w:t xml:space="preserve"> of risks, brand differentiation and attracting talents. However, changing priorities of leadership imply re-adjusting between the sustainability ambitions and financial performance expectations in the short term (Financial Times, 2023).</w:t>
      </w:r>
    </w:p>
    <w:p w14:paraId="1E671116" w14:textId="77777777" w:rsidR="00AA48EB" w:rsidRPr="00D32803" w:rsidRDefault="00AA48EB" w:rsidP="00AA48EB">
      <w:pPr>
        <w:spacing w:line="360" w:lineRule="auto"/>
        <w:rPr>
          <w:rFonts w:ascii="Arial" w:eastAsia="Aptos" w:hAnsi="Arial" w:cs="Arial"/>
          <w:kern w:val="0"/>
          <w:sz w:val="24"/>
          <w:szCs w:val="24"/>
          <w:lang w:val="en-US" w:bidi="bn-BD"/>
        </w:rPr>
      </w:pPr>
    </w:p>
    <w:p w14:paraId="730741D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4.0 OVERALL and holistic perspective: Balanced Scorecard analysis.</w:t>
      </w:r>
    </w:p>
    <w:p w14:paraId="7875046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4.1.1 Introduction to the Balanced Scorecard.</w:t>
      </w:r>
    </w:p>
    <w:p w14:paraId="3C36F202" w14:textId="78A685BA"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Kaplan and Norton (1992) unveiled Balanced Scorecard as a strategic model of performance management</w:t>
      </w:r>
      <w:r>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which converts </w:t>
      </w:r>
      <w:proofErr w:type="spellStart"/>
      <w:r w:rsidRPr="00D32803">
        <w:rPr>
          <w:rFonts w:ascii="Arial" w:eastAsia="Aptos" w:hAnsi="Arial" w:cs="Arial"/>
          <w:bCs/>
          <w:kern w:val="0"/>
          <w:sz w:val="24"/>
          <w:szCs w:val="24"/>
          <w:lang w:val="en-US" w:bidi="bn-BD"/>
        </w:rPr>
        <w:t>organisational</w:t>
      </w:r>
      <w:proofErr w:type="spellEnd"/>
      <w:r w:rsidRPr="00D32803">
        <w:rPr>
          <w:rFonts w:ascii="Arial" w:eastAsia="Aptos" w:hAnsi="Arial" w:cs="Arial"/>
          <w:bCs/>
          <w:kern w:val="0"/>
          <w:sz w:val="24"/>
          <w:szCs w:val="24"/>
          <w:lang w:val="en-US" w:bidi="bn-BD"/>
        </w:rPr>
        <w:t xml:space="preserve"> vision and strategy into harmonious performance measures in four perspectives. This is to overcome the shortcomings of purely financial measures by adding customer, internal process and learning dimensions.</w:t>
      </w:r>
    </w:p>
    <w:p w14:paraId="22EF03AE"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 the case of Unilever, the Balanced Scorecard framework demonstrates the alignment of strategic objectives in the activities of the operational environment, which is not an exception to the strategy maps developed by Kaplan and Norton (1996), where perspectives are linked causally.</w:t>
      </w:r>
    </w:p>
    <w:p w14:paraId="466CF297"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4.2 Financial Perspective</w:t>
      </w:r>
    </w:p>
    <w:p w14:paraId="5CA37687"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financial view deals with the creation of shareholder value and economic performance measurement.</w:t>
      </w:r>
    </w:p>
    <w:p w14:paraId="0606F38F"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Objectives:</w:t>
      </w:r>
    </w:p>
    <w:p w14:paraId="53BA789C" w14:textId="77777777" w:rsidR="00AA48EB" w:rsidRPr="00D32803" w:rsidRDefault="00AA48EB" w:rsidP="00AA48EB">
      <w:pPr>
        <w:numPr>
          <w:ilvl w:val="0"/>
          <w:numId w:val="1"/>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Provide profitable, sustainable growth.</w:t>
      </w:r>
    </w:p>
    <w:p w14:paraId="33B1D356" w14:textId="77777777" w:rsidR="00AA48EB" w:rsidRPr="00D32803" w:rsidRDefault="00AA48EB" w:rsidP="00AA48EB">
      <w:pPr>
        <w:numPr>
          <w:ilvl w:val="0"/>
          <w:numId w:val="1"/>
        </w:numPr>
        <w:spacing w:line="360" w:lineRule="auto"/>
        <w:contextualSpacing/>
        <w:jc w:val="both"/>
        <w:rPr>
          <w:rFonts w:ascii="Arial" w:eastAsia="Aptos" w:hAnsi="Arial" w:cs="Arial"/>
          <w:bCs/>
          <w:kern w:val="0"/>
          <w:sz w:val="24"/>
          <w:szCs w:val="24"/>
          <w:lang w:val="en-US" w:bidi="bn-BD"/>
        </w:rPr>
      </w:pPr>
      <w:proofErr w:type="spellStart"/>
      <w:r w:rsidRPr="00D32803">
        <w:rPr>
          <w:rFonts w:ascii="Arial" w:eastAsia="Aptos" w:hAnsi="Arial" w:cs="Arial"/>
          <w:bCs/>
          <w:kern w:val="0"/>
          <w:sz w:val="24"/>
          <w:szCs w:val="24"/>
          <w:lang w:val="en-US" w:bidi="bn-BD"/>
        </w:rPr>
        <w:t>Optimise</w:t>
      </w:r>
      <w:proofErr w:type="spellEnd"/>
      <w:r w:rsidRPr="00D32803">
        <w:rPr>
          <w:rFonts w:ascii="Arial" w:eastAsia="Aptos" w:hAnsi="Arial" w:cs="Arial"/>
          <w:bCs/>
          <w:kern w:val="0"/>
          <w:sz w:val="24"/>
          <w:szCs w:val="24"/>
          <w:lang w:val="en-US" w:bidi="bn-BD"/>
        </w:rPr>
        <w:t xml:space="preserve"> operational productivity and profitability.</w:t>
      </w:r>
    </w:p>
    <w:p w14:paraId="48055BD7" w14:textId="77777777" w:rsidR="00AA48EB" w:rsidRPr="00D32803" w:rsidRDefault="00AA48EB" w:rsidP="00AA48EB">
      <w:pPr>
        <w:numPr>
          <w:ilvl w:val="0"/>
          <w:numId w:val="1"/>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Achieve high cash flow to invest and returns.</w:t>
      </w:r>
    </w:p>
    <w:p w14:paraId="10A1198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Key Performance Indicators:</w:t>
      </w:r>
    </w:p>
    <w:p w14:paraId="0F5D2264"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Underlying sales growth (Target: 3-5%/year)</w:t>
      </w:r>
    </w:p>
    <w:p w14:paraId="02FD21B6"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Underlying operating margin (Target: 18% + medium-term)</w:t>
      </w:r>
    </w:p>
    <w:p w14:paraId="4402EC41"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Conversion of free cash flow (Target: 90%+ of net profit)</w:t>
      </w:r>
    </w:p>
    <w:p w14:paraId="3F2E48BE" w14:textId="77777777" w:rsidR="00AA48EB" w:rsidRPr="00D32803" w:rsidRDefault="00AA48EB" w:rsidP="00AA48EB">
      <w:pPr>
        <w:numPr>
          <w:ilvl w:val="0"/>
          <w:numId w:val="2"/>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Return on invested capital (Target: more than cost of capital)</w:t>
      </w:r>
    </w:p>
    <w:p w14:paraId="6DA9644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Initiative:</w:t>
      </w:r>
    </w:p>
    <w:p w14:paraId="167A08E3"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Productivity </w:t>
      </w:r>
      <w:proofErr w:type="spellStart"/>
      <w:r w:rsidRPr="00D32803">
        <w:rPr>
          <w:rFonts w:ascii="Arial" w:eastAsia="Aptos" w:hAnsi="Arial" w:cs="Arial"/>
          <w:bCs/>
          <w:kern w:val="0"/>
          <w:sz w:val="24"/>
          <w:szCs w:val="24"/>
          <w:lang w:val="en-US" w:bidi="bn-BD"/>
        </w:rPr>
        <w:t>programme</w:t>
      </w:r>
      <w:proofErr w:type="spellEnd"/>
      <w:r w:rsidRPr="00D32803">
        <w:rPr>
          <w:rFonts w:ascii="Arial" w:eastAsia="Aptos" w:hAnsi="Arial" w:cs="Arial"/>
          <w:bCs/>
          <w:kern w:val="0"/>
          <w:sz w:val="24"/>
          <w:szCs w:val="24"/>
          <w:lang w:val="en-US" w:bidi="bn-BD"/>
        </w:rPr>
        <w:t xml:space="preserve"> with a target of EUR600 million savings in one year.</w:t>
      </w:r>
    </w:p>
    <w:p w14:paraId="62B3AC60"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Brand Disposals and Acquisitions as a form of portfolio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w:t>
      </w:r>
    </w:p>
    <w:p w14:paraId="21E8DCC2"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Mix/price to maintain margins in inflationary times.</w:t>
      </w:r>
    </w:p>
    <w:p w14:paraId="7D69B7F1" w14:textId="77777777" w:rsidR="00AA48EB" w:rsidRPr="00D32803" w:rsidRDefault="00AA48EB" w:rsidP="00AA48EB">
      <w:pPr>
        <w:numPr>
          <w:ilvl w:val="0"/>
          <w:numId w:val="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Increased efficiency of working capital.</w:t>
      </w:r>
    </w:p>
    <w:p w14:paraId="5BC2A4F7"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lastRenderedPageBreak/>
        <w:t>Unilever reported EUR59.6 billion of revenue in 2022 with an underlying operating margin of 16.1, which is lower than its historical highs, indicating margin recovery priorities (Unilever Annual Report, 2023).</w:t>
      </w:r>
    </w:p>
    <w:p w14:paraId="553F80DB"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4.3 Customer Perspective</w:t>
      </w:r>
    </w:p>
    <w:p w14:paraId="003F2555" w14:textId="77777777" w:rsidR="00AA48EB" w:rsidRPr="00D32803" w:rsidRDefault="00AA48EB" w:rsidP="00AA48EB">
      <w:pPr>
        <w:spacing w:line="360" w:lineRule="auto"/>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customer view looks at value presentation and position in the market.</w:t>
      </w:r>
    </w:p>
    <w:p w14:paraId="1187E435"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Objectives:</w:t>
      </w:r>
    </w:p>
    <w:p w14:paraId="254A6CD2"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Power brand equity and preference.</w:t>
      </w:r>
    </w:p>
    <w:p w14:paraId="333D7289"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Gain market share in the priority categories.</w:t>
      </w:r>
    </w:p>
    <w:p w14:paraId="575FD14D"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Improve retail customer relationships.</w:t>
      </w:r>
    </w:p>
    <w:p w14:paraId="11ED6785" w14:textId="77777777" w:rsidR="00AA48EB" w:rsidRPr="00D32803" w:rsidRDefault="00AA48EB" w:rsidP="00AA48EB">
      <w:pPr>
        <w:numPr>
          <w:ilvl w:val="0"/>
          <w:numId w:val="4"/>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Establish on-line and direct-to-consumer capabilities.</w:t>
      </w:r>
    </w:p>
    <w:p w14:paraId="5BA9060C"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Key Performance Indicators:</w:t>
      </w:r>
    </w:p>
    <w:p w14:paraId="7E59E50E"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Brand power scores (Target: increase on power brands)</w:t>
      </w:r>
    </w:p>
    <w:p w14:paraId="59B53D1A"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Market share Trends (Target: growing or holding in priority markets)</w:t>
      </w:r>
    </w:p>
    <w:p w14:paraId="18F5E165"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Retail partner customer satisfaction rates.</w:t>
      </w:r>
    </w:p>
    <w:p w14:paraId="2BD49617" w14:textId="77777777" w:rsidR="00AA48EB" w:rsidRPr="00D32803" w:rsidRDefault="00AA48EB" w:rsidP="00AA48EB">
      <w:pPr>
        <w:numPr>
          <w:ilvl w:val="0"/>
          <w:numId w:val="5"/>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E-commerce penetration rate (Target: 25% of sales)</w:t>
      </w:r>
    </w:p>
    <w:p w14:paraId="158EC541"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Initiatives:</w:t>
      </w:r>
    </w:p>
    <w:p w14:paraId="2131FA60"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Raising marketing expenditures on power brands.</w:t>
      </w:r>
    </w:p>
    <w:p w14:paraId="155EEB5A"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Consumer relevance acceleration of the innovation pipeline.</w:t>
      </w:r>
    </w:p>
    <w:p w14:paraId="75779131"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Collaborative business planning with major retail accounts.</w:t>
      </w:r>
    </w:p>
    <w:p w14:paraId="0709F92B" w14:textId="77777777" w:rsidR="00AA48EB" w:rsidRPr="00D32803" w:rsidRDefault="00AA48EB" w:rsidP="00AA48EB">
      <w:pPr>
        <w:numPr>
          <w:ilvl w:val="0"/>
          <w:numId w:val="6"/>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Digital marketing improvement and D2C platform development.</w:t>
      </w:r>
    </w:p>
    <w:p w14:paraId="24A89D8C"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According to consumer brand perception surveys, there is high equity for Dove and Hellmann's, but other brands experience competition pressure, which demands new investments (Kantar Brand, 2023).</w:t>
      </w:r>
    </w:p>
    <w:p w14:paraId="73B0BCC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4.4 Internal Business Processes Perspective.</w:t>
      </w:r>
    </w:p>
    <w:p w14:paraId="5E48067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This school of thought studies operational excellence and its efficiency on the interior.</w:t>
      </w:r>
    </w:p>
    <w:p w14:paraId="0C2D2F7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Objectives:</w:t>
      </w:r>
    </w:p>
    <w:p w14:paraId="3C83BEF4"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proofErr w:type="spellStart"/>
      <w:r>
        <w:rPr>
          <w:rFonts w:ascii="Arial" w:eastAsia="Aptos" w:hAnsi="Arial" w:cs="Arial"/>
          <w:bCs/>
          <w:kern w:val="0"/>
          <w:sz w:val="24"/>
          <w:szCs w:val="24"/>
          <w:lang w:val="en-US" w:bidi="bn-BD"/>
        </w:rPr>
        <w:t>Realise</w:t>
      </w:r>
      <w:proofErr w:type="spellEnd"/>
      <w:r w:rsidRPr="00D32803">
        <w:rPr>
          <w:rFonts w:ascii="Arial" w:eastAsia="Aptos" w:hAnsi="Arial" w:cs="Arial"/>
          <w:bCs/>
          <w:kern w:val="0"/>
          <w:sz w:val="24"/>
          <w:szCs w:val="24"/>
          <w:lang w:val="en-US" w:bidi="bn-BD"/>
        </w:rPr>
        <w:t xml:space="preserve"> excellence in manufacturing and economy.</w:t>
      </w:r>
    </w:p>
    <w:p w14:paraId="254169BD"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Increase speed-to-market of innovation.</w:t>
      </w:r>
    </w:p>
    <w:p w14:paraId="59823BFE"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Develop supply chain resilience.</w:t>
      </w:r>
    </w:p>
    <w:p w14:paraId="74447249" w14:textId="77777777" w:rsidR="00AA48EB" w:rsidRPr="00D32803" w:rsidRDefault="00AA48EB" w:rsidP="00AA48EB">
      <w:pPr>
        <w:numPr>
          <w:ilvl w:val="0"/>
          <w:numId w:val="7"/>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lastRenderedPageBreak/>
        <w:t>Encompass sustainability in operations.</w:t>
      </w:r>
    </w:p>
    <w:p w14:paraId="00E153C2"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Key Performance Indicators:</w:t>
      </w:r>
    </w:p>
    <w:p w14:paraId="5F56E90E"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Cost per unit (Target: continuous improvement) manufacturing.</w:t>
      </w:r>
    </w:p>
    <w:p w14:paraId="2437A50A"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Success rate and time to market of innovation.</w:t>
      </w:r>
    </w:p>
    <w:p w14:paraId="05C3459B"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Supply chain reliability and agility measures.</w:t>
      </w:r>
    </w:p>
    <w:p w14:paraId="2F51FE09" w14:textId="77777777" w:rsidR="00AA48EB" w:rsidRPr="00D32803" w:rsidRDefault="00AA48EB" w:rsidP="00AA48EB">
      <w:pPr>
        <w:numPr>
          <w:ilvl w:val="0"/>
          <w:numId w:val="8"/>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Sustainability aims at accomplishment (emissions, packaging, sourcing)</w:t>
      </w:r>
    </w:p>
    <w:p w14:paraId="778B77FB"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Initiatives:</w:t>
      </w:r>
    </w:p>
    <w:p w14:paraId="3C86DAC9"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Automation and </w:t>
      </w:r>
      <w:proofErr w:type="spellStart"/>
      <w:r w:rsidRPr="00D32803">
        <w:rPr>
          <w:rFonts w:ascii="Arial" w:eastAsia="Aptos" w:hAnsi="Arial" w:cs="Arial"/>
          <w:bCs/>
          <w:kern w:val="0"/>
          <w:sz w:val="24"/>
          <w:szCs w:val="24"/>
          <w:lang w:val="en-US" w:bidi="bn-BD"/>
        </w:rPr>
        <w:t>digitalisation</w:t>
      </w:r>
      <w:proofErr w:type="spellEnd"/>
      <w:r w:rsidRPr="00D32803">
        <w:rPr>
          <w:rFonts w:ascii="Arial" w:eastAsia="Aptos" w:hAnsi="Arial" w:cs="Arial"/>
          <w:bCs/>
          <w:kern w:val="0"/>
          <w:sz w:val="24"/>
          <w:szCs w:val="24"/>
          <w:lang w:val="en-US" w:bidi="bn-BD"/>
        </w:rPr>
        <w:t xml:space="preserve"> </w:t>
      </w:r>
      <w:proofErr w:type="spellStart"/>
      <w:r w:rsidRPr="00D32803">
        <w:rPr>
          <w:rFonts w:ascii="Arial" w:eastAsia="Aptos" w:hAnsi="Arial" w:cs="Arial"/>
          <w:bCs/>
          <w:kern w:val="0"/>
          <w:sz w:val="24"/>
          <w:szCs w:val="24"/>
          <w:lang w:val="en-US" w:bidi="bn-BD"/>
        </w:rPr>
        <w:t>programmes</w:t>
      </w:r>
      <w:proofErr w:type="spellEnd"/>
      <w:r w:rsidRPr="00D32803">
        <w:rPr>
          <w:rFonts w:ascii="Arial" w:eastAsia="Aptos" w:hAnsi="Arial" w:cs="Arial"/>
          <w:bCs/>
          <w:kern w:val="0"/>
          <w:sz w:val="24"/>
          <w:szCs w:val="24"/>
          <w:lang w:val="en-US" w:bidi="bn-BD"/>
        </w:rPr>
        <w:t xml:space="preserve"> at factories.</w:t>
      </w:r>
    </w:p>
    <w:p w14:paraId="1C841B93"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Improvement in supplier relationship management.</w:t>
      </w:r>
    </w:p>
    <w:p w14:paraId="1322A5FB"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Inventory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 xml:space="preserve"> and demand sensing.</w:t>
      </w:r>
    </w:p>
    <w:p w14:paraId="33463DEA" w14:textId="77777777" w:rsidR="00AA48EB" w:rsidRPr="00D32803" w:rsidRDefault="00AA48EB" w:rsidP="00AA48EB">
      <w:pPr>
        <w:numPr>
          <w:ilvl w:val="0"/>
          <w:numId w:val="9"/>
        </w:numPr>
        <w:spacing w:line="360" w:lineRule="auto"/>
        <w:contextualSpacing/>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Green energy shift and garbage eradication.</w:t>
      </w:r>
    </w:p>
    <w:p w14:paraId="28C20889" w14:textId="77777777" w:rsidR="00AA48EB" w:rsidRPr="00D32803" w:rsidRDefault="00AA48EB" w:rsidP="00AA48EB">
      <w:pPr>
        <w:spacing w:line="360" w:lineRule="auto"/>
        <w:jc w:val="both"/>
        <w:rPr>
          <w:rFonts w:ascii="Arial" w:eastAsia="Aptos" w:hAnsi="Arial" w:cs="Arial"/>
          <w:b/>
          <w:bCs/>
          <w:kern w:val="0"/>
          <w:sz w:val="24"/>
          <w:szCs w:val="24"/>
          <w:lang w:val="en-US" w:bidi="bn-BD"/>
        </w:rPr>
      </w:pPr>
      <w:r w:rsidRPr="00D32803">
        <w:rPr>
          <w:rFonts w:ascii="Arial" w:eastAsia="Aptos" w:hAnsi="Arial" w:cs="Arial"/>
          <w:bCs/>
          <w:kern w:val="0"/>
          <w:sz w:val="24"/>
          <w:szCs w:val="24"/>
          <w:lang w:val="en-US" w:bidi="bn-BD"/>
        </w:rPr>
        <w:t xml:space="preserve">The strengths seen in internal processes are in the area of sustainability integration, but the velocity of innovation has been </w:t>
      </w:r>
      <w:proofErr w:type="spellStart"/>
      <w:r w:rsidRPr="00D32803">
        <w:rPr>
          <w:rFonts w:ascii="Arial" w:eastAsia="Aptos" w:hAnsi="Arial" w:cs="Arial"/>
          <w:bCs/>
          <w:kern w:val="0"/>
          <w:sz w:val="24"/>
          <w:szCs w:val="24"/>
          <w:lang w:val="en-US" w:bidi="bn-BD"/>
        </w:rPr>
        <w:t>criticised</w:t>
      </w:r>
      <w:proofErr w:type="spellEnd"/>
      <w:r w:rsidRPr="00D32803">
        <w:rPr>
          <w:rFonts w:ascii="Arial" w:eastAsia="Aptos" w:hAnsi="Arial" w:cs="Arial"/>
          <w:bCs/>
          <w:kern w:val="0"/>
          <w:sz w:val="24"/>
          <w:szCs w:val="24"/>
          <w:lang w:val="en-US" w:bidi="bn-BD"/>
        </w:rPr>
        <w:t xml:space="preserve"> compared to more agile competitors (Bernstein Research, 2023).</w:t>
      </w:r>
    </w:p>
    <w:p w14:paraId="36CE3108"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4.5 Perspective of Learning and Growth.</w:t>
      </w:r>
    </w:p>
    <w:p w14:paraId="1F3BE1C4"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This is the view on the development of </w:t>
      </w:r>
      <w:proofErr w:type="spellStart"/>
      <w:r w:rsidRPr="00D32803">
        <w:rPr>
          <w:rFonts w:ascii="Arial" w:eastAsia="Aptos" w:hAnsi="Arial" w:cs="Arial"/>
          <w:kern w:val="0"/>
          <w:sz w:val="24"/>
          <w:szCs w:val="24"/>
          <w:lang w:val="en-US" w:bidi="bn-BD"/>
        </w:rPr>
        <w:t>organisational</w:t>
      </w:r>
      <w:proofErr w:type="spellEnd"/>
      <w:r w:rsidRPr="00D32803">
        <w:rPr>
          <w:rFonts w:ascii="Arial" w:eastAsia="Aptos" w:hAnsi="Arial" w:cs="Arial"/>
          <w:kern w:val="0"/>
          <w:sz w:val="24"/>
          <w:szCs w:val="24"/>
          <w:lang w:val="en-US" w:bidi="bn-BD"/>
        </w:rPr>
        <w:t xml:space="preserve"> capability on the way to success in the future.</w:t>
      </w:r>
    </w:p>
    <w:p w14:paraId="5750D838"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Objectives:</w:t>
      </w:r>
    </w:p>
    <w:p w14:paraId="5383C924"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Become an improved leader in the future.</w:t>
      </w:r>
    </w:p>
    <w:p w14:paraId="01C83A08"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Promote the culture of innovation and agility.</w:t>
      </w:r>
    </w:p>
    <w:p w14:paraId="7966F11C"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establish digital and data analytics.</w:t>
      </w:r>
    </w:p>
    <w:p w14:paraId="7D3CC5D1" w14:textId="77777777" w:rsidR="00AA48EB" w:rsidRPr="00D32803" w:rsidRDefault="00AA48EB" w:rsidP="00AA48EB">
      <w:pPr>
        <w:numPr>
          <w:ilvl w:val="0"/>
          <w:numId w:val="10"/>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Increase employee interest and health.</w:t>
      </w:r>
    </w:p>
    <w:p w14:paraId="1F7DE36E"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Key Performance Indicators:</w:t>
      </w:r>
    </w:p>
    <w:p w14:paraId="3B8ABA38"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Employee engagement scores (Target: top quartile vs. peers)</w:t>
      </w:r>
    </w:p>
    <w:p w14:paraId="5416C637"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The strength measures of </w:t>
      </w:r>
      <w:r>
        <w:rPr>
          <w:rFonts w:ascii="Arial" w:eastAsia="Aptos" w:hAnsi="Arial" w:cs="Arial"/>
          <w:kern w:val="0"/>
          <w:sz w:val="24"/>
          <w:szCs w:val="24"/>
          <w:lang w:val="en-US" w:bidi="bn-BD"/>
        </w:rPr>
        <w:t xml:space="preserve">the </w:t>
      </w:r>
      <w:r w:rsidRPr="00D32803">
        <w:rPr>
          <w:rFonts w:ascii="Arial" w:eastAsia="Aptos" w:hAnsi="Arial" w:cs="Arial"/>
          <w:kern w:val="0"/>
          <w:sz w:val="24"/>
          <w:szCs w:val="24"/>
          <w:lang w:val="en-US" w:bidi="bn-BD"/>
        </w:rPr>
        <w:t>leadership pipeline.</w:t>
      </w:r>
    </w:p>
    <w:p w14:paraId="08BF1DF3"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Digital capability maturity tests.</w:t>
      </w:r>
    </w:p>
    <w:p w14:paraId="26ECB152" w14:textId="77777777" w:rsidR="00AA48EB" w:rsidRPr="00D32803" w:rsidRDefault="00AA48EB" w:rsidP="00AA48EB">
      <w:pPr>
        <w:numPr>
          <w:ilvl w:val="0"/>
          <w:numId w:val="11"/>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Investment in training and development per employee.</w:t>
      </w:r>
    </w:p>
    <w:p w14:paraId="615B598C"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Initiatives:</w:t>
      </w:r>
    </w:p>
    <w:p w14:paraId="088749FF"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Succession planning and leadership development </w:t>
      </w:r>
      <w:proofErr w:type="spellStart"/>
      <w:r w:rsidRPr="00D32803">
        <w:rPr>
          <w:rFonts w:ascii="Arial" w:eastAsia="Aptos" w:hAnsi="Arial" w:cs="Arial"/>
          <w:kern w:val="0"/>
          <w:sz w:val="24"/>
          <w:szCs w:val="24"/>
          <w:lang w:val="en-US" w:bidi="bn-BD"/>
        </w:rPr>
        <w:t>programmes</w:t>
      </w:r>
      <w:proofErr w:type="spellEnd"/>
      <w:r w:rsidRPr="00D32803">
        <w:rPr>
          <w:rFonts w:ascii="Arial" w:eastAsia="Aptos" w:hAnsi="Arial" w:cs="Arial"/>
          <w:kern w:val="0"/>
          <w:sz w:val="24"/>
          <w:szCs w:val="24"/>
          <w:lang w:val="en-US" w:bidi="bn-BD"/>
        </w:rPr>
        <w:t>.</w:t>
      </w:r>
    </w:p>
    <w:p w14:paraId="492E71F6"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Digital skills training in the </w:t>
      </w:r>
      <w:proofErr w:type="spellStart"/>
      <w:r w:rsidRPr="00D32803">
        <w:rPr>
          <w:rFonts w:ascii="Arial" w:eastAsia="Aptos" w:hAnsi="Arial" w:cs="Arial"/>
          <w:kern w:val="0"/>
          <w:sz w:val="24"/>
          <w:szCs w:val="24"/>
          <w:lang w:val="en-US" w:bidi="bn-BD"/>
        </w:rPr>
        <w:t>organisation</w:t>
      </w:r>
      <w:proofErr w:type="spellEnd"/>
      <w:r w:rsidRPr="00D32803">
        <w:rPr>
          <w:rFonts w:ascii="Arial" w:eastAsia="Aptos" w:hAnsi="Arial" w:cs="Arial"/>
          <w:kern w:val="0"/>
          <w:sz w:val="24"/>
          <w:szCs w:val="24"/>
          <w:lang w:val="en-US" w:bidi="bn-BD"/>
        </w:rPr>
        <w:t>.</w:t>
      </w:r>
    </w:p>
    <w:p w14:paraId="15D6B84C"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 xml:space="preserve">Streamlining of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 xml:space="preserve"> to enhance less bureaucracy.</w:t>
      </w:r>
    </w:p>
    <w:p w14:paraId="6968EB7D" w14:textId="77777777" w:rsidR="00AA48EB" w:rsidRPr="00D32803" w:rsidRDefault="00AA48EB" w:rsidP="00AA48EB">
      <w:pPr>
        <w:numPr>
          <w:ilvl w:val="0"/>
          <w:numId w:val="12"/>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Diversity, equity and inclusion </w:t>
      </w:r>
      <w:proofErr w:type="spellStart"/>
      <w:r w:rsidRPr="00D32803">
        <w:rPr>
          <w:rFonts w:ascii="Arial" w:eastAsia="Aptos" w:hAnsi="Arial" w:cs="Arial"/>
          <w:kern w:val="0"/>
          <w:sz w:val="24"/>
          <w:szCs w:val="24"/>
          <w:lang w:val="en-US" w:bidi="bn-BD"/>
        </w:rPr>
        <w:t>programmes</w:t>
      </w:r>
      <w:proofErr w:type="spellEnd"/>
      <w:r w:rsidRPr="00D32803">
        <w:rPr>
          <w:rFonts w:ascii="Arial" w:eastAsia="Aptos" w:hAnsi="Arial" w:cs="Arial"/>
          <w:kern w:val="0"/>
          <w:sz w:val="24"/>
          <w:szCs w:val="24"/>
          <w:lang w:val="en-US" w:bidi="bn-BD"/>
        </w:rPr>
        <w:t>.</w:t>
      </w:r>
    </w:p>
    <w:p w14:paraId="791EF6DE"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focus on learning and growth demonstrates the inner priorities of the CEO Hein Schumacher towards the culture of agility and transformation of performance (Unilever, 2023a).</w:t>
      </w:r>
    </w:p>
    <w:p w14:paraId="33F1A866" w14:textId="77777777" w:rsidR="00AA48EB" w:rsidRPr="00D32803" w:rsidRDefault="00AA48EB" w:rsidP="00AA48EB">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5.0 Strategic Decisions and Implementation.</w:t>
      </w:r>
    </w:p>
    <w:p w14:paraId="58D60D5F"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Towards the close of this session, we shall examine the evaluation of the business-level strategy.</w:t>
      </w:r>
    </w:p>
    <w:p w14:paraId="26CBD7D2"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Competitive positioning in specific markets is determined by business-level strategy. As Michael Porter (1985) says, companies should focus and differentiate or aim towards cost leadership to prevent strategic incoherence.</w:t>
      </w:r>
    </w:p>
    <w:p w14:paraId="752352C0" w14:textId="4CDA0CA8"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Unilever has, over time been on a differentiation quest where it has </w:t>
      </w:r>
      <w:proofErr w:type="spellStart"/>
      <w:r w:rsidRPr="00D32803">
        <w:rPr>
          <w:rFonts w:ascii="Arial" w:eastAsia="Aptos" w:hAnsi="Arial" w:cs="Arial"/>
          <w:kern w:val="0"/>
          <w:sz w:val="24"/>
          <w:szCs w:val="24"/>
          <w:lang w:val="en-US" w:bidi="bn-BD"/>
        </w:rPr>
        <w:t>capitalised</w:t>
      </w:r>
      <w:proofErr w:type="spellEnd"/>
      <w:r w:rsidRPr="00D32803">
        <w:rPr>
          <w:rFonts w:ascii="Arial" w:eastAsia="Aptos" w:hAnsi="Arial" w:cs="Arial"/>
          <w:kern w:val="0"/>
          <w:sz w:val="24"/>
          <w:szCs w:val="24"/>
          <w:lang w:val="en-US" w:bidi="bn-BD"/>
        </w:rPr>
        <w:t xml:space="preserve"> on brand equity, innovation, and sustainability positioning. There are brands like Dove, Seventh Generation and Dermalogica that </w:t>
      </w:r>
      <w:r w:rsidR="00750398">
        <w:rPr>
          <w:rFonts w:ascii="Arial" w:eastAsia="Aptos" w:hAnsi="Arial" w:cs="Arial"/>
          <w:kern w:val="0"/>
          <w:sz w:val="24"/>
          <w:szCs w:val="24"/>
          <w:lang w:val="en-US" w:bidi="bn-BD"/>
        </w:rPr>
        <w:t>can</w:t>
      </w:r>
      <w:r w:rsidRPr="00D32803">
        <w:rPr>
          <w:rFonts w:ascii="Arial" w:eastAsia="Aptos" w:hAnsi="Arial" w:cs="Arial"/>
          <w:kern w:val="0"/>
          <w:sz w:val="24"/>
          <w:szCs w:val="24"/>
          <w:lang w:val="en-US" w:bidi="bn-BD"/>
        </w:rPr>
        <w:t xml:space="preserve"> charge higher prices depending on the quality, ethical orientation, and operational excellence. This is in line with the differentiation in terms of brand identity and product attributes.</w:t>
      </w:r>
    </w:p>
    <w:p w14:paraId="672A8A2E"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Unilever is not a pure cost leader; however, it is enjoying the economies of scale, which help in maintaining margins. Nevertheless, the increased intensity of competition of the other labels by the largest retailers necessitates constant justification of value. The efficiency </w:t>
      </w:r>
      <w:proofErr w:type="spellStart"/>
      <w:r w:rsidRPr="00D32803">
        <w:rPr>
          <w:rFonts w:ascii="Arial" w:eastAsia="Aptos" w:hAnsi="Arial" w:cs="Arial"/>
          <w:kern w:val="0"/>
          <w:sz w:val="24"/>
          <w:szCs w:val="24"/>
          <w:lang w:val="en-US" w:bidi="bn-BD"/>
        </w:rPr>
        <w:t>programmes</w:t>
      </w:r>
      <w:proofErr w:type="spellEnd"/>
      <w:r w:rsidRPr="00D32803">
        <w:rPr>
          <w:rFonts w:ascii="Arial" w:eastAsia="Aptos" w:hAnsi="Arial" w:cs="Arial"/>
          <w:kern w:val="0"/>
          <w:sz w:val="24"/>
          <w:szCs w:val="24"/>
          <w:lang w:val="en-US" w:bidi="bn-BD"/>
        </w:rPr>
        <w:t xml:space="preserve"> have attempted to improve productivity without compromising on innovation and investment in marketing.</w:t>
      </w:r>
    </w:p>
    <w:p w14:paraId="6603FF6B"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Aspects of focused differentiation are seen in prestige beauty and green segments.</w:t>
      </w:r>
    </w:p>
    <w:p w14:paraId="426A9D9D" w14:textId="77777777" w:rsidR="00AA48EB" w:rsidRPr="00D32803" w:rsidRDefault="00AA48EB" w:rsidP="00AA48EB">
      <w:pPr>
        <w:spacing w:line="360" w:lineRule="auto"/>
        <w:jc w:val="both"/>
        <w:rPr>
          <w:rFonts w:ascii="Arial" w:eastAsia="Aptos" w:hAnsi="Arial" w:cs="Arial"/>
          <w:b/>
          <w:bCs/>
          <w:kern w:val="0"/>
          <w:sz w:val="24"/>
          <w:szCs w:val="24"/>
          <w:lang w:val="en-US" w:bidi="bn-BD"/>
        </w:rPr>
      </w:pPr>
      <w:r w:rsidRPr="00D32803">
        <w:rPr>
          <w:rFonts w:ascii="Arial" w:eastAsia="Aptos" w:hAnsi="Arial" w:cs="Arial"/>
          <w:b/>
          <w:kern w:val="0"/>
          <w:sz w:val="24"/>
          <w:szCs w:val="24"/>
          <w:lang w:val="en-US" w:bidi="bn-BD"/>
        </w:rPr>
        <w:t>Recommendation:</w:t>
      </w:r>
      <w:r w:rsidRPr="00D32803">
        <w:rPr>
          <w:rFonts w:ascii="Arial" w:eastAsia="Aptos" w:hAnsi="Arial" w:cs="Arial"/>
          <w:kern w:val="0"/>
          <w:sz w:val="24"/>
          <w:szCs w:val="24"/>
          <w:lang w:val="en-US" w:bidi="bn-BD"/>
        </w:rPr>
        <w:t xml:space="preserve"> Unilever needs to increase focused differentiation- to focus more on the categories in which the brand equities and innovations can have a defensible premium and get rid of the underperforming ones. This is in line with the few, bigger, better innovation agenda of the CEO Hein Schumacher (Unilever, 2023a). It is clear </w:t>
      </w:r>
      <w:proofErr w:type="spellStart"/>
      <w:r w:rsidRPr="00D32803">
        <w:rPr>
          <w:rFonts w:ascii="Arial" w:eastAsia="Aptos" w:hAnsi="Arial" w:cs="Arial"/>
          <w:kern w:val="0"/>
          <w:sz w:val="24"/>
          <w:szCs w:val="24"/>
          <w:lang w:val="en-US" w:bidi="bn-BD"/>
        </w:rPr>
        <w:t>prioritisation</w:t>
      </w:r>
      <w:proofErr w:type="spellEnd"/>
      <w:r w:rsidRPr="00D32803">
        <w:rPr>
          <w:rFonts w:ascii="Arial" w:eastAsia="Aptos" w:hAnsi="Arial" w:cs="Arial"/>
          <w:kern w:val="0"/>
          <w:sz w:val="24"/>
          <w:szCs w:val="24"/>
          <w:lang w:val="en-US" w:bidi="bn-BD"/>
        </w:rPr>
        <w:t xml:space="preserve"> that prevents the risk of being stuck in the middle.</w:t>
      </w:r>
    </w:p>
    <w:p w14:paraId="0F2D5F8A"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5.2 Assessment of Corporate Level Strategy.</w:t>
      </w:r>
    </w:p>
    <w:p w14:paraId="5AB6D9E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Strategic opportunities of companies deal with the scope of portfolios and allocation of resources.</w:t>
      </w:r>
    </w:p>
    <w:p w14:paraId="33D1F8D7"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lastRenderedPageBreak/>
        <w:t>Unilever operates across three businesses: food, home care and beauty. Using the BCG logic by Henderson (1979), the beauty and well-being segment can be viewed as a star, whereas mature food lines can be a cash cow. The company has related diversification, with distribution facilities, consumer understanding, and branding capacities which are shared across classes.</w:t>
      </w:r>
    </w:p>
    <w:p w14:paraId="194410FF"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On a global scale, Unilever is a transnational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which is in line with Christopher Bartlett and Sumantra Ghoshal (1989), which balances </w:t>
      </w:r>
      <w:proofErr w:type="spellStart"/>
      <w:r w:rsidRPr="00D32803">
        <w:rPr>
          <w:rFonts w:ascii="Arial" w:eastAsia="Aptos" w:hAnsi="Arial" w:cs="Arial"/>
          <w:bCs/>
          <w:kern w:val="0"/>
          <w:sz w:val="24"/>
          <w:szCs w:val="24"/>
          <w:lang w:val="en-US" w:bidi="bn-BD"/>
        </w:rPr>
        <w:t>globalisation</w:t>
      </w:r>
      <w:proofErr w:type="spellEnd"/>
      <w:r w:rsidRPr="00D32803">
        <w:rPr>
          <w:rFonts w:ascii="Arial" w:eastAsia="Aptos" w:hAnsi="Arial" w:cs="Arial"/>
          <w:bCs/>
          <w:kern w:val="0"/>
          <w:sz w:val="24"/>
          <w:szCs w:val="24"/>
          <w:lang w:val="en-US" w:bidi="bn-BD"/>
        </w:rPr>
        <w:t xml:space="preserve"> with local sensitivity.</w:t>
      </w:r>
    </w:p>
    <w:p w14:paraId="634CC5A6"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Advice: It is possible to recommend selective portfolio concentration. This direction is shown in the latest news about the separation of the ice cream division (Unilever, 2024). The strategic priorities should involve:</w:t>
      </w:r>
    </w:p>
    <w:p w14:paraId="1347684B" w14:textId="77777777" w:rsidR="00AA48EB" w:rsidRPr="00D32803" w:rsidRDefault="00AA48EB" w:rsidP="00AA48EB">
      <w:pPr>
        <w:numPr>
          <w:ilvl w:val="0"/>
          <w:numId w:val="1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Sales of structurally sluggish non-core businesses.</w:t>
      </w:r>
    </w:p>
    <w:p w14:paraId="3578C9CE" w14:textId="77777777" w:rsidR="00AA48EB" w:rsidRPr="00D32803" w:rsidRDefault="00AA48EB" w:rsidP="00AA48EB">
      <w:pPr>
        <w:numPr>
          <w:ilvl w:val="0"/>
          <w:numId w:val="1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Premium beauty expansion by targeted acquisitions.</w:t>
      </w:r>
    </w:p>
    <w:p w14:paraId="75E2C564" w14:textId="77777777" w:rsidR="00AA48EB" w:rsidRPr="00D32803" w:rsidRDefault="00AA48EB" w:rsidP="00AA48EB">
      <w:pPr>
        <w:numPr>
          <w:ilvl w:val="0"/>
          <w:numId w:val="13"/>
        </w:numPr>
        <w:spacing w:line="360" w:lineRule="auto"/>
        <w:contextualSpacing/>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Enhancing the new market cutoff, where the volume can be expanded by demographic growth.</w:t>
      </w:r>
    </w:p>
    <w:p w14:paraId="17BB7A34"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These actions comply with the principles of portfolio coherence and synergy </w:t>
      </w:r>
      <w:proofErr w:type="spellStart"/>
      <w:r w:rsidRPr="00D32803">
        <w:rPr>
          <w:rFonts w:ascii="Arial" w:eastAsia="Aptos" w:hAnsi="Arial" w:cs="Arial"/>
          <w:bCs/>
          <w:kern w:val="0"/>
          <w:sz w:val="24"/>
          <w:szCs w:val="24"/>
          <w:lang w:val="en-US" w:bidi="bn-BD"/>
        </w:rPr>
        <w:t>optimisation</w:t>
      </w:r>
      <w:proofErr w:type="spellEnd"/>
      <w:r w:rsidRPr="00D32803">
        <w:rPr>
          <w:rFonts w:ascii="Arial" w:eastAsia="Aptos" w:hAnsi="Arial" w:cs="Arial"/>
          <w:bCs/>
          <w:kern w:val="0"/>
          <w:sz w:val="24"/>
          <w:szCs w:val="24"/>
          <w:lang w:val="en-US" w:bidi="bn-BD"/>
        </w:rPr>
        <w:t xml:space="preserve"> (Campbell et al., 1995).</w:t>
      </w:r>
    </w:p>
    <w:p w14:paraId="0E4BCD86"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5.3 Change Management and Strategic Implementation.</w:t>
      </w:r>
    </w:p>
    <w:p w14:paraId="0D183CBD"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leadership has made transitions of Paul Polman to Alan Jope and then to Schumacher under strategic implementation. Finding equilibrium between the sustainability heritage and the reinvented financial discipline is a central conflict.</w:t>
      </w:r>
    </w:p>
    <w:p w14:paraId="75DED4D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Applying the force field analysis of Kurt Lewin (1951), investor activism and competition underperformance are seen as driving forces and cultural attachment to legacy sustainability positioning is seen as a restraining force. The model developed by John Kotter (1996) puts special emphasis on creating urgency, forming coalitions, and embedding culture.</w:t>
      </w:r>
    </w:p>
    <w:p w14:paraId="0097D5BC"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complexity of implementation is still high. The geographic dispersion and matrix structures are additive to coordination costs. As Henry Mintzberg (1994) noted, execution is usually more challenging than formulation, especially in big multinational companies.</w:t>
      </w:r>
    </w:p>
    <w:p w14:paraId="5BEF4591"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6.0 strategic evaluation and recommendations</w:t>
      </w:r>
    </w:p>
    <w:p w14:paraId="054CB554"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6.1 SWOT Analysis</w:t>
      </w:r>
    </w:p>
    <w:p w14:paraId="6AD51ACD" w14:textId="77777777" w:rsidR="00AA48EB" w:rsidRPr="00D32803" w:rsidRDefault="00AA48EB" w:rsidP="00AA48EB">
      <w:pPr>
        <w:spacing w:line="360" w:lineRule="auto"/>
        <w:jc w:val="both"/>
        <w:rPr>
          <w:rFonts w:ascii="Arial" w:eastAsia="Aptos" w:hAnsi="Arial" w:cs="Arial"/>
          <w:kern w:val="0"/>
          <w:sz w:val="24"/>
          <w:szCs w:val="24"/>
          <w:lang w:val="en-US" w:bidi="bn-BD"/>
        </w:rPr>
      </w:pPr>
      <w:r w:rsidRPr="00D32803">
        <w:rPr>
          <w:rFonts w:ascii="Arial" w:eastAsia="Aptos" w:hAnsi="Arial" w:cs="Arial"/>
          <w:bCs/>
          <w:kern w:val="0"/>
          <w:sz w:val="24"/>
          <w:szCs w:val="24"/>
          <w:lang w:val="en-US" w:bidi="bn-BD"/>
        </w:rPr>
        <w:t>SWOT analysis is a synthesis of both internal and external forces on strategic positioning (Helms and Nixon, 2010).</w:t>
      </w:r>
    </w:p>
    <w:tbl>
      <w:tblPr>
        <w:tblStyle w:val="TableGrid1"/>
        <w:tblW w:w="9360" w:type="dxa"/>
        <w:tblLook w:val="04A0" w:firstRow="1" w:lastRow="0" w:firstColumn="1" w:lastColumn="0" w:noHBand="0" w:noVBand="1"/>
      </w:tblPr>
      <w:tblGrid>
        <w:gridCol w:w="4745"/>
        <w:gridCol w:w="4615"/>
      </w:tblGrid>
      <w:tr w:rsidR="00AA48EB" w:rsidRPr="00D32803" w14:paraId="0C2FDD38" w14:textId="77777777" w:rsidTr="004434E9">
        <w:tc>
          <w:tcPr>
            <w:tcW w:w="0" w:type="auto"/>
            <w:noWrap/>
            <w:hideMark/>
          </w:tcPr>
          <w:p w14:paraId="0C7208A9"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Strengths</w:t>
            </w:r>
          </w:p>
        </w:tc>
        <w:tc>
          <w:tcPr>
            <w:tcW w:w="0" w:type="auto"/>
            <w:noWrap/>
            <w:hideMark/>
          </w:tcPr>
          <w:p w14:paraId="0DC2FB50"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Weaknesses</w:t>
            </w:r>
          </w:p>
        </w:tc>
      </w:tr>
      <w:tr w:rsidR="00AA48EB" w:rsidRPr="00D32803" w14:paraId="4A40B302" w14:textId="77777777" w:rsidTr="004434E9">
        <w:tc>
          <w:tcPr>
            <w:tcW w:w="0" w:type="auto"/>
            <w:hideMark/>
          </w:tcPr>
          <w:p w14:paraId="234666D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Strong brand portfolio with global recognition</w:t>
            </w:r>
          </w:p>
        </w:tc>
        <w:tc>
          <w:tcPr>
            <w:tcW w:w="0" w:type="auto"/>
            <w:hideMark/>
          </w:tcPr>
          <w:p w14:paraId="5EE31F9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Portfolio complexity and brand proliferation</w:t>
            </w:r>
          </w:p>
        </w:tc>
      </w:tr>
      <w:tr w:rsidR="00AA48EB" w:rsidRPr="00D32803" w14:paraId="754EB7EE" w14:textId="77777777" w:rsidTr="004434E9">
        <w:tc>
          <w:tcPr>
            <w:tcW w:w="0" w:type="auto"/>
            <w:hideMark/>
          </w:tcPr>
          <w:p w14:paraId="2F203FED"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Extensive global distribution reach</w:t>
            </w:r>
          </w:p>
        </w:tc>
        <w:tc>
          <w:tcPr>
            <w:tcW w:w="0" w:type="auto"/>
            <w:hideMark/>
          </w:tcPr>
          <w:p w14:paraId="034125AB" w14:textId="77777777" w:rsidR="00AA48EB" w:rsidRPr="00D32803" w:rsidRDefault="00AA48EB" w:rsidP="004434E9">
            <w:pPr>
              <w:spacing w:line="360" w:lineRule="auto"/>
              <w:rPr>
                <w:rFonts w:ascii="Arial" w:eastAsia="Aptos" w:hAnsi="Arial" w:cs="Arial"/>
                <w:sz w:val="24"/>
                <w:szCs w:val="24"/>
              </w:rPr>
            </w:pPr>
            <w:proofErr w:type="spellStart"/>
            <w:r w:rsidRPr="00D32803">
              <w:rPr>
                <w:rFonts w:ascii="Arial" w:eastAsia="Aptos" w:hAnsi="Arial" w:cs="Arial"/>
                <w:sz w:val="24"/>
                <w:szCs w:val="24"/>
              </w:rPr>
              <w:t>Organisational</w:t>
            </w:r>
            <w:proofErr w:type="spellEnd"/>
            <w:r w:rsidRPr="00D32803">
              <w:rPr>
                <w:rFonts w:ascii="Arial" w:eastAsia="Aptos" w:hAnsi="Arial" w:cs="Arial"/>
                <w:sz w:val="24"/>
                <w:szCs w:val="24"/>
              </w:rPr>
              <w:t xml:space="preserve"> bureaucracy limiting agility</w:t>
            </w:r>
          </w:p>
        </w:tc>
      </w:tr>
      <w:tr w:rsidR="00AA48EB" w:rsidRPr="00D32803" w14:paraId="367B209E" w14:textId="77777777" w:rsidTr="004434E9">
        <w:tc>
          <w:tcPr>
            <w:tcW w:w="0" w:type="auto"/>
            <w:hideMark/>
          </w:tcPr>
          <w:p w14:paraId="67F3291C"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Sustainability, leadership and reputation</w:t>
            </w:r>
          </w:p>
        </w:tc>
        <w:tc>
          <w:tcPr>
            <w:tcW w:w="0" w:type="auto"/>
            <w:hideMark/>
          </w:tcPr>
          <w:p w14:paraId="767D0D7B"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Recent underperformance vs. competitors</w:t>
            </w:r>
          </w:p>
        </w:tc>
      </w:tr>
      <w:tr w:rsidR="00AA48EB" w:rsidRPr="00D32803" w14:paraId="3E79CB26" w14:textId="77777777" w:rsidTr="004434E9">
        <w:tc>
          <w:tcPr>
            <w:tcW w:w="0" w:type="auto"/>
            <w:hideMark/>
          </w:tcPr>
          <w:p w14:paraId="2C9F2DD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Emerging market presence and expertise</w:t>
            </w:r>
          </w:p>
        </w:tc>
        <w:tc>
          <w:tcPr>
            <w:tcW w:w="0" w:type="auto"/>
            <w:hideMark/>
          </w:tcPr>
          <w:p w14:paraId="71AE157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Margin pressure from input cost inflation</w:t>
            </w:r>
          </w:p>
        </w:tc>
      </w:tr>
      <w:tr w:rsidR="00AA48EB" w:rsidRPr="00D32803" w14:paraId="07677E23" w14:textId="77777777" w:rsidTr="004434E9">
        <w:tc>
          <w:tcPr>
            <w:tcW w:w="0" w:type="auto"/>
            <w:hideMark/>
          </w:tcPr>
          <w:p w14:paraId="617339B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R&amp;D capabilities and innovation heritage</w:t>
            </w:r>
          </w:p>
        </w:tc>
        <w:tc>
          <w:tcPr>
            <w:tcW w:w="0" w:type="auto"/>
            <w:hideMark/>
          </w:tcPr>
          <w:p w14:paraId="1C79CAD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Digital capability gaps vs. agile competitors</w:t>
            </w:r>
          </w:p>
        </w:tc>
      </w:tr>
    </w:tbl>
    <w:p w14:paraId="285ECB00" w14:textId="77777777" w:rsidR="00AA48EB" w:rsidRPr="00D32803" w:rsidRDefault="00AA48EB" w:rsidP="00AA48EB">
      <w:pPr>
        <w:spacing w:line="360" w:lineRule="auto"/>
        <w:rPr>
          <w:rFonts w:ascii="Arial" w:eastAsia="Aptos" w:hAnsi="Arial" w:cs="Arial"/>
          <w:vanish/>
          <w:kern w:val="0"/>
          <w:sz w:val="24"/>
          <w:szCs w:val="24"/>
          <w:lang w:val="en-US" w:bidi="bn-BD"/>
        </w:rPr>
      </w:pPr>
    </w:p>
    <w:tbl>
      <w:tblPr>
        <w:tblStyle w:val="TableGrid1"/>
        <w:tblW w:w="9360" w:type="dxa"/>
        <w:tblLook w:val="04A0" w:firstRow="1" w:lastRow="0" w:firstColumn="1" w:lastColumn="0" w:noHBand="0" w:noVBand="1"/>
      </w:tblPr>
      <w:tblGrid>
        <w:gridCol w:w="4482"/>
        <w:gridCol w:w="4878"/>
      </w:tblGrid>
      <w:tr w:rsidR="00AA48EB" w:rsidRPr="00D32803" w14:paraId="7822BF73" w14:textId="77777777" w:rsidTr="004434E9">
        <w:tc>
          <w:tcPr>
            <w:tcW w:w="0" w:type="auto"/>
            <w:noWrap/>
            <w:hideMark/>
          </w:tcPr>
          <w:p w14:paraId="579E8103"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Opportunities</w:t>
            </w:r>
          </w:p>
        </w:tc>
        <w:tc>
          <w:tcPr>
            <w:tcW w:w="0" w:type="auto"/>
            <w:noWrap/>
            <w:hideMark/>
          </w:tcPr>
          <w:p w14:paraId="76C82AE6" w14:textId="77777777" w:rsidR="00AA48EB" w:rsidRPr="00D32803" w:rsidRDefault="00AA48EB" w:rsidP="004434E9">
            <w:pPr>
              <w:spacing w:line="360" w:lineRule="auto"/>
              <w:rPr>
                <w:rFonts w:ascii="Arial" w:eastAsia="Aptos" w:hAnsi="Arial" w:cs="Arial"/>
                <w:b/>
                <w:bCs/>
                <w:sz w:val="24"/>
                <w:szCs w:val="24"/>
              </w:rPr>
            </w:pPr>
            <w:r w:rsidRPr="00D32803">
              <w:rPr>
                <w:rFonts w:ascii="Arial" w:eastAsia="Aptos" w:hAnsi="Arial" w:cs="Arial"/>
                <w:b/>
                <w:bCs/>
                <w:sz w:val="24"/>
                <w:szCs w:val="24"/>
              </w:rPr>
              <w:t>Threats</w:t>
            </w:r>
          </w:p>
        </w:tc>
      </w:tr>
      <w:tr w:rsidR="00AA48EB" w:rsidRPr="00D32803" w14:paraId="6BD1858F" w14:textId="77777777" w:rsidTr="004434E9">
        <w:tc>
          <w:tcPr>
            <w:tcW w:w="0" w:type="auto"/>
            <w:hideMark/>
          </w:tcPr>
          <w:p w14:paraId="68178F64" w14:textId="77777777" w:rsidR="00AA48EB" w:rsidRPr="00D32803" w:rsidRDefault="00AA48EB" w:rsidP="004434E9">
            <w:pPr>
              <w:spacing w:line="360" w:lineRule="auto"/>
              <w:rPr>
                <w:rFonts w:ascii="Arial" w:eastAsia="Aptos" w:hAnsi="Arial" w:cs="Arial"/>
                <w:sz w:val="24"/>
                <w:szCs w:val="24"/>
              </w:rPr>
            </w:pPr>
            <w:proofErr w:type="spellStart"/>
            <w:r w:rsidRPr="00D32803">
              <w:rPr>
                <w:rFonts w:ascii="Arial" w:eastAsia="Aptos" w:hAnsi="Arial" w:cs="Arial"/>
                <w:sz w:val="24"/>
                <w:szCs w:val="24"/>
              </w:rPr>
              <w:t>Premiumisation</w:t>
            </w:r>
            <w:proofErr w:type="spellEnd"/>
            <w:r w:rsidRPr="00D32803">
              <w:rPr>
                <w:rFonts w:ascii="Arial" w:eastAsia="Aptos" w:hAnsi="Arial" w:cs="Arial"/>
                <w:sz w:val="24"/>
                <w:szCs w:val="24"/>
              </w:rPr>
              <w:t xml:space="preserve"> trends in beauty/personal care</w:t>
            </w:r>
          </w:p>
        </w:tc>
        <w:tc>
          <w:tcPr>
            <w:tcW w:w="0" w:type="auto"/>
            <w:hideMark/>
          </w:tcPr>
          <w:p w14:paraId="6AE4EFD4"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Intensifying private-label competition</w:t>
            </w:r>
          </w:p>
        </w:tc>
      </w:tr>
      <w:tr w:rsidR="00AA48EB" w:rsidRPr="00D32803" w14:paraId="6DAEA5DB" w14:textId="77777777" w:rsidTr="004434E9">
        <w:tc>
          <w:tcPr>
            <w:tcW w:w="0" w:type="auto"/>
            <w:hideMark/>
          </w:tcPr>
          <w:p w14:paraId="5FFDAE5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E-commerce and direct-to-consumer growth</w:t>
            </w:r>
          </w:p>
        </w:tc>
        <w:tc>
          <w:tcPr>
            <w:tcW w:w="0" w:type="auto"/>
            <w:hideMark/>
          </w:tcPr>
          <w:p w14:paraId="221729E3"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Commodity cost volatility</w:t>
            </w:r>
          </w:p>
        </w:tc>
      </w:tr>
      <w:tr w:rsidR="00AA48EB" w:rsidRPr="00D32803" w14:paraId="1451BC4F" w14:textId="77777777" w:rsidTr="004434E9">
        <w:tc>
          <w:tcPr>
            <w:tcW w:w="0" w:type="auto"/>
            <w:hideMark/>
          </w:tcPr>
          <w:p w14:paraId="601DABD5"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Emerging market middle-class expansion</w:t>
            </w:r>
          </w:p>
        </w:tc>
        <w:tc>
          <w:tcPr>
            <w:tcW w:w="0" w:type="auto"/>
            <w:hideMark/>
          </w:tcPr>
          <w:p w14:paraId="6D55EC28"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Regulatory complexity and sustainability requirements</w:t>
            </w:r>
          </w:p>
        </w:tc>
      </w:tr>
      <w:tr w:rsidR="00AA48EB" w:rsidRPr="00D32803" w14:paraId="13DF5588" w14:textId="77777777" w:rsidTr="004434E9">
        <w:tc>
          <w:tcPr>
            <w:tcW w:w="0" w:type="auto"/>
            <w:hideMark/>
          </w:tcPr>
          <w:p w14:paraId="1EB1ED41"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Sustainability-driven consumer preference shifts</w:t>
            </w:r>
          </w:p>
        </w:tc>
        <w:tc>
          <w:tcPr>
            <w:tcW w:w="0" w:type="auto"/>
            <w:hideMark/>
          </w:tcPr>
          <w:p w14:paraId="2AE7A630"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Challenger brand disruption</w:t>
            </w:r>
          </w:p>
        </w:tc>
      </w:tr>
      <w:tr w:rsidR="00AA48EB" w:rsidRPr="00D32803" w14:paraId="7BE6C7EC" w14:textId="77777777" w:rsidTr="004434E9">
        <w:tc>
          <w:tcPr>
            <w:tcW w:w="0" w:type="auto"/>
            <w:hideMark/>
          </w:tcPr>
          <w:p w14:paraId="79E110EE"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Acquisition opportunities in premium segments</w:t>
            </w:r>
          </w:p>
        </w:tc>
        <w:tc>
          <w:tcPr>
            <w:tcW w:w="0" w:type="auto"/>
            <w:hideMark/>
          </w:tcPr>
          <w:p w14:paraId="4A536216" w14:textId="77777777" w:rsidR="00AA48EB" w:rsidRPr="00D32803" w:rsidRDefault="00AA48EB" w:rsidP="004434E9">
            <w:pPr>
              <w:spacing w:line="360" w:lineRule="auto"/>
              <w:rPr>
                <w:rFonts w:ascii="Arial" w:eastAsia="Aptos" w:hAnsi="Arial" w:cs="Arial"/>
                <w:sz w:val="24"/>
                <w:szCs w:val="24"/>
              </w:rPr>
            </w:pPr>
            <w:r w:rsidRPr="00D32803">
              <w:rPr>
                <w:rFonts w:ascii="Arial" w:eastAsia="Aptos" w:hAnsi="Arial" w:cs="Arial"/>
                <w:sz w:val="24"/>
                <w:szCs w:val="24"/>
              </w:rPr>
              <w:t>Economic downturn affecting consumer spending</w:t>
            </w:r>
          </w:p>
        </w:tc>
      </w:tr>
    </w:tbl>
    <w:p w14:paraId="5F909215" w14:textId="77777777" w:rsidR="00AA48EB" w:rsidRPr="00750398" w:rsidRDefault="00AA48EB" w:rsidP="00750398">
      <w:pPr>
        <w:spacing w:line="360" w:lineRule="auto"/>
        <w:jc w:val="center"/>
        <w:rPr>
          <w:rFonts w:ascii="Arial" w:eastAsia="Aptos" w:hAnsi="Arial" w:cs="Arial"/>
          <w:b/>
          <w:bCs/>
          <w:i/>
          <w:iCs/>
          <w:kern w:val="0"/>
          <w:sz w:val="24"/>
          <w:szCs w:val="24"/>
          <w:u w:val="single"/>
          <w:lang w:val="en-US" w:bidi="bn-BD"/>
        </w:rPr>
      </w:pPr>
      <w:r w:rsidRPr="00750398">
        <w:rPr>
          <w:rFonts w:ascii="Arial" w:eastAsia="Aptos" w:hAnsi="Arial" w:cs="Arial"/>
          <w:b/>
          <w:bCs/>
          <w:i/>
          <w:iCs/>
          <w:kern w:val="0"/>
          <w:sz w:val="24"/>
          <w:szCs w:val="24"/>
          <w:u w:val="single"/>
          <w:lang w:val="en-US" w:bidi="bn-BD"/>
        </w:rPr>
        <w:t>Table 3: SWOT Analysis of Unilever</w:t>
      </w:r>
    </w:p>
    <w:p w14:paraId="48411874" w14:textId="77777777" w:rsidR="00AA48EB" w:rsidRPr="005E7AB5"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6.2 Ansoff Matrix Application</w:t>
      </w:r>
    </w:p>
    <w:p w14:paraId="0453F868"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Market Penetration</w:t>
      </w:r>
    </w:p>
    <w:p w14:paraId="246D4E3A" w14:textId="5A78CE5B"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Market penetration aims at gaining market share in the current markets with the current products. In the case of Unilever, this will entail the </w:t>
      </w:r>
      <w:r w:rsidR="00750398">
        <w:rPr>
          <w:rFonts w:ascii="Arial" w:eastAsia="Aptos" w:hAnsi="Arial" w:cs="Arial"/>
          <w:bCs/>
          <w:kern w:val="0"/>
          <w:sz w:val="24"/>
          <w:szCs w:val="24"/>
          <w:lang w:val="en-US" w:bidi="bn-BD"/>
        </w:rPr>
        <w:t>empowerment</w:t>
      </w:r>
      <w:r w:rsidRPr="005E7AB5">
        <w:rPr>
          <w:rFonts w:ascii="Arial" w:eastAsia="Aptos" w:hAnsi="Arial" w:cs="Arial"/>
          <w:bCs/>
          <w:kern w:val="0"/>
          <w:sz w:val="24"/>
          <w:szCs w:val="24"/>
          <w:lang w:val="en-US" w:bidi="bn-BD"/>
        </w:rPr>
        <w:t xml:space="preserve"> of the power </w:t>
      </w:r>
      <w:r w:rsidRPr="005E7AB5">
        <w:rPr>
          <w:rFonts w:ascii="Arial" w:eastAsia="Aptos" w:hAnsi="Arial" w:cs="Arial"/>
          <w:bCs/>
          <w:kern w:val="0"/>
          <w:sz w:val="24"/>
          <w:szCs w:val="24"/>
          <w:lang w:val="en-US" w:bidi="bn-BD"/>
        </w:rPr>
        <w:lastRenderedPageBreak/>
        <w:t>brands, promotions, retailer partnership and online presence, especially in c</w:t>
      </w:r>
      <w:r>
        <w:rPr>
          <w:rFonts w:ascii="Arial" w:eastAsia="Aptos" w:hAnsi="Arial" w:cs="Arial"/>
          <w:bCs/>
          <w:kern w:val="0"/>
          <w:sz w:val="24"/>
          <w:szCs w:val="24"/>
          <w:lang w:val="en-US" w:bidi="bn-BD"/>
        </w:rPr>
        <w:t xml:space="preserve">ompetitive and </w:t>
      </w:r>
      <w:r w:rsidR="00750398">
        <w:rPr>
          <w:rFonts w:ascii="Arial" w:eastAsia="Aptos" w:hAnsi="Arial" w:cs="Arial"/>
          <w:bCs/>
          <w:kern w:val="0"/>
          <w:sz w:val="24"/>
          <w:szCs w:val="24"/>
          <w:lang w:val="en-US" w:bidi="bn-BD"/>
        </w:rPr>
        <w:t>older</w:t>
      </w:r>
      <w:r>
        <w:rPr>
          <w:rFonts w:ascii="Arial" w:eastAsia="Aptos" w:hAnsi="Arial" w:cs="Arial"/>
          <w:bCs/>
          <w:kern w:val="0"/>
          <w:sz w:val="24"/>
          <w:szCs w:val="24"/>
          <w:lang w:val="en-US" w:bidi="bn-BD"/>
        </w:rPr>
        <w:t xml:space="preserve"> age markets.</w:t>
      </w:r>
    </w:p>
    <w:p w14:paraId="105ED380"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Market Development</w:t>
      </w:r>
    </w:p>
    <w:p w14:paraId="20E49378" w14:textId="10CCBCC7"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Market development is the expansion of the current products into new markets or those not sufficiently covered. Unilever has the potential </w:t>
      </w:r>
      <w:r w:rsidR="00750398">
        <w:rPr>
          <w:rFonts w:ascii="Arial" w:eastAsia="Aptos" w:hAnsi="Arial" w:cs="Arial"/>
          <w:bCs/>
          <w:kern w:val="0"/>
          <w:sz w:val="24"/>
          <w:szCs w:val="24"/>
          <w:lang w:val="en-US" w:bidi="bn-BD"/>
        </w:rPr>
        <w:t>to use</w:t>
      </w:r>
      <w:r w:rsidRPr="005E7AB5">
        <w:rPr>
          <w:rFonts w:ascii="Arial" w:eastAsia="Aptos" w:hAnsi="Arial" w:cs="Arial"/>
          <w:bCs/>
          <w:kern w:val="0"/>
          <w:sz w:val="24"/>
          <w:szCs w:val="24"/>
          <w:lang w:val="en-US" w:bidi="bn-BD"/>
        </w:rPr>
        <w:t xml:space="preserve"> its high local strengths to expand in emerging economies where deman</w:t>
      </w:r>
      <w:r>
        <w:rPr>
          <w:rFonts w:ascii="Arial" w:eastAsia="Aptos" w:hAnsi="Arial" w:cs="Arial"/>
          <w:bCs/>
          <w:kern w:val="0"/>
          <w:sz w:val="24"/>
          <w:szCs w:val="24"/>
          <w:lang w:val="en-US" w:bidi="bn-BD"/>
        </w:rPr>
        <w:t>d is increasing (Ansoff, 1957).</w:t>
      </w:r>
    </w:p>
    <w:p w14:paraId="7BFA1E62"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Product Development</w:t>
      </w:r>
    </w:p>
    <w:p w14:paraId="456C93DB" w14:textId="53721866" w:rsidR="00AA48EB" w:rsidRPr="005E7AB5"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Product development makes the introduction of better or new products</w:t>
      </w:r>
      <w:r w:rsidR="00750398">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which may be the case of the premium beauty, healthier foods and sustainable packaging to suit the changing consumer preferences.</w:t>
      </w:r>
    </w:p>
    <w:p w14:paraId="717114F1" w14:textId="77777777" w:rsidR="00AA48EB" w:rsidRPr="00750398" w:rsidRDefault="00AA48EB" w:rsidP="00750398">
      <w:pPr>
        <w:spacing w:line="360" w:lineRule="auto"/>
        <w:jc w:val="both"/>
        <w:rPr>
          <w:rFonts w:ascii="Arial" w:eastAsia="Aptos" w:hAnsi="Arial" w:cs="Arial"/>
          <w:b/>
          <w:kern w:val="0"/>
          <w:sz w:val="24"/>
          <w:szCs w:val="24"/>
          <w:lang w:val="en-US" w:bidi="bn-BD"/>
        </w:rPr>
      </w:pPr>
      <w:r w:rsidRPr="00750398">
        <w:rPr>
          <w:rFonts w:ascii="Arial" w:eastAsia="Aptos" w:hAnsi="Arial" w:cs="Arial"/>
          <w:b/>
          <w:kern w:val="0"/>
          <w:sz w:val="24"/>
          <w:szCs w:val="24"/>
          <w:lang w:val="en-US" w:bidi="bn-BD"/>
        </w:rPr>
        <w:t>Diversification</w:t>
      </w:r>
    </w:p>
    <w:p w14:paraId="1A3D6055" w14:textId="4B9E980A" w:rsidR="00AA48EB" w:rsidRDefault="00AA48EB" w:rsidP="00750398">
      <w:pPr>
        <w:spacing w:line="360" w:lineRule="auto"/>
        <w:jc w:val="both"/>
        <w:rPr>
          <w:rFonts w:ascii="Arial" w:eastAsia="Aptos" w:hAnsi="Arial" w:cs="Arial"/>
          <w:bCs/>
          <w:kern w:val="0"/>
          <w:sz w:val="24"/>
          <w:szCs w:val="24"/>
          <w:lang w:val="en-US" w:bidi="bn-BD"/>
        </w:rPr>
      </w:pPr>
      <w:r w:rsidRPr="005E7AB5">
        <w:rPr>
          <w:rFonts w:ascii="Arial" w:eastAsia="Aptos" w:hAnsi="Arial" w:cs="Arial"/>
          <w:bCs/>
          <w:kern w:val="0"/>
          <w:sz w:val="24"/>
          <w:szCs w:val="24"/>
          <w:lang w:val="en-US" w:bidi="bn-BD"/>
        </w:rPr>
        <w:t xml:space="preserve">Diversification is the venture </w:t>
      </w:r>
      <w:r w:rsidR="00750398">
        <w:rPr>
          <w:rFonts w:ascii="Arial" w:eastAsia="Aptos" w:hAnsi="Arial" w:cs="Arial"/>
          <w:bCs/>
          <w:kern w:val="0"/>
          <w:sz w:val="24"/>
          <w:szCs w:val="24"/>
          <w:lang w:val="en-US" w:bidi="bn-BD"/>
        </w:rPr>
        <w:t>into</w:t>
      </w:r>
      <w:r w:rsidRPr="005E7AB5">
        <w:rPr>
          <w:rFonts w:ascii="Arial" w:eastAsia="Aptos" w:hAnsi="Arial" w:cs="Arial"/>
          <w:bCs/>
          <w:kern w:val="0"/>
          <w:sz w:val="24"/>
          <w:szCs w:val="24"/>
          <w:lang w:val="en-US" w:bidi="bn-BD"/>
        </w:rPr>
        <w:t xml:space="preserve"> new products and markets. Unilever needs to be selective and concentrate on related diversification</w:t>
      </w:r>
      <w:r w:rsidR="00750398">
        <w:rPr>
          <w:rFonts w:ascii="Arial" w:eastAsia="Aptos" w:hAnsi="Arial" w:cs="Arial"/>
          <w:bCs/>
          <w:kern w:val="0"/>
          <w:sz w:val="24"/>
          <w:szCs w:val="24"/>
          <w:lang w:val="en-US" w:bidi="bn-BD"/>
        </w:rPr>
        <w:t>,</w:t>
      </w:r>
      <w:r w:rsidRPr="005E7AB5">
        <w:rPr>
          <w:rFonts w:ascii="Arial" w:eastAsia="Aptos" w:hAnsi="Arial" w:cs="Arial"/>
          <w:bCs/>
          <w:kern w:val="0"/>
          <w:sz w:val="24"/>
          <w:szCs w:val="24"/>
          <w:lang w:val="en-US" w:bidi="bn-BD"/>
        </w:rPr>
        <w:t xml:space="preserve"> which is in line with core competencies, but not become complex (Unilever, 2024c).</w:t>
      </w:r>
    </w:p>
    <w:p w14:paraId="3FA55D3E"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6.3 Strategic Recommendations</w:t>
      </w:r>
    </w:p>
    <w:p w14:paraId="45F6EE7D"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 light of the extensive analysis, it has been proposed to introduce the following recommendations to retain and improve the competitive advantage of Unilever:</w:t>
      </w:r>
    </w:p>
    <w:p w14:paraId="2D27F88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Recommendation 1: Acceleration of Portfolio Simplification</w:t>
      </w:r>
      <w:r w:rsidRPr="00D32803">
        <w:rPr>
          <w:rFonts w:ascii="Arial" w:eastAsia="Aptos" w:hAnsi="Arial" w:cs="Arial"/>
          <w:bCs/>
          <w:kern w:val="0"/>
          <w:sz w:val="24"/>
          <w:szCs w:val="24"/>
          <w:lang w:val="en-US" w:bidi="bn-BD"/>
        </w:rPr>
        <w:t>.</w:t>
      </w:r>
    </w:p>
    <w:p w14:paraId="7175C84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Unilever ought to accelerate the sales of non-core categories and concentrate its efforts on categories having a sustainable competitive advantage. The declared division of ice cream is a proper course of action which needs to be implemented. Premium beauty purchases and investment in the emerging markets should be financed by proceeds (Campbell et al., 1995).</w:t>
      </w:r>
    </w:p>
    <w:p w14:paraId="4E90397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Recommendation 2: Improve the velocity of innovations</w:t>
      </w:r>
      <w:r w:rsidRPr="00D32803">
        <w:rPr>
          <w:rFonts w:ascii="Arial" w:eastAsia="Aptos" w:hAnsi="Arial" w:cs="Arial"/>
          <w:bCs/>
          <w:kern w:val="0"/>
          <w:sz w:val="24"/>
          <w:szCs w:val="24"/>
          <w:lang w:val="en-US" w:bidi="bn-BD"/>
        </w:rPr>
        <w:t>.</w:t>
      </w:r>
    </w:p>
    <w:p w14:paraId="0DF9213D" w14:textId="26FC03BE"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Speed-to-market innovation needs to be enhanced to compete with agents of agility</w:t>
      </w:r>
      <w:r w:rsidR="00750398">
        <w:rPr>
          <w:rFonts w:ascii="Arial" w:eastAsia="Aptos" w:hAnsi="Arial" w:cs="Arial"/>
          <w:bCs/>
          <w:kern w:val="0"/>
          <w:sz w:val="24"/>
          <w:szCs w:val="24"/>
          <w:lang w:val="en-US" w:bidi="bn-BD"/>
        </w:rPr>
        <w:t>,</w:t>
      </w:r>
      <w:r w:rsidRPr="00D32803">
        <w:rPr>
          <w:rFonts w:ascii="Arial" w:eastAsia="Aptos" w:hAnsi="Arial" w:cs="Arial"/>
          <w:bCs/>
          <w:kern w:val="0"/>
          <w:sz w:val="24"/>
          <w:szCs w:val="24"/>
          <w:lang w:val="en-US" w:bidi="bn-BD"/>
        </w:rPr>
        <w:t xml:space="preserve"> such as challenger brands. Introducing specific innovative departments that have the characteristics of a start-up, acquiring other innovative smaller brands and adopting agile development styles would speed up responsiveness. This deals with weaknesses that are found in internal analysis (Christensen, 1997).</w:t>
      </w:r>
    </w:p>
    <w:p w14:paraId="297CCB92"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lastRenderedPageBreak/>
        <w:t>Recommendation 3: Build Digital Capabilities</w:t>
      </w:r>
      <w:r w:rsidRPr="00D32803">
        <w:rPr>
          <w:rFonts w:ascii="Arial" w:eastAsia="Aptos" w:hAnsi="Arial" w:cs="Arial"/>
          <w:bCs/>
          <w:kern w:val="0"/>
          <w:sz w:val="24"/>
          <w:szCs w:val="24"/>
          <w:lang w:val="en-US" w:bidi="bn-BD"/>
        </w:rPr>
        <w:t>.</w:t>
      </w:r>
    </w:p>
    <w:p w14:paraId="339A7289"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Addressing capabilities identified gaps, the construction of advanced data analytics, e-commerce excellence, and direct-to-consumer capabilities will be built. It would be more competitive in the changing channel environment by investing in digital marketing, </w:t>
      </w:r>
      <w:proofErr w:type="spellStart"/>
      <w:r w:rsidRPr="00D32803">
        <w:rPr>
          <w:rFonts w:ascii="Arial" w:eastAsia="Aptos" w:hAnsi="Arial" w:cs="Arial"/>
          <w:bCs/>
          <w:kern w:val="0"/>
          <w:sz w:val="24"/>
          <w:szCs w:val="24"/>
          <w:lang w:val="en-US" w:bidi="bn-BD"/>
        </w:rPr>
        <w:t>personalisation</w:t>
      </w:r>
      <w:proofErr w:type="spellEnd"/>
      <w:r w:rsidRPr="00D32803">
        <w:rPr>
          <w:rFonts w:ascii="Arial" w:eastAsia="Aptos" w:hAnsi="Arial" w:cs="Arial"/>
          <w:bCs/>
          <w:kern w:val="0"/>
          <w:sz w:val="24"/>
          <w:szCs w:val="24"/>
          <w:lang w:val="en-US" w:bidi="bn-BD"/>
        </w:rPr>
        <w:t xml:space="preserve"> technologies, and digital talent acquisition (Westerman et al., 2014).</w:t>
      </w:r>
    </w:p>
    <w:p w14:paraId="4728CB15"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 xml:space="preserve">Recommendation 4: </w:t>
      </w:r>
      <w:proofErr w:type="spellStart"/>
      <w:r w:rsidRPr="00750398">
        <w:rPr>
          <w:rFonts w:ascii="Arial" w:eastAsia="Aptos" w:hAnsi="Arial" w:cs="Arial"/>
          <w:b/>
          <w:kern w:val="0"/>
          <w:sz w:val="24"/>
          <w:szCs w:val="24"/>
          <w:lang w:val="en-US" w:bidi="bn-BD"/>
        </w:rPr>
        <w:t>Optimisation</w:t>
      </w:r>
      <w:proofErr w:type="spellEnd"/>
      <w:r w:rsidRPr="00750398">
        <w:rPr>
          <w:rFonts w:ascii="Arial" w:eastAsia="Aptos" w:hAnsi="Arial" w:cs="Arial"/>
          <w:b/>
          <w:kern w:val="0"/>
          <w:sz w:val="24"/>
          <w:szCs w:val="24"/>
          <w:lang w:val="en-US" w:bidi="bn-BD"/>
        </w:rPr>
        <w:t xml:space="preserve"> of Sustainability Integration</w:t>
      </w:r>
      <w:r w:rsidRPr="00D32803">
        <w:rPr>
          <w:rFonts w:ascii="Arial" w:eastAsia="Aptos" w:hAnsi="Arial" w:cs="Arial"/>
          <w:bCs/>
          <w:kern w:val="0"/>
          <w:sz w:val="24"/>
          <w:szCs w:val="24"/>
          <w:lang w:val="en-US" w:bidi="bn-BD"/>
        </w:rPr>
        <w:t>.</w:t>
      </w:r>
    </w:p>
    <w:p w14:paraId="0303D241" w14:textId="17AC13FC"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Instead of withdrawing its sustainability positioning, Unilever ought to show the financial benefits of sustainability investments in a more overt manner. Measuring brand premium as a result of sustainability, reporting efficiency because of resource cutback, and integrating sustainability in the innovation standards would be a solution to the concerns of investors</w:t>
      </w:r>
      <w:r w:rsidR="00750398">
        <w:rPr>
          <w:rFonts w:ascii="Arial" w:eastAsia="Aptos" w:hAnsi="Arial" w:cs="Arial"/>
          <w:bCs/>
          <w:kern w:val="0"/>
          <w:sz w:val="24"/>
          <w:szCs w:val="24"/>
          <w:lang w:val="en-US" w:bidi="bn-BD"/>
        </w:rPr>
        <w:t>, while</w:t>
      </w:r>
      <w:r w:rsidRPr="00D32803">
        <w:rPr>
          <w:rFonts w:ascii="Arial" w:eastAsia="Aptos" w:hAnsi="Arial" w:cs="Arial"/>
          <w:bCs/>
          <w:kern w:val="0"/>
          <w:sz w:val="24"/>
          <w:szCs w:val="24"/>
          <w:lang w:val="en-US" w:bidi="bn-BD"/>
        </w:rPr>
        <w:t xml:space="preserve"> still offering strategic differentiation (Porter and Kramer, 2011).</w:t>
      </w:r>
    </w:p>
    <w:p w14:paraId="44A5B12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750398">
        <w:rPr>
          <w:rFonts w:ascii="Arial" w:eastAsia="Aptos" w:hAnsi="Arial" w:cs="Arial"/>
          <w:b/>
          <w:kern w:val="0"/>
          <w:sz w:val="24"/>
          <w:szCs w:val="24"/>
          <w:lang w:val="en-US" w:bidi="bn-BD"/>
        </w:rPr>
        <w:t xml:space="preserve">Recommendation 5: </w:t>
      </w:r>
      <w:proofErr w:type="spellStart"/>
      <w:r w:rsidRPr="00750398">
        <w:rPr>
          <w:rFonts w:ascii="Arial" w:eastAsia="Aptos" w:hAnsi="Arial" w:cs="Arial"/>
          <w:b/>
          <w:kern w:val="0"/>
          <w:sz w:val="24"/>
          <w:szCs w:val="24"/>
          <w:lang w:val="en-US" w:bidi="bn-BD"/>
        </w:rPr>
        <w:t>Organisational</w:t>
      </w:r>
      <w:proofErr w:type="spellEnd"/>
      <w:r w:rsidRPr="00750398">
        <w:rPr>
          <w:rFonts w:ascii="Arial" w:eastAsia="Aptos" w:hAnsi="Arial" w:cs="Arial"/>
          <w:b/>
          <w:kern w:val="0"/>
          <w:sz w:val="24"/>
          <w:szCs w:val="24"/>
          <w:lang w:val="en-US" w:bidi="bn-BD"/>
        </w:rPr>
        <w:t xml:space="preserve"> Simplification</w:t>
      </w:r>
      <w:r w:rsidRPr="00D32803">
        <w:rPr>
          <w:rFonts w:ascii="Arial" w:eastAsia="Aptos" w:hAnsi="Arial" w:cs="Arial"/>
          <w:bCs/>
          <w:kern w:val="0"/>
          <w:sz w:val="24"/>
          <w:szCs w:val="24"/>
          <w:lang w:val="en-US" w:bidi="bn-BD"/>
        </w:rPr>
        <w:t>.</w:t>
      </w:r>
    </w:p>
    <w:p w14:paraId="2388E43B"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Agility would be improved by reducing layers within the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abolishing the complexity of the matrix, and </w:t>
      </w:r>
      <w:proofErr w:type="spellStart"/>
      <w:r w:rsidRPr="00D32803">
        <w:rPr>
          <w:rFonts w:ascii="Arial" w:eastAsia="Aptos" w:hAnsi="Arial" w:cs="Arial"/>
          <w:bCs/>
          <w:kern w:val="0"/>
          <w:sz w:val="24"/>
          <w:szCs w:val="24"/>
          <w:lang w:val="en-US" w:bidi="bn-BD"/>
        </w:rPr>
        <w:t>decentralising</w:t>
      </w:r>
      <w:proofErr w:type="spellEnd"/>
      <w:r w:rsidRPr="00D32803">
        <w:rPr>
          <w:rFonts w:ascii="Arial" w:eastAsia="Aptos" w:hAnsi="Arial" w:cs="Arial"/>
          <w:bCs/>
          <w:kern w:val="0"/>
          <w:sz w:val="24"/>
          <w:szCs w:val="24"/>
          <w:lang w:val="en-US" w:bidi="bn-BD"/>
        </w:rPr>
        <w:t xml:space="preserve"> decision-making. This is in line with the intentions announced by CEO Schumacher, and it will deal with the bureaucratic weaknesses identified during analysis.</w:t>
      </w:r>
    </w:p>
    <w:p w14:paraId="55A8807A"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6.4 Theoretical Justification</w:t>
      </w:r>
    </w:p>
    <w:p w14:paraId="3C55A861" w14:textId="1B03246B"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These suggestions are in line with the strategic management theory. Portfolio focus on areas where resources are beneficial is backed by the resource-based view (Barney, 1991). The capability building in digital and innovation areas is justified by the use of the dynamic </w:t>
      </w:r>
      <w:r w:rsidR="00750398">
        <w:rPr>
          <w:rFonts w:ascii="Arial" w:eastAsia="Aptos" w:hAnsi="Arial" w:cs="Arial"/>
          <w:bCs/>
          <w:kern w:val="0"/>
          <w:sz w:val="24"/>
          <w:szCs w:val="24"/>
          <w:lang w:val="en-US" w:bidi="bn-BD"/>
        </w:rPr>
        <w:t>capabilities</w:t>
      </w:r>
      <w:r w:rsidRPr="00D32803">
        <w:rPr>
          <w:rFonts w:ascii="Arial" w:eastAsia="Aptos" w:hAnsi="Arial" w:cs="Arial"/>
          <w:bCs/>
          <w:kern w:val="0"/>
          <w:sz w:val="24"/>
          <w:szCs w:val="24"/>
          <w:lang w:val="en-US" w:bidi="bn-BD"/>
        </w:rPr>
        <w:t xml:space="preserve"> theory (Teece et al., 1997). The sustainability commitment is maintained under the stakeholder theory (Freeman, 1984) whilst value creation is shown.</w:t>
      </w:r>
    </w:p>
    <w:p w14:paraId="3D2965D5" w14:textId="7EF7D278"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Recommendation viability is supported by real-life examples. In 2014-2017, Procter and Gamble managed to simplify its brand portfolio and sell more than 100 brands (P&amp;G, 2017). The digital transformation of L’Oreal offers a preliminary of capabilities development in the conventional FMCG </w:t>
      </w:r>
      <w:r w:rsidR="00750398">
        <w:rPr>
          <w:rFonts w:ascii="Arial" w:eastAsia="Aptos" w:hAnsi="Arial" w:cs="Arial"/>
          <w:bCs/>
          <w:kern w:val="0"/>
          <w:sz w:val="24"/>
          <w:szCs w:val="24"/>
          <w:lang w:val="en-US" w:bidi="bn-BD"/>
        </w:rPr>
        <w:t>environment</w:t>
      </w:r>
      <w:r w:rsidRPr="00D32803">
        <w:rPr>
          <w:rFonts w:ascii="Arial" w:eastAsia="Aptos" w:hAnsi="Arial" w:cs="Arial"/>
          <w:bCs/>
          <w:kern w:val="0"/>
          <w:sz w:val="24"/>
          <w:szCs w:val="24"/>
          <w:lang w:val="en-US" w:bidi="bn-BD"/>
        </w:rPr>
        <w:t>. The strategic refocusing can be traced in the change of Nestlé's portfolio to health and nutrition.</w:t>
      </w:r>
    </w:p>
    <w:p w14:paraId="783478FD" w14:textId="77777777" w:rsidR="00AA48EB" w:rsidRPr="00D32803" w:rsidRDefault="00AA48EB" w:rsidP="00AA48EB">
      <w:pPr>
        <w:spacing w:line="360" w:lineRule="auto"/>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SECTION 2:0 REFLECTIVE ACCOUNT</w:t>
      </w:r>
    </w:p>
    <w:p w14:paraId="10126F3C"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Gibbs Reflective Cycle was used.</w:t>
      </w:r>
    </w:p>
    <w:p w14:paraId="2E4204E0" w14:textId="77777777" w:rsidR="00AA48EB" w:rsidRPr="00D32803" w:rsidRDefault="00AA48EB" w:rsidP="00AA48EB">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The Reflective Cycle by Gibbs (1988) is a structured six-stage model, the Descriptions, Feeling, Evaluation, Analysis, Conclusion and Action Plan, which provides a systematic analysis of the learning experiences. The reflection uses the model in reference to my experience in conducting research, analysis and a strategic management assessment of Unilever.</w:t>
      </w:r>
    </w:p>
    <w:p w14:paraId="35C1C211"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Description</w:t>
      </w:r>
    </w:p>
    <w:p w14:paraId="653EE4F5"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It included a thorough strategic analysis, incorporating an external and internal environmental evaluation, CSR analysis, application of a Balanced Scorecard, corporate and business-level strategy analysis, and evidence-based recommendations. I chose Unilever because it is a global company, has a diversified portfolio, positions itself as sustainable and the recent change of leadership offered analytical dimensions.</w:t>
      </w:r>
    </w:p>
    <w:p w14:paraId="38E28297"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The research was done through the synthesis of academic literature, annual reports, analyst comments and industry publications. I used several models, which included PESTEL, VRIO, SWOT, the Matrix of Ansoff, and the Balanced Scorecard. The writing process entailed the translation of this research into coherent argumentation backed by Harvard referencing, which guaranteed conceptual </w:t>
      </w:r>
      <w:proofErr w:type="spellStart"/>
      <w:r w:rsidRPr="00D32803">
        <w:rPr>
          <w:rFonts w:ascii="Arial" w:eastAsia="Aptos" w:hAnsi="Arial" w:cs="Arial"/>
          <w:bCs/>
          <w:kern w:val="0"/>
          <w:sz w:val="24"/>
          <w:szCs w:val="24"/>
          <w:lang w:val="en-US" w:bidi="bn-BD"/>
        </w:rPr>
        <w:t>rigour</w:t>
      </w:r>
      <w:proofErr w:type="spellEnd"/>
      <w:r w:rsidRPr="00D32803">
        <w:rPr>
          <w:rFonts w:ascii="Arial" w:eastAsia="Aptos" w:hAnsi="Arial" w:cs="Arial"/>
          <w:bCs/>
          <w:kern w:val="0"/>
          <w:sz w:val="24"/>
          <w:szCs w:val="24"/>
          <w:lang w:val="en-US" w:bidi="bn-BD"/>
        </w:rPr>
        <w:t xml:space="preserve"> and not a descriptive report.</w:t>
      </w:r>
    </w:p>
    <w:p w14:paraId="64B8B0CC"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Feelings</w:t>
      </w:r>
    </w:p>
    <w:p w14:paraId="1C636910"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Firstly, I felt lost when it came to the choice of </w:t>
      </w:r>
      <w:proofErr w:type="spellStart"/>
      <w:r w:rsidRPr="00D32803">
        <w:rPr>
          <w:rFonts w:ascii="Arial" w:eastAsia="Aptos" w:hAnsi="Arial" w:cs="Arial"/>
          <w:bCs/>
          <w:kern w:val="0"/>
          <w:sz w:val="24"/>
          <w:szCs w:val="24"/>
          <w:lang w:val="en-US" w:bidi="bn-BD"/>
        </w:rPr>
        <w:t>organisation</w:t>
      </w:r>
      <w:proofErr w:type="spellEnd"/>
      <w:r w:rsidRPr="00D32803">
        <w:rPr>
          <w:rFonts w:ascii="Arial" w:eastAsia="Aptos" w:hAnsi="Arial" w:cs="Arial"/>
          <w:bCs/>
          <w:kern w:val="0"/>
          <w:sz w:val="24"/>
          <w:szCs w:val="24"/>
          <w:lang w:val="en-US" w:bidi="bn-BD"/>
        </w:rPr>
        <w:t xml:space="preserve"> and was afraid of going beyond the analysis that describes. The depth of structures to be used was intellectually challenging. I wondered whether I could fit them together in a coherent system of words.</w:t>
      </w:r>
    </w:p>
    <w:p w14:paraId="2CC25452" w14:textId="77777777" w:rsidR="00AA48EB" w:rsidRPr="00D32803" w:rsidRDefault="00AA48EB" w:rsidP="00750398">
      <w:pPr>
        <w:spacing w:line="360" w:lineRule="auto"/>
        <w:jc w:val="both"/>
        <w:rPr>
          <w:rFonts w:ascii="Arial" w:eastAsia="Aptos" w:hAnsi="Arial" w:cs="Arial"/>
          <w:bCs/>
          <w:kern w:val="0"/>
          <w:sz w:val="24"/>
          <w:szCs w:val="24"/>
          <w:lang w:val="en-US" w:bidi="bn-BD"/>
        </w:rPr>
      </w:pPr>
      <w:r w:rsidRPr="00D32803">
        <w:rPr>
          <w:rFonts w:ascii="Arial" w:eastAsia="Aptos" w:hAnsi="Arial" w:cs="Arial"/>
          <w:bCs/>
          <w:kern w:val="0"/>
          <w:sz w:val="24"/>
          <w:szCs w:val="24"/>
          <w:lang w:val="en-US" w:bidi="bn-BD"/>
        </w:rPr>
        <w:t xml:space="preserve">With the advancement in research, participants expanded. The creation of analytical interest was in uncovering the tensions between sustainability commitments and financial performance. The findings of the literature connect strategic theory to the dynamics of FMCG resulted in increased confidence. Nevertheless, it took discipline to handle the volume of information and focus. Word count restrictions during the </w:t>
      </w:r>
      <w:r w:rsidRPr="00D32803">
        <w:rPr>
          <w:rFonts w:ascii="Arial" w:eastAsia="Aptos" w:hAnsi="Arial" w:cs="Arial"/>
          <w:bCs/>
          <w:kern w:val="0"/>
          <w:sz w:val="24"/>
          <w:szCs w:val="24"/>
          <w:lang w:val="en-US" w:bidi="bn-BD"/>
        </w:rPr>
        <w:lastRenderedPageBreak/>
        <w:t>drafting process caused frustration, especially in the condensing of external analysis. The satisfaction created was completion in reaching an integrated analysis and defensible recommendations.</w:t>
      </w:r>
    </w:p>
    <w:p w14:paraId="36298889"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Evaluation</w:t>
      </w:r>
    </w:p>
    <w:p w14:paraId="7267B2D4" w14:textId="408A9D45" w:rsidR="00AA48EB" w:rsidRDefault="00AA48EB" w:rsidP="00750398">
      <w:pPr>
        <w:spacing w:line="360" w:lineRule="auto"/>
        <w:jc w:val="both"/>
        <w:rPr>
          <w:rFonts w:ascii="Arial" w:eastAsia="Aptos" w:hAnsi="Arial" w:cs="Arial"/>
          <w:kern w:val="0"/>
          <w:sz w:val="24"/>
          <w:szCs w:val="24"/>
          <w:lang w:val="en-US" w:bidi="bn-BD"/>
        </w:rPr>
      </w:pPr>
      <w:r w:rsidRPr="005E7AB5">
        <w:rPr>
          <w:rFonts w:ascii="Arial" w:eastAsia="Aptos" w:hAnsi="Arial" w:cs="Arial"/>
          <w:kern w:val="0"/>
          <w:sz w:val="24"/>
          <w:szCs w:val="24"/>
          <w:lang w:val="en-US" w:bidi="bn-BD"/>
        </w:rPr>
        <w:t>It was both a challenging and a valuable assignment</w:t>
      </w:r>
      <w:r w:rsidR="00750398">
        <w:rPr>
          <w:rFonts w:ascii="Arial" w:eastAsia="Aptos" w:hAnsi="Arial" w:cs="Arial"/>
          <w:kern w:val="0"/>
          <w:sz w:val="24"/>
          <w:szCs w:val="24"/>
          <w:lang w:val="en-US" w:bidi="bn-BD"/>
        </w:rPr>
        <w:t>,</w:t>
      </w:r>
      <w:r w:rsidRPr="005E7AB5">
        <w:rPr>
          <w:rFonts w:ascii="Arial" w:eastAsia="Aptos" w:hAnsi="Arial" w:cs="Arial"/>
          <w:kern w:val="0"/>
          <w:sz w:val="24"/>
          <w:szCs w:val="24"/>
          <w:lang w:val="en-US" w:bidi="bn-BD"/>
        </w:rPr>
        <w:t xml:space="preserve"> enabling me to put several strategic frameworks at Unilever and relate theory </w:t>
      </w:r>
      <w:r w:rsidR="00750398">
        <w:rPr>
          <w:rFonts w:ascii="Arial" w:eastAsia="Aptos" w:hAnsi="Arial" w:cs="Arial"/>
          <w:kern w:val="0"/>
          <w:sz w:val="24"/>
          <w:szCs w:val="24"/>
          <w:lang w:val="en-US" w:bidi="bn-BD"/>
        </w:rPr>
        <w:t>to</w:t>
      </w:r>
      <w:r w:rsidRPr="005E7AB5">
        <w:rPr>
          <w:rFonts w:ascii="Arial" w:eastAsia="Aptos" w:hAnsi="Arial" w:cs="Arial"/>
          <w:kern w:val="0"/>
          <w:sz w:val="24"/>
          <w:szCs w:val="24"/>
          <w:lang w:val="en-US" w:bidi="bn-BD"/>
        </w:rPr>
        <w:t xml:space="preserve"> business practice. I learned more about such areas as sustainability, strength of the brand and market competition, and enhanced my skills in </w:t>
      </w:r>
      <w:proofErr w:type="spellStart"/>
      <w:r w:rsidR="00750398">
        <w:rPr>
          <w:rFonts w:ascii="Arial" w:eastAsia="Aptos" w:hAnsi="Arial" w:cs="Arial"/>
          <w:kern w:val="0"/>
          <w:sz w:val="24"/>
          <w:szCs w:val="24"/>
          <w:lang w:val="en-US" w:bidi="bn-BD"/>
        </w:rPr>
        <w:t>utilising</w:t>
      </w:r>
      <w:proofErr w:type="spellEnd"/>
      <w:r w:rsidRPr="005E7AB5">
        <w:rPr>
          <w:rFonts w:ascii="Arial" w:eastAsia="Aptos" w:hAnsi="Arial" w:cs="Arial"/>
          <w:kern w:val="0"/>
          <w:sz w:val="24"/>
          <w:szCs w:val="24"/>
          <w:lang w:val="en-US" w:bidi="bn-BD"/>
        </w:rPr>
        <w:t xml:space="preserve"> such models as PESTEL, SWOT and the Balanced Scorecard in an analytical but not in a descriptive manner. Nonetheless, I also understand that at the beginning I devoted too much attention to information gathering rather than to choosing the more applicable insights, which a lowered level of critical discussion in certain parts. My reflection had also been over-academic as opposed to personal</w:t>
      </w:r>
      <w:r w:rsidR="00750398">
        <w:rPr>
          <w:rFonts w:ascii="Arial" w:eastAsia="Aptos" w:hAnsi="Arial" w:cs="Arial"/>
          <w:kern w:val="0"/>
          <w:sz w:val="24"/>
          <w:szCs w:val="24"/>
          <w:lang w:val="en-US" w:bidi="bn-BD"/>
        </w:rPr>
        <w:t>,</w:t>
      </w:r>
      <w:r w:rsidRPr="005E7AB5">
        <w:rPr>
          <w:rFonts w:ascii="Arial" w:eastAsia="Aptos" w:hAnsi="Arial" w:cs="Arial"/>
          <w:kern w:val="0"/>
          <w:sz w:val="24"/>
          <w:szCs w:val="24"/>
          <w:lang w:val="en-US" w:bidi="bn-BD"/>
        </w:rPr>
        <w:t xml:space="preserve"> and some of the references were too old. On the whole, this experience increased my analytical skills but pointed to the necessity of more selectivity, critical thinking and reflective depth.</w:t>
      </w:r>
    </w:p>
    <w:p w14:paraId="0F445EA9"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t>Analysis</w:t>
      </w:r>
    </w:p>
    <w:p w14:paraId="4CF045B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To think further, the initial confusion can be interpreted as the lack of previous experience in multi-framework integration. Based on the experiential learning model created by David Kolb (1984), the assignment was a real-life experience that elicited reflective feedback and synthesis of ideas.</w:t>
      </w:r>
    </w:p>
    <w:p w14:paraId="38B08DC0"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presence of too much information was due to research on a large multinational that is well-documented. Developing cognitive structures that sift relevance is necessary, as Jennifer Moon (2004) points out, in effective learning. I eventually became better at determining what data each framework used.</w:t>
      </w:r>
    </w:p>
    <w:p w14:paraId="683ABEA9"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challenge of integration is an indication of what Donald Schon (1983) referred to as reflective practice, a shift in the application of the mechanical framework to interpretive judgement. As an illustration, contextual evaluation of rarity in FMCG markets and non-generic evaluation was necessitated in the application of VRIO.</w:t>
      </w:r>
    </w:p>
    <w:p w14:paraId="30B1574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Synthesis advances in line with the higher-order thinking that was proposed by Benjamin Bloom (1956). The transition between the description and the evaluation and recommendation was analytical progress.</w:t>
      </w:r>
    </w:p>
    <w:p w14:paraId="1E6DF844" w14:textId="77777777" w:rsidR="00AA48EB" w:rsidRPr="00D32803" w:rsidRDefault="00AA48EB" w:rsidP="00750398">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lastRenderedPageBreak/>
        <w:t>Conclusion</w:t>
      </w:r>
    </w:p>
    <w:p w14:paraId="7BDA0864"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Several conclusions emerge. First, the selection of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 xml:space="preserve"> is of critical importance to analytical depth; a strategically complex firm provides an opportunity to carry out substantial analysis. Second, strategic analysis is an iterative process: knowledge of structures and realities within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 xml:space="preserve"> evolves at the same time. Third, critical thinking requires working with oppositional worldviews instead of corporate narratives.</w:t>
      </w:r>
    </w:p>
    <w:p w14:paraId="7680CD4D"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 am now aware that frameworks are heuristic, rather than prescriptive templates. They are valued in terms of context. Also, the plausible recommendations should be logically based on the previous analysis; the theory and practice should be combined, but not considered separately.</w:t>
      </w:r>
    </w:p>
    <w:p w14:paraId="4650EF3E" w14:textId="77777777" w:rsidR="00AA48EB" w:rsidRPr="00D32803" w:rsidRDefault="00AA48EB" w:rsidP="00750398">
      <w:pPr>
        <w:spacing w:line="360" w:lineRule="auto"/>
        <w:jc w:val="both"/>
        <w:rPr>
          <w:rFonts w:ascii="Arial" w:eastAsia="Aptos" w:hAnsi="Arial" w:cs="Arial"/>
          <w:b/>
          <w:kern w:val="0"/>
          <w:sz w:val="24"/>
          <w:szCs w:val="24"/>
          <w:lang w:val="en-US" w:bidi="bn-BD"/>
        </w:rPr>
      </w:pPr>
      <w:r w:rsidRPr="00D32803">
        <w:rPr>
          <w:rFonts w:ascii="Arial" w:eastAsia="Aptos" w:hAnsi="Arial" w:cs="Arial"/>
          <w:b/>
          <w:kern w:val="0"/>
          <w:sz w:val="24"/>
          <w:szCs w:val="24"/>
          <w:lang w:val="en-US" w:bidi="bn-BD"/>
        </w:rPr>
        <w:t>Action Plan</w:t>
      </w:r>
    </w:p>
    <w:p w14:paraId="29F7097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To do future assignments, I will:</w:t>
      </w:r>
    </w:p>
    <w:p w14:paraId="05341D2A"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Set up </w:t>
      </w:r>
      <w:proofErr w:type="spellStart"/>
      <w:r w:rsidRPr="00D32803">
        <w:rPr>
          <w:rFonts w:ascii="Arial" w:eastAsia="Aptos" w:hAnsi="Arial" w:cs="Arial"/>
          <w:kern w:val="0"/>
          <w:sz w:val="24"/>
          <w:szCs w:val="24"/>
          <w:lang w:val="en-US" w:bidi="bn-BD"/>
        </w:rPr>
        <w:t>organised</w:t>
      </w:r>
      <w:proofErr w:type="spellEnd"/>
      <w:r w:rsidRPr="00D32803">
        <w:rPr>
          <w:rFonts w:ascii="Arial" w:eastAsia="Aptos" w:hAnsi="Arial" w:cs="Arial"/>
          <w:kern w:val="0"/>
          <w:sz w:val="24"/>
          <w:szCs w:val="24"/>
          <w:lang w:val="en-US" w:bidi="bn-BD"/>
        </w:rPr>
        <w:t xml:space="preserve"> rules for selecting </w:t>
      </w:r>
      <w:proofErr w:type="spellStart"/>
      <w:r w:rsidRPr="00D32803">
        <w:rPr>
          <w:rFonts w:ascii="Arial" w:eastAsia="Aptos" w:hAnsi="Arial" w:cs="Arial"/>
          <w:kern w:val="0"/>
          <w:sz w:val="24"/>
          <w:szCs w:val="24"/>
          <w:lang w:val="en-US" w:bidi="bn-BD"/>
        </w:rPr>
        <w:t>organisations</w:t>
      </w:r>
      <w:proofErr w:type="spellEnd"/>
      <w:r w:rsidRPr="00D32803">
        <w:rPr>
          <w:rFonts w:ascii="Arial" w:eastAsia="Aptos" w:hAnsi="Arial" w:cs="Arial"/>
          <w:kern w:val="0"/>
          <w:sz w:val="24"/>
          <w:szCs w:val="24"/>
          <w:lang w:val="en-US" w:bidi="bn-BD"/>
        </w:rPr>
        <w:t>.</w:t>
      </w:r>
    </w:p>
    <w:p w14:paraId="3B4F876F"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Write framework-specific research templates prior to massive data collection.</w:t>
      </w:r>
    </w:p>
    <w:p w14:paraId="750B897C"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Designate a specific time to find disagreeing and contradictory views.</w:t>
      </w:r>
    </w:p>
    <w:p w14:paraId="56A643EB"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Pre-write Map interconnections between the sections of analysis.</w:t>
      </w:r>
    </w:p>
    <w:p w14:paraId="43888189"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Get the input of peers to enhance clarity and argument coherence.</w:t>
      </w:r>
    </w:p>
    <w:p w14:paraId="66DE4593" w14:textId="77777777" w:rsidR="00AA48EB" w:rsidRPr="00D32803" w:rsidRDefault="00AA48EB" w:rsidP="00750398">
      <w:pPr>
        <w:numPr>
          <w:ilvl w:val="0"/>
          <w:numId w:val="14"/>
        </w:numPr>
        <w:spacing w:line="360" w:lineRule="auto"/>
        <w:contextualSpacing/>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Keep reflective materials during the research process in order to increase metacognitive awareness.</w:t>
      </w:r>
    </w:p>
    <w:p w14:paraId="78200C50"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Overall, this assignment enhanced my strategic analysis skills to a considerable extent. Using the Gibbs model has facilitated systematic reflection, which has made it clear which competencies were gained and what areas need improvement to be able to develop professionally in the future.</w:t>
      </w:r>
    </w:p>
    <w:p w14:paraId="00855932" w14:textId="77777777" w:rsidR="00AA48EB" w:rsidRPr="00D32803" w:rsidRDefault="00AA48EB" w:rsidP="00750398">
      <w:pPr>
        <w:spacing w:line="360" w:lineRule="auto"/>
        <w:jc w:val="both"/>
        <w:rPr>
          <w:rFonts w:ascii="Arial" w:eastAsia="Aptos" w:hAnsi="Arial" w:cs="Arial"/>
          <w:b/>
          <w:bCs/>
          <w:kern w:val="0"/>
          <w:sz w:val="24"/>
          <w:szCs w:val="24"/>
          <w:lang w:val="en-US" w:bidi="bn-BD"/>
        </w:rPr>
      </w:pPr>
    </w:p>
    <w:p w14:paraId="16BB77A8" w14:textId="77777777" w:rsidR="00AA48EB" w:rsidRDefault="00AA48EB" w:rsidP="00750398">
      <w:pPr>
        <w:jc w:val="both"/>
        <w:rPr>
          <w:rFonts w:ascii="Arial" w:eastAsia="Aptos" w:hAnsi="Arial" w:cs="Arial"/>
          <w:b/>
          <w:bCs/>
          <w:kern w:val="0"/>
          <w:sz w:val="24"/>
          <w:szCs w:val="24"/>
          <w:lang w:val="en-US" w:bidi="bn-BD"/>
        </w:rPr>
      </w:pPr>
      <w:r>
        <w:rPr>
          <w:rFonts w:ascii="Arial" w:eastAsia="Aptos" w:hAnsi="Arial" w:cs="Arial"/>
          <w:b/>
          <w:bCs/>
          <w:kern w:val="0"/>
          <w:sz w:val="24"/>
          <w:szCs w:val="24"/>
          <w:lang w:val="en-US" w:bidi="bn-BD"/>
        </w:rPr>
        <w:br w:type="page"/>
      </w:r>
    </w:p>
    <w:p w14:paraId="30EA2D1E" w14:textId="77777777" w:rsidR="00AA48EB" w:rsidRPr="00D32803" w:rsidRDefault="00AA48EB" w:rsidP="00750398">
      <w:pPr>
        <w:spacing w:line="360" w:lineRule="auto"/>
        <w:jc w:val="both"/>
        <w:rPr>
          <w:rFonts w:ascii="Arial" w:eastAsia="Aptos" w:hAnsi="Arial" w:cs="Arial"/>
          <w:b/>
          <w:bCs/>
          <w:kern w:val="0"/>
          <w:sz w:val="24"/>
          <w:szCs w:val="24"/>
          <w:lang w:val="en-US" w:bidi="bn-BD"/>
        </w:rPr>
      </w:pPr>
      <w:r w:rsidRPr="00D32803">
        <w:rPr>
          <w:rFonts w:ascii="Arial" w:eastAsia="Aptos" w:hAnsi="Arial" w:cs="Arial"/>
          <w:b/>
          <w:bCs/>
          <w:kern w:val="0"/>
          <w:sz w:val="24"/>
          <w:szCs w:val="24"/>
          <w:lang w:val="en-US" w:bidi="bn-BD"/>
        </w:rPr>
        <w:lastRenderedPageBreak/>
        <w:t>REFERENCE</w:t>
      </w:r>
    </w:p>
    <w:p w14:paraId="22D1A903"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Aaker, D.A. (1991) </w:t>
      </w:r>
      <w:r w:rsidRPr="00D32803">
        <w:rPr>
          <w:rFonts w:ascii="Arial" w:eastAsia="Aptos" w:hAnsi="Arial" w:cs="Arial"/>
          <w:i/>
          <w:iCs/>
          <w:kern w:val="0"/>
          <w:sz w:val="24"/>
          <w:szCs w:val="24"/>
          <w:lang w:val="en-US" w:bidi="bn-BD"/>
        </w:rPr>
        <w:t>Managing Brand Equity: Capitalizing on the Value of a Brand Name</w:t>
      </w:r>
      <w:r w:rsidRPr="00D32803">
        <w:rPr>
          <w:rFonts w:ascii="Arial" w:eastAsia="Aptos" w:hAnsi="Arial" w:cs="Arial"/>
          <w:kern w:val="0"/>
          <w:sz w:val="24"/>
          <w:szCs w:val="24"/>
          <w:lang w:val="en-US" w:bidi="bn-BD"/>
        </w:rPr>
        <w:t>. New York: Free Press.</w:t>
      </w:r>
    </w:p>
    <w:p w14:paraId="604D906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Ansoff, H.I. (1957) 'Strategies for diversification',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35(5), pp. 113-124.</w:t>
      </w:r>
    </w:p>
    <w:p w14:paraId="1AA9730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Bank of England (2023) </w:t>
      </w:r>
      <w:r w:rsidRPr="00D32803">
        <w:rPr>
          <w:rFonts w:ascii="Arial" w:eastAsia="Aptos" w:hAnsi="Arial" w:cs="Arial"/>
          <w:i/>
          <w:iCs/>
          <w:kern w:val="0"/>
          <w:sz w:val="24"/>
          <w:szCs w:val="24"/>
          <w:lang w:val="en-US" w:bidi="bn-BD"/>
        </w:rPr>
        <w:t>Monetary Policy Report: November 2023</w:t>
      </w:r>
      <w:r w:rsidRPr="00D32803">
        <w:rPr>
          <w:rFonts w:ascii="Arial" w:eastAsia="Aptos" w:hAnsi="Arial" w:cs="Arial"/>
          <w:kern w:val="0"/>
          <w:sz w:val="24"/>
          <w:szCs w:val="24"/>
          <w:lang w:val="en-US" w:bidi="bn-BD"/>
        </w:rPr>
        <w:t>. London: Bank of England.</w:t>
      </w:r>
    </w:p>
    <w:p w14:paraId="71ADDCB4"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Barney, J.B. (1991) 'Firm resources and sustained competitive advantage', </w:t>
      </w:r>
      <w:r w:rsidRPr="00D32803">
        <w:rPr>
          <w:rFonts w:ascii="Arial" w:eastAsia="Aptos" w:hAnsi="Arial" w:cs="Arial"/>
          <w:i/>
          <w:iCs/>
          <w:kern w:val="0"/>
          <w:sz w:val="24"/>
          <w:szCs w:val="24"/>
          <w:lang w:val="en-US" w:bidi="bn-BD"/>
        </w:rPr>
        <w:t>Journal of Management</w:t>
      </w:r>
      <w:r w:rsidRPr="00D32803">
        <w:rPr>
          <w:rFonts w:ascii="Arial" w:eastAsia="Aptos" w:hAnsi="Arial" w:cs="Arial"/>
          <w:kern w:val="0"/>
          <w:sz w:val="24"/>
          <w:szCs w:val="24"/>
          <w:lang w:val="en-US" w:bidi="bn-BD"/>
        </w:rPr>
        <w:t>, 17(1), pp. 99-120.</w:t>
      </w:r>
    </w:p>
    <w:p w14:paraId="35F8E27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Bartlett, C.A. and Ghoshal, S. (1989) </w:t>
      </w:r>
      <w:r w:rsidRPr="00D32803">
        <w:rPr>
          <w:rFonts w:ascii="Arial" w:eastAsia="Aptos" w:hAnsi="Arial" w:cs="Arial"/>
          <w:i/>
          <w:iCs/>
          <w:kern w:val="0"/>
          <w:sz w:val="24"/>
          <w:szCs w:val="24"/>
          <w:lang w:val="en-US" w:bidi="bn-BD"/>
        </w:rPr>
        <w:t>Managing Across Borders: The Transnational Solution</w:t>
      </w:r>
      <w:r w:rsidRPr="00D32803">
        <w:rPr>
          <w:rFonts w:ascii="Arial" w:eastAsia="Aptos" w:hAnsi="Arial" w:cs="Arial"/>
          <w:kern w:val="0"/>
          <w:sz w:val="24"/>
          <w:szCs w:val="24"/>
          <w:lang w:val="en-US" w:bidi="bn-BD"/>
        </w:rPr>
        <w:t>. Boston: Harvard Business School Press.</w:t>
      </w:r>
    </w:p>
    <w:p w14:paraId="28140F6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Bernstein Research (2023) </w:t>
      </w:r>
      <w:r w:rsidRPr="00D32803">
        <w:rPr>
          <w:rFonts w:ascii="Arial" w:eastAsia="Aptos" w:hAnsi="Arial" w:cs="Arial"/>
          <w:i/>
          <w:iCs/>
          <w:kern w:val="0"/>
          <w:sz w:val="24"/>
          <w:szCs w:val="24"/>
          <w:lang w:val="en-US" w:bidi="bn-BD"/>
        </w:rPr>
        <w:t>Unilever: Operational Improvement Required</w:t>
      </w:r>
      <w:r w:rsidRPr="00D32803">
        <w:rPr>
          <w:rFonts w:ascii="Arial" w:eastAsia="Aptos" w:hAnsi="Arial" w:cs="Arial"/>
          <w:kern w:val="0"/>
          <w:sz w:val="24"/>
          <w:szCs w:val="24"/>
          <w:lang w:val="en-US" w:bidi="bn-BD"/>
        </w:rPr>
        <w:t>. London: Sanford C. Bernstein.</w:t>
      </w:r>
    </w:p>
    <w:p w14:paraId="249F89A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Bloom, B.S. (1956) </w:t>
      </w:r>
      <w:r w:rsidRPr="00D32803">
        <w:rPr>
          <w:rFonts w:ascii="Arial" w:eastAsia="Aptos" w:hAnsi="Arial" w:cs="Arial"/>
          <w:i/>
          <w:iCs/>
          <w:kern w:val="0"/>
          <w:sz w:val="24"/>
          <w:szCs w:val="24"/>
          <w:lang w:val="en-US" w:bidi="bn-BD"/>
        </w:rPr>
        <w:t>Taxonomy of Educational Objectives: The Classification of Educational Goals</w:t>
      </w:r>
      <w:r w:rsidRPr="00D32803">
        <w:rPr>
          <w:rFonts w:ascii="Arial" w:eastAsia="Aptos" w:hAnsi="Arial" w:cs="Arial"/>
          <w:kern w:val="0"/>
          <w:sz w:val="24"/>
          <w:szCs w:val="24"/>
          <w:lang w:val="en-US" w:bidi="bn-BD"/>
        </w:rPr>
        <w:t>. New York: Longman.</w:t>
      </w:r>
    </w:p>
    <w:p w14:paraId="1771B8F2" w14:textId="77777777" w:rsidR="00AA48EB" w:rsidRPr="00D32803" w:rsidRDefault="00AA48EB" w:rsidP="00750398">
      <w:pPr>
        <w:spacing w:line="360" w:lineRule="auto"/>
        <w:jc w:val="both"/>
        <w:rPr>
          <w:rFonts w:ascii="Arial" w:eastAsia="Aptos" w:hAnsi="Arial" w:cs="Arial"/>
          <w:kern w:val="0"/>
          <w:sz w:val="24"/>
          <w:szCs w:val="24"/>
          <w:lang w:val="en-US" w:bidi="bn-BD"/>
        </w:rPr>
      </w:pPr>
      <w:proofErr w:type="spellStart"/>
      <w:r w:rsidRPr="00D32803">
        <w:rPr>
          <w:rFonts w:ascii="Arial" w:eastAsia="Aptos" w:hAnsi="Arial" w:cs="Arial"/>
          <w:kern w:val="0"/>
          <w:sz w:val="24"/>
          <w:szCs w:val="24"/>
          <w:lang w:val="en-US" w:bidi="bn-BD"/>
        </w:rPr>
        <w:t>Boddewyn</w:t>
      </w:r>
      <w:proofErr w:type="spellEnd"/>
      <w:r w:rsidRPr="00D32803">
        <w:rPr>
          <w:rFonts w:ascii="Arial" w:eastAsia="Aptos" w:hAnsi="Arial" w:cs="Arial"/>
          <w:kern w:val="0"/>
          <w:sz w:val="24"/>
          <w:szCs w:val="24"/>
          <w:lang w:val="en-US" w:bidi="bn-BD"/>
        </w:rPr>
        <w:t>, J.J. and Brewer, T.L. (1994) 'International-business political behavior: New theoretical directions', </w:t>
      </w:r>
      <w:r w:rsidRPr="00D32803">
        <w:rPr>
          <w:rFonts w:ascii="Arial" w:eastAsia="Aptos" w:hAnsi="Arial" w:cs="Arial"/>
          <w:i/>
          <w:iCs/>
          <w:kern w:val="0"/>
          <w:sz w:val="24"/>
          <w:szCs w:val="24"/>
          <w:lang w:val="en-US" w:bidi="bn-BD"/>
        </w:rPr>
        <w:t>Academy of Management Review</w:t>
      </w:r>
      <w:r w:rsidRPr="00D32803">
        <w:rPr>
          <w:rFonts w:ascii="Arial" w:eastAsia="Aptos" w:hAnsi="Arial" w:cs="Arial"/>
          <w:kern w:val="0"/>
          <w:sz w:val="24"/>
          <w:szCs w:val="24"/>
          <w:lang w:val="en-US" w:bidi="bn-BD"/>
        </w:rPr>
        <w:t>, 19(1), pp. 119-143.</w:t>
      </w:r>
    </w:p>
    <w:p w14:paraId="00D0E280"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Boud, D., Keogh, R. and Walker, D. (1985) </w:t>
      </w:r>
      <w:r w:rsidRPr="00D32803">
        <w:rPr>
          <w:rFonts w:ascii="Arial" w:eastAsia="Aptos" w:hAnsi="Arial" w:cs="Arial"/>
          <w:i/>
          <w:iCs/>
          <w:kern w:val="0"/>
          <w:sz w:val="24"/>
          <w:szCs w:val="24"/>
          <w:lang w:val="en-US" w:bidi="bn-BD"/>
        </w:rPr>
        <w:t>Reflection: Turning Experience into Learning</w:t>
      </w:r>
      <w:r w:rsidRPr="00D32803">
        <w:rPr>
          <w:rFonts w:ascii="Arial" w:eastAsia="Aptos" w:hAnsi="Arial" w:cs="Arial"/>
          <w:kern w:val="0"/>
          <w:sz w:val="24"/>
          <w:szCs w:val="24"/>
          <w:lang w:val="en-US" w:bidi="bn-BD"/>
        </w:rPr>
        <w:t>. London: Kogan Page.</w:t>
      </w:r>
    </w:p>
    <w:p w14:paraId="688E0005"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Brand Finance (2023) </w:t>
      </w:r>
      <w:r w:rsidRPr="00D32803">
        <w:rPr>
          <w:rFonts w:ascii="Arial" w:eastAsia="Aptos" w:hAnsi="Arial" w:cs="Arial"/>
          <w:i/>
          <w:iCs/>
          <w:kern w:val="0"/>
          <w:sz w:val="24"/>
          <w:szCs w:val="24"/>
          <w:lang w:val="en-US" w:bidi="bn-BD"/>
        </w:rPr>
        <w:t>Global 500 2023: The Annual Report on the World's Most Valuable and Strongest Brands</w:t>
      </w:r>
      <w:r w:rsidRPr="00D32803">
        <w:rPr>
          <w:rFonts w:ascii="Arial" w:eastAsia="Aptos" w:hAnsi="Arial" w:cs="Arial"/>
          <w:kern w:val="0"/>
          <w:sz w:val="24"/>
          <w:szCs w:val="24"/>
          <w:lang w:val="en-US" w:bidi="bn-BD"/>
        </w:rPr>
        <w:t>. London: Brand Finance.</w:t>
      </w:r>
    </w:p>
    <w:p w14:paraId="2AA3B083"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Campbell, A., Goold, M. and Alexander, M. (1995) 'Corporate strategy: The quest for parenting advantage',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73(2), pp. 120-132.</w:t>
      </w:r>
    </w:p>
    <w:p w14:paraId="64B757B9"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Carroll, A.B. (1991) 'The pyramid of corporate social responsibility: Toward the moral management of organizational stakeholders', </w:t>
      </w:r>
      <w:r w:rsidRPr="00D32803">
        <w:rPr>
          <w:rFonts w:ascii="Arial" w:eastAsia="Aptos" w:hAnsi="Arial" w:cs="Arial"/>
          <w:i/>
          <w:iCs/>
          <w:kern w:val="0"/>
          <w:sz w:val="24"/>
          <w:szCs w:val="24"/>
          <w:lang w:val="en-US" w:bidi="bn-BD"/>
        </w:rPr>
        <w:t>Business Horizons</w:t>
      </w:r>
      <w:r w:rsidRPr="00D32803">
        <w:rPr>
          <w:rFonts w:ascii="Arial" w:eastAsia="Aptos" w:hAnsi="Arial" w:cs="Arial"/>
          <w:kern w:val="0"/>
          <w:sz w:val="24"/>
          <w:szCs w:val="24"/>
          <w:lang w:val="en-US" w:bidi="bn-BD"/>
        </w:rPr>
        <w:t>, 34(4), pp. 39-48.</w:t>
      </w:r>
    </w:p>
    <w:p w14:paraId="68AD2EA5"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Christensen, C.M. (1997) </w:t>
      </w:r>
      <w:r w:rsidRPr="00D32803">
        <w:rPr>
          <w:rFonts w:ascii="Arial" w:eastAsia="Aptos" w:hAnsi="Arial" w:cs="Arial"/>
          <w:i/>
          <w:iCs/>
          <w:kern w:val="0"/>
          <w:sz w:val="24"/>
          <w:szCs w:val="24"/>
          <w:lang w:val="en-US" w:bidi="bn-BD"/>
        </w:rPr>
        <w:t>The Innovator's Dilemma: When New Technologies Cause Great Firms to Fail</w:t>
      </w:r>
      <w:r w:rsidRPr="00D32803">
        <w:rPr>
          <w:rFonts w:ascii="Arial" w:eastAsia="Aptos" w:hAnsi="Arial" w:cs="Arial"/>
          <w:kern w:val="0"/>
          <w:sz w:val="24"/>
          <w:szCs w:val="24"/>
          <w:lang w:val="en-US" w:bidi="bn-BD"/>
        </w:rPr>
        <w:t>. Boston: Harvard Business School Press.</w:t>
      </w:r>
    </w:p>
    <w:p w14:paraId="56E352F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Collins, J.C. and Porras, J.I. (1996) 'Building your company's vision',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74(5), pp. 65-77.</w:t>
      </w:r>
    </w:p>
    <w:p w14:paraId="69F3DF6B"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Coombs, W.T. (2019) </w:t>
      </w:r>
      <w:r w:rsidRPr="00D32803">
        <w:rPr>
          <w:rFonts w:ascii="Arial" w:eastAsia="Aptos" w:hAnsi="Arial" w:cs="Arial"/>
          <w:i/>
          <w:iCs/>
          <w:kern w:val="0"/>
          <w:sz w:val="24"/>
          <w:szCs w:val="24"/>
          <w:lang w:val="en-US" w:bidi="bn-BD"/>
        </w:rPr>
        <w:t>Ongoing Crisis Communication: Planning, Managing, and Responding</w:t>
      </w:r>
      <w:r w:rsidRPr="00D32803">
        <w:rPr>
          <w:rFonts w:ascii="Arial" w:eastAsia="Aptos" w:hAnsi="Arial" w:cs="Arial"/>
          <w:kern w:val="0"/>
          <w:sz w:val="24"/>
          <w:szCs w:val="24"/>
          <w:lang w:val="en-US" w:bidi="bn-BD"/>
        </w:rPr>
        <w:t xml:space="preserve">. 5th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Thousand Oaks: SAGE Publications.</w:t>
      </w:r>
    </w:p>
    <w:p w14:paraId="4BCF0375"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Davenport, T.H. and </w:t>
      </w:r>
      <w:proofErr w:type="spellStart"/>
      <w:r w:rsidRPr="00D32803">
        <w:rPr>
          <w:rFonts w:ascii="Arial" w:eastAsia="Aptos" w:hAnsi="Arial" w:cs="Arial"/>
          <w:kern w:val="0"/>
          <w:sz w:val="24"/>
          <w:szCs w:val="24"/>
          <w:lang w:val="en-US" w:bidi="bn-BD"/>
        </w:rPr>
        <w:t>Ronanki</w:t>
      </w:r>
      <w:proofErr w:type="spellEnd"/>
      <w:r w:rsidRPr="00D32803">
        <w:rPr>
          <w:rFonts w:ascii="Arial" w:eastAsia="Aptos" w:hAnsi="Arial" w:cs="Arial"/>
          <w:kern w:val="0"/>
          <w:sz w:val="24"/>
          <w:szCs w:val="24"/>
          <w:lang w:val="en-US" w:bidi="bn-BD"/>
        </w:rPr>
        <w:t>, R. (2018) 'Artificial intelligence for the real world',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96(1), pp. 108-116.</w:t>
      </w:r>
    </w:p>
    <w:p w14:paraId="5FC4757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Elkington, J. (1997) </w:t>
      </w:r>
      <w:r w:rsidRPr="00D32803">
        <w:rPr>
          <w:rFonts w:ascii="Arial" w:eastAsia="Aptos" w:hAnsi="Arial" w:cs="Arial"/>
          <w:i/>
          <w:iCs/>
          <w:kern w:val="0"/>
          <w:sz w:val="24"/>
          <w:szCs w:val="24"/>
          <w:lang w:val="en-US" w:bidi="bn-BD"/>
        </w:rPr>
        <w:t>Cannibals with Forks: The Triple Bottom Line of 21st Century Business</w:t>
      </w:r>
      <w:r w:rsidRPr="00D32803">
        <w:rPr>
          <w:rFonts w:ascii="Arial" w:eastAsia="Aptos" w:hAnsi="Arial" w:cs="Arial"/>
          <w:kern w:val="0"/>
          <w:sz w:val="24"/>
          <w:szCs w:val="24"/>
          <w:lang w:val="en-US" w:bidi="bn-BD"/>
        </w:rPr>
        <w:t>. Oxford: Capstone Publishing.</w:t>
      </w:r>
    </w:p>
    <w:p w14:paraId="0EDA7D5E"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European Commission (2023) </w:t>
      </w:r>
      <w:r w:rsidRPr="00D32803">
        <w:rPr>
          <w:rFonts w:ascii="Arial" w:eastAsia="Aptos" w:hAnsi="Arial" w:cs="Arial"/>
          <w:i/>
          <w:iCs/>
          <w:kern w:val="0"/>
          <w:sz w:val="24"/>
          <w:szCs w:val="24"/>
          <w:lang w:val="en-US" w:bidi="bn-BD"/>
        </w:rPr>
        <w:t>Corporate Sustainability Reporting Directive</w:t>
      </w:r>
      <w:r w:rsidRPr="00D32803">
        <w:rPr>
          <w:rFonts w:ascii="Arial" w:eastAsia="Aptos" w:hAnsi="Arial" w:cs="Arial"/>
          <w:kern w:val="0"/>
          <w:sz w:val="24"/>
          <w:szCs w:val="24"/>
          <w:lang w:val="en-US" w:bidi="bn-BD"/>
        </w:rPr>
        <w:t>. Brussels: European Commission.</w:t>
      </w:r>
    </w:p>
    <w:p w14:paraId="6F0848A7"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European Medicines Agency (2023) </w:t>
      </w:r>
      <w:r w:rsidRPr="00D32803">
        <w:rPr>
          <w:rFonts w:ascii="Arial" w:eastAsia="Aptos" w:hAnsi="Arial" w:cs="Arial"/>
          <w:i/>
          <w:iCs/>
          <w:kern w:val="0"/>
          <w:sz w:val="24"/>
          <w:szCs w:val="24"/>
          <w:lang w:val="en-US" w:bidi="bn-BD"/>
        </w:rPr>
        <w:t>Cosmetics Regulation (EC) No 1223/2009</w:t>
      </w:r>
      <w:r w:rsidRPr="00D32803">
        <w:rPr>
          <w:rFonts w:ascii="Arial" w:eastAsia="Aptos" w:hAnsi="Arial" w:cs="Arial"/>
          <w:kern w:val="0"/>
          <w:sz w:val="24"/>
          <w:szCs w:val="24"/>
          <w:lang w:val="en-US" w:bidi="bn-BD"/>
        </w:rPr>
        <w:t>. Amsterdam: EMA.</w:t>
      </w:r>
    </w:p>
    <w:p w14:paraId="2BD80FC7"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Euromonitor (2023) </w:t>
      </w:r>
      <w:r w:rsidRPr="00D32803">
        <w:rPr>
          <w:rFonts w:ascii="Arial" w:eastAsia="Aptos" w:hAnsi="Arial" w:cs="Arial"/>
          <w:i/>
          <w:iCs/>
          <w:kern w:val="0"/>
          <w:sz w:val="24"/>
          <w:szCs w:val="24"/>
          <w:lang w:val="en-US" w:bidi="bn-BD"/>
        </w:rPr>
        <w:t>Global FMCG Industry Analysis</w:t>
      </w:r>
      <w:r w:rsidRPr="00D32803">
        <w:rPr>
          <w:rFonts w:ascii="Arial" w:eastAsia="Aptos" w:hAnsi="Arial" w:cs="Arial"/>
          <w:kern w:val="0"/>
          <w:sz w:val="24"/>
          <w:szCs w:val="24"/>
          <w:lang w:val="en-US" w:bidi="bn-BD"/>
        </w:rPr>
        <w:t>. London: Euromonitor International.</w:t>
      </w:r>
    </w:p>
    <w:p w14:paraId="1AE2085B"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Financial Times (2023) 'Unilever's new CEO signals shift from sustainability focus', </w:t>
      </w:r>
      <w:r w:rsidRPr="00D32803">
        <w:rPr>
          <w:rFonts w:ascii="Arial" w:eastAsia="Aptos" w:hAnsi="Arial" w:cs="Arial"/>
          <w:i/>
          <w:iCs/>
          <w:kern w:val="0"/>
          <w:sz w:val="24"/>
          <w:szCs w:val="24"/>
          <w:lang w:val="en-US" w:bidi="bn-BD"/>
        </w:rPr>
        <w:t>Financial Times</w:t>
      </w:r>
      <w:r w:rsidRPr="00D32803">
        <w:rPr>
          <w:rFonts w:ascii="Arial" w:eastAsia="Aptos" w:hAnsi="Arial" w:cs="Arial"/>
          <w:kern w:val="0"/>
          <w:sz w:val="24"/>
          <w:szCs w:val="24"/>
          <w:lang w:val="en-US" w:bidi="bn-BD"/>
        </w:rPr>
        <w:t>, 15 October, p. 14.</w:t>
      </w:r>
    </w:p>
    <w:p w14:paraId="6C67545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Fortune Business Insights (2024) </w:t>
      </w:r>
      <w:r w:rsidRPr="00D32803">
        <w:rPr>
          <w:rFonts w:ascii="Arial" w:eastAsia="Aptos" w:hAnsi="Arial" w:cs="Arial"/>
          <w:i/>
          <w:iCs/>
          <w:kern w:val="0"/>
          <w:sz w:val="24"/>
          <w:szCs w:val="24"/>
          <w:lang w:val="en-US" w:bidi="bn-BD"/>
        </w:rPr>
        <w:t>Fast Moving Consumer Goods Market Size, Share &amp; Industry Analysis</w:t>
      </w:r>
      <w:r w:rsidRPr="00D32803">
        <w:rPr>
          <w:rFonts w:ascii="Arial" w:eastAsia="Aptos" w:hAnsi="Arial" w:cs="Arial"/>
          <w:kern w:val="0"/>
          <w:sz w:val="24"/>
          <w:szCs w:val="24"/>
          <w:lang w:val="en-US" w:bidi="bn-BD"/>
        </w:rPr>
        <w:t>. Pune: Fortune Business Insights.</w:t>
      </w:r>
    </w:p>
    <w:p w14:paraId="531B59C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Freeman, R.E. (1984) </w:t>
      </w:r>
      <w:r w:rsidRPr="00D32803">
        <w:rPr>
          <w:rFonts w:ascii="Arial" w:eastAsia="Aptos" w:hAnsi="Arial" w:cs="Arial"/>
          <w:i/>
          <w:iCs/>
          <w:kern w:val="0"/>
          <w:sz w:val="24"/>
          <w:szCs w:val="24"/>
          <w:lang w:val="en-US" w:bidi="bn-BD"/>
        </w:rPr>
        <w:t>Strategic Management: A Stakeholder Approach</w:t>
      </w:r>
      <w:r w:rsidRPr="00D32803">
        <w:rPr>
          <w:rFonts w:ascii="Arial" w:eastAsia="Aptos" w:hAnsi="Arial" w:cs="Arial"/>
          <w:kern w:val="0"/>
          <w:sz w:val="24"/>
          <w:szCs w:val="24"/>
          <w:lang w:val="en-US" w:bidi="bn-BD"/>
        </w:rPr>
        <w:t>. Boston: Pitman.</w:t>
      </w:r>
    </w:p>
    <w:p w14:paraId="5B5129B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Gibbs, G. (1988) </w:t>
      </w:r>
      <w:r w:rsidRPr="00D32803">
        <w:rPr>
          <w:rFonts w:ascii="Arial" w:eastAsia="Aptos" w:hAnsi="Arial" w:cs="Arial"/>
          <w:i/>
          <w:iCs/>
          <w:kern w:val="0"/>
          <w:sz w:val="24"/>
          <w:szCs w:val="24"/>
          <w:lang w:val="en-US" w:bidi="bn-BD"/>
        </w:rPr>
        <w:t>Learning by Doing: A Guide to Teaching and Learning Methods</w:t>
      </w:r>
      <w:r w:rsidRPr="00D32803">
        <w:rPr>
          <w:rFonts w:ascii="Arial" w:eastAsia="Aptos" w:hAnsi="Arial" w:cs="Arial"/>
          <w:kern w:val="0"/>
          <w:sz w:val="24"/>
          <w:szCs w:val="24"/>
          <w:lang w:val="en-US" w:bidi="bn-BD"/>
        </w:rPr>
        <w:t>. Oxford: Further Education Unit, Oxford Polytechnic.</w:t>
      </w:r>
    </w:p>
    <w:p w14:paraId="53B98727"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Grant, R.M. (2019) </w:t>
      </w:r>
      <w:r w:rsidRPr="00D32803">
        <w:rPr>
          <w:rFonts w:ascii="Arial" w:eastAsia="Aptos" w:hAnsi="Arial" w:cs="Arial"/>
          <w:i/>
          <w:iCs/>
          <w:kern w:val="0"/>
          <w:sz w:val="24"/>
          <w:szCs w:val="24"/>
          <w:lang w:val="en-US" w:bidi="bn-BD"/>
        </w:rPr>
        <w:t>Contemporary Strategy Analysis</w:t>
      </w:r>
      <w:r w:rsidRPr="00D32803">
        <w:rPr>
          <w:rFonts w:ascii="Arial" w:eastAsia="Aptos" w:hAnsi="Arial" w:cs="Arial"/>
          <w:kern w:val="0"/>
          <w:sz w:val="24"/>
          <w:szCs w:val="24"/>
          <w:lang w:val="en-US" w:bidi="bn-BD"/>
        </w:rPr>
        <w:t xml:space="preserve">. 10th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Chichester: John Wiley &amp; Sons.</w:t>
      </w:r>
    </w:p>
    <w:p w14:paraId="0F82B5D1"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Greenpeace (2022) </w:t>
      </w:r>
      <w:r w:rsidRPr="00D32803">
        <w:rPr>
          <w:rFonts w:ascii="Arial" w:eastAsia="Aptos" w:hAnsi="Arial" w:cs="Arial"/>
          <w:i/>
          <w:iCs/>
          <w:kern w:val="0"/>
          <w:sz w:val="24"/>
          <w:szCs w:val="24"/>
          <w:lang w:val="en-US" w:bidi="bn-BD"/>
        </w:rPr>
        <w:t>Destruction: Certified - How Some of the Biggest Brands Are Selling Rainforest Destruction</w:t>
      </w:r>
      <w:r w:rsidRPr="00D32803">
        <w:rPr>
          <w:rFonts w:ascii="Arial" w:eastAsia="Aptos" w:hAnsi="Arial" w:cs="Arial"/>
          <w:kern w:val="0"/>
          <w:sz w:val="24"/>
          <w:szCs w:val="24"/>
          <w:lang w:val="en-US" w:bidi="bn-BD"/>
        </w:rPr>
        <w:t>. Amsterdam: Greenpeace International.</w:t>
      </w:r>
    </w:p>
    <w:p w14:paraId="2485D3D1"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Hart, S.L. (1995) 'A natural-resource-based view of the firm', </w:t>
      </w:r>
      <w:r w:rsidRPr="00D32803">
        <w:rPr>
          <w:rFonts w:ascii="Arial" w:eastAsia="Aptos" w:hAnsi="Arial" w:cs="Arial"/>
          <w:i/>
          <w:iCs/>
          <w:kern w:val="0"/>
          <w:sz w:val="24"/>
          <w:szCs w:val="24"/>
          <w:lang w:val="en-US" w:bidi="bn-BD"/>
        </w:rPr>
        <w:t>Academy of Management Review</w:t>
      </w:r>
      <w:r w:rsidRPr="00D32803">
        <w:rPr>
          <w:rFonts w:ascii="Arial" w:eastAsia="Aptos" w:hAnsi="Arial" w:cs="Arial"/>
          <w:kern w:val="0"/>
          <w:sz w:val="24"/>
          <w:szCs w:val="24"/>
          <w:lang w:val="en-US" w:bidi="bn-BD"/>
        </w:rPr>
        <w:t>, 20(4), pp. 986-1014.</w:t>
      </w:r>
    </w:p>
    <w:p w14:paraId="3D1BB7F1"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Helms, M.M. and Nixon, J. (2010) 'Exploring SWOT analysis – where are we now? A review of academic research from the last decade', </w:t>
      </w:r>
      <w:r w:rsidRPr="00D32803">
        <w:rPr>
          <w:rFonts w:ascii="Arial" w:eastAsia="Aptos" w:hAnsi="Arial" w:cs="Arial"/>
          <w:i/>
          <w:iCs/>
          <w:kern w:val="0"/>
          <w:sz w:val="24"/>
          <w:szCs w:val="24"/>
          <w:lang w:val="en-US" w:bidi="bn-BD"/>
        </w:rPr>
        <w:t>Journal of Strategy and Management</w:t>
      </w:r>
      <w:r w:rsidRPr="00D32803">
        <w:rPr>
          <w:rFonts w:ascii="Arial" w:eastAsia="Aptos" w:hAnsi="Arial" w:cs="Arial"/>
          <w:kern w:val="0"/>
          <w:sz w:val="24"/>
          <w:szCs w:val="24"/>
          <w:lang w:val="en-US" w:bidi="bn-BD"/>
        </w:rPr>
        <w:t>, 3(3), pp. 215-251.</w:t>
      </w:r>
    </w:p>
    <w:p w14:paraId="6B6C692C"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Henderson, B.D. (1979) </w:t>
      </w:r>
      <w:r w:rsidRPr="00D32803">
        <w:rPr>
          <w:rFonts w:ascii="Arial" w:eastAsia="Aptos" w:hAnsi="Arial" w:cs="Arial"/>
          <w:i/>
          <w:iCs/>
          <w:kern w:val="0"/>
          <w:sz w:val="24"/>
          <w:szCs w:val="24"/>
          <w:lang w:val="en-US" w:bidi="bn-BD"/>
        </w:rPr>
        <w:t>Henderson on Corporate Strategy</w:t>
      </w:r>
      <w:r w:rsidRPr="00D32803">
        <w:rPr>
          <w:rFonts w:ascii="Arial" w:eastAsia="Aptos" w:hAnsi="Arial" w:cs="Arial"/>
          <w:kern w:val="0"/>
          <w:sz w:val="24"/>
          <w:szCs w:val="24"/>
          <w:lang w:val="en-US" w:bidi="bn-BD"/>
        </w:rPr>
        <w:t>. Cambridge: Abt Books.</w:t>
      </w:r>
    </w:p>
    <w:p w14:paraId="390BA7E8"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HM Revenue &amp; Customs (2022) </w:t>
      </w:r>
      <w:r w:rsidRPr="00D32803">
        <w:rPr>
          <w:rFonts w:ascii="Arial" w:eastAsia="Aptos" w:hAnsi="Arial" w:cs="Arial"/>
          <w:i/>
          <w:iCs/>
          <w:kern w:val="0"/>
          <w:sz w:val="24"/>
          <w:szCs w:val="24"/>
          <w:lang w:val="en-US" w:bidi="bn-BD"/>
        </w:rPr>
        <w:t>Plastic Packaging Tax: Policy Paper</w:t>
      </w:r>
      <w:r w:rsidRPr="00D32803">
        <w:rPr>
          <w:rFonts w:ascii="Arial" w:eastAsia="Aptos" w:hAnsi="Arial" w:cs="Arial"/>
          <w:kern w:val="0"/>
          <w:sz w:val="24"/>
          <w:szCs w:val="24"/>
          <w:lang w:val="en-US" w:bidi="bn-BD"/>
        </w:rPr>
        <w:t>. London: HMRC.</w:t>
      </w:r>
    </w:p>
    <w:p w14:paraId="0F3550EB"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House of Commons (2022) </w:t>
      </w:r>
      <w:r w:rsidRPr="00D32803">
        <w:rPr>
          <w:rFonts w:ascii="Arial" w:eastAsia="Aptos" w:hAnsi="Arial" w:cs="Arial"/>
          <w:i/>
          <w:iCs/>
          <w:kern w:val="0"/>
          <w:sz w:val="24"/>
          <w:szCs w:val="24"/>
          <w:lang w:val="en-US" w:bidi="bn-BD"/>
        </w:rPr>
        <w:t>UK-EU Trade: Supply Chain Issues</w:t>
      </w:r>
      <w:r w:rsidRPr="00D32803">
        <w:rPr>
          <w:rFonts w:ascii="Arial" w:eastAsia="Aptos" w:hAnsi="Arial" w:cs="Arial"/>
          <w:kern w:val="0"/>
          <w:sz w:val="24"/>
          <w:szCs w:val="24"/>
          <w:lang w:val="en-US" w:bidi="bn-BD"/>
        </w:rPr>
        <w:t>. London: House of Commons Library.</w:t>
      </w:r>
    </w:p>
    <w:p w14:paraId="0B6DEE7D"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IBM (2022) </w:t>
      </w:r>
      <w:r w:rsidRPr="00D32803">
        <w:rPr>
          <w:rFonts w:ascii="Arial" w:eastAsia="Aptos" w:hAnsi="Arial" w:cs="Arial"/>
          <w:i/>
          <w:iCs/>
          <w:kern w:val="0"/>
          <w:sz w:val="24"/>
          <w:szCs w:val="24"/>
          <w:lang w:val="en-US" w:bidi="bn-BD"/>
        </w:rPr>
        <w:t>Meet the 2022 Consumers Driving Change</w:t>
      </w:r>
      <w:r w:rsidRPr="00D32803">
        <w:rPr>
          <w:rFonts w:ascii="Arial" w:eastAsia="Aptos" w:hAnsi="Arial" w:cs="Arial"/>
          <w:kern w:val="0"/>
          <w:sz w:val="24"/>
          <w:szCs w:val="24"/>
          <w:lang w:val="en-US" w:bidi="bn-BD"/>
        </w:rPr>
        <w:t>. Armonk: IBM Institute for Business Value.</w:t>
      </w:r>
    </w:p>
    <w:p w14:paraId="1362DDD8"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Information Commissioner's Office (2023) </w:t>
      </w:r>
      <w:r w:rsidRPr="00D32803">
        <w:rPr>
          <w:rFonts w:ascii="Arial" w:eastAsia="Aptos" w:hAnsi="Arial" w:cs="Arial"/>
          <w:i/>
          <w:iCs/>
          <w:kern w:val="0"/>
          <w:sz w:val="24"/>
          <w:szCs w:val="24"/>
          <w:lang w:val="en-US" w:bidi="bn-BD"/>
        </w:rPr>
        <w:t>Guide to the UK General Data Protection Regulation</w:t>
      </w:r>
      <w:r w:rsidRPr="00D32803">
        <w:rPr>
          <w:rFonts w:ascii="Arial" w:eastAsia="Aptos" w:hAnsi="Arial" w:cs="Arial"/>
          <w:kern w:val="0"/>
          <w:sz w:val="24"/>
          <w:szCs w:val="24"/>
          <w:lang w:val="en-US" w:bidi="bn-BD"/>
        </w:rPr>
        <w:t>. Wilmslow: ICO.</w:t>
      </w:r>
    </w:p>
    <w:p w14:paraId="52E5764B"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Intergovernmental Panel on Climate Change (2023) </w:t>
      </w:r>
      <w:r w:rsidRPr="00D32803">
        <w:rPr>
          <w:rFonts w:ascii="Arial" w:eastAsia="Aptos" w:hAnsi="Arial" w:cs="Arial"/>
          <w:i/>
          <w:iCs/>
          <w:kern w:val="0"/>
          <w:sz w:val="24"/>
          <w:szCs w:val="24"/>
          <w:lang w:val="en-US" w:bidi="bn-BD"/>
        </w:rPr>
        <w:t>Climate Change 2023: Synthesis Report</w:t>
      </w:r>
      <w:r w:rsidRPr="00D32803">
        <w:rPr>
          <w:rFonts w:ascii="Arial" w:eastAsia="Aptos" w:hAnsi="Arial" w:cs="Arial"/>
          <w:kern w:val="0"/>
          <w:sz w:val="24"/>
          <w:szCs w:val="24"/>
          <w:lang w:val="en-US" w:bidi="bn-BD"/>
        </w:rPr>
        <w:t>. Geneva: IPCC.</w:t>
      </w:r>
    </w:p>
    <w:p w14:paraId="47F7F86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Johnson, G., Scholes, K. and Whittington, R. (2017) </w:t>
      </w:r>
      <w:r w:rsidRPr="00D32803">
        <w:rPr>
          <w:rFonts w:ascii="Arial" w:eastAsia="Aptos" w:hAnsi="Arial" w:cs="Arial"/>
          <w:i/>
          <w:iCs/>
          <w:kern w:val="0"/>
          <w:sz w:val="24"/>
          <w:szCs w:val="24"/>
          <w:lang w:val="en-US" w:bidi="bn-BD"/>
        </w:rPr>
        <w:t>Exploring Strategy</w:t>
      </w:r>
      <w:r w:rsidRPr="00D32803">
        <w:rPr>
          <w:rFonts w:ascii="Arial" w:eastAsia="Aptos" w:hAnsi="Arial" w:cs="Arial"/>
          <w:kern w:val="0"/>
          <w:sz w:val="24"/>
          <w:szCs w:val="24"/>
          <w:lang w:val="en-US" w:bidi="bn-BD"/>
        </w:rPr>
        <w:t xml:space="preserve">. 11th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Harlow: Pearson.</w:t>
      </w:r>
    </w:p>
    <w:p w14:paraId="0F0098FA"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Jones, G. (2005) </w:t>
      </w:r>
      <w:r w:rsidRPr="00D32803">
        <w:rPr>
          <w:rFonts w:ascii="Arial" w:eastAsia="Aptos" w:hAnsi="Arial" w:cs="Arial"/>
          <w:i/>
          <w:iCs/>
          <w:kern w:val="0"/>
          <w:sz w:val="24"/>
          <w:szCs w:val="24"/>
          <w:lang w:val="en-US" w:bidi="bn-BD"/>
        </w:rPr>
        <w:t>Renewing Unilever: Transformation and Tradition</w:t>
      </w:r>
      <w:r w:rsidRPr="00D32803">
        <w:rPr>
          <w:rFonts w:ascii="Arial" w:eastAsia="Aptos" w:hAnsi="Arial" w:cs="Arial"/>
          <w:kern w:val="0"/>
          <w:sz w:val="24"/>
          <w:szCs w:val="24"/>
          <w:lang w:val="en-US" w:bidi="bn-BD"/>
        </w:rPr>
        <w:t>. Oxford: Oxford University Press.</w:t>
      </w:r>
    </w:p>
    <w:p w14:paraId="24F96C57"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Kantar (2023) </w:t>
      </w:r>
      <w:r w:rsidRPr="00D32803">
        <w:rPr>
          <w:rFonts w:ascii="Arial" w:eastAsia="Aptos" w:hAnsi="Arial" w:cs="Arial"/>
          <w:i/>
          <w:iCs/>
          <w:kern w:val="0"/>
          <w:sz w:val="24"/>
          <w:szCs w:val="24"/>
          <w:lang w:val="en-US" w:bidi="bn-BD"/>
        </w:rPr>
        <w:t>Brand Footprint Report 2023</w:t>
      </w:r>
      <w:r w:rsidRPr="00D32803">
        <w:rPr>
          <w:rFonts w:ascii="Arial" w:eastAsia="Aptos" w:hAnsi="Arial" w:cs="Arial"/>
          <w:kern w:val="0"/>
          <w:sz w:val="24"/>
          <w:szCs w:val="24"/>
          <w:lang w:val="en-US" w:bidi="bn-BD"/>
        </w:rPr>
        <w:t>. London: Kantar.</w:t>
      </w:r>
    </w:p>
    <w:p w14:paraId="0FBDFDF4"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 xml:space="preserve">Kantar </w:t>
      </w:r>
      <w:proofErr w:type="spellStart"/>
      <w:r w:rsidRPr="00D32803">
        <w:rPr>
          <w:rFonts w:ascii="Arial" w:eastAsia="Aptos" w:hAnsi="Arial" w:cs="Arial"/>
          <w:kern w:val="0"/>
          <w:sz w:val="24"/>
          <w:szCs w:val="24"/>
          <w:lang w:val="en-US" w:bidi="bn-BD"/>
        </w:rPr>
        <w:t>BrandZ</w:t>
      </w:r>
      <w:proofErr w:type="spellEnd"/>
      <w:r w:rsidRPr="00D32803">
        <w:rPr>
          <w:rFonts w:ascii="Arial" w:eastAsia="Aptos" w:hAnsi="Arial" w:cs="Arial"/>
          <w:kern w:val="0"/>
          <w:sz w:val="24"/>
          <w:szCs w:val="24"/>
          <w:lang w:val="en-US" w:bidi="bn-BD"/>
        </w:rPr>
        <w:t xml:space="preserve"> (2023) </w:t>
      </w:r>
      <w:r w:rsidRPr="00D32803">
        <w:rPr>
          <w:rFonts w:ascii="Arial" w:eastAsia="Aptos" w:hAnsi="Arial" w:cs="Arial"/>
          <w:i/>
          <w:iCs/>
          <w:kern w:val="0"/>
          <w:sz w:val="24"/>
          <w:szCs w:val="24"/>
          <w:lang w:val="en-US" w:bidi="bn-BD"/>
        </w:rPr>
        <w:t>Most Valuable Global Brands 2023</w:t>
      </w:r>
      <w:r w:rsidRPr="00D32803">
        <w:rPr>
          <w:rFonts w:ascii="Arial" w:eastAsia="Aptos" w:hAnsi="Arial" w:cs="Arial"/>
          <w:kern w:val="0"/>
          <w:sz w:val="24"/>
          <w:szCs w:val="24"/>
          <w:lang w:val="en-US" w:bidi="bn-BD"/>
        </w:rPr>
        <w:t>. London: Kantar.</w:t>
      </w:r>
    </w:p>
    <w:p w14:paraId="06C443E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Kaplan, R.S. and Norton, D.P. (1992) 'The balanced scorecard – measures that drive performance',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70(1), pp. 71-79.</w:t>
      </w:r>
    </w:p>
    <w:p w14:paraId="326D824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Kaplan, R.S. and Norton, D.P. (1996) </w:t>
      </w:r>
      <w:r w:rsidRPr="00D32803">
        <w:rPr>
          <w:rFonts w:ascii="Arial" w:eastAsia="Aptos" w:hAnsi="Arial" w:cs="Arial"/>
          <w:i/>
          <w:iCs/>
          <w:kern w:val="0"/>
          <w:sz w:val="24"/>
          <w:szCs w:val="24"/>
          <w:lang w:val="en-US" w:bidi="bn-BD"/>
        </w:rPr>
        <w:t>The Balanced Scorecard: Translating Strategy into Action</w:t>
      </w:r>
      <w:r w:rsidRPr="00D32803">
        <w:rPr>
          <w:rFonts w:ascii="Arial" w:eastAsia="Aptos" w:hAnsi="Arial" w:cs="Arial"/>
          <w:kern w:val="0"/>
          <w:sz w:val="24"/>
          <w:szCs w:val="24"/>
          <w:lang w:val="en-US" w:bidi="bn-BD"/>
        </w:rPr>
        <w:t>. Boston: Harvard Business School Press.</w:t>
      </w:r>
    </w:p>
    <w:p w14:paraId="2E2ADE31"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Kapferer, J.N. (2012) </w:t>
      </w:r>
      <w:r w:rsidRPr="00D32803">
        <w:rPr>
          <w:rFonts w:ascii="Arial" w:eastAsia="Aptos" w:hAnsi="Arial" w:cs="Arial"/>
          <w:i/>
          <w:iCs/>
          <w:kern w:val="0"/>
          <w:sz w:val="24"/>
          <w:szCs w:val="24"/>
          <w:lang w:val="en-US" w:bidi="bn-BD"/>
        </w:rPr>
        <w:t>The New Strategic Brand Management: Advanced Insights and Strategic Thinking</w:t>
      </w:r>
      <w:r w:rsidRPr="00D32803">
        <w:rPr>
          <w:rFonts w:ascii="Arial" w:eastAsia="Aptos" w:hAnsi="Arial" w:cs="Arial"/>
          <w:kern w:val="0"/>
          <w:sz w:val="24"/>
          <w:szCs w:val="24"/>
          <w:lang w:val="en-US" w:bidi="bn-BD"/>
        </w:rPr>
        <w:t xml:space="preserve">. 5th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London: Kogan Page.</w:t>
      </w:r>
    </w:p>
    <w:p w14:paraId="3D9ACAD4"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Keller, K.L. (2013) </w:t>
      </w:r>
      <w:r w:rsidRPr="00D32803">
        <w:rPr>
          <w:rFonts w:ascii="Arial" w:eastAsia="Aptos" w:hAnsi="Arial" w:cs="Arial"/>
          <w:i/>
          <w:iCs/>
          <w:kern w:val="0"/>
          <w:sz w:val="24"/>
          <w:szCs w:val="24"/>
          <w:lang w:val="en-US" w:bidi="bn-BD"/>
        </w:rPr>
        <w:t>Strategic Brand Management: Building, Measuring, and Managing Brand Equity</w:t>
      </w:r>
      <w:r w:rsidRPr="00D32803">
        <w:rPr>
          <w:rFonts w:ascii="Arial" w:eastAsia="Aptos" w:hAnsi="Arial" w:cs="Arial"/>
          <w:kern w:val="0"/>
          <w:sz w:val="24"/>
          <w:szCs w:val="24"/>
          <w:lang w:val="en-US" w:bidi="bn-BD"/>
        </w:rPr>
        <w:t xml:space="preserve">. 4th </w:t>
      </w:r>
      <w:proofErr w:type="spellStart"/>
      <w:r w:rsidRPr="00D32803">
        <w:rPr>
          <w:rFonts w:ascii="Arial" w:eastAsia="Aptos" w:hAnsi="Arial" w:cs="Arial"/>
          <w:kern w:val="0"/>
          <w:sz w:val="24"/>
          <w:szCs w:val="24"/>
          <w:lang w:val="en-US" w:bidi="bn-BD"/>
        </w:rPr>
        <w:t>edn</w:t>
      </w:r>
      <w:proofErr w:type="spellEnd"/>
      <w:r w:rsidRPr="00D32803">
        <w:rPr>
          <w:rFonts w:ascii="Arial" w:eastAsia="Aptos" w:hAnsi="Arial" w:cs="Arial"/>
          <w:kern w:val="0"/>
          <w:sz w:val="24"/>
          <w:szCs w:val="24"/>
          <w:lang w:val="en-US" w:bidi="bn-BD"/>
        </w:rPr>
        <w:t>. Harlow: Pearson.</w:t>
      </w:r>
    </w:p>
    <w:p w14:paraId="7663F65D"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Khanna, T. and Palepu, K.G. (2010) </w:t>
      </w:r>
      <w:r w:rsidRPr="00D32803">
        <w:rPr>
          <w:rFonts w:ascii="Arial" w:eastAsia="Aptos" w:hAnsi="Arial" w:cs="Arial"/>
          <w:i/>
          <w:iCs/>
          <w:kern w:val="0"/>
          <w:sz w:val="24"/>
          <w:szCs w:val="24"/>
          <w:lang w:val="en-US" w:bidi="bn-BD"/>
        </w:rPr>
        <w:t>Winning in Emerging Markets: A Road Map for Strategy and Execution</w:t>
      </w:r>
      <w:r w:rsidRPr="00D32803">
        <w:rPr>
          <w:rFonts w:ascii="Arial" w:eastAsia="Aptos" w:hAnsi="Arial" w:cs="Arial"/>
          <w:kern w:val="0"/>
          <w:sz w:val="24"/>
          <w:szCs w:val="24"/>
          <w:lang w:val="en-US" w:bidi="bn-BD"/>
        </w:rPr>
        <w:t>. Boston: Harvard Business Press.</w:t>
      </w:r>
    </w:p>
    <w:p w14:paraId="73EF3555"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Kolb, D.A. (1984) </w:t>
      </w:r>
      <w:r w:rsidRPr="00D32803">
        <w:rPr>
          <w:rFonts w:ascii="Arial" w:eastAsia="Aptos" w:hAnsi="Arial" w:cs="Arial"/>
          <w:i/>
          <w:iCs/>
          <w:kern w:val="0"/>
          <w:sz w:val="24"/>
          <w:szCs w:val="24"/>
          <w:lang w:val="en-US" w:bidi="bn-BD"/>
        </w:rPr>
        <w:t>Experiential Learning: Experience as the Source of Learning and Development</w:t>
      </w:r>
      <w:r w:rsidRPr="00D32803">
        <w:rPr>
          <w:rFonts w:ascii="Arial" w:eastAsia="Aptos" w:hAnsi="Arial" w:cs="Arial"/>
          <w:kern w:val="0"/>
          <w:sz w:val="24"/>
          <w:szCs w:val="24"/>
          <w:lang w:val="en-US" w:bidi="bn-BD"/>
        </w:rPr>
        <w:t>. Englewood Cliffs: Prentice-Hall.</w:t>
      </w:r>
    </w:p>
    <w:p w14:paraId="3ADDFF48"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Kotter, J.P. (1996) </w:t>
      </w:r>
      <w:r w:rsidRPr="00D32803">
        <w:rPr>
          <w:rFonts w:ascii="Arial" w:eastAsia="Aptos" w:hAnsi="Arial" w:cs="Arial"/>
          <w:i/>
          <w:iCs/>
          <w:kern w:val="0"/>
          <w:sz w:val="24"/>
          <w:szCs w:val="24"/>
          <w:lang w:val="en-US" w:bidi="bn-BD"/>
        </w:rPr>
        <w:t>Leading Change</w:t>
      </w:r>
      <w:r w:rsidRPr="00D32803">
        <w:rPr>
          <w:rFonts w:ascii="Arial" w:eastAsia="Aptos" w:hAnsi="Arial" w:cs="Arial"/>
          <w:kern w:val="0"/>
          <w:sz w:val="24"/>
          <w:szCs w:val="24"/>
          <w:lang w:val="en-US" w:bidi="bn-BD"/>
        </w:rPr>
        <w:t>. Boston: Harvard Business School Press.</w:t>
      </w:r>
    </w:p>
    <w:p w14:paraId="71973B4E"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Lewin, K. (1951) </w:t>
      </w:r>
      <w:r w:rsidRPr="00D32803">
        <w:rPr>
          <w:rFonts w:ascii="Arial" w:eastAsia="Aptos" w:hAnsi="Arial" w:cs="Arial"/>
          <w:i/>
          <w:iCs/>
          <w:kern w:val="0"/>
          <w:sz w:val="24"/>
          <w:szCs w:val="24"/>
          <w:lang w:val="en-US" w:bidi="bn-BD"/>
        </w:rPr>
        <w:t>Field Theory in Social Science</w:t>
      </w:r>
      <w:r w:rsidRPr="00D32803">
        <w:rPr>
          <w:rFonts w:ascii="Arial" w:eastAsia="Aptos" w:hAnsi="Arial" w:cs="Arial"/>
          <w:kern w:val="0"/>
          <w:sz w:val="24"/>
          <w:szCs w:val="24"/>
          <w:lang w:val="en-US" w:bidi="bn-BD"/>
        </w:rPr>
        <w:t>. New York: Harper &amp; Row.</w:t>
      </w:r>
    </w:p>
    <w:p w14:paraId="51CB0A7C"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McKinsey &amp; Company (2023) </w:t>
      </w:r>
      <w:r w:rsidRPr="00D32803">
        <w:rPr>
          <w:rFonts w:ascii="Arial" w:eastAsia="Aptos" w:hAnsi="Arial" w:cs="Arial"/>
          <w:i/>
          <w:iCs/>
          <w:kern w:val="0"/>
          <w:sz w:val="24"/>
          <w:szCs w:val="24"/>
          <w:lang w:val="en-US" w:bidi="bn-BD"/>
        </w:rPr>
        <w:t>The State of Consumer Goods</w:t>
      </w:r>
      <w:r w:rsidRPr="00D32803">
        <w:rPr>
          <w:rFonts w:ascii="Arial" w:eastAsia="Aptos" w:hAnsi="Arial" w:cs="Arial"/>
          <w:kern w:val="0"/>
          <w:sz w:val="24"/>
          <w:szCs w:val="24"/>
          <w:lang w:val="en-US" w:bidi="bn-BD"/>
        </w:rPr>
        <w:t>. New York: McKinsey.</w:t>
      </w:r>
    </w:p>
    <w:p w14:paraId="755E074B"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Mintzberg, H. (1994) </w:t>
      </w:r>
      <w:r w:rsidRPr="00D32803">
        <w:rPr>
          <w:rFonts w:ascii="Arial" w:eastAsia="Aptos" w:hAnsi="Arial" w:cs="Arial"/>
          <w:i/>
          <w:iCs/>
          <w:kern w:val="0"/>
          <w:sz w:val="24"/>
          <w:szCs w:val="24"/>
          <w:lang w:val="en-US" w:bidi="bn-BD"/>
        </w:rPr>
        <w:t>The Rise and Fall of Strategic Planning</w:t>
      </w:r>
      <w:r w:rsidRPr="00D32803">
        <w:rPr>
          <w:rFonts w:ascii="Arial" w:eastAsia="Aptos" w:hAnsi="Arial" w:cs="Arial"/>
          <w:kern w:val="0"/>
          <w:sz w:val="24"/>
          <w:szCs w:val="24"/>
          <w:lang w:val="en-US" w:bidi="bn-BD"/>
        </w:rPr>
        <w:t>. New York: Free Press.</w:t>
      </w:r>
    </w:p>
    <w:p w14:paraId="334AB6B1"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Moon, J.A. (2004) </w:t>
      </w:r>
      <w:r w:rsidRPr="00D32803">
        <w:rPr>
          <w:rFonts w:ascii="Arial" w:eastAsia="Aptos" w:hAnsi="Arial" w:cs="Arial"/>
          <w:i/>
          <w:iCs/>
          <w:kern w:val="0"/>
          <w:sz w:val="24"/>
          <w:szCs w:val="24"/>
          <w:lang w:val="en-US" w:bidi="bn-BD"/>
        </w:rPr>
        <w:t>A Handbook of Reflective and Experiential Learning: Theory and Practice</w:t>
      </w:r>
      <w:r w:rsidRPr="00D32803">
        <w:rPr>
          <w:rFonts w:ascii="Arial" w:eastAsia="Aptos" w:hAnsi="Arial" w:cs="Arial"/>
          <w:kern w:val="0"/>
          <w:sz w:val="24"/>
          <w:szCs w:val="24"/>
          <w:lang w:val="en-US" w:bidi="bn-BD"/>
        </w:rPr>
        <w:t xml:space="preserve">. London: </w:t>
      </w:r>
      <w:proofErr w:type="spellStart"/>
      <w:r w:rsidRPr="00D32803">
        <w:rPr>
          <w:rFonts w:ascii="Arial" w:eastAsia="Aptos" w:hAnsi="Arial" w:cs="Arial"/>
          <w:kern w:val="0"/>
          <w:sz w:val="24"/>
          <w:szCs w:val="24"/>
          <w:lang w:val="en-US" w:bidi="bn-BD"/>
        </w:rPr>
        <w:t>RoutledgeFalmer</w:t>
      </w:r>
      <w:proofErr w:type="spellEnd"/>
      <w:r w:rsidRPr="00D32803">
        <w:rPr>
          <w:rFonts w:ascii="Arial" w:eastAsia="Aptos" w:hAnsi="Arial" w:cs="Arial"/>
          <w:kern w:val="0"/>
          <w:sz w:val="24"/>
          <w:szCs w:val="24"/>
          <w:lang w:val="en-US" w:bidi="bn-BD"/>
        </w:rPr>
        <w:t>.</w:t>
      </w:r>
    </w:p>
    <w:p w14:paraId="544F7440"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Nielsen (2023) </w:t>
      </w:r>
      <w:r w:rsidRPr="00D32803">
        <w:rPr>
          <w:rFonts w:ascii="Arial" w:eastAsia="Aptos" w:hAnsi="Arial" w:cs="Arial"/>
          <w:i/>
          <w:iCs/>
          <w:kern w:val="0"/>
          <w:sz w:val="24"/>
          <w:szCs w:val="24"/>
          <w:lang w:val="en-US" w:bidi="bn-BD"/>
        </w:rPr>
        <w:t>Global Health and Wellness Survey</w:t>
      </w:r>
      <w:r w:rsidRPr="00D32803">
        <w:rPr>
          <w:rFonts w:ascii="Arial" w:eastAsia="Aptos" w:hAnsi="Arial" w:cs="Arial"/>
          <w:kern w:val="0"/>
          <w:sz w:val="24"/>
          <w:szCs w:val="24"/>
          <w:lang w:val="en-US" w:bidi="bn-BD"/>
        </w:rPr>
        <w:t>. New York: Nielsen.</w:t>
      </w:r>
    </w:p>
    <w:p w14:paraId="072B8DD3"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P&amp;G (2017) </w:t>
      </w:r>
      <w:r w:rsidRPr="00D32803">
        <w:rPr>
          <w:rFonts w:ascii="Arial" w:eastAsia="Aptos" w:hAnsi="Arial" w:cs="Arial"/>
          <w:i/>
          <w:iCs/>
          <w:kern w:val="0"/>
          <w:sz w:val="24"/>
          <w:szCs w:val="24"/>
          <w:lang w:val="en-US" w:bidi="bn-BD"/>
        </w:rPr>
        <w:t>Procter &amp; Gamble Annual Report 2017</w:t>
      </w:r>
      <w:r w:rsidRPr="00D32803">
        <w:rPr>
          <w:rFonts w:ascii="Arial" w:eastAsia="Aptos" w:hAnsi="Arial" w:cs="Arial"/>
          <w:kern w:val="0"/>
          <w:sz w:val="24"/>
          <w:szCs w:val="24"/>
          <w:lang w:val="en-US" w:bidi="bn-BD"/>
        </w:rPr>
        <w:t>. Cincinnati: Procter &amp; Gamble.</w:t>
      </w:r>
    </w:p>
    <w:p w14:paraId="2CEC9193"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Polman, P. and Winston, A. (2021) </w:t>
      </w:r>
      <w:r w:rsidRPr="00D32803">
        <w:rPr>
          <w:rFonts w:ascii="Arial" w:eastAsia="Aptos" w:hAnsi="Arial" w:cs="Arial"/>
          <w:i/>
          <w:iCs/>
          <w:kern w:val="0"/>
          <w:sz w:val="24"/>
          <w:szCs w:val="24"/>
          <w:lang w:val="en-US" w:bidi="bn-BD"/>
        </w:rPr>
        <w:t>Net Positive: How Courageous Companies Thrive by Giving More Than They Take</w:t>
      </w:r>
      <w:r w:rsidRPr="00D32803">
        <w:rPr>
          <w:rFonts w:ascii="Arial" w:eastAsia="Aptos" w:hAnsi="Arial" w:cs="Arial"/>
          <w:kern w:val="0"/>
          <w:sz w:val="24"/>
          <w:szCs w:val="24"/>
          <w:lang w:val="en-US" w:bidi="bn-BD"/>
        </w:rPr>
        <w:t>. Boston: Harvard Business Review Press.</w:t>
      </w:r>
    </w:p>
    <w:p w14:paraId="0A99778B"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Porter, M.E. (1980) </w:t>
      </w:r>
      <w:r w:rsidRPr="00D32803">
        <w:rPr>
          <w:rFonts w:ascii="Arial" w:eastAsia="Aptos" w:hAnsi="Arial" w:cs="Arial"/>
          <w:i/>
          <w:iCs/>
          <w:kern w:val="0"/>
          <w:sz w:val="24"/>
          <w:szCs w:val="24"/>
          <w:lang w:val="en-US" w:bidi="bn-BD"/>
        </w:rPr>
        <w:t>Competitive Strategy: Techniques for Analyzing Industries and Competitors</w:t>
      </w:r>
      <w:r w:rsidRPr="00D32803">
        <w:rPr>
          <w:rFonts w:ascii="Arial" w:eastAsia="Aptos" w:hAnsi="Arial" w:cs="Arial"/>
          <w:kern w:val="0"/>
          <w:sz w:val="24"/>
          <w:szCs w:val="24"/>
          <w:lang w:val="en-US" w:bidi="bn-BD"/>
        </w:rPr>
        <w:t>. New York: Free Press.</w:t>
      </w:r>
    </w:p>
    <w:p w14:paraId="3C8BB96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Porter, M.E. (1985) </w:t>
      </w:r>
      <w:r w:rsidRPr="00D32803">
        <w:rPr>
          <w:rFonts w:ascii="Arial" w:eastAsia="Aptos" w:hAnsi="Arial" w:cs="Arial"/>
          <w:i/>
          <w:iCs/>
          <w:kern w:val="0"/>
          <w:sz w:val="24"/>
          <w:szCs w:val="24"/>
          <w:lang w:val="en-US" w:bidi="bn-BD"/>
        </w:rPr>
        <w:t>Competitive Advantage: Creating and Sustaining Superior Performance</w:t>
      </w:r>
      <w:r w:rsidRPr="00D32803">
        <w:rPr>
          <w:rFonts w:ascii="Arial" w:eastAsia="Aptos" w:hAnsi="Arial" w:cs="Arial"/>
          <w:kern w:val="0"/>
          <w:sz w:val="24"/>
          <w:szCs w:val="24"/>
          <w:lang w:val="en-US" w:bidi="bn-BD"/>
        </w:rPr>
        <w:t>. New York: Free Press.</w:t>
      </w:r>
    </w:p>
    <w:p w14:paraId="5753ACAE"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Porter, M.E. and Kramer, M.R. (2011) 'Creating shared value',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89(1/2), pp. 62-77.</w:t>
      </w:r>
    </w:p>
    <w:p w14:paraId="40148560"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Prahalad, C.K. and Hamel, G. (1990) 'The core competence of the corporation', </w:t>
      </w:r>
      <w:r w:rsidRPr="00D32803">
        <w:rPr>
          <w:rFonts w:ascii="Arial" w:eastAsia="Aptos" w:hAnsi="Arial" w:cs="Arial"/>
          <w:i/>
          <w:iCs/>
          <w:kern w:val="0"/>
          <w:sz w:val="24"/>
          <w:szCs w:val="24"/>
          <w:lang w:val="en-US" w:bidi="bn-BD"/>
        </w:rPr>
        <w:t>Harvard Business Review</w:t>
      </w:r>
      <w:r w:rsidRPr="00D32803">
        <w:rPr>
          <w:rFonts w:ascii="Arial" w:eastAsia="Aptos" w:hAnsi="Arial" w:cs="Arial"/>
          <w:kern w:val="0"/>
          <w:sz w:val="24"/>
          <w:szCs w:val="24"/>
          <w:lang w:val="en-US" w:bidi="bn-BD"/>
        </w:rPr>
        <w:t>, 68(3), pp. 79-91.</w:t>
      </w:r>
    </w:p>
    <w:p w14:paraId="6E4D788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Reuters (2022) 'Activist investor Trian takes stake in Unilever', </w:t>
      </w:r>
      <w:r w:rsidRPr="00D32803">
        <w:rPr>
          <w:rFonts w:ascii="Arial" w:eastAsia="Aptos" w:hAnsi="Arial" w:cs="Arial"/>
          <w:i/>
          <w:iCs/>
          <w:kern w:val="0"/>
          <w:sz w:val="24"/>
          <w:szCs w:val="24"/>
          <w:lang w:val="en-US" w:bidi="bn-BD"/>
        </w:rPr>
        <w:t>Reuters</w:t>
      </w:r>
      <w:r w:rsidRPr="00D32803">
        <w:rPr>
          <w:rFonts w:ascii="Arial" w:eastAsia="Aptos" w:hAnsi="Arial" w:cs="Arial"/>
          <w:kern w:val="0"/>
          <w:sz w:val="24"/>
          <w:szCs w:val="24"/>
          <w:lang w:val="en-US" w:bidi="bn-BD"/>
        </w:rPr>
        <w:t>, 23 January.</w:t>
      </w:r>
    </w:p>
    <w:p w14:paraId="2D14FBC1"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Schön, D.A. (1983) </w:t>
      </w:r>
      <w:r w:rsidRPr="00D32803">
        <w:rPr>
          <w:rFonts w:ascii="Arial" w:eastAsia="Aptos" w:hAnsi="Arial" w:cs="Arial"/>
          <w:i/>
          <w:iCs/>
          <w:kern w:val="0"/>
          <w:sz w:val="24"/>
          <w:szCs w:val="24"/>
          <w:lang w:val="en-US" w:bidi="bn-BD"/>
        </w:rPr>
        <w:t>The Reflective Practitioner: How Professionals Think in Action</w:t>
      </w:r>
      <w:r w:rsidRPr="00D32803">
        <w:rPr>
          <w:rFonts w:ascii="Arial" w:eastAsia="Aptos" w:hAnsi="Arial" w:cs="Arial"/>
          <w:kern w:val="0"/>
          <w:sz w:val="24"/>
          <w:szCs w:val="24"/>
          <w:lang w:val="en-US" w:bidi="bn-BD"/>
        </w:rPr>
        <w:t>. New York: Basic Books.</w:t>
      </w:r>
    </w:p>
    <w:p w14:paraId="190ADD94"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Statista (2024) </w:t>
      </w:r>
      <w:r w:rsidRPr="00D32803">
        <w:rPr>
          <w:rFonts w:ascii="Arial" w:eastAsia="Aptos" w:hAnsi="Arial" w:cs="Arial"/>
          <w:i/>
          <w:iCs/>
          <w:kern w:val="0"/>
          <w:sz w:val="24"/>
          <w:szCs w:val="24"/>
          <w:lang w:val="en-US" w:bidi="bn-BD"/>
        </w:rPr>
        <w:t>Leading FMCG Companies Worldwide by Market Share</w:t>
      </w:r>
      <w:r w:rsidRPr="00D32803">
        <w:rPr>
          <w:rFonts w:ascii="Arial" w:eastAsia="Aptos" w:hAnsi="Arial" w:cs="Arial"/>
          <w:kern w:val="0"/>
          <w:sz w:val="24"/>
          <w:szCs w:val="24"/>
          <w:lang w:val="en-US" w:bidi="bn-BD"/>
        </w:rPr>
        <w:t>. Hamburg: Statista.</w:t>
      </w:r>
    </w:p>
    <w:p w14:paraId="50E32EA9"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lastRenderedPageBreak/>
        <w:t xml:space="preserve">Teece, D.J., Pisano, G. and </w:t>
      </w:r>
      <w:proofErr w:type="spellStart"/>
      <w:r w:rsidRPr="00D32803">
        <w:rPr>
          <w:rFonts w:ascii="Arial" w:eastAsia="Aptos" w:hAnsi="Arial" w:cs="Arial"/>
          <w:kern w:val="0"/>
          <w:sz w:val="24"/>
          <w:szCs w:val="24"/>
          <w:lang w:val="en-US" w:bidi="bn-BD"/>
        </w:rPr>
        <w:t>Shuen</w:t>
      </w:r>
      <w:proofErr w:type="spellEnd"/>
      <w:r w:rsidRPr="00D32803">
        <w:rPr>
          <w:rFonts w:ascii="Arial" w:eastAsia="Aptos" w:hAnsi="Arial" w:cs="Arial"/>
          <w:kern w:val="0"/>
          <w:sz w:val="24"/>
          <w:szCs w:val="24"/>
          <w:lang w:val="en-US" w:bidi="bn-BD"/>
        </w:rPr>
        <w:t>, A. (1997) 'Dynamic capabilities and strategic management', </w:t>
      </w:r>
      <w:r w:rsidRPr="00D32803">
        <w:rPr>
          <w:rFonts w:ascii="Arial" w:eastAsia="Aptos" w:hAnsi="Arial" w:cs="Arial"/>
          <w:i/>
          <w:iCs/>
          <w:kern w:val="0"/>
          <w:sz w:val="24"/>
          <w:szCs w:val="24"/>
          <w:lang w:val="en-US" w:bidi="bn-BD"/>
        </w:rPr>
        <w:t>Strategic Management Journal</w:t>
      </w:r>
      <w:r w:rsidRPr="00D32803">
        <w:rPr>
          <w:rFonts w:ascii="Arial" w:eastAsia="Aptos" w:hAnsi="Arial" w:cs="Arial"/>
          <w:kern w:val="0"/>
          <w:sz w:val="24"/>
          <w:szCs w:val="24"/>
          <w:lang w:val="en-US" w:bidi="bn-BD"/>
        </w:rPr>
        <w:t>, 18(7), pp. 509-533.</w:t>
      </w:r>
    </w:p>
    <w:p w14:paraId="3681F691"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The Guardian (2023) 'Unilever faces criticism over continued Russia operations', </w:t>
      </w:r>
      <w:r w:rsidRPr="00D32803">
        <w:rPr>
          <w:rFonts w:ascii="Arial" w:eastAsia="Aptos" w:hAnsi="Arial" w:cs="Arial"/>
          <w:i/>
          <w:iCs/>
          <w:kern w:val="0"/>
          <w:sz w:val="24"/>
          <w:szCs w:val="24"/>
          <w:lang w:val="en-US" w:bidi="bn-BD"/>
        </w:rPr>
        <w:t>The Guardian</w:t>
      </w:r>
      <w:r w:rsidRPr="00D32803">
        <w:rPr>
          <w:rFonts w:ascii="Arial" w:eastAsia="Aptos" w:hAnsi="Arial" w:cs="Arial"/>
          <w:kern w:val="0"/>
          <w:sz w:val="24"/>
          <w:szCs w:val="24"/>
          <w:lang w:val="en-US" w:bidi="bn-BD"/>
        </w:rPr>
        <w:t>, 8 March, p. 28.</w:t>
      </w:r>
    </w:p>
    <w:p w14:paraId="32DCE51B"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UK Home Office (2023) </w:t>
      </w:r>
      <w:r w:rsidRPr="00D32803">
        <w:rPr>
          <w:rFonts w:ascii="Arial" w:eastAsia="Aptos" w:hAnsi="Arial" w:cs="Arial"/>
          <w:i/>
          <w:iCs/>
          <w:kern w:val="0"/>
          <w:sz w:val="24"/>
          <w:szCs w:val="24"/>
          <w:lang w:val="en-US" w:bidi="bn-BD"/>
        </w:rPr>
        <w:t>Modern Slavery Act 2015: Transparency in Supply Chains</w:t>
      </w:r>
      <w:r w:rsidRPr="00D32803">
        <w:rPr>
          <w:rFonts w:ascii="Arial" w:eastAsia="Aptos" w:hAnsi="Arial" w:cs="Arial"/>
          <w:kern w:val="0"/>
          <w:sz w:val="24"/>
          <w:szCs w:val="24"/>
          <w:lang w:val="en-US" w:bidi="bn-BD"/>
        </w:rPr>
        <w:t>. London: Home Office.</w:t>
      </w:r>
    </w:p>
    <w:p w14:paraId="5F4DFAC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(2019) </w:t>
      </w:r>
      <w:r w:rsidRPr="00D32803">
        <w:rPr>
          <w:rFonts w:ascii="Arial" w:eastAsia="Aptos" w:hAnsi="Arial" w:cs="Arial"/>
          <w:i/>
          <w:iCs/>
          <w:kern w:val="0"/>
          <w:sz w:val="24"/>
          <w:szCs w:val="24"/>
          <w:lang w:val="en-US" w:bidi="bn-BD"/>
        </w:rPr>
        <w:t>Making Purpose Pay: Inspiring Sustainable Living</w:t>
      </w:r>
      <w:r w:rsidRPr="00D32803">
        <w:rPr>
          <w:rFonts w:ascii="Arial" w:eastAsia="Aptos" w:hAnsi="Arial" w:cs="Arial"/>
          <w:kern w:val="0"/>
          <w:sz w:val="24"/>
          <w:szCs w:val="24"/>
          <w:lang w:val="en-US" w:bidi="bn-BD"/>
        </w:rPr>
        <w:t>. London: Unilever.</w:t>
      </w:r>
    </w:p>
    <w:p w14:paraId="4D9A6016"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(2023a) </w:t>
      </w:r>
      <w:r w:rsidRPr="00D32803">
        <w:rPr>
          <w:rFonts w:ascii="Arial" w:eastAsia="Aptos" w:hAnsi="Arial" w:cs="Arial"/>
          <w:i/>
          <w:iCs/>
          <w:kern w:val="0"/>
          <w:sz w:val="24"/>
          <w:szCs w:val="24"/>
          <w:lang w:val="en-US" w:bidi="bn-BD"/>
        </w:rPr>
        <w:t>Unilever Annual Report and Accounts 2022</w:t>
      </w:r>
      <w:r w:rsidRPr="00D32803">
        <w:rPr>
          <w:rFonts w:ascii="Arial" w:eastAsia="Aptos" w:hAnsi="Arial" w:cs="Arial"/>
          <w:kern w:val="0"/>
          <w:sz w:val="24"/>
          <w:szCs w:val="24"/>
          <w:lang w:val="en-US" w:bidi="bn-BD"/>
        </w:rPr>
        <w:t>. London: Unilever PLC.</w:t>
      </w:r>
    </w:p>
    <w:p w14:paraId="366503E2"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(2023b) </w:t>
      </w:r>
      <w:r w:rsidRPr="00D32803">
        <w:rPr>
          <w:rFonts w:ascii="Arial" w:eastAsia="Aptos" w:hAnsi="Arial" w:cs="Arial"/>
          <w:i/>
          <w:iCs/>
          <w:kern w:val="0"/>
          <w:sz w:val="24"/>
          <w:szCs w:val="24"/>
          <w:lang w:val="en-US" w:bidi="bn-BD"/>
        </w:rPr>
        <w:t>The Unilever Compass</w:t>
      </w:r>
      <w:r w:rsidRPr="00D32803">
        <w:rPr>
          <w:rFonts w:ascii="Arial" w:eastAsia="Aptos" w:hAnsi="Arial" w:cs="Arial"/>
          <w:kern w:val="0"/>
          <w:sz w:val="24"/>
          <w:szCs w:val="24"/>
          <w:lang w:val="en-US" w:bidi="bn-BD"/>
        </w:rPr>
        <w:t>. London: Unilever PLC.</w:t>
      </w:r>
    </w:p>
    <w:p w14:paraId="5C52D169"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(2024) </w:t>
      </w:r>
      <w:r w:rsidRPr="00D32803">
        <w:rPr>
          <w:rFonts w:ascii="Arial" w:eastAsia="Aptos" w:hAnsi="Arial" w:cs="Arial"/>
          <w:i/>
          <w:iCs/>
          <w:kern w:val="0"/>
          <w:sz w:val="24"/>
          <w:szCs w:val="24"/>
          <w:lang w:val="en-US" w:bidi="bn-BD"/>
        </w:rPr>
        <w:t>Unilever Announces Separation of Ice Cream Business</w:t>
      </w:r>
      <w:r w:rsidRPr="00D32803">
        <w:rPr>
          <w:rFonts w:ascii="Arial" w:eastAsia="Aptos" w:hAnsi="Arial" w:cs="Arial"/>
          <w:kern w:val="0"/>
          <w:sz w:val="24"/>
          <w:szCs w:val="24"/>
          <w:lang w:val="en-US" w:bidi="bn-BD"/>
        </w:rPr>
        <w:t>. London: Unilever PLC.</w:t>
      </w:r>
    </w:p>
    <w:p w14:paraId="7038A0F4"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Unilever Annual Report (2023) </w:t>
      </w:r>
      <w:r w:rsidRPr="00D32803">
        <w:rPr>
          <w:rFonts w:ascii="Arial" w:eastAsia="Aptos" w:hAnsi="Arial" w:cs="Arial"/>
          <w:i/>
          <w:iCs/>
          <w:kern w:val="0"/>
          <w:sz w:val="24"/>
          <w:szCs w:val="24"/>
          <w:lang w:val="en-US" w:bidi="bn-BD"/>
        </w:rPr>
        <w:t>Annual Report and Accounts 2022</w:t>
      </w:r>
      <w:r w:rsidRPr="00D32803">
        <w:rPr>
          <w:rFonts w:ascii="Arial" w:eastAsia="Aptos" w:hAnsi="Arial" w:cs="Arial"/>
          <w:kern w:val="0"/>
          <w:sz w:val="24"/>
          <w:szCs w:val="24"/>
          <w:lang w:val="en-US" w:bidi="bn-BD"/>
        </w:rPr>
        <w:t>. London: Unilever PLC.</w:t>
      </w:r>
    </w:p>
    <w:p w14:paraId="47839B7D"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Westerman, G., Bonnet, D. and McAfee, A. (2014) </w:t>
      </w:r>
      <w:r w:rsidRPr="00D32803">
        <w:rPr>
          <w:rFonts w:ascii="Arial" w:eastAsia="Aptos" w:hAnsi="Arial" w:cs="Arial"/>
          <w:i/>
          <w:iCs/>
          <w:kern w:val="0"/>
          <w:sz w:val="24"/>
          <w:szCs w:val="24"/>
          <w:lang w:val="en-US" w:bidi="bn-BD"/>
        </w:rPr>
        <w:t>Leading Digital: Turning Technology into Business Transformation</w:t>
      </w:r>
      <w:r w:rsidRPr="00D32803">
        <w:rPr>
          <w:rFonts w:ascii="Arial" w:eastAsia="Aptos" w:hAnsi="Arial" w:cs="Arial"/>
          <w:kern w:val="0"/>
          <w:sz w:val="24"/>
          <w:szCs w:val="24"/>
          <w:lang w:val="en-US" w:bidi="bn-BD"/>
        </w:rPr>
        <w:t>. Boston: Harvard Business Review Press.</w:t>
      </w:r>
    </w:p>
    <w:p w14:paraId="1EF0E527"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World Bank (2023) </w:t>
      </w:r>
      <w:r w:rsidRPr="00D32803">
        <w:rPr>
          <w:rFonts w:ascii="Arial" w:eastAsia="Aptos" w:hAnsi="Arial" w:cs="Arial"/>
          <w:i/>
          <w:iCs/>
          <w:kern w:val="0"/>
          <w:sz w:val="24"/>
          <w:szCs w:val="24"/>
          <w:lang w:val="en-US" w:bidi="bn-BD"/>
        </w:rPr>
        <w:t>Global Economic Prospects</w:t>
      </w:r>
      <w:r w:rsidRPr="00D32803">
        <w:rPr>
          <w:rFonts w:ascii="Arial" w:eastAsia="Aptos" w:hAnsi="Arial" w:cs="Arial"/>
          <w:kern w:val="0"/>
          <w:sz w:val="24"/>
          <w:szCs w:val="24"/>
          <w:lang w:val="en-US" w:bidi="bn-BD"/>
        </w:rPr>
        <w:t>. Washington DC: World Bank Group.</w:t>
      </w:r>
    </w:p>
    <w:p w14:paraId="1A93BB5F" w14:textId="77777777" w:rsidR="00AA48EB" w:rsidRPr="00D32803" w:rsidRDefault="00AA48EB" w:rsidP="00750398">
      <w:pPr>
        <w:spacing w:line="360" w:lineRule="auto"/>
        <w:jc w:val="both"/>
        <w:rPr>
          <w:rFonts w:ascii="Arial" w:eastAsia="Aptos" w:hAnsi="Arial" w:cs="Arial"/>
          <w:kern w:val="0"/>
          <w:sz w:val="24"/>
          <w:szCs w:val="24"/>
          <w:lang w:val="en-US" w:bidi="bn-BD"/>
        </w:rPr>
      </w:pPr>
      <w:r w:rsidRPr="00D32803">
        <w:rPr>
          <w:rFonts w:ascii="Arial" w:eastAsia="Aptos" w:hAnsi="Arial" w:cs="Arial"/>
          <w:kern w:val="0"/>
          <w:sz w:val="24"/>
          <w:szCs w:val="24"/>
          <w:lang w:val="en-US" w:bidi="bn-BD"/>
        </w:rPr>
        <w:t>WWF (2023) </w:t>
      </w:r>
      <w:r w:rsidRPr="00D32803">
        <w:rPr>
          <w:rFonts w:ascii="Arial" w:eastAsia="Aptos" w:hAnsi="Arial" w:cs="Arial"/>
          <w:i/>
          <w:iCs/>
          <w:kern w:val="0"/>
          <w:sz w:val="24"/>
          <w:szCs w:val="24"/>
          <w:lang w:val="en-US" w:bidi="bn-BD"/>
        </w:rPr>
        <w:t>Palm Oil Buyers Scorecard</w:t>
      </w:r>
      <w:r w:rsidRPr="00D32803">
        <w:rPr>
          <w:rFonts w:ascii="Arial" w:eastAsia="Aptos" w:hAnsi="Arial" w:cs="Arial"/>
          <w:kern w:val="0"/>
          <w:sz w:val="24"/>
          <w:szCs w:val="24"/>
          <w:lang w:val="en-US" w:bidi="bn-BD"/>
        </w:rPr>
        <w:t>. Gland: World Wide Fund for Nature.</w:t>
      </w:r>
    </w:p>
    <w:p w14:paraId="3087F9D0" w14:textId="77777777" w:rsidR="00AA48EB" w:rsidRPr="00D32803" w:rsidRDefault="00AA48EB" w:rsidP="00AA48EB">
      <w:pPr>
        <w:spacing w:line="360" w:lineRule="auto"/>
        <w:rPr>
          <w:rFonts w:ascii="Arial" w:eastAsia="Aptos" w:hAnsi="Arial" w:cs="Arial"/>
          <w:kern w:val="0"/>
          <w:sz w:val="24"/>
          <w:szCs w:val="24"/>
          <w:lang w:val="en-US" w:bidi="bn-BD"/>
        </w:rPr>
      </w:pPr>
    </w:p>
    <w:p w14:paraId="6B877348" w14:textId="77777777" w:rsidR="00AA48EB" w:rsidRDefault="00AA48EB" w:rsidP="00AA48EB"/>
    <w:p w14:paraId="1D1433FA" w14:textId="77777777" w:rsidR="009F1CCC" w:rsidRDefault="009F1CCC"/>
    <w:sectPr w:rsidR="009F1CCC" w:rsidSect="00AA48EB">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9287287"/>
      <w:docPartObj>
        <w:docPartGallery w:val="Page Numbers (Bottom of Page)"/>
        <w:docPartUnique/>
      </w:docPartObj>
    </w:sdtPr>
    <w:sdtEndPr>
      <w:rPr>
        <w:noProof/>
      </w:rPr>
    </w:sdtEndPr>
    <w:sdtContent>
      <w:p w14:paraId="45093438" w14:textId="77777777" w:rsidR="00AA48EB" w:rsidRDefault="00AA48EB">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0D252BA1" w14:textId="77777777" w:rsidR="00AA48EB" w:rsidRDefault="00AA48E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B2952"/>
    <w:multiLevelType w:val="hybridMultilevel"/>
    <w:tmpl w:val="EDBA8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755D1"/>
    <w:multiLevelType w:val="hybridMultilevel"/>
    <w:tmpl w:val="F7FAD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B73C4F"/>
    <w:multiLevelType w:val="multilevel"/>
    <w:tmpl w:val="CACEF644"/>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15:restartNumberingAfterBreak="0">
    <w:nsid w:val="14BA5719"/>
    <w:multiLevelType w:val="hybridMultilevel"/>
    <w:tmpl w:val="250CC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682B18"/>
    <w:multiLevelType w:val="hybridMultilevel"/>
    <w:tmpl w:val="CACEF6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B51C16"/>
    <w:multiLevelType w:val="hybridMultilevel"/>
    <w:tmpl w:val="42146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DF0E0C"/>
    <w:multiLevelType w:val="hybridMultilevel"/>
    <w:tmpl w:val="0F6E5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5E7452"/>
    <w:multiLevelType w:val="hybridMultilevel"/>
    <w:tmpl w:val="60B46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8F3726"/>
    <w:multiLevelType w:val="hybridMultilevel"/>
    <w:tmpl w:val="D2EAF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912DFA"/>
    <w:multiLevelType w:val="hybridMultilevel"/>
    <w:tmpl w:val="FEEEB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E76D5B"/>
    <w:multiLevelType w:val="hybridMultilevel"/>
    <w:tmpl w:val="3614F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E77F80"/>
    <w:multiLevelType w:val="hybridMultilevel"/>
    <w:tmpl w:val="35DE00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0101CC9"/>
    <w:multiLevelType w:val="hybridMultilevel"/>
    <w:tmpl w:val="EC622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D67453"/>
    <w:multiLevelType w:val="hybridMultilevel"/>
    <w:tmpl w:val="EC3A1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F460CD"/>
    <w:multiLevelType w:val="hybridMultilevel"/>
    <w:tmpl w:val="BCC09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1244301">
    <w:abstractNumId w:val="0"/>
  </w:num>
  <w:num w:numId="2" w16cid:durableId="2140800217">
    <w:abstractNumId w:val="9"/>
  </w:num>
  <w:num w:numId="3" w16cid:durableId="656375003">
    <w:abstractNumId w:val="5"/>
  </w:num>
  <w:num w:numId="4" w16cid:durableId="1683587052">
    <w:abstractNumId w:val="10"/>
  </w:num>
  <w:num w:numId="5" w16cid:durableId="293685098">
    <w:abstractNumId w:val="6"/>
  </w:num>
  <w:num w:numId="6" w16cid:durableId="545147625">
    <w:abstractNumId w:val="1"/>
  </w:num>
  <w:num w:numId="7" w16cid:durableId="1151630582">
    <w:abstractNumId w:val="13"/>
  </w:num>
  <w:num w:numId="8" w16cid:durableId="914168725">
    <w:abstractNumId w:val="12"/>
  </w:num>
  <w:num w:numId="9" w16cid:durableId="2032876882">
    <w:abstractNumId w:val="3"/>
  </w:num>
  <w:num w:numId="10" w16cid:durableId="903565357">
    <w:abstractNumId w:val="7"/>
  </w:num>
  <w:num w:numId="11" w16cid:durableId="1851138414">
    <w:abstractNumId w:val="8"/>
  </w:num>
  <w:num w:numId="12" w16cid:durableId="2016765925">
    <w:abstractNumId w:val="14"/>
  </w:num>
  <w:num w:numId="13" w16cid:durableId="1903590494">
    <w:abstractNumId w:val="4"/>
  </w:num>
  <w:num w:numId="14" w16cid:durableId="783960752">
    <w:abstractNumId w:val="2"/>
  </w:num>
  <w:num w:numId="15" w16cid:durableId="8321810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B6B"/>
    <w:rsid w:val="0009338D"/>
    <w:rsid w:val="001A3B6B"/>
    <w:rsid w:val="00750398"/>
    <w:rsid w:val="009F1CCC"/>
    <w:rsid w:val="00A82F85"/>
    <w:rsid w:val="00AA48EB"/>
    <w:rsid w:val="00B71D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23C3"/>
  <w15:chartTrackingRefBased/>
  <w15:docId w15:val="{2C06FF4E-AB78-48E2-9EA1-CBD609F8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8EB"/>
  </w:style>
  <w:style w:type="paragraph" w:styleId="Heading1">
    <w:name w:val="heading 1"/>
    <w:basedOn w:val="Normal"/>
    <w:next w:val="Normal"/>
    <w:link w:val="Heading1Char"/>
    <w:uiPriority w:val="9"/>
    <w:qFormat/>
    <w:rsid w:val="001A3B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3B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3B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3B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3B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3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B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3B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3B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3B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3B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3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B6B"/>
    <w:rPr>
      <w:rFonts w:eastAsiaTheme="majorEastAsia" w:cstheme="majorBidi"/>
      <w:color w:val="272727" w:themeColor="text1" w:themeTint="D8"/>
    </w:rPr>
  </w:style>
  <w:style w:type="paragraph" w:styleId="Title">
    <w:name w:val="Title"/>
    <w:basedOn w:val="Normal"/>
    <w:next w:val="Normal"/>
    <w:link w:val="TitleChar"/>
    <w:uiPriority w:val="10"/>
    <w:qFormat/>
    <w:rsid w:val="001A3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B6B"/>
    <w:pPr>
      <w:spacing w:before="160"/>
      <w:jc w:val="center"/>
    </w:pPr>
    <w:rPr>
      <w:i/>
      <w:iCs/>
      <w:color w:val="404040" w:themeColor="text1" w:themeTint="BF"/>
    </w:rPr>
  </w:style>
  <w:style w:type="character" w:customStyle="1" w:styleId="QuoteChar">
    <w:name w:val="Quote Char"/>
    <w:basedOn w:val="DefaultParagraphFont"/>
    <w:link w:val="Quote"/>
    <w:uiPriority w:val="29"/>
    <w:rsid w:val="001A3B6B"/>
    <w:rPr>
      <w:i/>
      <w:iCs/>
      <w:color w:val="404040" w:themeColor="text1" w:themeTint="BF"/>
    </w:rPr>
  </w:style>
  <w:style w:type="paragraph" w:styleId="ListParagraph">
    <w:name w:val="List Paragraph"/>
    <w:basedOn w:val="Normal"/>
    <w:uiPriority w:val="34"/>
    <w:qFormat/>
    <w:rsid w:val="001A3B6B"/>
    <w:pPr>
      <w:ind w:left="720"/>
      <w:contextualSpacing/>
    </w:pPr>
  </w:style>
  <w:style w:type="character" w:styleId="IntenseEmphasis">
    <w:name w:val="Intense Emphasis"/>
    <w:basedOn w:val="DefaultParagraphFont"/>
    <w:uiPriority w:val="21"/>
    <w:qFormat/>
    <w:rsid w:val="001A3B6B"/>
    <w:rPr>
      <w:i/>
      <w:iCs/>
      <w:color w:val="2F5496" w:themeColor="accent1" w:themeShade="BF"/>
    </w:rPr>
  </w:style>
  <w:style w:type="paragraph" w:styleId="IntenseQuote">
    <w:name w:val="Intense Quote"/>
    <w:basedOn w:val="Normal"/>
    <w:next w:val="Normal"/>
    <w:link w:val="IntenseQuoteChar"/>
    <w:uiPriority w:val="30"/>
    <w:qFormat/>
    <w:rsid w:val="001A3B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3B6B"/>
    <w:rPr>
      <w:i/>
      <w:iCs/>
      <w:color w:val="2F5496" w:themeColor="accent1" w:themeShade="BF"/>
    </w:rPr>
  </w:style>
  <w:style w:type="character" w:styleId="IntenseReference">
    <w:name w:val="Intense Reference"/>
    <w:basedOn w:val="DefaultParagraphFont"/>
    <w:uiPriority w:val="32"/>
    <w:qFormat/>
    <w:rsid w:val="001A3B6B"/>
    <w:rPr>
      <w:b/>
      <w:bCs/>
      <w:smallCaps/>
      <w:color w:val="2F5496" w:themeColor="accent1" w:themeShade="BF"/>
      <w:spacing w:val="5"/>
    </w:rPr>
  </w:style>
  <w:style w:type="paragraph" w:styleId="Footer">
    <w:name w:val="footer"/>
    <w:basedOn w:val="Normal"/>
    <w:link w:val="FooterChar"/>
    <w:uiPriority w:val="99"/>
    <w:semiHidden/>
    <w:unhideWhenUsed/>
    <w:rsid w:val="00AA48E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A48EB"/>
  </w:style>
  <w:style w:type="table" w:customStyle="1" w:styleId="TableGrid1">
    <w:name w:val="Table Grid1"/>
    <w:basedOn w:val="TableNormal"/>
    <w:next w:val="TableGrid"/>
    <w:uiPriority w:val="39"/>
    <w:rsid w:val="00AA48EB"/>
    <w:pPr>
      <w:spacing w:after="0" w:line="240" w:lineRule="auto"/>
    </w:pPr>
    <w:rPr>
      <w:kern w:val="0"/>
      <w:szCs w:val="28"/>
      <w:lang w:val="en-US"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A48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28</Pages>
  <Words>7044</Words>
  <Characters>40156</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KESHU JIVABHAI KARAVADRA</dc:creator>
  <cp:keywords/>
  <dc:description/>
  <cp:lastModifiedBy>KESHU JIVABHAI KARAVADRA</cp:lastModifiedBy>
  <cp:revision>7</cp:revision>
  <dcterms:created xsi:type="dcterms:W3CDTF">2026-03-26T16:42:00Z</dcterms:created>
  <dcterms:modified xsi:type="dcterms:W3CDTF">2026-03-26T16:59:00Z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cdec8c2b-b4b6-4368-b7f5-955659553550</vt:lpwstr>
  </property>
</Properties>
</file>