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3693F" w14:textId="77777777" w:rsidR="00530E16" w:rsidRPr="00AF22D3" w:rsidRDefault="004468F8" w:rsidP="00903A29">
      <w:pPr>
        <w:pStyle w:val="Heading2"/>
        <w:rPr>
          <w:rFonts w:eastAsia="Arial"/>
        </w:rPr>
      </w:pPr>
      <w:r w:rsidRPr="00AF22D3">
        <w:rPr>
          <w:rFonts w:eastAsia="Arial"/>
          <w:noProof/>
        </w:rPr>
        <mc:AlternateContent>
          <mc:Choice Requires="wpg">
            <w:drawing>
              <wp:anchor distT="0" distB="0" distL="114300" distR="114300" simplePos="0" relativeHeight="251658240" behindDoc="1" locked="0" layoutInCell="1" allowOverlap="1" wp14:anchorId="5B19B370" wp14:editId="0405B40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A0C6D61" w14:textId="77777777" w:rsidR="00530E16" w:rsidRPr="00AF22D3"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7348558" w14:textId="77777777" w:rsidR="00530E16" w:rsidRPr="00AF22D3"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B19B370"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A0C6D61" w14:textId="77777777" w:rsidR="00530E16" w:rsidRPr="00AF22D3"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7348558" w14:textId="77777777" w:rsidR="00530E16" w:rsidRPr="00AF22D3"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AF22D3">
        <w:rPr>
          <w:rFonts w:eastAsia="Arial"/>
          <w:noProof/>
        </w:rPr>
        <mc:AlternateContent>
          <mc:Choice Requires="wps">
            <w:drawing>
              <wp:anchor distT="0" distB="0" distL="114300" distR="114300" simplePos="0" relativeHeight="251658241" behindDoc="0" locked="0" layoutInCell="1" hidden="0" allowOverlap="1" wp14:anchorId="69D7DF9B" wp14:editId="19AA3B9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A396AD0" w14:textId="77777777" w:rsidR="00530E16" w:rsidRPr="00AF22D3" w:rsidRDefault="004468F8">
                            <w:pPr>
                              <w:spacing w:after="0" w:line="240" w:lineRule="auto"/>
                              <w:textDirection w:val="btLr"/>
                            </w:pPr>
                            <w:r w:rsidRPr="00AF22D3">
                              <w:rPr>
                                <w:rFonts w:ascii="Arial" w:eastAsia="Arial" w:hAnsi="Arial" w:cs="Arial"/>
                                <w:color w:val="156082"/>
                                <w:sz w:val="26"/>
                              </w:rPr>
                              <w:t>University of Wales Trinity Saint David</w:t>
                            </w:r>
                          </w:p>
                          <w:p w14:paraId="27C3780B" w14:textId="77777777" w:rsidR="00530E16" w:rsidRPr="00AF22D3" w:rsidRDefault="004468F8">
                            <w:pPr>
                              <w:spacing w:after="0" w:line="240" w:lineRule="auto"/>
                              <w:textDirection w:val="btLr"/>
                            </w:pPr>
                            <w:r w:rsidRPr="00AF22D3">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9D7DF9B"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A396AD0" w14:textId="77777777" w:rsidR="00530E16" w:rsidRPr="00AF22D3" w:rsidRDefault="004468F8">
                      <w:pPr>
                        <w:spacing w:after="0" w:line="240" w:lineRule="auto"/>
                        <w:textDirection w:val="btLr"/>
                      </w:pPr>
                      <w:r w:rsidRPr="00AF22D3">
                        <w:rPr>
                          <w:rFonts w:ascii="Arial" w:eastAsia="Arial" w:hAnsi="Arial" w:cs="Arial"/>
                          <w:color w:val="156082"/>
                          <w:sz w:val="26"/>
                        </w:rPr>
                        <w:t>University of Wales Trinity Saint David</w:t>
                      </w:r>
                    </w:p>
                    <w:p w14:paraId="27C3780B" w14:textId="77777777" w:rsidR="00530E16" w:rsidRPr="00AF22D3" w:rsidRDefault="004468F8">
                      <w:pPr>
                        <w:spacing w:after="0" w:line="240" w:lineRule="auto"/>
                        <w:textDirection w:val="btLr"/>
                      </w:pPr>
                      <w:r w:rsidRPr="00AF22D3">
                        <w:rPr>
                          <w:rFonts w:ascii="Arial" w:eastAsia="Arial" w:hAnsi="Arial" w:cs="Arial"/>
                          <w:smallCaps/>
                          <w:color w:val="595959"/>
                          <w:sz w:val="20"/>
                        </w:rPr>
                        <w:t>LONDON CAMPUS</w:t>
                      </w:r>
                    </w:p>
                  </w:txbxContent>
                </v:textbox>
                <w10:wrap anchorx="page" anchory="page"/>
              </v:rect>
            </w:pict>
          </mc:Fallback>
        </mc:AlternateContent>
      </w:r>
    </w:p>
    <w:p w14:paraId="336BDABF" w14:textId="5A1405AB" w:rsidR="00530E16" w:rsidRPr="00AF22D3" w:rsidRDefault="004468F8" w:rsidP="00362540">
      <w:pPr>
        <w:spacing w:line="360" w:lineRule="auto"/>
        <w:rPr>
          <w:rFonts w:ascii="Arial" w:eastAsia="Arial" w:hAnsi="Arial" w:cs="Arial"/>
        </w:rPr>
      </w:pPr>
      <w:r w:rsidRPr="00AF22D3">
        <w:rPr>
          <w:rFonts w:ascii="Arial" w:eastAsia="Arial" w:hAnsi="Arial" w:cs="Arial"/>
          <w:noProof/>
        </w:rPr>
        <mc:AlternateContent>
          <mc:Choice Requires="wps">
            <w:drawing>
              <wp:anchor distT="0" distB="0" distL="114300" distR="114300" simplePos="0" relativeHeight="251658242" behindDoc="0" locked="0" layoutInCell="1" hidden="0" allowOverlap="1" wp14:anchorId="32BBDFA0" wp14:editId="6C7ECE9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3C71C29" w14:textId="77777777" w:rsidR="00530E16" w:rsidRPr="00AF22D3" w:rsidRDefault="004468F8">
                            <w:pPr>
                              <w:spacing w:after="0" w:line="240" w:lineRule="auto"/>
                              <w:textDirection w:val="btLr"/>
                            </w:pPr>
                            <w:r w:rsidRPr="00AF22D3">
                              <w:rPr>
                                <w:rFonts w:ascii="Play" w:eastAsia="Play" w:hAnsi="Play" w:cs="Play"/>
                                <w:color w:val="262626"/>
                                <w:sz w:val="72"/>
                              </w:rPr>
                              <w:t>Individual Report</w:t>
                            </w:r>
                          </w:p>
                          <w:p w14:paraId="28901F0C" w14:textId="220343FF" w:rsidR="00530E16" w:rsidRPr="00AF22D3" w:rsidRDefault="004468F8">
                            <w:pPr>
                              <w:spacing w:before="120" w:line="277" w:lineRule="auto"/>
                              <w:textDirection w:val="btLr"/>
                            </w:pPr>
                            <w:r w:rsidRPr="00AF22D3">
                              <w:rPr>
                                <w:color w:val="404040"/>
                                <w:sz w:val="36"/>
                              </w:rPr>
                              <w:t xml:space="preserve">Module Name: Digital Skills </w:t>
                            </w:r>
                            <w:r w:rsidR="005D2A3A">
                              <w:rPr>
                                <w:color w:val="404040"/>
                                <w:sz w:val="36"/>
                              </w:rPr>
                              <w:t>A</w:t>
                            </w:r>
                            <w:r w:rsidRPr="00AF22D3">
                              <w:rPr>
                                <w:color w:val="404040"/>
                                <w:sz w:val="36"/>
                              </w:rPr>
                              <w:t>nd Research Methods</w:t>
                            </w:r>
                          </w:p>
                          <w:p w14:paraId="3C03D425" w14:textId="77777777" w:rsidR="00530E16" w:rsidRPr="00AF22D3" w:rsidRDefault="004468F8">
                            <w:pPr>
                              <w:spacing w:before="120" w:line="277" w:lineRule="auto"/>
                              <w:textDirection w:val="btLr"/>
                            </w:pPr>
                            <w:r w:rsidRPr="00AF22D3">
                              <w:rPr>
                                <w:color w:val="404040"/>
                                <w:sz w:val="36"/>
                              </w:rPr>
                              <w:t>Module Code: LCHS 4007</w:t>
                            </w:r>
                          </w:p>
                          <w:p w14:paraId="79EE5F89" w14:textId="15B37566" w:rsidR="00530E16" w:rsidRPr="00AF22D3" w:rsidRDefault="004468F8">
                            <w:pPr>
                              <w:spacing w:before="120" w:line="277" w:lineRule="auto"/>
                              <w:textDirection w:val="btLr"/>
                            </w:pPr>
                            <w:r w:rsidRPr="00AF22D3">
                              <w:rPr>
                                <w:color w:val="404040"/>
                                <w:sz w:val="36"/>
                              </w:rPr>
                              <w:t>Student name:</w:t>
                            </w:r>
                            <w:r w:rsidR="00127BB4" w:rsidRPr="00AF22D3">
                              <w:rPr>
                                <w:color w:val="404040"/>
                                <w:sz w:val="36"/>
                              </w:rPr>
                              <w:t xml:space="preserve"> Thelma L. Lipa</w:t>
                            </w:r>
                          </w:p>
                          <w:p w14:paraId="48D411A4" w14:textId="2A0AD25B" w:rsidR="00530E16" w:rsidRPr="00AF22D3" w:rsidRDefault="004468F8">
                            <w:pPr>
                              <w:spacing w:before="120" w:line="277" w:lineRule="auto"/>
                              <w:textDirection w:val="btLr"/>
                            </w:pPr>
                            <w:r w:rsidRPr="00AF22D3">
                              <w:rPr>
                                <w:color w:val="404040"/>
                                <w:sz w:val="36"/>
                              </w:rPr>
                              <w:t>Student I</w:t>
                            </w:r>
                            <w:r w:rsidR="0020618A">
                              <w:rPr>
                                <w:color w:val="404040"/>
                                <w:sz w:val="36"/>
                              </w:rPr>
                              <w:t>dentification</w:t>
                            </w:r>
                            <w:r w:rsidRPr="00AF22D3">
                              <w:rPr>
                                <w:color w:val="404040"/>
                                <w:sz w:val="36"/>
                              </w:rPr>
                              <w:t>:</w:t>
                            </w:r>
                            <w:r w:rsidR="00127BB4" w:rsidRPr="00AF22D3">
                              <w:rPr>
                                <w:color w:val="404040"/>
                                <w:sz w:val="36"/>
                              </w:rPr>
                              <w:t xml:space="preserve"> 2527562</w:t>
                            </w:r>
                          </w:p>
                          <w:p w14:paraId="0AB5989F" w14:textId="48D4A586" w:rsidR="00530E16" w:rsidRPr="00AF22D3" w:rsidRDefault="004468F8">
                            <w:pPr>
                              <w:spacing w:before="120" w:line="277" w:lineRule="auto"/>
                              <w:textDirection w:val="btLr"/>
                            </w:pPr>
                            <w:r w:rsidRPr="00AF22D3">
                              <w:rPr>
                                <w:color w:val="404040"/>
                                <w:sz w:val="36"/>
                              </w:rPr>
                              <w:t xml:space="preserve">Lecturer’s Name: </w:t>
                            </w:r>
                            <w:r w:rsidR="00127BB4" w:rsidRPr="00AF22D3">
                              <w:rPr>
                                <w:color w:val="404040"/>
                                <w:sz w:val="36"/>
                              </w:rPr>
                              <w:t>Brian Mashumba</w:t>
                            </w:r>
                          </w:p>
                        </w:txbxContent>
                      </wps:txbx>
                      <wps:bodyPr spcFirstLastPara="1" wrap="square" lIns="0" tIns="0" rIns="0" bIns="0" anchor="t" anchorCtr="0">
                        <a:noAutofit/>
                      </wps:bodyPr>
                    </wps:wsp>
                  </a:graphicData>
                </a:graphic>
              </wp:anchor>
            </w:drawing>
          </mc:Choice>
          <mc:Fallback>
            <w:pict>
              <v:rect w14:anchorId="32BBDFA0"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3C71C29" w14:textId="77777777" w:rsidR="00530E16" w:rsidRPr="00AF22D3" w:rsidRDefault="004468F8">
                      <w:pPr>
                        <w:spacing w:after="0" w:line="240" w:lineRule="auto"/>
                        <w:textDirection w:val="btLr"/>
                      </w:pPr>
                      <w:r w:rsidRPr="00AF22D3">
                        <w:rPr>
                          <w:rFonts w:ascii="Play" w:eastAsia="Play" w:hAnsi="Play" w:cs="Play"/>
                          <w:color w:val="262626"/>
                          <w:sz w:val="72"/>
                        </w:rPr>
                        <w:t>Individual Report</w:t>
                      </w:r>
                    </w:p>
                    <w:p w14:paraId="28901F0C" w14:textId="220343FF" w:rsidR="00530E16" w:rsidRPr="00AF22D3" w:rsidRDefault="004468F8">
                      <w:pPr>
                        <w:spacing w:before="120" w:line="277" w:lineRule="auto"/>
                        <w:textDirection w:val="btLr"/>
                      </w:pPr>
                      <w:r w:rsidRPr="00AF22D3">
                        <w:rPr>
                          <w:color w:val="404040"/>
                          <w:sz w:val="36"/>
                        </w:rPr>
                        <w:t xml:space="preserve">Module Name: Digital Skills </w:t>
                      </w:r>
                      <w:r w:rsidR="005D2A3A">
                        <w:rPr>
                          <w:color w:val="404040"/>
                          <w:sz w:val="36"/>
                        </w:rPr>
                        <w:t>A</w:t>
                      </w:r>
                      <w:r w:rsidRPr="00AF22D3">
                        <w:rPr>
                          <w:color w:val="404040"/>
                          <w:sz w:val="36"/>
                        </w:rPr>
                        <w:t>nd Research Methods</w:t>
                      </w:r>
                    </w:p>
                    <w:p w14:paraId="3C03D425" w14:textId="77777777" w:rsidR="00530E16" w:rsidRPr="00AF22D3" w:rsidRDefault="004468F8">
                      <w:pPr>
                        <w:spacing w:before="120" w:line="277" w:lineRule="auto"/>
                        <w:textDirection w:val="btLr"/>
                      </w:pPr>
                      <w:r w:rsidRPr="00AF22D3">
                        <w:rPr>
                          <w:color w:val="404040"/>
                          <w:sz w:val="36"/>
                        </w:rPr>
                        <w:t>Module Code: LCHS 4007</w:t>
                      </w:r>
                    </w:p>
                    <w:p w14:paraId="79EE5F89" w14:textId="15B37566" w:rsidR="00530E16" w:rsidRPr="00AF22D3" w:rsidRDefault="004468F8">
                      <w:pPr>
                        <w:spacing w:before="120" w:line="277" w:lineRule="auto"/>
                        <w:textDirection w:val="btLr"/>
                      </w:pPr>
                      <w:r w:rsidRPr="00AF22D3">
                        <w:rPr>
                          <w:color w:val="404040"/>
                          <w:sz w:val="36"/>
                        </w:rPr>
                        <w:t>Student name:</w:t>
                      </w:r>
                      <w:r w:rsidR="00127BB4" w:rsidRPr="00AF22D3">
                        <w:rPr>
                          <w:color w:val="404040"/>
                          <w:sz w:val="36"/>
                        </w:rPr>
                        <w:t xml:space="preserve"> Thelma L. Lipa</w:t>
                      </w:r>
                    </w:p>
                    <w:p w14:paraId="48D411A4" w14:textId="2A0AD25B" w:rsidR="00530E16" w:rsidRPr="00AF22D3" w:rsidRDefault="004468F8">
                      <w:pPr>
                        <w:spacing w:before="120" w:line="277" w:lineRule="auto"/>
                        <w:textDirection w:val="btLr"/>
                      </w:pPr>
                      <w:r w:rsidRPr="00AF22D3">
                        <w:rPr>
                          <w:color w:val="404040"/>
                          <w:sz w:val="36"/>
                        </w:rPr>
                        <w:t>Student I</w:t>
                      </w:r>
                      <w:r w:rsidR="0020618A">
                        <w:rPr>
                          <w:color w:val="404040"/>
                          <w:sz w:val="36"/>
                        </w:rPr>
                        <w:t>dentification</w:t>
                      </w:r>
                      <w:r w:rsidRPr="00AF22D3">
                        <w:rPr>
                          <w:color w:val="404040"/>
                          <w:sz w:val="36"/>
                        </w:rPr>
                        <w:t>:</w:t>
                      </w:r>
                      <w:r w:rsidR="00127BB4" w:rsidRPr="00AF22D3">
                        <w:rPr>
                          <w:color w:val="404040"/>
                          <w:sz w:val="36"/>
                        </w:rPr>
                        <w:t xml:space="preserve"> 2527562</w:t>
                      </w:r>
                    </w:p>
                    <w:p w14:paraId="0AB5989F" w14:textId="48D4A586" w:rsidR="00530E16" w:rsidRPr="00AF22D3" w:rsidRDefault="004468F8">
                      <w:pPr>
                        <w:spacing w:before="120" w:line="277" w:lineRule="auto"/>
                        <w:textDirection w:val="btLr"/>
                      </w:pPr>
                      <w:r w:rsidRPr="00AF22D3">
                        <w:rPr>
                          <w:color w:val="404040"/>
                          <w:sz w:val="36"/>
                        </w:rPr>
                        <w:t xml:space="preserve">Lecturer’s Name: </w:t>
                      </w:r>
                      <w:r w:rsidR="00127BB4" w:rsidRPr="00AF22D3">
                        <w:rPr>
                          <w:color w:val="404040"/>
                          <w:sz w:val="36"/>
                        </w:rPr>
                        <w:t>Brian Mashumba</w:t>
                      </w:r>
                    </w:p>
                  </w:txbxContent>
                </v:textbox>
                <w10:wrap anchorx="page" anchory="page"/>
              </v:rect>
            </w:pict>
          </mc:Fallback>
        </mc:AlternateContent>
      </w:r>
      <w:r w:rsidRPr="00AF22D3">
        <w:br w:type="page"/>
      </w:r>
    </w:p>
    <w:p w14:paraId="4BB39EF0" w14:textId="77777777" w:rsidR="00530E16" w:rsidRPr="00AF22D3" w:rsidRDefault="004468F8" w:rsidP="00362540">
      <w:pPr>
        <w:keepNext/>
        <w:keepLines/>
        <w:pBdr>
          <w:top w:val="nil"/>
          <w:left w:val="nil"/>
          <w:bottom w:val="nil"/>
          <w:right w:val="nil"/>
          <w:between w:val="nil"/>
        </w:pBdr>
        <w:spacing w:before="240" w:after="0" w:line="360" w:lineRule="auto"/>
        <w:rPr>
          <w:rFonts w:ascii="Play" w:eastAsia="Play" w:hAnsi="Play" w:cs="Play"/>
          <w:color w:val="0F4761"/>
          <w:sz w:val="32"/>
          <w:szCs w:val="32"/>
        </w:rPr>
      </w:pPr>
      <w:r w:rsidRPr="00AF22D3">
        <w:rPr>
          <w:rFonts w:ascii="Play" w:eastAsia="Play" w:hAnsi="Play" w:cs="Play"/>
          <w:color w:val="0F4761"/>
          <w:sz w:val="32"/>
          <w:szCs w:val="32"/>
        </w:rPr>
        <w:t>Table of Contents</w:t>
      </w:r>
    </w:p>
    <w:p w14:paraId="6FC7B086" w14:textId="77777777" w:rsidR="00B2535B" w:rsidRPr="00AF22D3" w:rsidRDefault="00B2535B" w:rsidP="00362540">
      <w:pPr>
        <w:keepNext/>
        <w:keepLines/>
        <w:pBdr>
          <w:top w:val="nil"/>
          <w:left w:val="nil"/>
          <w:bottom w:val="nil"/>
          <w:right w:val="nil"/>
          <w:between w:val="nil"/>
        </w:pBdr>
        <w:spacing w:before="240" w:after="0" w:line="360" w:lineRule="auto"/>
        <w:rPr>
          <w:rFonts w:ascii="Play" w:eastAsia="Play" w:hAnsi="Play" w:cs="Play"/>
          <w:color w:val="0F4761"/>
          <w:sz w:val="32"/>
          <w:szCs w:val="32"/>
        </w:rPr>
      </w:pPr>
    </w:p>
    <w:sdt>
      <w:sdtPr>
        <w:id w:val="-2066176513"/>
        <w:docPartObj>
          <w:docPartGallery w:val="Table of Contents"/>
          <w:docPartUnique/>
        </w:docPartObj>
      </w:sdtPr>
      <w:sdtEndPr/>
      <w:sdtContent>
        <w:p w14:paraId="44E536F4" w14:textId="77777777" w:rsidR="00432D05" w:rsidRPr="00AF22D3" w:rsidRDefault="004468F8" w:rsidP="00362540">
          <w:pPr>
            <w:pStyle w:val="TOC1"/>
            <w:tabs>
              <w:tab w:val="right" w:leader="dot" w:pos="9016"/>
            </w:tabs>
            <w:spacing w:line="360" w:lineRule="auto"/>
            <w:rPr>
              <w:rFonts w:asciiTheme="minorHAnsi" w:eastAsiaTheme="minorEastAsia" w:hAnsiTheme="minorHAnsi" w:cstheme="minorBidi"/>
              <w:sz w:val="22"/>
              <w:szCs w:val="22"/>
            </w:rPr>
          </w:pPr>
          <w:r w:rsidRPr="00AF22D3">
            <w:fldChar w:fldCharType="begin"/>
          </w:r>
          <w:r w:rsidRPr="00AF22D3">
            <w:instrText xml:space="preserve"> TOC \h \u \z \t "Heading 1,1,Heading 2,2,Heading 3,3,"</w:instrText>
          </w:r>
          <w:r w:rsidRPr="00AF22D3">
            <w:fldChar w:fldCharType="separate"/>
          </w:r>
          <w:hyperlink w:anchor="_Toc225024735" w:history="1">
            <w:r w:rsidR="00432D05" w:rsidRPr="00AF22D3">
              <w:rPr>
                <w:rStyle w:val="Hyperlink"/>
                <w:rFonts w:eastAsia="Arial"/>
              </w:rPr>
              <w:t>Introduction</w:t>
            </w:r>
            <w:r w:rsidR="00432D05" w:rsidRPr="00AF22D3">
              <w:rPr>
                <w:webHidden/>
              </w:rPr>
              <w:tab/>
            </w:r>
            <w:r w:rsidR="00432D05" w:rsidRPr="00AF22D3">
              <w:rPr>
                <w:webHidden/>
              </w:rPr>
              <w:fldChar w:fldCharType="begin"/>
            </w:r>
            <w:r w:rsidR="00432D05" w:rsidRPr="00AF22D3">
              <w:rPr>
                <w:webHidden/>
              </w:rPr>
              <w:instrText xml:space="preserve"> PAGEREF _Toc225024735 \h </w:instrText>
            </w:r>
            <w:r w:rsidR="00432D05" w:rsidRPr="00AF22D3">
              <w:rPr>
                <w:webHidden/>
              </w:rPr>
            </w:r>
            <w:r w:rsidR="00432D05" w:rsidRPr="00AF22D3">
              <w:rPr>
                <w:webHidden/>
              </w:rPr>
              <w:fldChar w:fldCharType="separate"/>
            </w:r>
            <w:r w:rsidR="00432D05" w:rsidRPr="00AF22D3">
              <w:rPr>
                <w:webHidden/>
              </w:rPr>
              <w:t>2</w:t>
            </w:r>
            <w:r w:rsidR="00432D05" w:rsidRPr="00AF22D3">
              <w:rPr>
                <w:webHidden/>
              </w:rPr>
              <w:fldChar w:fldCharType="end"/>
            </w:r>
          </w:hyperlink>
        </w:p>
        <w:p w14:paraId="2879F959" w14:textId="10A5CBEC"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36" w:history="1">
            <w:r w:rsidRPr="00AF22D3">
              <w:rPr>
                <w:rStyle w:val="Hyperlink"/>
                <w:rFonts w:eastAsia="Arial"/>
              </w:rPr>
              <w:t xml:space="preserve">Task 1 – Selection </w:t>
            </w:r>
            <w:r w:rsidR="0020618A">
              <w:rPr>
                <w:rStyle w:val="Hyperlink"/>
                <w:rFonts w:eastAsia="Arial"/>
              </w:rPr>
              <w:t>O</w:t>
            </w:r>
            <w:r w:rsidRPr="00AF22D3">
              <w:rPr>
                <w:rStyle w:val="Hyperlink"/>
                <w:rFonts w:eastAsia="Arial"/>
              </w:rPr>
              <w:t xml:space="preserve">f </w:t>
            </w:r>
            <w:r w:rsidR="0020618A">
              <w:rPr>
                <w:rStyle w:val="Hyperlink"/>
                <w:rFonts w:eastAsia="Arial"/>
              </w:rPr>
              <w:t>A</w:t>
            </w:r>
            <w:r w:rsidRPr="00AF22D3">
              <w:rPr>
                <w:rStyle w:val="Hyperlink"/>
                <w:rFonts w:eastAsia="Arial"/>
              </w:rPr>
              <w:t xml:space="preserve"> Research Topic</w:t>
            </w:r>
            <w:r w:rsidRPr="00AF22D3">
              <w:rPr>
                <w:webHidden/>
              </w:rPr>
              <w:tab/>
            </w:r>
            <w:r w:rsidRPr="00AF22D3">
              <w:rPr>
                <w:webHidden/>
              </w:rPr>
              <w:fldChar w:fldCharType="begin"/>
            </w:r>
            <w:r w:rsidRPr="00AF22D3">
              <w:rPr>
                <w:webHidden/>
              </w:rPr>
              <w:instrText xml:space="preserve"> PAGEREF _Toc225024736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6A5F827A" w14:textId="0A5C0D78"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37" w:history="1">
            <w:r w:rsidRPr="00AF22D3">
              <w:rPr>
                <w:rStyle w:val="Hyperlink"/>
                <w:rFonts w:eastAsia="Arial"/>
              </w:rPr>
              <w:t xml:space="preserve">1.1 The Issue </w:t>
            </w:r>
            <w:r w:rsidR="0020618A">
              <w:rPr>
                <w:rStyle w:val="Hyperlink"/>
                <w:rFonts w:eastAsia="Arial"/>
              </w:rPr>
              <w:t>A</w:t>
            </w:r>
            <w:r w:rsidRPr="00AF22D3">
              <w:rPr>
                <w:rStyle w:val="Hyperlink"/>
                <w:rFonts w:eastAsia="Arial"/>
              </w:rPr>
              <w:t>nd Why It Matters</w:t>
            </w:r>
            <w:r w:rsidRPr="00AF22D3">
              <w:rPr>
                <w:webHidden/>
              </w:rPr>
              <w:tab/>
            </w:r>
            <w:r w:rsidRPr="00AF22D3">
              <w:rPr>
                <w:webHidden/>
              </w:rPr>
              <w:fldChar w:fldCharType="begin"/>
            </w:r>
            <w:r w:rsidRPr="00AF22D3">
              <w:rPr>
                <w:webHidden/>
              </w:rPr>
              <w:instrText xml:space="preserve"> PAGEREF _Toc225024737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6D1D7688" w14:textId="77777777"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38" w:history="1">
            <w:r w:rsidRPr="00AF22D3">
              <w:rPr>
                <w:rStyle w:val="Hyperlink"/>
                <w:rFonts w:eastAsia="Arial"/>
              </w:rPr>
              <w:t>1.2 Personal Reflection – Why I Chose This Topic</w:t>
            </w:r>
            <w:r w:rsidRPr="00AF22D3">
              <w:rPr>
                <w:webHidden/>
              </w:rPr>
              <w:tab/>
            </w:r>
            <w:r w:rsidRPr="00AF22D3">
              <w:rPr>
                <w:webHidden/>
              </w:rPr>
              <w:fldChar w:fldCharType="begin"/>
            </w:r>
            <w:r w:rsidRPr="00AF22D3">
              <w:rPr>
                <w:webHidden/>
              </w:rPr>
              <w:instrText xml:space="preserve"> PAGEREF _Toc225024738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1E59350C" w14:textId="77777777"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39" w:history="1">
            <w:r w:rsidRPr="00AF22D3">
              <w:rPr>
                <w:rStyle w:val="Hyperlink"/>
                <w:rFonts w:eastAsia="Arial"/>
              </w:rPr>
              <w:t>Task 2 – Evaluating Information Sources</w:t>
            </w:r>
            <w:r w:rsidRPr="00AF22D3">
              <w:rPr>
                <w:webHidden/>
              </w:rPr>
              <w:tab/>
            </w:r>
            <w:r w:rsidRPr="00AF22D3">
              <w:rPr>
                <w:webHidden/>
              </w:rPr>
              <w:fldChar w:fldCharType="begin"/>
            </w:r>
            <w:r w:rsidRPr="00AF22D3">
              <w:rPr>
                <w:webHidden/>
              </w:rPr>
              <w:instrText xml:space="preserve"> PAGEREF _Toc225024739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5F54C7BA" w14:textId="77777777"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0" w:history="1">
            <w:r w:rsidRPr="00AF22D3">
              <w:rPr>
                <w:rStyle w:val="Hyperlink"/>
                <w:rFonts w:eastAsia="Arial"/>
              </w:rPr>
              <w:t>2.1 Source 1</w:t>
            </w:r>
            <w:r w:rsidRPr="00AF22D3">
              <w:rPr>
                <w:webHidden/>
              </w:rPr>
              <w:tab/>
            </w:r>
            <w:r w:rsidRPr="00AF22D3">
              <w:rPr>
                <w:webHidden/>
              </w:rPr>
              <w:fldChar w:fldCharType="begin"/>
            </w:r>
            <w:r w:rsidRPr="00AF22D3">
              <w:rPr>
                <w:webHidden/>
              </w:rPr>
              <w:instrText xml:space="preserve"> PAGEREF _Toc225024740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527F1784" w14:textId="77777777"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1" w:history="1">
            <w:r w:rsidRPr="00AF22D3">
              <w:rPr>
                <w:rStyle w:val="Hyperlink"/>
                <w:rFonts w:eastAsia="Arial"/>
              </w:rPr>
              <w:t>2.2 Source 2</w:t>
            </w:r>
            <w:r w:rsidRPr="00AF22D3">
              <w:rPr>
                <w:webHidden/>
              </w:rPr>
              <w:tab/>
            </w:r>
            <w:r w:rsidRPr="00AF22D3">
              <w:rPr>
                <w:webHidden/>
              </w:rPr>
              <w:fldChar w:fldCharType="begin"/>
            </w:r>
            <w:r w:rsidRPr="00AF22D3">
              <w:rPr>
                <w:webHidden/>
              </w:rPr>
              <w:instrText xml:space="preserve"> PAGEREF _Toc225024741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70B600D6" w14:textId="77777777"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2" w:history="1">
            <w:r w:rsidRPr="00AF22D3">
              <w:rPr>
                <w:rStyle w:val="Hyperlink"/>
                <w:rFonts w:eastAsia="Arial"/>
              </w:rPr>
              <w:t>2.3 Source 3</w:t>
            </w:r>
            <w:r w:rsidRPr="00AF22D3">
              <w:rPr>
                <w:webHidden/>
              </w:rPr>
              <w:tab/>
            </w:r>
            <w:r w:rsidRPr="00AF22D3">
              <w:rPr>
                <w:webHidden/>
              </w:rPr>
              <w:fldChar w:fldCharType="begin"/>
            </w:r>
            <w:r w:rsidRPr="00AF22D3">
              <w:rPr>
                <w:webHidden/>
              </w:rPr>
              <w:instrText xml:space="preserve"> PAGEREF _Toc225024742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114B0270" w14:textId="4C989D06"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3" w:history="1">
            <w:r w:rsidRPr="00AF22D3">
              <w:rPr>
                <w:rStyle w:val="Hyperlink"/>
                <w:rFonts w:eastAsia="Arial"/>
              </w:rPr>
              <w:t xml:space="preserve">2.4 Gaps </w:t>
            </w:r>
            <w:r w:rsidR="0020618A">
              <w:rPr>
                <w:rStyle w:val="Hyperlink"/>
                <w:rFonts w:eastAsia="Arial"/>
              </w:rPr>
              <w:t>I</w:t>
            </w:r>
            <w:r w:rsidRPr="00AF22D3">
              <w:rPr>
                <w:rStyle w:val="Hyperlink"/>
                <w:rFonts w:eastAsia="Arial"/>
              </w:rPr>
              <w:t>n Current Research</w:t>
            </w:r>
            <w:r w:rsidRPr="00AF22D3">
              <w:rPr>
                <w:webHidden/>
              </w:rPr>
              <w:tab/>
            </w:r>
            <w:r w:rsidRPr="00AF22D3">
              <w:rPr>
                <w:webHidden/>
              </w:rPr>
              <w:fldChar w:fldCharType="begin"/>
            </w:r>
            <w:r w:rsidRPr="00AF22D3">
              <w:rPr>
                <w:webHidden/>
              </w:rPr>
              <w:instrText xml:space="preserve"> PAGEREF _Toc225024743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05A93D5C" w14:textId="77777777"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44" w:history="1">
            <w:r w:rsidRPr="00AF22D3">
              <w:rPr>
                <w:rStyle w:val="Hyperlink"/>
                <w:rFonts w:eastAsia="Arial"/>
              </w:rPr>
              <w:t>Task 3 – Research Methodologies</w:t>
            </w:r>
            <w:r w:rsidRPr="00AF22D3">
              <w:rPr>
                <w:webHidden/>
              </w:rPr>
              <w:tab/>
            </w:r>
            <w:r w:rsidRPr="00AF22D3">
              <w:rPr>
                <w:webHidden/>
              </w:rPr>
              <w:fldChar w:fldCharType="begin"/>
            </w:r>
            <w:r w:rsidRPr="00AF22D3">
              <w:rPr>
                <w:webHidden/>
              </w:rPr>
              <w:instrText xml:space="preserve"> PAGEREF _Toc225024744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48A3AE84" w14:textId="6C039997"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5" w:history="1">
            <w:r w:rsidRPr="00AF22D3">
              <w:rPr>
                <w:rStyle w:val="Hyperlink"/>
                <w:rFonts w:eastAsia="Arial"/>
              </w:rPr>
              <w:t xml:space="preserve">3.1 Definitions </w:t>
            </w:r>
            <w:r w:rsidR="0020618A">
              <w:rPr>
                <w:rStyle w:val="Hyperlink"/>
                <w:rFonts w:eastAsia="Arial"/>
              </w:rPr>
              <w:t>A</w:t>
            </w:r>
            <w:r w:rsidRPr="00AF22D3">
              <w:rPr>
                <w:rStyle w:val="Hyperlink"/>
                <w:rFonts w:eastAsia="Arial"/>
              </w:rPr>
              <w:t>nd Examples</w:t>
            </w:r>
            <w:r w:rsidRPr="00AF22D3">
              <w:rPr>
                <w:webHidden/>
              </w:rPr>
              <w:tab/>
            </w:r>
            <w:r w:rsidRPr="00AF22D3">
              <w:rPr>
                <w:webHidden/>
              </w:rPr>
              <w:fldChar w:fldCharType="begin"/>
            </w:r>
            <w:r w:rsidRPr="00AF22D3">
              <w:rPr>
                <w:webHidden/>
              </w:rPr>
              <w:instrText xml:space="preserve"> PAGEREF _Toc225024745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4A6ACB5B" w14:textId="5C308BE8"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6" w:history="1">
            <w:r w:rsidRPr="00AF22D3">
              <w:rPr>
                <w:rStyle w:val="Hyperlink"/>
                <w:rFonts w:eastAsia="Arial"/>
              </w:rPr>
              <w:t xml:space="preserve">3.2 Chosen Methodology </w:t>
            </w:r>
            <w:r w:rsidR="0020618A">
              <w:rPr>
                <w:rStyle w:val="Hyperlink"/>
                <w:rFonts w:eastAsia="Arial"/>
              </w:rPr>
              <w:t>A</w:t>
            </w:r>
            <w:r w:rsidRPr="00AF22D3">
              <w:rPr>
                <w:rStyle w:val="Hyperlink"/>
                <w:rFonts w:eastAsia="Arial"/>
              </w:rPr>
              <w:t>nd Justification</w:t>
            </w:r>
            <w:r w:rsidRPr="00AF22D3">
              <w:rPr>
                <w:webHidden/>
              </w:rPr>
              <w:tab/>
            </w:r>
            <w:r w:rsidRPr="00AF22D3">
              <w:rPr>
                <w:webHidden/>
              </w:rPr>
              <w:fldChar w:fldCharType="begin"/>
            </w:r>
            <w:r w:rsidRPr="00AF22D3">
              <w:rPr>
                <w:webHidden/>
              </w:rPr>
              <w:instrText xml:space="preserve"> PAGEREF _Toc225024746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7E082DE2" w14:textId="77777777"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47" w:history="1">
            <w:r w:rsidRPr="00AF22D3">
              <w:rPr>
                <w:rStyle w:val="Hyperlink"/>
                <w:rFonts w:eastAsia="Arial"/>
              </w:rPr>
              <w:t>Task 4 – Data Collection</w:t>
            </w:r>
            <w:r w:rsidRPr="00AF22D3">
              <w:rPr>
                <w:webHidden/>
              </w:rPr>
              <w:tab/>
            </w:r>
            <w:r w:rsidRPr="00AF22D3">
              <w:rPr>
                <w:webHidden/>
              </w:rPr>
              <w:fldChar w:fldCharType="begin"/>
            </w:r>
            <w:r w:rsidRPr="00AF22D3">
              <w:rPr>
                <w:webHidden/>
              </w:rPr>
              <w:instrText xml:space="preserve"> PAGEREF _Toc225024747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1AD5306A" w14:textId="7AA7DEC4"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8" w:history="1">
            <w:r w:rsidRPr="00AF22D3">
              <w:rPr>
                <w:rStyle w:val="Hyperlink"/>
                <w:rFonts w:eastAsia="Arial"/>
              </w:rPr>
              <w:t xml:space="preserve">4.1 Primary </w:t>
            </w:r>
            <w:r w:rsidR="0020618A">
              <w:rPr>
                <w:rStyle w:val="Hyperlink"/>
                <w:rFonts w:eastAsia="Arial"/>
              </w:rPr>
              <w:t>V</w:t>
            </w:r>
            <w:r w:rsidRPr="00AF22D3">
              <w:rPr>
                <w:rStyle w:val="Hyperlink"/>
                <w:rFonts w:eastAsia="Arial"/>
              </w:rPr>
              <w:t>s Secondary Data</w:t>
            </w:r>
            <w:r w:rsidRPr="00AF22D3">
              <w:rPr>
                <w:webHidden/>
              </w:rPr>
              <w:tab/>
            </w:r>
            <w:r w:rsidRPr="00AF22D3">
              <w:rPr>
                <w:webHidden/>
              </w:rPr>
              <w:fldChar w:fldCharType="begin"/>
            </w:r>
            <w:r w:rsidRPr="00AF22D3">
              <w:rPr>
                <w:webHidden/>
              </w:rPr>
              <w:instrText xml:space="preserve"> PAGEREF _Toc225024748 \h </w:instrText>
            </w:r>
            <w:r w:rsidRPr="00AF22D3">
              <w:rPr>
                <w:webHidden/>
              </w:rPr>
            </w:r>
            <w:r w:rsidRPr="00AF22D3">
              <w:rPr>
                <w:webHidden/>
              </w:rPr>
              <w:fldChar w:fldCharType="separate"/>
            </w:r>
            <w:r w:rsidRPr="00AF22D3">
              <w:rPr>
                <w:webHidden/>
              </w:rPr>
              <w:t>2</w:t>
            </w:r>
            <w:r w:rsidRPr="00AF22D3">
              <w:rPr>
                <w:webHidden/>
              </w:rPr>
              <w:fldChar w:fldCharType="end"/>
            </w:r>
          </w:hyperlink>
        </w:p>
        <w:p w14:paraId="7FAF08FA" w14:textId="226DD72F"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49" w:history="1">
            <w:r w:rsidRPr="00AF22D3">
              <w:rPr>
                <w:rStyle w:val="Hyperlink"/>
                <w:rFonts w:eastAsia="Arial"/>
              </w:rPr>
              <w:t xml:space="preserve">4.2 Chosen Data Type </w:t>
            </w:r>
            <w:r w:rsidR="0020618A">
              <w:rPr>
                <w:rStyle w:val="Hyperlink"/>
                <w:rFonts w:eastAsia="Arial"/>
              </w:rPr>
              <w:t>A</w:t>
            </w:r>
            <w:r w:rsidRPr="00AF22D3">
              <w:rPr>
                <w:rStyle w:val="Hyperlink"/>
                <w:rFonts w:eastAsia="Arial"/>
              </w:rPr>
              <w:t>nd Justification</w:t>
            </w:r>
            <w:r w:rsidRPr="00AF22D3">
              <w:rPr>
                <w:webHidden/>
              </w:rPr>
              <w:tab/>
            </w:r>
            <w:r w:rsidRPr="00AF22D3">
              <w:rPr>
                <w:webHidden/>
              </w:rPr>
              <w:fldChar w:fldCharType="begin"/>
            </w:r>
            <w:r w:rsidRPr="00AF22D3">
              <w:rPr>
                <w:webHidden/>
              </w:rPr>
              <w:instrText xml:space="preserve"> PAGEREF _Toc225024749 \h </w:instrText>
            </w:r>
            <w:r w:rsidRPr="00AF22D3">
              <w:rPr>
                <w:webHidden/>
              </w:rPr>
            </w:r>
            <w:r w:rsidRPr="00AF22D3">
              <w:rPr>
                <w:webHidden/>
              </w:rPr>
              <w:fldChar w:fldCharType="separate"/>
            </w:r>
            <w:r w:rsidRPr="00AF22D3">
              <w:rPr>
                <w:webHidden/>
              </w:rPr>
              <w:t>3</w:t>
            </w:r>
            <w:r w:rsidRPr="00AF22D3">
              <w:rPr>
                <w:webHidden/>
              </w:rPr>
              <w:fldChar w:fldCharType="end"/>
            </w:r>
          </w:hyperlink>
        </w:p>
        <w:p w14:paraId="78F8610B" w14:textId="6974DCA4" w:rsidR="00432D05" w:rsidRPr="00AF22D3" w:rsidRDefault="00432D05" w:rsidP="00362540">
          <w:pPr>
            <w:pStyle w:val="TOC2"/>
            <w:tabs>
              <w:tab w:val="right" w:leader="dot" w:pos="9016"/>
            </w:tabs>
            <w:spacing w:line="360" w:lineRule="auto"/>
            <w:rPr>
              <w:rFonts w:asciiTheme="minorHAnsi" w:eastAsiaTheme="minorEastAsia" w:hAnsiTheme="minorHAnsi" w:cstheme="minorBidi"/>
              <w:sz w:val="22"/>
              <w:szCs w:val="22"/>
            </w:rPr>
          </w:pPr>
          <w:hyperlink w:anchor="_Toc225024750" w:history="1">
            <w:r w:rsidRPr="00AF22D3">
              <w:rPr>
                <w:rStyle w:val="Hyperlink"/>
                <w:rFonts w:eastAsia="Arial"/>
              </w:rPr>
              <w:t xml:space="preserve">4.3 Advantages </w:t>
            </w:r>
            <w:r w:rsidR="0020618A">
              <w:rPr>
                <w:rStyle w:val="Hyperlink"/>
                <w:rFonts w:eastAsia="Arial"/>
              </w:rPr>
              <w:t>A</w:t>
            </w:r>
            <w:r w:rsidRPr="00AF22D3">
              <w:rPr>
                <w:rStyle w:val="Hyperlink"/>
                <w:rFonts w:eastAsia="Arial"/>
              </w:rPr>
              <w:t>nd Challenges</w:t>
            </w:r>
            <w:r w:rsidRPr="00AF22D3">
              <w:rPr>
                <w:webHidden/>
              </w:rPr>
              <w:tab/>
            </w:r>
            <w:r w:rsidRPr="00AF22D3">
              <w:rPr>
                <w:webHidden/>
              </w:rPr>
              <w:fldChar w:fldCharType="begin"/>
            </w:r>
            <w:r w:rsidRPr="00AF22D3">
              <w:rPr>
                <w:webHidden/>
              </w:rPr>
              <w:instrText xml:space="preserve"> PAGEREF _Toc225024750 \h </w:instrText>
            </w:r>
            <w:r w:rsidRPr="00AF22D3">
              <w:rPr>
                <w:webHidden/>
              </w:rPr>
            </w:r>
            <w:r w:rsidRPr="00AF22D3">
              <w:rPr>
                <w:webHidden/>
              </w:rPr>
              <w:fldChar w:fldCharType="separate"/>
            </w:r>
            <w:r w:rsidRPr="00AF22D3">
              <w:rPr>
                <w:webHidden/>
              </w:rPr>
              <w:t>3</w:t>
            </w:r>
            <w:r w:rsidRPr="00AF22D3">
              <w:rPr>
                <w:webHidden/>
              </w:rPr>
              <w:fldChar w:fldCharType="end"/>
            </w:r>
          </w:hyperlink>
        </w:p>
        <w:p w14:paraId="6BAFD782" w14:textId="77777777"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51" w:history="1">
            <w:r w:rsidRPr="00AF22D3">
              <w:rPr>
                <w:rStyle w:val="Hyperlink"/>
                <w:rFonts w:eastAsia="Arial"/>
              </w:rPr>
              <w:t>Conclusion</w:t>
            </w:r>
            <w:r w:rsidRPr="00AF22D3">
              <w:rPr>
                <w:webHidden/>
              </w:rPr>
              <w:tab/>
            </w:r>
            <w:r w:rsidRPr="00AF22D3">
              <w:rPr>
                <w:webHidden/>
              </w:rPr>
              <w:fldChar w:fldCharType="begin"/>
            </w:r>
            <w:r w:rsidRPr="00AF22D3">
              <w:rPr>
                <w:webHidden/>
              </w:rPr>
              <w:instrText xml:space="preserve"> PAGEREF _Toc225024751 \h </w:instrText>
            </w:r>
            <w:r w:rsidRPr="00AF22D3">
              <w:rPr>
                <w:webHidden/>
              </w:rPr>
            </w:r>
            <w:r w:rsidRPr="00AF22D3">
              <w:rPr>
                <w:webHidden/>
              </w:rPr>
              <w:fldChar w:fldCharType="separate"/>
            </w:r>
            <w:r w:rsidRPr="00AF22D3">
              <w:rPr>
                <w:webHidden/>
              </w:rPr>
              <w:t>3</w:t>
            </w:r>
            <w:r w:rsidRPr="00AF22D3">
              <w:rPr>
                <w:webHidden/>
              </w:rPr>
              <w:fldChar w:fldCharType="end"/>
            </w:r>
          </w:hyperlink>
        </w:p>
        <w:p w14:paraId="53EB8173" w14:textId="77777777" w:rsidR="00432D05" w:rsidRPr="00AF22D3" w:rsidRDefault="00432D05" w:rsidP="00362540">
          <w:pPr>
            <w:pStyle w:val="TOC1"/>
            <w:tabs>
              <w:tab w:val="right" w:leader="dot" w:pos="9016"/>
            </w:tabs>
            <w:spacing w:line="360" w:lineRule="auto"/>
            <w:rPr>
              <w:rFonts w:asciiTheme="minorHAnsi" w:eastAsiaTheme="minorEastAsia" w:hAnsiTheme="minorHAnsi" w:cstheme="minorBidi"/>
              <w:sz w:val="22"/>
              <w:szCs w:val="22"/>
            </w:rPr>
          </w:pPr>
          <w:hyperlink w:anchor="_Toc225024752" w:history="1">
            <w:r w:rsidRPr="00AF22D3">
              <w:rPr>
                <w:rStyle w:val="Hyperlink"/>
                <w:rFonts w:eastAsia="Arial"/>
              </w:rPr>
              <w:t>Reference List</w:t>
            </w:r>
            <w:r w:rsidRPr="00AF22D3">
              <w:rPr>
                <w:webHidden/>
              </w:rPr>
              <w:tab/>
            </w:r>
            <w:r w:rsidRPr="00AF22D3">
              <w:rPr>
                <w:webHidden/>
              </w:rPr>
              <w:fldChar w:fldCharType="begin"/>
            </w:r>
            <w:r w:rsidRPr="00AF22D3">
              <w:rPr>
                <w:webHidden/>
              </w:rPr>
              <w:instrText xml:space="preserve"> PAGEREF _Toc225024752 \h </w:instrText>
            </w:r>
            <w:r w:rsidRPr="00AF22D3">
              <w:rPr>
                <w:webHidden/>
              </w:rPr>
            </w:r>
            <w:r w:rsidRPr="00AF22D3">
              <w:rPr>
                <w:webHidden/>
              </w:rPr>
              <w:fldChar w:fldCharType="separate"/>
            </w:r>
            <w:r w:rsidRPr="00AF22D3">
              <w:rPr>
                <w:webHidden/>
              </w:rPr>
              <w:t>3</w:t>
            </w:r>
            <w:r w:rsidRPr="00AF22D3">
              <w:rPr>
                <w:webHidden/>
              </w:rPr>
              <w:fldChar w:fldCharType="end"/>
            </w:r>
          </w:hyperlink>
        </w:p>
        <w:p w14:paraId="0CD1EFEC" w14:textId="6F75D834" w:rsidR="00530E16" w:rsidRPr="00AF22D3" w:rsidRDefault="004468F8" w:rsidP="00362540">
          <w:pPr>
            <w:spacing w:line="360" w:lineRule="auto"/>
          </w:pPr>
          <w:r w:rsidRPr="00AF22D3">
            <w:fldChar w:fldCharType="end"/>
          </w:r>
        </w:p>
      </w:sdtContent>
    </w:sdt>
    <w:p w14:paraId="6CEDEDB9" w14:textId="77777777" w:rsidR="00530E16" w:rsidRPr="00AF22D3" w:rsidRDefault="00530E16" w:rsidP="00362540">
      <w:pPr>
        <w:spacing w:line="360" w:lineRule="auto"/>
        <w:rPr>
          <w:rFonts w:ascii="Arial" w:eastAsia="Arial" w:hAnsi="Arial" w:cs="Arial"/>
        </w:rPr>
      </w:pPr>
    </w:p>
    <w:p w14:paraId="7EC5CCDC" w14:textId="77777777" w:rsidR="00530E16" w:rsidRPr="00AF22D3" w:rsidRDefault="00530E16" w:rsidP="00362540">
      <w:pPr>
        <w:spacing w:line="360" w:lineRule="auto"/>
        <w:rPr>
          <w:rFonts w:ascii="Arial" w:eastAsia="Arial" w:hAnsi="Arial" w:cs="Arial"/>
        </w:rPr>
      </w:pPr>
    </w:p>
    <w:p w14:paraId="05512177" w14:textId="77777777" w:rsidR="00530E16" w:rsidRPr="00AF22D3" w:rsidRDefault="00530E16" w:rsidP="00362540">
      <w:pPr>
        <w:spacing w:line="360" w:lineRule="auto"/>
        <w:rPr>
          <w:rFonts w:ascii="Arial" w:eastAsia="Arial" w:hAnsi="Arial" w:cs="Arial"/>
        </w:rPr>
      </w:pPr>
    </w:p>
    <w:p w14:paraId="147D8A5B" w14:textId="77777777" w:rsidR="00530E16" w:rsidRPr="00AF22D3" w:rsidRDefault="00530E16" w:rsidP="00362540">
      <w:pPr>
        <w:spacing w:line="360" w:lineRule="auto"/>
        <w:rPr>
          <w:rFonts w:ascii="Arial" w:eastAsia="Arial" w:hAnsi="Arial" w:cs="Arial"/>
        </w:rPr>
      </w:pPr>
    </w:p>
    <w:p w14:paraId="2AC7B080" w14:textId="77777777" w:rsidR="00B2535B" w:rsidRPr="00AF22D3" w:rsidRDefault="00B2535B" w:rsidP="00362540">
      <w:pPr>
        <w:spacing w:line="360" w:lineRule="auto"/>
        <w:rPr>
          <w:rFonts w:ascii="Arial" w:eastAsia="Arial" w:hAnsi="Arial" w:cs="Arial"/>
        </w:rPr>
        <w:sectPr w:rsidR="00B2535B" w:rsidRPr="00AF22D3">
          <w:footerReference w:type="default" r:id="rId9"/>
          <w:pgSz w:w="11906" w:h="16838"/>
          <w:pgMar w:top="1440" w:right="1440" w:bottom="1440" w:left="1440" w:header="708" w:footer="708" w:gutter="0"/>
          <w:pgNumType w:start="0"/>
          <w:cols w:space="720"/>
          <w:titlePg/>
        </w:sectPr>
      </w:pPr>
    </w:p>
    <w:p w14:paraId="07393ABA" w14:textId="4FB209C6" w:rsidR="00575E73" w:rsidRPr="00AF22D3" w:rsidRDefault="00575E73" w:rsidP="00362540">
      <w:pPr>
        <w:pStyle w:val="Heading1"/>
        <w:spacing w:line="360" w:lineRule="auto"/>
        <w:rPr>
          <w:rFonts w:eastAsia="Arial"/>
        </w:rPr>
      </w:pPr>
      <w:bookmarkStart w:id="0" w:name="_Toc225024735"/>
      <w:r w:rsidRPr="00AF22D3">
        <w:rPr>
          <w:rFonts w:eastAsia="Arial"/>
        </w:rPr>
        <w:t>Introduction</w:t>
      </w:r>
      <w:bookmarkEnd w:id="0"/>
    </w:p>
    <w:p w14:paraId="7494DDA9" w14:textId="73F09EC8" w:rsidR="00C463AF" w:rsidRDefault="00C463AF" w:rsidP="00362540">
      <w:pPr>
        <w:pStyle w:val="Heading1"/>
        <w:spacing w:line="360" w:lineRule="auto"/>
        <w:rPr>
          <w:rFonts w:ascii="Arial" w:eastAsia="Arial" w:hAnsi="Arial" w:cs="Arial"/>
          <w:color w:val="auto"/>
          <w:sz w:val="22"/>
          <w:szCs w:val="22"/>
        </w:rPr>
      </w:pPr>
      <w:bookmarkStart w:id="1" w:name="_Toc225024736"/>
      <w:r w:rsidRPr="00C463AF">
        <w:rPr>
          <w:rFonts w:ascii="Arial" w:eastAsia="Arial" w:hAnsi="Arial" w:cs="Arial"/>
          <w:color w:val="auto"/>
          <w:sz w:val="22"/>
          <w:szCs w:val="22"/>
        </w:rPr>
        <w:t>Care for people with dementia spans medical systems and local community aid. Though memory fades, routines still matter. When speaking becomes hard, connections may weaken yet understanding grows through patience. Safety stays central, but so does respect for choices, history</w:t>
      </w:r>
      <w:r w:rsidR="0072625C">
        <w:rPr>
          <w:rFonts w:ascii="Arial" w:eastAsia="Arial" w:hAnsi="Arial" w:cs="Arial"/>
          <w:color w:val="auto"/>
          <w:sz w:val="22"/>
          <w:szCs w:val="22"/>
        </w:rPr>
        <w:t xml:space="preserve"> and</w:t>
      </w:r>
      <w:r w:rsidRPr="00C463AF">
        <w:rPr>
          <w:rFonts w:ascii="Arial" w:eastAsia="Arial" w:hAnsi="Arial" w:cs="Arial"/>
          <w:color w:val="auto"/>
          <w:sz w:val="22"/>
          <w:szCs w:val="22"/>
        </w:rPr>
        <w:t xml:space="preserve"> identity. Quality </w:t>
      </w:r>
      <w:r w:rsidR="0072625C">
        <w:rPr>
          <w:rFonts w:ascii="Arial" w:eastAsia="Arial" w:hAnsi="Arial" w:cs="Arial"/>
          <w:color w:val="auto"/>
          <w:sz w:val="22"/>
          <w:szCs w:val="22"/>
        </w:rPr>
        <w:t>of care is not determined</w:t>
      </w:r>
      <w:r w:rsidRPr="00C463AF">
        <w:rPr>
          <w:rFonts w:ascii="Arial" w:eastAsia="Arial" w:hAnsi="Arial" w:cs="Arial"/>
          <w:color w:val="auto"/>
          <w:sz w:val="22"/>
          <w:szCs w:val="22"/>
        </w:rPr>
        <w:t xml:space="preserve"> </w:t>
      </w:r>
      <w:r w:rsidR="0072625C">
        <w:rPr>
          <w:rFonts w:ascii="Arial" w:eastAsia="Arial" w:hAnsi="Arial" w:cs="Arial"/>
          <w:color w:val="auto"/>
          <w:sz w:val="22"/>
          <w:szCs w:val="22"/>
        </w:rPr>
        <w:t>by</w:t>
      </w:r>
      <w:r w:rsidRPr="00C463AF">
        <w:rPr>
          <w:rFonts w:ascii="Arial" w:eastAsia="Arial" w:hAnsi="Arial" w:cs="Arial"/>
          <w:color w:val="auto"/>
          <w:sz w:val="22"/>
          <w:szCs w:val="22"/>
        </w:rPr>
        <w:t xml:space="preserve"> grand gestures, but</w:t>
      </w:r>
      <w:r w:rsidR="0072625C">
        <w:rPr>
          <w:rFonts w:ascii="Arial" w:eastAsia="Arial" w:hAnsi="Arial" w:cs="Arial"/>
          <w:color w:val="auto"/>
          <w:sz w:val="22"/>
          <w:szCs w:val="22"/>
        </w:rPr>
        <w:t xml:space="preserve"> with </w:t>
      </w:r>
      <w:r w:rsidRPr="00C463AF">
        <w:rPr>
          <w:rFonts w:ascii="Arial" w:eastAsia="Arial" w:hAnsi="Arial" w:cs="Arial"/>
          <w:color w:val="auto"/>
          <w:sz w:val="22"/>
          <w:szCs w:val="22"/>
        </w:rPr>
        <w:t xml:space="preserve">steady presence. Emotional </w:t>
      </w:r>
      <w:r w:rsidR="0072625C">
        <w:rPr>
          <w:rFonts w:ascii="Arial" w:eastAsia="Arial" w:hAnsi="Arial" w:cs="Arial"/>
          <w:color w:val="auto"/>
          <w:sz w:val="22"/>
          <w:szCs w:val="22"/>
        </w:rPr>
        <w:t>safety of the patient</w:t>
      </w:r>
      <w:r w:rsidRPr="00C463AF">
        <w:rPr>
          <w:rFonts w:ascii="Arial" w:eastAsia="Arial" w:hAnsi="Arial" w:cs="Arial"/>
          <w:color w:val="auto"/>
          <w:sz w:val="22"/>
          <w:szCs w:val="22"/>
        </w:rPr>
        <w:t xml:space="preserve"> ties tightly to familiar rhythms and trusted faces.</w:t>
      </w:r>
    </w:p>
    <w:p w14:paraId="6A67CA30" w14:textId="77777777" w:rsidR="00362540" w:rsidRPr="00362540" w:rsidRDefault="00362540" w:rsidP="00362540"/>
    <w:p w14:paraId="5CF00B15" w14:textId="4E38A354" w:rsidR="00575E73" w:rsidRPr="00AF22D3" w:rsidRDefault="00575E73" w:rsidP="00362540">
      <w:pPr>
        <w:pStyle w:val="Heading1"/>
        <w:spacing w:line="360" w:lineRule="auto"/>
        <w:rPr>
          <w:rFonts w:eastAsia="Arial"/>
        </w:rPr>
      </w:pPr>
      <w:r w:rsidRPr="00AF22D3">
        <w:rPr>
          <w:rFonts w:eastAsia="Arial"/>
        </w:rPr>
        <w:t xml:space="preserve">Task 1 – Selection </w:t>
      </w:r>
      <w:r w:rsidR="006E2548">
        <w:rPr>
          <w:rFonts w:eastAsia="Arial"/>
        </w:rPr>
        <w:t>O</w:t>
      </w:r>
      <w:r w:rsidRPr="00AF22D3">
        <w:rPr>
          <w:rFonts w:eastAsia="Arial"/>
        </w:rPr>
        <w:t xml:space="preserve">f </w:t>
      </w:r>
      <w:r w:rsidR="006E2548">
        <w:rPr>
          <w:rFonts w:eastAsia="Arial"/>
        </w:rPr>
        <w:t>A</w:t>
      </w:r>
      <w:r w:rsidRPr="00AF22D3">
        <w:rPr>
          <w:rFonts w:eastAsia="Arial"/>
        </w:rPr>
        <w:t xml:space="preserve"> Research Topic</w:t>
      </w:r>
      <w:bookmarkEnd w:id="1"/>
    </w:p>
    <w:p w14:paraId="7FE609A2" w14:textId="110F2803" w:rsidR="00575E73" w:rsidRPr="00AF22D3" w:rsidRDefault="00575E73" w:rsidP="00362540">
      <w:pPr>
        <w:pStyle w:val="Heading2"/>
        <w:spacing w:line="360" w:lineRule="auto"/>
        <w:rPr>
          <w:rFonts w:eastAsia="Arial"/>
        </w:rPr>
      </w:pPr>
      <w:bookmarkStart w:id="2" w:name="_Toc225024737"/>
      <w:r w:rsidRPr="00AF22D3">
        <w:rPr>
          <w:rFonts w:eastAsia="Arial"/>
        </w:rPr>
        <w:t xml:space="preserve">1.1 The Issue </w:t>
      </w:r>
      <w:r w:rsidR="006E2548">
        <w:rPr>
          <w:rFonts w:eastAsia="Arial"/>
        </w:rPr>
        <w:t>A</w:t>
      </w:r>
      <w:r w:rsidRPr="00AF22D3">
        <w:rPr>
          <w:rFonts w:eastAsia="Arial"/>
        </w:rPr>
        <w:t>nd Why It Matters</w:t>
      </w:r>
      <w:bookmarkEnd w:id="2"/>
    </w:p>
    <w:p w14:paraId="3CD584EF" w14:textId="48DD8B98" w:rsidR="0072625C" w:rsidRDefault="0072625C" w:rsidP="00362540">
      <w:pPr>
        <w:pStyle w:val="Heading2"/>
        <w:spacing w:line="360" w:lineRule="auto"/>
        <w:rPr>
          <w:rFonts w:ascii="Arial" w:eastAsia="Arial" w:hAnsi="Arial" w:cs="Arial"/>
          <w:color w:val="auto"/>
          <w:sz w:val="22"/>
          <w:szCs w:val="22"/>
        </w:rPr>
      </w:pPr>
      <w:bookmarkStart w:id="3" w:name="_Toc225024738"/>
      <w:r w:rsidRPr="0072625C">
        <w:rPr>
          <w:rFonts w:ascii="Arial" w:eastAsia="Arial" w:hAnsi="Arial" w:cs="Arial"/>
          <w:color w:val="auto"/>
          <w:sz w:val="22"/>
          <w:szCs w:val="22"/>
        </w:rPr>
        <w:t>Later stages of dementia often arrive before help begins, leaving</w:t>
      </w:r>
      <w:r>
        <w:rPr>
          <w:rFonts w:ascii="Arial" w:eastAsia="Arial" w:hAnsi="Arial" w:cs="Arial"/>
          <w:color w:val="auto"/>
          <w:sz w:val="22"/>
          <w:szCs w:val="22"/>
        </w:rPr>
        <w:t xml:space="preserve"> the</w:t>
      </w:r>
      <w:r w:rsidRPr="0072625C">
        <w:rPr>
          <w:rFonts w:ascii="Arial" w:eastAsia="Arial" w:hAnsi="Arial" w:cs="Arial"/>
          <w:color w:val="auto"/>
          <w:sz w:val="22"/>
          <w:szCs w:val="22"/>
        </w:rPr>
        <w:t xml:space="preserve"> affected person unsure how to proceed at first. Across areas like England, Northern Ireland, and Wales, many instances go undetected or are confirmed too far into development, raising pressure on loved ones alongside patients. Once changes worsen forgetfulness, disorientation, struggles with routine acts</w:t>
      </w:r>
      <w:r>
        <w:rPr>
          <w:rFonts w:ascii="Arial" w:eastAsia="Arial" w:hAnsi="Arial" w:cs="Arial"/>
          <w:color w:val="auto"/>
          <w:sz w:val="22"/>
          <w:szCs w:val="22"/>
        </w:rPr>
        <w:t>,</w:t>
      </w:r>
      <w:r w:rsidRPr="0072625C">
        <w:rPr>
          <w:rFonts w:ascii="Arial" w:eastAsia="Arial" w:hAnsi="Arial" w:cs="Arial"/>
          <w:color w:val="auto"/>
          <w:sz w:val="22"/>
          <w:szCs w:val="22"/>
        </w:rPr>
        <w:t xml:space="preserve"> family members step in without training, handling care duties freely given but poorly supported. Such involvement tends to wear down mental health, body resilience, and household budgets alike. While healthcare and social services deal with rising strain, more people are arriving at emergencies needing urgent help.</w:t>
      </w:r>
    </w:p>
    <w:p w14:paraId="0C29B2D5" w14:textId="143B2A61" w:rsidR="00575E73" w:rsidRPr="00AF22D3" w:rsidRDefault="00575E73" w:rsidP="00362540">
      <w:pPr>
        <w:pStyle w:val="Heading2"/>
        <w:spacing w:line="360" w:lineRule="auto"/>
        <w:rPr>
          <w:rFonts w:eastAsia="Arial"/>
        </w:rPr>
      </w:pPr>
      <w:r w:rsidRPr="00AF22D3">
        <w:rPr>
          <w:rFonts w:eastAsia="Arial"/>
        </w:rPr>
        <w:t>1.2 Personal Reflection – Why I Chose This Topic</w:t>
      </w:r>
      <w:bookmarkEnd w:id="3"/>
    </w:p>
    <w:p w14:paraId="78E1F33C" w14:textId="2987AC31" w:rsidR="000178BD" w:rsidRPr="00AF22D3" w:rsidRDefault="000178BD" w:rsidP="00362540">
      <w:pPr>
        <w:spacing w:line="360" w:lineRule="auto"/>
        <w:rPr>
          <w:rFonts w:ascii="Arial" w:eastAsia="Arial" w:hAnsi="Arial" w:cs="Arial"/>
          <w:sz w:val="22"/>
          <w:szCs w:val="22"/>
        </w:rPr>
      </w:pPr>
      <w:r w:rsidRPr="00AF22D3">
        <w:rPr>
          <w:rFonts w:ascii="Arial" w:eastAsia="Arial" w:hAnsi="Arial" w:cs="Arial"/>
          <w:sz w:val="22"/>
          <w:szCs w:val="22"/>
        </w:rPr>
        <w:t xml:space="preserve">One reason I turned toward adult care in dementia stems from personal encounters that shaped my view early on. Handling past situations involving cognitive decline built hands-on familiarity with daily support routines. From those moments </w:t>
      </w:r>
      <w:r w:rsidR="0015185D" w:rsidRPr="00AF22D3">
        <w:rPr>
          <w:rFonts w:ascii="Arial" w:eastAsia="Arial" w:hAnsi="Arial" w:cs="Arial"/>
          <w:sz w:val="22"/>
          <w:szCs w:val="22"/>
        </w:rPr>
        <w:t>clear pictures emerged</w:t>
      </w:r>
      <w:r w:rsidRPr="00AF22D3">
        <w:rPr>
          <w:rFonts w:ascii="Arial" w:eastAsia="Arial" w:hAnsi="Arial" w:cs="Arial"/>
          <w:sz w:val="22"/>
          <w:szCs w:val="22"/>
        </w:rPr>
        <w:t xml:space="preserve"> of how memory shifts, mood changes, and broken speech patterns disrupt normal life. What stood out was the quiet effort behind helping someone dress, eat, or recall a name - tasks most take for granted. Observing these challenges reshaped how I see responsiveness and presence in caregiving roles. Real learning came not from textbooks but from sitting, listening, adjusting.</w:t>
      </w:r>
      <w:r w:rsidR="00362540">
        <w:rPr>
          <w:rFonts w:ascii="Arial" w:eastAsia="Arial" w:hAnsi="Arial" w:cs="Arial"/>
          <w:sz w:val="22"/>
          <w:szCs w:val="22"/>
        </w:rPr>
        <w:t xml:space="preserve"> </w:t>
      </w:r>
      <w:r w:rsidRPr="00AF22D3">
        <w:rPr>
          <w:rFonts w:ascii="Arial" w:eastAsia="Arial" w:hAnsi="Arial" w:cs="Arial"/>
          <w:sz w:val="22"/>
          <w:szCs w:val="22"/>
        </w:rPr>
        <w:t>Because this subject connects directly to what I study, using ideas from health and social care theory feels natural in actual cases.</w:t>
      </w:r>
    </w:p>
    <w:p w14:paraId="21665C36" w14:textId="77777777" w:rsidR="00575E73" w:rsidRPr="00AF22D3" w:rsidRDefault="00575E73" w:rsidP="00362540">
      <w:pPr>
        <w:pStyle w:val="Heading1"/>
        <w:spacing w:line="360" w:lineRule="auto"/>
        <w:rPr>
          <w:rFonts w:eastAsia="Arial"/>
        </w:rPr>
      </w:pPr>
      <w:bookmarkStart w:id="4" w:name="_Toc225024739"/>
      <w:r w:rsidRPr="00AF22D3">
        <w:rPr>
          <w:rFonts w:eastAsia="Arial"/>
        </w:rPr>
        <w:t>Task 2 – Evaluating Information Sources</w:t>
      </w:r>
      <w:bookmarkEnd w:id="4"/>
      <w:r w:rsidRPr="00AF22D3">
        <w:rPr>
          <w:rFonts w:eastAsia="Arial"/>
        </w:rPr>
        <w:t xml:space="preserve">  </w:t>
      </w:r>
    </w:p>
    <w:p w14:paraId="6EEC4BB2" w14:textId="77777777" w:rsidR="00575E73" w:rsidRPr="00AF22D3" w:rsidRDefault="00575E73" w:rsidP="00362540">
      <w:pPr>
        <w:pStyle w:val="Heading2"/>
        <w:spacing w:line="360" w:lineRule="auto"/>
        <w:rPr>
          <w:rFonts w:eastAsia="Arial"/>
        </w:rPr>
      </w:pPr>
      <w:bookmarkStart w:id="5" w:name="_Toc225024740"/>
      <w:r w:rsidRPr="00AF22D3">
        <w:rPr>
          <w:rFonts w:eastAsia="Arial"/>
        </w:rPr>
        <w:t>2.1 Source 1</w:t>
      </w:r>
      <w:bookmarkEnd w:id="5"/>
    </w:p>
    <w:p w14:paraId="12896026" w14:textId="77777777"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Alzheimer’s Society (2024) What is dementia? Available at: </w:t>
      </w:r>
      <w:hyperlink r:id="rId10" w:tgtFrame="_new" w:history="1">
        <w:r w:rsidRPr="00CE118D">
          <w:rPr>
            <w:rStyle w:val="Hyperlink"/>
            <w:rFonts w:ascii="Arial" w:eastAsia="Arial" w:hAnsi="Arial" w:cs="Arial"/>
            <w:b/>
            <w:bCs/>
            <w:sz w:val="22"/>
            <w:szCs w:val="22"/>
            <w:lang w:val="en-PH"/>
          </w:rPr>
          <w:t>https://www.alzheimers.org.uk/</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Explains dementia, its symptoms and effects on daily life. Credible as a leading UK dementia charity. Supports the topic by providing key background on patient needs in adult care.</w:t>
      </w:r>
    </w:p>
    <w:p w14:paraId="3B3A4A9A" w14:textId="77777777"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Alzheimer’s Society (2026) What we think about dementia diagnosis. Available at: </w:t>
      </w:r>
      <w:hyperlink r:id="rId11" w:tgtFrame="_new" w:history="1">
        <w:r w:rsidRPr="00CE118D">
          <w:rPr>
            <w:rStyle w:val="Hyperlink"/>
            <w:rFonts w:ascii="Arial" w:eastAsia="Arial" w:hAnsi="Arial" w:cs="Arial"/>
            <w:b/>
            <w:bCs/>
            <w:sz w:val="22"/>
            <w:szCs w:val="22"/>
            <w:lang w:val="en-PH"/>
          </w:rPr>
          <w:t>https://www.alzheimers.org.uk/</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Highlights issues with delayed diagnosis and access to support. Credible due to specialist focus and research-based insights. Supports the topic by identifying a key current care issue.</w:t>
      </w:r>
    </w:p>
    <w:p w14:paraId="464CC3A5" w14:textId="77777777"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Mental Health Foundation (2023) Dementia and carers support. Available at: </w:t>
      </w:r>
      <w:hyperlink r:id="rId12" w:tgtFrame="_new" w:history="1">
        <w:r w:rsidRPr="00CE118D">
          <w:rPr>
            <w:rStyle w:val="Hyperlink"/>
            <w:rFonts w:ascii="Arial" w:eastAsia="Arial" w:hAnsi="Arial" w:cs="Arial"/>
            <w:b/>
            <w:bCs/>
            <w:sz w:val="22"/>
            <w:szCs w:val="22"/>
            <w:lang w:val="en-PH"/>
          </w:rPr>
          <w:t>https://www.mentalhealth.org.uk/</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Focuses on emotional impact and support for carers and patients. Credible due to its established mental health research role. Supports the topic by highlighting the importance of carer wellbeing.</w:t>
      </w:r>
    </w:p>
    <w:p w14:paraId="09FA78A5" w14:textId="77777777"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NHS (2024) Dementia overview. Available at: </w:t>
      </w:r>
      <w:hyperlink r:id="rId13" w:tgtFrame="_new" w:history="1">
        <w:r w:rsidRPr="00CE118D">
          <w:rPr>
            <w:rStyle w:val="Hyperlink"/>
            <w:rFonts w:ascii="Arial" w:eastAsia="Arial" w:hAnsi="Arial" w:cs="Arial"/>
            <w:b/>
            <w:bCs/>
            <w:sz w:val="22"/>
            <w:szCs w:val="22"/>
            <w:lang w:val="en-PH"/>
          </w:rPr>
          <w:t>https://www.nhs.uk/conditions/dementia/</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Covers symptoms, diagnosis and treatment. Highly credible as the UK’s official health service. Supports the topic through clinical and care guidance.</w:t>
      </w:r>
    </w:p>
    <w:p w14:paraId="68F31467" w14:textId="77777777"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NHS (2025) Dementia, social services and the NHS. Available at: </w:t>
      </w:r>
      <w:hyperlink r:id="rId14" w:tgtFrame="_new" w:history="1">
        <w:r w:rsidRPr="00CE118D">
          <w:rPr>
            <w:rStyle w:val="Hyperlink"/>
            <w:rFonts w:ascii="Arial" w:eastAsia="Arial" w:hAnsi="Arial" w:cs="Arial"/>
            <w:b/>
            <w:bCs/>
            <w:sz w:val="22"/>
            <w:szCs w:val="22"/>
            <w:lang w:val="en-PH"/>
          </w:rPr>
          <w:t>https://www.nhs.uk/conditions/dementia/care-and-support/social-services-and-the-nhs/</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Explains available health and social care services for dementia patients. Highly credible as an NHS source. Supports the topic by showing how care systems support patients.</w:t>
      </w:r>
    </w:p>
    <w:p w14:paraId="506291AD" w14:textId="656F3898" w:rsidR="00CE118D" w:rsidRPr="00CE118D" w:rsidRDefault="00CE118D" w:rsidP="00362540">
      <w:pPr>
        <w:spacing w:line="360" w:lineRule="auto"/>
        <w:rPr>
          <w:rFonts w:ascii="Arial" w:eastAsia="Arial" w:hAnsi="Arial" w:cs="Arial"/>
          <w:sz w:val="22"/>
          <w:szCs w:val="22"/>
          <w:lang w:val="en-PH"/>
        </w:rPr>
      </w:pPr>
      <w:r w:rsidRPr="00CE118D">
        <w:rPr>
          <w:rFonts w:ascii="Arial" w:eastAsia="Arial" w:hAnsi="Arial" w:cs="Arial"/>
          <w:b/>
          <w:bCs/>
          <w:sz w:val="22"/>
          <w:szCs w:val="22"/>
          <w:lang w:val="en-PH"/>
        </w:rPr>
        <w:t xml:space="preserve">Skills for Care (2024) Adult social care careers. Available at: </w:t>
      </w:r>
      <w:hyperlink r:id="rId15" w:tgtFrame="_new" w:history="1">
        <w:r w:rsidRPr="00CE118D">
          <w:rPr>
            <w:rStyle w:val="Hyperlink"/>
            <w:rFonts w:ascii="Arial" w:eastAsia="Arial" w:hAnsi="Arial" w:cs="Arial"/>
            <w:b/>
            <w:bCs/>
            <w:sz w:val="22"/>
            <w:szCs w:val="22"/>
            <w:lang w:val="en-PH"/>
          </w:rPr>
          <w:t>https://www.skillsforcare.org.uk/</w:t>
        </w:r>
      </w:hyperlink>
      <w:r w:rsidRPr="00CE118D">
        <w:rPr>
          <w:rFonts w:ascii="Arial" w:eastAsia="Arial" w:hAnsi="Arial" w:cs="Arial"/>
          <w:b/>
          <w:bCs/>
          <w:sz w:val="22"/>
          <w:szCs w:val="22"/>
          <w:lang w:val="en-PH"/>
        </w:rPr>
        <w:t xml:space="preserve"> (Accessed: 18 April 2026).</w:t>
      </w:r>
      <w:r w:rsidRPr="00CE118D">
        <w:rPr>
          <w:rFonts w:ascii="Arial" w:eastAsia="Arial" w:hAnsi="Arial" w:cs="Arial"/>
          <w:sz w:val="22"/>
          <w:szCs w:val="22"/>
          <w:lang w:val="en-PH"/>
        </w:rPr>
        <w:br/>
        <w:t>Outlines roles, skills and responsibilities in care work. Credible as the official adult social care workforce organization. Supports the topic by explaining care worker duties.</w:t>
      </w:r>
    </w:p>
    <w:p w14:paraId="1F9A16C7" w14:textId="77777777" w:rsidR="00575E73" w:rsidRPr="00AF22D3" w:rsidRDefault="00575E73" w:rsidP="00362540">
      <w:pPr>
        <w:spacing w:line="360" w:lineRule="auto"/>
        <w:rPr>
          <w:rFonts w:ascii="Arial" w:eastAsia="Arial" w:hAnsi="Arial" w:cs="Arial"/>
          <w:sz w:val="22"/>
          <w:szCs w:val="22"/>
        </w:rPr>
      </w:pPr>
    </w:p>
    <w:p w14:paraId="75689586" w14:textId="77777777" w:rsidR="00575E73" w:rsidRPr="00AF22D3" w:rsidRDefault="00575E73" w:rsidP="00362540">
      <w:pPr>
        <w:pStyle w:val="Heading2"/>
        <w:spacing w:line="360" w:lineRule="auto"/>
        <w:rPr>
          <w:rFonts w:eastAsia="Arial"/>
        </w:rPr>
      </w:pPr>
      <w:bookmarkStart w:id="6" w:name="_Toc225024741"/>
      <w:r w:rsidRPr="00AF22D3">
        <w:rPr>
          <w:rFonts w:eastAsia="Arial"/>
        </w:rPr>
        <w:t>2.2 Source 2</w:t>
      </w:r>
      <w:bookmarkEnd w:id="6"/>
    </w:p>
    <w:p w14:paraId="6E577BB6" w14:textId="0535B873" w:rsidR="00575E73" w:rsidRPr="00AF22D3" w:rsidRDefault="00CE118D" w:rsidP="00362540">
      <w:pPr>
        <w:spacing w:line="360" w:lineRule="auto"/>
        <w:rPr>
          <w:rFonts w:ascii="Arial" w:eastAsia="Arial" w:hAnsi="Arial" w:cs="Arial"/>
          <w:sz w:val="22"/>
          <w:szCs w:val="22"/>
        </w:rPr>
      </w:pPr>
      <w:r>
        <w:rPr>
          <w:rFonts w:ascii="Arial" w:eastAsia="Arial" w:hAnsi="Arial" w:cs="Arial"/>
          <w:sz w:val="22"/>
          <w:szCs w:val="22"/>
        </w:rPr>
        <w:br/>
      </w:r>
      <w:r w:rsidRPr="00CE118D">
        <w:rPr>
          <w:rFonts w:ascii="Arial" w:eastAsia="Arial" w:hAnsi="Arial" w:cs="Arial"/>
          <w:sz w:val="22"/>
          <w:szCs w:val="22"/>
        </w:rPr>
        <w:t xml:space="preserve">World Health Organization (2023) </w:t>
      </w:r>
      <w:r w:rsidRPr="00CE118D">
        <w:rPr>
          <w:rFonts w:ascii="Arial" w:eastAsia="Arial" w:hAnsi="Arial" w:cs="Arial"/>
          <w:i/>
          <w:iCs/>
          <w:sz w:val="22"/>
          <w:szCs w:val="22"/>
        </w:rPr>
        <w:t>Dementia</w:t>
      </w:r>
      <w:r w:rsidRPr="00CE118D">
        <w:rPr>
          <w:rFonts w:ascii="Arial" w:eastAsia="Arial" w:hAnsi="Arial" w:cs="Arial"/>
          <w:sz w:val="22"/>
          <w:szCs w:val="22"/>
        </w:rPr>
        <w:t xml:space="preserve">. Available at: </w:t>
      </w:r>
      <w:hyperlink r:id="rId16" w:tgtFrame="_new" w:history="1">
        <w:r w:rsidRPr="00CE118D">
          <w:rPr>
            <w:rStyle w:val="Hyperlink"/>
            <w:rFonts w:ascii="Arial" w:eastAsia="Arial" w:hAnsi="Arial" w:cs="Arial"/>
            <w:sz w:val="22"/>
            <w:szCs w:val="22"/>
          </w:rPr>
          <w:t>https://www.who.int/news-room/fact-sheets/detail/dementia</w:t>
        </w:r>
      </w:hyperlink>
      <w:r w:rsidRPr="00CE118D">
        <w:rPr>
          <w:rFonts w:ascii="Arial" w:eastAsia="Arial" w:hAnsi="Arial" w:cs="Arial"/>
          <w:sz w:val="22"/>
          <w:szCs w:val="22"/>
        </w:rPr>
        <w:t xml:space="preserve"> (Accessed: 18 April 2026).</w:t>
      </w:r>
      <w:r>
        <w:rPr>
          <w:rFonts w:ascii="Arial" w:eastAsia="Arial" w:hAnsi="Arial" w:cs="Arial"/>
          <w:sz w:val="22"/>
          <w:szCs w:val="22"/>
        </w:rPr>
        <w:br/>
      </w:r>
      <w:r>
        <w:rPr>
          <w:rFonts w:ascii="Arial" w:eastAsia="Arial" w:hAnsi="Arial" w:cs="Arial"/>
          <w:sz w:val="22"/>
          <w:szCs w:val="22"/>
        </w:rPr>
        <w:br/>
      </w:r>
      <w:r w:rsidRPr="00CE118D">
        <w:rPr>
          <w:rFonts w:ascii="Arial" w:eastAsia="Arial" w:hAnsi="Arial" w:cs="Arial"/>
          <w:sz w:val="22"/>
          <w:szCs w:val="22"/>
        </w:rPr>
        <w:t>Looking at</w:t>
      </w:r>
      <w:r>
        <w:rPr>
          <w:rFonts w:ascii="Arial" w:eastAsia="Arial" w:hAnsi="Arial" w:cs="Arial"/>
          <w:sz w:val="22"/>
          <w:szCs w:val="22"/>
        </w:rPr>
        <w:t xml:space="preserve"> the big picture of</w:t>
      </w:r>
      <w:r w:rsidRPr="00CE118D">
        <w:rPr>
          <w:rFonts w:ascii="Arial" w:eastAsia="Arial" w:hAnsi="Arial" w:cs="Arial"/>
          <w:sz w:val="22"/>
          <w:szCs w:val="22"/>
        </w:rPr>
        <w:t xml:space="preserve"> dementi</w:t>
      </w:r>
      <w:r>
        <w:rPr>
          <w:rFonts w:ascii="Arial" w:eastAsia="Arial" w:hAnsi="Arial" w:cs="Arial"/>
          <w:sz w:val="22"/>
          <w:szCs w:val="22"/>
        </w:rPr>
        <w:t>a</w:t>
      </w:r>
      <w:r w:rsidRPr="00CE118D">
        <w:rPr>
          <w:rFonts w:ascii="Arial" w:eastAsia="Arial" w:hAnsi="Arial" w:cs="Arial"/>
          <w:sz w:val="22"/>
          <w:szCs w:val="22"/>
        </w:rPr>
        <w:t>, this material outlines how common it is across countries, what raises the chance of developing it, ways to lower those risks, along with effects on societies and economies. Backed by solid reputation, its origin - the World Health Organization - holds weight in global health matters. While some references center only on the UK, like the NHS or Alzheimer’s Society, here the view expands far beyond borders.</w:t>
      </w:r>
    </w:p>
    <w:p w14:paraId="2D31D660" w14:textId="77777777" w:rsidR="00575E73" w:rsidRPr="00AF22D3" w:rsidRDefault="00575E73" w:rsidP="00362540">
      <w:pPr>
        <w:spacing w:line="360" w:lineRule="auto"/>
        <w:rPr>
          <w:rFonts w:ascii="Arial" w:eastAsia="Arial" w:hAnsi="Arial" w:cs="Arial"/>
          <w:sz w:val="22"/>
          <w:szCs w:val="22"/>
        </w:rPr>
      </w:pPr>
    </w:p>
    <w:p w14:paraId="6BF9F205" w14:textId="77777777" w:rsidR="00575E73" w:rsidRPr="00AF22D3" w:rsidRDefault="00432D05" w:rsidP="00362540">
      <w:pPr>
        <w:pStyle w:val="Heading2"/>
        <w:spacing w:line="360" w:lineRule="auto"/>
        <w:rPr>
          <w:rFonts w:eastAsia="Arial"/>
        </w:rPr>
      </w:pPr>
      <w:bookmarkStart w:id="7" w:name="_Toc225024742"/>
      <w:r w:rsidRPr="00AF22D3">
        <w:rPr>
          <w:rFonts w:eastAsia="Arial"/>
        </w:rPr>
        <w:t>2.3 Source</w:t>
      </w:r>
      <w:r w:rsidR="00575E73" w:rsidRPr="00AF22D3">
        <w:rPr>
          <w:rFonts w:eastAsia="Arial"/>
        </w:rPr>
        <w:t xml:space="preserve"> 3</w:t>
      </w:r>
      <w:bookmarkEnd w:id="7"/>
    </w:p>
    <w:p w14:paraId="7EFF32F9" w14:textId="77777777" w:rsidR="004F7F42" w:rsidRPr="004F7F42" w:rsidRDefault="004F7F42" w:rsidP="00362540">
      <w:pPr>
        <w:spacing w:line="360" w:lineRule="auto"/>
        <w:rPr>
          <w:rFonts w:ascii="Arial" w:eastAsia="Arial" w:hAnsi="Arial" w:cs="Arial"/>
          <w:sz w:val="22"/>
          <w:szCs w:val="22"/>
          <w:lang w:val="en-PH"/>
        </w:rPr>
      </w:pPr>
      <w:r w:rsidRPr="004F7F42">
        <w:rPr>
          <w:rFonts w:ascii="Arial" w:eastAsia="Arial" w:hAnsi="Arial" w:cs="Arial"/>
          <w:b/>
          <w:bCs/>
          <w:sz w:val="22"/>
          <w:szCs w:val="22"/>
          <w:lang w:val="en-PH"/>
        </w:rPr>
        <w:t xml:space="preserve">NHS (2024) Dementia overview. Available at: </w:t>
      </w:r>
      <w:hyperlink r:id="rId17" w:tgtFrame="_new" w:history="1">
        <w:r w:rsidRPr="004F7F42">
          <w:rPr>
            <w:rStyle w:val="Hyperlink"/>
            <w:rFonts w:ascii="Arial" w:eastAsia="Arial" w:hAnsi="Arial" w:cs="Arial"/>
            <w:b/>
            <w:bCs/>
            <w:sz w:val="22"/>
            <w:szCs w:val="22"/>
            <w:lang w:val="en-PH"/>
          </w:rPr>
          <w:t>https://www.nhs.uk/conditions/dementia/</w:t>
        </w:r>
      </w:hyperlink>
      <w:r w:rsidRPr="004F7F42">
        <w:rPr>
          <w:rFonts w:ascii="Arial" w:eastAsia="Arial" w:hAnsi="Arial" w:cs="Arial"/>
          <w:b/>
          <w:bCs/>
          <w:sz w:val="22"/>
          <w:szCs w:val="22"/>
          <w:lang w:val="en-PH"/>
        </w:rPr>
        <w:t xml:space="preserve"> (Accessed: 18 April 2026).</w:t>
      </w:r>
    </w:p>
    <w:p w14:paraId="78348177" w14:textId="6B5DD1C9" w:rsidR="00575E73" w:rsidRPr="00AF22D3" w:rsidRDefault="00116D92" w:rsidP="00362540">
      <w:pPr>
        <w:spacing w:line="360" w:lineRule="auto"/>
        <w:rPr>
          <w:rFonts w:ascii="Arial" w:eastAsia="Arial" w:hAnsi="Arial" w:cs="Arial"/>
          <w:sz w:val="22"/>
          <w:szCs w:val="22"/>
        </w:rPr>
      </w:pPr>
      <w:r w:rsidRPr="00116D92">
        <w:rPr>
          <w:rFonts w:ascii="Arial" w:eastAsia="Arial" w:hAnsi="Arial" w:cs="Arial"/>
          <w:sz w:val="22"/>
          <w:szCs w:val="22"/>
          <w:lang w:val="en-PH"/>
        </w:rPr>
        <w:t>This source outlines signs of dementia, its origins, how doctors confirm it, and available care approaches through a medical lens. Published by the United Kingdom's National Health Service - a widely respected public health body - it carries strong reliability. Rather than relying on advocacy narratives, the material emphasizes facts tied to diagnosis and clinical practice.</w:t>
      </w:r>
    </w:p>
    <w:p w14:paraId="1157BBF4" w14:textId="5F459EA4" w:rsidR="00575E73" w:rsidRPr="00AF22D3" w:rsidRDefault="00432D05" w:rsidP="00362540">
      <w:pPr>
        <w:pStyle w:val="Heading2"/>
        <w:spacing w:line="360" w:lineRule="auto"/>
        <w:rPr>
          <w:rFonts w:eastAsia="Arial"/>
        </w:rPr>
      </w:pPr>
      <w:bookmarkStart w:id="8" w:name="_Toc225024743"/>
      <w:r w:rsidRPr="00AF22D3">
        <w:rPr>
          <w:rFonts w:eastAsia="Arial"/>
        </w:rPr>
        <w:t xml:space="preserve">2.4 </w:t>
      </w:r>
      <w:r w:rsidR="00575E73" w:rsidRPr="00AF22D3">
        <w:rPr>
          <w:rFonts w:eastAsia="Arial"/>
        </w:rPr>
        <w:t xml:space="preserve">Gaps </w:t>
      </w:r>
      <w:r w:rsidR="006E2548">
        <w:rPr>
          <w:rFonts w:eastAsia="Arial"/>
        </w:rPr>
        <w:t>I</w:t>
      </w:r>
      <w:r w:rsidR="00575E73" w:rsidRPr="00AF22D3">
        <w:rPr>
          <w:rFonts w:eastAsia="Arial"/>
        </w:rPr>
        <w:t>n Current Research</w:t>
      </w:r>
      <w:bookmarkEnd w:id="8"/>
    </w:p>
    <w:p w14:paraId="6ED88251" w14:textId="7BA02B67" w:rsidR="00B46C3A" w:rsidRPr="00B46C3A" w:rsidRDefault="00116D92" w:rsidP="00362540">
      <w:pPr>
        <w:spacing w:line="360" w:lineRule="auto"/>
        <w:rPr>
          <w:rFonts w:ascii="Arial" w:eastAsia="Arial" w:hAnsi="Arial" w:cs="Arial"/>
          <w:sz w:val="22"/>
          <w:szCs w:val="22"/>
        </w:rPr>
      </w:pPr>
      <w:r w:rsidRPr="00116D92">
        <w:rPr>
          <w:rFonts w:ascii="Arial" w:eastAsia="Arial" w:hAnsi="Arial" w:cs="Arial"/>
          <w:sz w:val="22"/>
          <w:szCs w:val="22"/>
        </w:rPr>
        <w:t xml:space="preserve">Figuring out dementia sooner rather than later still lacks solid guidance, especially when care happens at home or within local communities. Because instead of clear answers, most findings about person-focused methods fall short - particularly around lasting benefits for mood changes or confusion tied to the condition. </w:t>
      </w:r>
      <w:bookmarkStart w:id="9" w:name="_Toc225024744"/>
    </w:p>
    <w:p w14:paraId="7058C48E" w14:textId="77777777" w:rsidR="00362540" w:rsidRDefault="00362540" w:rsidP="00362540">
      <w:pPr>
        <w:pStyle w:val="Heading1"/>
        <w:spacing w:line="360" w:lineRule="auto"/>
        <w:rPr>
          <w:rFonts w:eastAsia="Arial"/>
        </w:rPr>
      </w:pPr>
    </w:p>
    <w:p w14:paraId="79A5706A" w14:textId="723A9F25" w:rsidR="00362540" w:rsidRDefault="00362540" w:rsidP="00362540">
      <w:pPr>
        <w:spacing w:line="360" w:lineRule="auto"/>
      </w:pPr>
    </w:p>
    <w:p w14:paraId="46532B47" w14:textId="77777777" w:rsidR="00362540" w:rsidRDefault="00362540" w:rsidP="00362540">
      <w:pPr>
        <w:spacing w:line="360" w:lineRule="auto"/>
      </w:pPr>
    </w:p>
    <w:p w14:paraId="2152EF85" w14:textId="77777777" w:rsidR="00362540" w:rsidRPr="00362540" w:rsidRDefault="00362540" w:rsidP="00362540">
      <w:pPr>
        <w:spacing w:line="360" w:lineRule="auto"/>
      </w:pPr>
    </w:p>
    <w:p w14:paraId="4F80DC54" w14:textId="457C4CDF" w:rsidR="00575E73" w:rsidRPr="00AF22D3" w:rsidRDefault="00575E73" w:rsidP="00362540">
      <w:pPr>
        <w:pStyle w:val="Heading1"/>
        <w:spacing w:line="360" w:lineRule="auto"/>
        <w:rPr>
          <w:rFonts w:eastAsia="Arial"/>
        </w:rPr>
      </w:pPr>
      <w:r w:rsidRPr="00AF22D3">
        <w:rPr>
          <w:rFonts w:eastAsia="Arial"/>
        </w:rPr>
        <w:t>Task 3 – Research Methodologies</w:t>
      </w:r>
      <w:bookmarkEnd w:id="9"/>
      <w:r w:rsidRPr="00AF22D3">
        <w:rPr>
          <w:rFonts w:eastAsia="Arial"/>
        </w:rPr>
        <w:t xml:space="preserve">  </w:t>
      </w:r>
    </w:p>
    <w:p w14:paraId="1D915D8E" w14:textId="4F384B24" w:rsidR="00575E73" w:rsidRPr="00AF22D3" w:rsidRDefault="00432D05" w:rsidP="00362540">
      <w:pPr>
        <w:pStyle w:val="Heading2"/>
        <w:spacing w:line="360" w:lineRule="auto"/>
        <w:rPr>
          <w:rFonts w:eastAsia="Arial"/>
        </w:rPr>
      </w:pPr>
      <w:bookmarkStart w:id="10" w:name="_Toc225024745"/>
      <w:r w:rsidRPr="00AF22D3">
        <w:rPr>
          <w:rFonts w:eastAsia="Arial"/>
        </w:rPr>
        <w:t xml:space="preserve">3.1 </w:t>
      </w:r>
      <w:r w:rsidR="00575E73" w:rsidRPr="00AF22D3">
        <w:rPr>
          <w:rFonts w:eastAsia="Arial"/>
        </w:rPr>
        <w:t xml:space="preserve">Definitions </w:t>
      </w:r>
      <w:r w:rsidR="006E2548">
        <w:rPr>
          <w:rFonts w:eastAsia="Arial"/>
        </w:rPr>
        <w:t>A</w:t>
      </w:r>
      <w:r w:rsidR="00575E73" w:rsidRPr="00AF22D3">
        <w:rPr>
          <w:rFonts w:eastAsia="Arial"/>
        </w:rPr>
        <w:t>nd Examples</w:t>
      </w:r>
      <w:bookmarkEnd w:id="10"/>
    </w:p>
    <w:p w14:paraId="4F178EAE" w14:textId="77777777" w:rsidR="004505DD" w:rsidRPr="004505DD" w:rsidRDefault="004505DD" w:rsidP="00362540">
      <w:pPr>
        <w:spacing w:line="360" w:lineRule="auto"/>
        <w:rPr>
          <w:rFonts w:ascii="Arial" w:eastAsia="Arial" w:hAnsi="Arial" w:cs="Arial"/>
          <w:b/>
          <w:bCs/>
          <w:sz w:val="22"/>
          <w:szCs w:val="22"/>
        </w:rPr>
      </w:pPr>
      <w:r w:rsidRPr="004505DD">
        <w:rPr>
          <w:rFonts w:ascii="Arial" w:eastAsia="Arial" w:hAnsi="Arial" w:cs="Arial"/>
          <w:b/>
          <w:bCs/>
          <w:sz w:val="22"/>
          <w:szCs w:val="22"/>
        </w:rPr>
        <w:t>Quantitative</w:t>
      </w:r>
    </w:p>
    <w:p w14:paraId="55C99BED" w14:textId="042E9967" w:rsidR="004505DD" w:rsidRPr="004505DD" w:rsidRDefault="004505DD" w:rsidP="00362540">
      <w:pPr>
        <w:spacing w:line="360" w:lineRule="auto"/>
        <w:rPr>
          <w:rFonts w:ascii="Arial" w:eastAsia="Arial" w:hAnsi="Arial" w:cs="Arial"/>
          <w:sz w:val="22"/>
          <w:szCs w:val="22"/>
        </w:rPr>
      </w:pPr>
      <w:r w:rsidRPr="004505DD">
        <w:rPr>
          <w:rFonts w:ascii="Arial" w:eastAsia="Arial" w:hAnsi="Arial" w:cs="Arial"/>
          <w:sz w:val="22"/>
          <w:szCs w:val="22"/>
        </w:rPr>
        <w:t>Numbers tell stories when gathered through careful counting and later studied with statistical tools. Because results show clear links or repeated behaviors, they offer solid ground for understanding what happens in real situations.</w:t>
      </w:r>
    </w:p>
    <w:p w14:paraId="326FB076" w14:textId="77777777" w:rsidR="004505DD" w:rsidRPr="004505DD" w:rsidRDefault="004505DD" w:rsidP="00362540">
      <w:pPr>
        <w:spacing w:line="360" w:lineRule="auto"/>
        <w:rPr>
          <w:rFonts w:ascii="Arial" w:eastAsia="Arial" w:hAnsi="Arial" w:cs="Arial"/>
          <w:b/>
          <w:bCs/>
          <w:sz w:val="22"/>
          <w:szCs w:val="22"/>
        </w:rPr>
      </w:pPr>
      <w:r w:rsidRPr="004505DD">
        <w:rPr>
          <w:rFonts w:ascii="Arial" w:eastAsia="Arial" w:hAnsi="Arial" w:cs="Arial"/>
          <w:b/>
          <w:bCs/>
          <w:sz w:val="22"/>
          <w:szCs w:val="22"/>
        </w:rPr>
        <w:t>Qualitative</w:t>
      </w:r>
    </w:p>
    <w:p w14:paraId="01D15EC9" w14:textId="7BF82BC5" w:rsidR="004505DD" w:rsidRPr="004505DD" w:rsidRDefault="004505DD" w:rsidP="00362540">
      <w:pPr>
        <w:spacing w:line="360" w:lineRule="auto"/>
        <w:rPr>
          <w:rFonts w:ascii="Arial" w:eastAsia="Arial" w:hAnsi="Arial" w:cs="Arial"/>
          <w:sz w:val="22"/>
          <w:szCs w:val="22"/>
        </w:rPr>
      </w:pPr>
      <w:r w:rsidRPr="004505DD">
        <w:rPr>
          <w:rFonts w:ascii="Arial" w:eastAsia="Arial" w:hAnsi="Arial" w:cs="Arial"/>
          <w:sz w:val="22"/>
          <w:szCs w:val="22"/>
        </w:rPr>
        <w:t xml:space="preserve">Looking into people's lives, qualitative research digs into thoughts and feelings without numbers. Because it uncovers motives, it shows why someone acts a certain way, relying on talks or watching behavior. </w:t>
      </w:r>
    </w:p>
    <w:p w14:paraId="582DF62C" w14:textId="77777777" w:rsidR="004505DD" w:rsidRPr="004505DD" w:rsidRDefault="004505DD" w:rsidP="00362540">
      <w:pPr>
        <w:spacing w:line="360" w:lineRule="auto"/>
        <w:rPr>
          <w:rFonts w:ascii="Arial" w:eastAsia="Arial" w:hAnsi="Arial" w:cs="Arial"/>
          <w:b/>
          <w:bCs/>
          <w:sz w:val="22"/>
          <w:szCs w:val="22"/>
        </w:rPr>
      </w:pPr>
      <w:r w:rsidRPr="004505DD">
        <w:rPr>
          <w:rFonts w:ascii="Arial" w:eastAsia="Arial" w:hAnsi="Arial" w:cs="Arial"/>
          <w:b/>
          <w:bCs/>
          <w:sz w:val="22"/>
          <w:szCs w:val="22"/>
        </w:rPr>
        <w:t>Mixed-methods</w:t>
      </w:r>
    </w:p>
    <w:p w14:paraId="11F124B3" w14:textId="56DCEBE7" w:rsidR="00575E73" w:rsidRPr="00AF22D3" w:rsidRDefault="004505DD" w:rsidP="00362540">
      <w:pPr>
        <w:spacing w:line="360" w:lineRule="auto"/>
        <w:rPr>
          <w:rFonts w:ascii="Arial" w:eastAsia="Arial" w:hAnsi="Arial" w:cs="Arial"/>
          <w:sz w:val="22"/>
          <w:szCs w:val="22"/>
        </w:rPr>
      </w:pPr>
      <w:r w:rsidRPr="004505DD">
        <w:rPr>
          <w:rFonts w:ascii="Arial" w:eastAsia="Arial" w:hAnsi="Arial" w:cs="Arial"/>
          <w:sz w:val="22"/>
          <w:szCs w:val="22"/>
        </w:rPr>
        <w:t>Numbers and stories together shape clearer pictures when studying complex issues. By blending counts with conversations, investigators see patterns alongside personal truths. When looking at older adults living with memory loss, facts about service success pair with firsthand accounts from people on the ground. One part might measure how often hospital visits happen, another listens to staff describe what leads up to each stay.</w:t>
      </w:r>
    </w:p>
    <w:p w14:paraId="6B19A7D7" w14:textId="203A479B" w:rsidR="00575E73" w:rsidRPr="00AF22D3" w:rsidRDefault="00432D05" w:rsidP="00362540">
      <w:pPr>
        <w:pStyle w:val="Heading2"/>
        <w:spacing w:line="360" w:lineRule="auto"/>
        <w:rPr>
          <w:rFonts w:eastAsia="Arial"/>
        </w:rPr>
      </w:pPr>
      <w:bookmarkStart w:id="11" w:name="_Toc225024746"/>
      <w:r w:rsidRPr="00AF22D3">
        <w:rPr>
          <w:rFonts w:eastAsia="Arial"/>
        </w:rPr>
        <w:t xml:space="preserve">3.2 </w:t>
      </w:r>
      <w:r w:rsidR="00575E73" w:rsidRPr="00AF22D3">
        <w:rPr>
          <w:rFonts w:eastAsia="Arial"/>
        </w:rPr>
        <w:t xml:space="preserve">Chosen Methodology </w:t>
      </w:r>
      <w:r w:rsidR="006E2548">
        <w:rPr>
          <w:rFonts w:eastAsia="Arial"/>
        </w:rPr>
        <w:t>A</w:t>
      </w:r>
      <w:r w:rsidR="00575E73" w:rsidRPr="00AF22D3">
        <w:rPr>
          <w:rFonts w:eastAsia="Arial"/>
        </w:rPr>
        <w:t>nd Justification</w:t>
      </w:r>
      <w:bookmarkEnd w:id="11"/>
    </w:p>
    <w:p w14:paraId="1DC4CC37" w14:textId="1FF7635D" w:rsidR="00575E73" w:rsidRPr="00AF22D3" w:rsidRDefault="004505DD" w:rsidP="00362540">
      <w:pPr>
        <w:spacing w:line="360" w:lineRule="auto"/>
        <w:rPr>
          <w:rFonts w:ascii="Arial" w:eastAsia="Arial" w:hAnsi="Arial" w:cs="Arial"/>
          <w:sz w:val="22"/>
          <w:szCs w:val="22"/>
        </w:rPr>
      </w:pPr>
      <w:r w:rsidRPr="004505DD">
        <w:rPr>
          <w:rFonts w:ascii="Arial" w:eastAsia="Arial" w:hAnsi="Arial" w:cs="Arial"/>
          <w:sz w:val="22"/>
          <w:szCs w:val="22"/>
        </w:rPr>
        <w:t xml:space="preserve">Because dementia care involves both numbers and human stories, mixing types of data makes sense. One way to see patterns across large groups comes from statistics - things like how often services are used or what kinds of support patients need most. Yet those figures alone miss personal depth. For that, interviews with caregivers offer texture, revealing moments charts cannot show. Where hard metrics track change over time, lived accounts explain why certain changes matter. Combining these paths allows room for both precision and </w:t>
      </w:r>
      <w:r w:rsidR="00362540">
        <w:rPr>
          <w:rFonts w:ascii="Arial" w:eastAsia="Arial" w:hAnsi="Arial" w:cs="Arial"/>
          <w:sz w:val="22"/>
          <w:szCs w:val="22"/>
        </w:rPr>
        <w:t>diversity</w:t>
      </w:r>
      <w:r w:rsidRPr="004505DD">
        <w:rPr>
          <w:rFonts w:ascii="Arial" w:eastAsia="Arial" w:hAnsi="Arial" w:cs="Arial"/>
          <w:sz w:val="22"/>
          <w:szCs w:val="22"/>
        </w:rPr>
        <w:t>.</w:t>
      </w:r>
    </w:p>
    <w:p w14:paraId="21DB18B3" w14:textId="77777777" w:rsidR="00575E73" w:rsidRPr="00AF22D3" w:rsidRDefault="00575E73" w:rsidP="00362540">
      <w:pPr>
        <w:pStyle w:val="Heading1"/>
        <w:spacing w:line="360" w:lineRule="auto"/>
        <w:rPr>
          <w:rFonts w:eastAsia="Arial"/>
        </w:rPr>
      </w:pPr>
      <w:bookmarkStart w:id="12" w:name="_Toc225024747"/>
      <w:r w:rsidRPr="00AF22D3">
        <w:rPr>
          <w:rFonts w:eastAsia="Arial"/>
        </w:rPr>
        <w:t>Task 4 – Data Collection</w:t>
      </w:r>
      <w:bookmarkEnd w:id="12"/>
      <w:r w:rsidRPr="00AF22D3">
        <w:rPr>
          <w:rFonts w:eastAsia="Arial"/>
        </w:rPr>
        <w:t xml:space="preserve">  </w:t>
      </w:r>
    </w:p>
    <w:p w14:paraId="6D4F3FC6" w14:textId="3F7AB818" w:rsidR="00575E73" w:rsidRPr="00AF22D3" w:rsidRDefault="00432D05" w:rsidP="00362540">
      <w:pPr>
        <w:pStyle w:val="Heading2"/>
        <w:spacing w:line="360" w:lineRule="auto"/>
        <w:rPr>
          <w:rFonts w:eastAsia="Arial"/>
        </w:rPr>
      </w:pPr>
      <w:bookmarkStart w:id="13" w:name="_Toc225024748"/>
      <w:r w:rsidRPr="00AF22D3">
        <w:rPr>
          <w:rFonts w:eastAsia="Arial"/>
        </w:rPr>
        <w:t xml:space="preserve">4.1 </w:t>
      </w:r>
      <w:r w:rsidR="00575E73" w:rsidRPr="00AF22D3">
        <w:rPr>
          <w:rFonts w:eastAsia="Arial"/>
        </w:rPr>
        <w:t xml:space="preserve">Primary </w:t>
      </w:r>
      <w:r w:rsidR="00832C38">
        <w:rPr>
          <w:rFonts w:eastAsia="Arial"/>
        </w:rPr>
        <w:t>V</w:t>
      </w:r>
      <w:r w:rsidR="00575E73" w:rsidRPr="00AF22D3">
        <w:rPr>
          <w:rFonts w:eastAsia="Arial"/>
        </w:rPr>
        <w:t>s Secondary Data</w:t>
      </w:r>
      <w:bookmarkEnd w:id="13"/>
    </w:p>
    <w:p w14:paraId="29F56F70" w14:textId="0DF7D5CA" w:rsidR="00575E73" w:rsidRPr="00AF22D3" w:rsidRDefault="004505DD" w:rsidP="00362540">
      <w:pPr>
        <w:spacing w:line="360" w:lineRule="auto"/>
        <w:rPr>
          <w:rFonts w:ascii="Arial" w:eastAsia="Arial" w:hAnsi="Arial" w:cs="Arial"/>
          <w:sz w:val="22"/>
          <w:szCs w:val="22"/>
        </w:rPr>
      </w:pPr>
      <w:r w:rsidRPr="004505DD">
        <w:rPr>
          <w:rFonts w:ascii="Arial" w:eastAsia="Arial" w:hAnsi="Arial" w:cs="Arial"/>
          <w:sz w:val="22"/>
          <w:szCs w:val="22"/>
        </w:rPr>
        <w:t>Gathering info on dementia care might mean asking questions face to face - those answers</w:t>
      </w:r>
      <w:r w:rsidR="00C837CA">
        <w:rPr>
          <w:rFonts w:ascii="Arial" w:eastAsia="Arial" w:hAnsi="Arial" w:cs="Arial"/>
          <w:sz w:val="22"/>
          <w:szCs w:val="22"/>
        </w:rPr>
        <w:t xml:space="preserve"> primary data because they</w:t>
      </w:r>
      <w:r w:rsidRPr="004505DD">
        <w:rPr>
          <w:rFonts w:ascii="Arial" w:eastAsia="Arial" w:hAnsi="Arial" w:cs="Arial"/>
          <w:sz w:val="22"/>
          <w:szCs w:val="22"/>
        </w:rPr>
        <w:t xml:space="preserve"> are mine alone.</w:t>
      </w:r>
      <w:r w:rsidR="00C837CA">
        <w:rPr>
          <w:rFonts w:ascii="Arial" w:eastAsia="Arial" w:hAnsi="Arial" w:cs="Arial"/>
          <w:sz w:val="22"/>
          <w:szCs w:val="22"/>
        </w:rPr>
        <w:t xml:space="preserve"> On the other hand,</w:t>
      </w:r>
      <w:r w:rsidRPr="004505DD">
        <w:rPr>
          <w:rFonts w:ascii="Arial" w:eastAsia="Arial" w:hAnsi="Arial" w:cs="Arial"/>
          <w:sz w:val="22"/>
          <w:szCs w:val="22"/>
        </w:rPr>
        <w:t xml:space="preserve"> </w:t>
      </w:r>
      <w:r w:rsidR="00C837CA">
        <w:rPr>
          <w:rFonts w:ascii="Arial" w:eastAsia="Arial" w:hAnsi="Arial" w:cs="Arial"/>
          <w:sz w:val="22"/>
          <w:szCs w:val="22"/>
        </w:rPr>
        <w:t>s</w:t>
      </w:r>
      <w:r w:rsidRPr="004505DD">
        <w:rPr>
          <w:rFonts w:ascii="Arial" w:eastAsia="Arial" w:hAnsi="Arial" w:cs="Arial"/>
          <w:sz w:val="22"/>
          <w:szCs w:val="22"/>
        </w:rPr>
        <w:t>omeone else’s reports like those from health services or charities count as</w:t>
      </w:r>
      <w:r w:rsidR="00C837CA">
        <w:rPr>
          <w:rFonts w:ascii="Arial" w:eastAsia="Arial" w:hAnsi="Arial" w:cs="Arial"/>
          <w:sz w:val="22"/>
          <w:szCs w:val="22"/>
        </w:rPr>
        <w:t xml:space="preserve"> secondary data because they are</w:t>
      </w:r>
      <w:r w:rsidRPr="004505DD">
        <w:rPr>
          <w:rFonts w:ascii="Arial" w:eastAsia="Arial" w:hAnsi="Arial" w:cs="Arial"/>
          <w:sz w:val="22"/>
          <w:szCs w:val="22"/>
        </w:rPr>
        <w:t xml:space="preserve"> pre-existing material sitting</w:t>
      </w:r>
      <w:r w:rsidR="00C837CA">
        <w:rPr>
          <w:rFonts w:ascii="Arial" w:eastAsia="Arial" w:hAnsi="Arial" w:cs="Arial"/>
          <w:sz w:val="22"/>
          <w:szCs w:val="22"/>
        </w:rPr>
        <w:t xml:space="preserve"> there</w:t>
      </w:r>
      <w:r w:rsidRPr="004505DD">
        <w:rPr>
          <w:rFonts w:ascii="Arial" w:eastAsia="Arial" w:hAnsi="Arial" w:cs="Arial"/>
          <w:sz w:val="22"/>
          <w:szCs w:val="22"/>
        </w:rPr>
        <w:t xml:space="preserve"> ready to be used.</w:t>
      </w:r>
    </w:p>
    <w:p w14:paraId="47C0F42D" w14:textId="1E894F88" w:rsidR="00575E73" w:rsidRPr="00AF22D3" w:rsidRDefault="00432D05" w:rsidP="00362540">
      <w:pPr>
        <w:pStyle w:val="Heading2"/>
        <w:spacing w:line="360" w:lineRule="auto"/>
        <w:rPr>
          <w:rFonts w:eastAsia="Arial"/>
        </w:rPr>
      </w:pPr>
      <w:bookmarkStart w:id="14" w:name="_Toc225024749"/>
      <w:r w:rsidRPr="00AF22D3">
        <w:rPr>
          <w:rFonts w:eastAsia="Arial"/>
        </w:rPr>
        <w:t xml:space="preserve">4.2 </w:t>
      </w:r>
      <w:r w:rsidR="00575E73" w:rsidRPr="00AF22D3">
        <w:rPr>
          <w:rFonts w:eastAsia="Arial"/>
        </w:rPr>
        <w:t xml:space="preserve">Chosen Data Type </w:t>
      </w:r>
      <w:r w:rsidR="006E2548">
        <w:rPr>
          <w:rFonts w:eastAsia="Arial"/>
        </w:rPr>
        <w:t>A</w:t>
      </w:r>
      <w:r w:rsidR="00575E73" w:rsidRPr="00AF22D3">
        <w:rPr>
          <w:rFonts w:eastAsia="Arial"/>
        </w:rPr>
        <w:t>nd Justification</w:t>
      </w:r>
      <w:bookmarkEnd w:id="14"/>
    </w:p>
    <w:p w14:paraId="382000A8" w14:textId="77777777" w:rsidR="00C837CA" w:rsidRDefault="00C837CA" w:rsidP="00362540">
      <w:pPr>
        <w:spacing w:line="360" w:lineRule="auto"/>
        <w:rPr>
          <w:rFonts w:ascii="Arial" w:eastAsia="Arial" w:hAnsi="Arial" w:cs="Arial"/>
          <w:sz w:val="22"/>
          <w:szCs w:val="22"/>
          <w:lang w:val="en-PH"/>
        </w:rPr>
      </w:pPr>
      <w:r w:rsidRPr="00C837CA">
        <w:rPr>
          <w:rFonts w:ascii="Arial" w:eastAsia="Arial" w:hAnsi="Arial" w:cs="Arial"/>
          <w:sz w:val="22"/>
          <w:szCs w:val="22"/>
          <w:lang w:val="en-PH"/>
        </w:rPr>
        <w:t>Because I’ve worked closely with adults who have dementia, </w:t>
      </w:r>
      <w:r>
        <w:rPr>
          <w:rFonts w:ascii="Arial" w:eastAsia="Arial" w:hAnsi="Arial" w:cs="Arial"/>
          <w:sz w:val="22"/>
          <w:szCs w:val="22"/>
          <w:lang w:val="en-PH"/>
        </w:rPr>
        <w:t xml:space="preserve">I’ll be using primary data because </w:t>
      </w:r>
      <w:r w:rsidRPr="00C837CA">
        <w:rPr>
          <w:rFonts w:ascii="Arial" w:eastAsia="Arial" w:hAnsi="Arial" w:cs="Arial"/>
          <w:sz w:val="22"/>
          <w:szCs w:val="22"/>
          <w:lang w:val="en-PH"/>
        </w:rPr>
        <w:t>gathering fresh data feels like the right path forward. </w:t>
      </w:r>
    </w:p>
    <w:p w14:paraId="6F45C7BD" w14:textId="2ADFB202" w:rsidR="00C837CA" w:rsidRPr="00C837CA" w:rsidRDefault="00C837CA" w:rsidP="00362540">
      <w:pPr>
        <w:spacing w:line="360" w:lineRule="auto"/>
        <w:rPr>
          <w:rFonts w:ascii="Arial" w:eastAsia="Arial" w:hAnsi="Arial" w:cs="Arial"/>
          <w:sz w:val="22"/>
          <w:szCs w:val="22"/>
          <w:lang w:val="en-PH"/>
        </w:rPr>
      </w:pPr>
      <w:r w:rsidRPr="00C837CA">
        <w:rPr>
          <w:rFonts w:ascii="Arial" w:eastAsia="Arial" w:hAnsi="Arial" w:cs="Arial"/>
          <w:sz w:val="22"/>
          <w:szCs w:val="22"/>
          <w:lang w:val="en-PH"/>
        </w:rPr>
        <w:t>My past experiences shape how I see each case, adding depth beyond</w:t>
      </w:r>
      <w:r>
        <w:rPr>
          <w:rFonts w:ascii="Arial" w:eastAsia="Arial" w:hAnsi="Arial" w:cs="Arial"/>
          <w:sz w:val="22"/>
          <w:szCs w:val="22"/>
          <w:lang w:val="en-PH"/>
        </w:rPr>
        <w:t xml:space="preserve"> the</w:t>
      </w:r>
      <w:r w:rsidRPr="00C837CA">
        <w:rPr>
          <w:rFonts w:ascii="Arial" w:eastAsia="Arial" w:hAnsi="Arial" w:cs="Arial"/>
          <w:sz w:val="22"/>
          <w:szCs w:val="22"/>
          <w:lang w:val="en-PH"/>
        </w:rPr>
        <w:t> standard technique. Fresh conversations through talks or surveys bring clarity only someone familiar with daily challenges might notice. Staying close to real stories keeps the findin</w:t>
      </w:r>
      <w:r>
        <w:rPr>
          <w:rFonts w:ascii="Arial" w:eastAsia="Arial" w:hAnsi="Arial" w:cs="Arial"/>
          <w:sz w:val="22"/>
          <w:szCs w:val="22"/>
          <w:lang w:val="en-PH"/>
        </w:rPr>
        <w:t>g</w:t>
      </w:r>
      <w:r w:rsidRPr="00C837CA">
        <w:rPr>
          <w:rFonts w:ascii="Arial" w:eastAsia="Arial" w:hAnsi="Arial" w:cs="Arial"/>
          <w:sz w:val="22"/>
          <w:szCs w:val="22"/>
          <w:lang w:val="en-PH"/>
        </w:rPr>
        <w:t>s grounded</w:t>
      </w:r>
      <w:r w:rsidR="00362540">
        <w:rPr>
          <w:rFonts w:ascii="Arial" w:eastAsia="Arial" w:hAnsi="Arial" w:cs="Arial"/>
          <w:sz w:val="22"/>
          <w:szCs w:val="22"/>
          <w:lang w:val="en-PH"/>
        </w:rPr>
        <w:t>.</w:t>
      </w:r>
    </w:p>
    <w:p w14:paraId="7332132D" w14:textId="77777777" w:rsidR="00176616" w:rsidRPr="00176616" w:rsidRDefault="00176616" w:rsidP="00362540">
      <w:pPr>
        <w:spacing w:line="360" w:lineRule="auto"/>
      </w:pPr>
      <w:bookmarkStart w:id="15" w:name="_Toc225024750"/>
    </w:p>
    <w:p w14:paraId="7CB6EE44" w14:textId="2C385926" w:rsidR="00575E73" w:rsidRPr="00AF22D3" w:rsidRDefault="00432D05" w:rsidP="00362540">
      <w:pPr>
        <w:pStyle w:val="Heading2"/>
        <w:spacing w:line="360" w:lineRule="auto"/>
        <w:rPr>
          <w:rFonts w:eastAsia="Arial"/>
        </w:rPr>
      </w:pPr>
      <w:r w:rsidRPr="00AF22D3">
        <w:rPr>
          <w:rFonts w:eastAsia="Arial"/>
        </w:rPr>
        <w:t xml:space="preserve">4.3 </w:t>
      </w:r>
      <w:r w:rsidR="00575E73" w:rsidRPr="00AF22D3">
        <w:rPr>
          <w:rFonts w:eastAsia="Arial"/>
        </w:rPr>
        <w:t xml:space="preserve">Advantages </w:t>
      </w:r>
      <w:r w:rsidR="006E2548">
        <w:rPr>
          <w:rFonts w:eastAsia="Arial"/>
        </w:rPr>
        <w:t>A</w:t>
      </w:r>
      <w:r w:rsidR="00575E73" w:rsidRPr="00AF22D3">
        <w:rPr>
          <w:rFonts w:eastAsia="Arial"/>
        </w:rPr>
        <w:t>nd Challenges</w:t>
      </w:r>
      <w:bookmarkEnd w:id="15"/>
    </w:p>
    <w:p w14:paraId="71D7FE76" w14:textId="39D4BFC0" w:rsidR="00176616" w:rsidRPr="00176616" w:rsidRDefault="00176616" w:rsidP="00362540">
      <w:pPr>
        <w:spacing w:line="360" w:lineRule="auto"/>
        <w:rPr>
          <w:rFonts w:ascii="Arial" w:eastAsia="Arial" w:hAnsi="Arial" w:cs="Arial"/>
          <w:sz w:val="22"/>
          <w:szCs w:val="22"/>
        </w:rPr>
      </w:pPr>
      <w:r w:rsidRPr="00176616">
        <w:rPr>
          <w:rFonts w:ascii="Arial" w:eastAsia="Arial" w:hAnsi="Arial" w:cs="Arial"/>
          <w:sz w:val="22"/>
          <w:szCs w:val="22"/>
        </w:rPr>
        <w:t>What stands out first</w:t>
      </w:r>
      <w:r>
        <w:rPr>
          <w:rFonts w:ascii="Arial" w:eastAsia="Arial" w:hAnsi="Arial" w:cs="Arial"/>
          <w:sz w:val="22"/>
          <w:szCs w:val="22"/>
        </w:rPr>
        <w:t xml:space="preserve"> as advantage to my choosing primary data</w:t>
      </w:r>
      <w:r w:rsidRPr="00176616">
        <w:rPr>
          <w:rFonts w:ascii="Arial" w:eastAsia="Arial" w:hAnsi="Arial" w:cs="Arial"/>
          <w:sz w:val="22"/>
          <w:szCs w:val="22"/>
        </w:rPr>
        <w:t xml:space="preserve"> is how closely the information ties to actual dementia care situations. By gathering insights straight from practice environments, the material stays grounded in today’s challenges. Shaping the method myself means each question targets what really matters</w:t>
      </w:r>
      <w:r>
        <w:rPr>
          <w:rFonts w:ascii="Arial" w:eastAsia="Arial" w:hAnsi="Arial" w:cs="Arial"/>
          <w:sz w:val="22"/>
          <w:szCs w:val="22"/>
        </w:rPr>
        <w:t>,</w:t>
      </w:r>
      <w:r w:rsidRPr="00176616">
        <w:rPr>
          <w:rFonts w:ascii="Arial" w:eastAsia="Arial" w:hAnsi="Arial" w:cs="Arial"/>
          <w:sz w:val="22"/>
          <w:szCs w:val="22"/>
        </w:rPr>
        <w:t xml:space="preserve"> those involved in giving care, those receiving it, and how well support systems function.</w:t>
      </w:r>
    </w:p>
    <w:p w14:paraId="52381BA0" w14:textId="262DDD9B" w:rsidR="00575E73" w:rsidRPr="00AF22D3" w:rsidRDefault="00176616" w:rsidP="00362540">
      <w:pPr>
        <w:spacing w:line="360" w:lineRule="auto"/>
        <w:rPr>
          <w:rFonts w:ascii="Arial" w:eastAsia="Arial" w:hAnsi="Arial" w:cs="Arial"/>
          <w:sz w:val="22"/>
          <w:szCs w:val="22"/>
        </w:rPr>
      </w:pPr>
      <w:r w:rsidRPr="00176616">
        <w:rPr>
          <w:rFonts w:ascii="Arial" w:eastAsia="Arial" w:hAnsi="Arial" w:cs="Arial"/>
          <w:sz w:val="22"/>
          <w:szCs w:val="22"/>
        </w:rPr>
        <w:t xml:space="preserve">A hurdle emerges when gathering information, because speaking with caregivers or distributing surveys often demands extended periods plus complex coordination. Access becomes complicated due to ethical concerns </w:t>
      </w:r>
      <w:r w:rsidR="00B46C3A">
        <w:rPr>
          <w:rFonts w:ascii="Arial" w:eastAsia="Arial" w:hAnsi="Arial" w:cs="Arial"/>
          <w:sz w:val="22"/>
          <w:szCs w:val="22"/>
        </w:rPr>
        <w:t>to</w:t>
      </w:r>
      <w:r w:rsidRPr="00176616">
        <w:rPr>
          <w:rFonts w:ascii="Arial" w:eastAsia="Arial" w:hAnsi="Arial" w:cs="Arial"/>
          <w:sz w:val="22"/>
          <w:szCs w:val="22"/>
        </w:rPr>
        <w:t xml:space="preserve"> research involving people with dementia must follow tight protection rules along with proper agreement processes</w:t>
      </w:r>
      <w:r w:rsidR="00B46C3A">
        <w:rPr>
          <w:rFonts w:ascii="Arial" w:eastAsia="Arial" w:hAnsi="Arial" w:cs="Arial"/>
          <w:sz w:val="22"/>
          <w:szCs w:val="22"/>
        </w:rPr>
        <w:t xml:space="preserve"> which</w:t>
      </w:r>
      <w:r w:rsidRPr="00176616">
        <w:rPr>
          <w:rFonts w:ascii="Arial" w:eastAsia="Arial" w:hAnsi="Arial" w:cs="Arial"/>
          <w:sz w:val="22"/>
          <w:szCs w:val="22"/>
        </w:rPr>
        <w:t xml:space="preserve"> narrow</w:t>
      </w:r>
      <w:r w:rsidR="00B46C3A">
        <w:rPr>
          <w:rFonts w:ascii="Arial" w:eastAsia="Arial" w:hAnsi="Arial" w:cs="Arial"/>
          <w:sz w:val="22"/>
          <w:szCs w:val="22"/>
        </w:rPr>
        <w:t>s</w:t>
      </w:r>
      <w:r w:rsidRPr="00176616">
        <w:rPr>
          <w:rFonts w:ascii="Arial" w:eastAsia="Arial" w:hAnsi="Arial" w:cs="Arial"/>
          <w:sz w:val="22"/>
          <w:szCs w:val="22"/>
        </w:rPr>
        <w:t xml:space="preserve"> the pool of possible participants.</w:t>
      </w:r>
    </w:p>
    <w:p w14:paraId="4D88A80F" w14:textId="77777777" w:rsidR="00575E73" w:rsidRPr="00AF22D3" w:rsidRDefault="00575E73" w:rsidP="00362540">
      <w:pPr>
        <w:pStyle w:val="Heading1"/>
        <w:spacing w:line="360" w:lineRule="auto"/>
        <w:rPr>
          <w:rFonts w:eastAsia="Arial"/>
        </w:rPr>
      </w:pPr>
      <w:bookmarkStart w:id="16" w:name="_Toc225024751"/>
      <w:r w:rsidRPr="00AF22D3">
        <w:rPr>
          <w:rFonts w:eastAsia="Arial"/>
        </w:rPr>
        <w:t>Conclusion</w:t>
      </w:r>
      <w:bookmarkEnd w:id="16"/>
      <w:r w:rsidRPr="00AF22D3">
        <w:rPr>
          <w:rFonts w:eastAsia="Arial"/>
        </w:rPr>
        <w:t xml:space="preserve">  </w:t>
      </w:r>
    </w:p>
    <w:p w14:paraId="7D0CF4AF" w14:textId="2AC470A6" w:rsidR="000D15DF" w:rsidRPr="00362540" w:rsidRDefault="000D15DF" w:rsidP="00362540">
      <w:pPr>
        <w:spacing w:line="360" w:lineRule="auto"/>
        <w:rPr>
          <w:rFonts w:ascii="Arial" w:eastAsia="Arial" w:hAnsi="Arial" w:cs="Arial"/>
          <w:sz w:val="22"/>
          <w:szCs w:val="22"/>
        </w:rPr>
      </w:pPr>
      <w:r>
        <w:rPr>
          <w:rFonts w:ascii="Arial" w:eastAsia="Arial" w:hAnsi="Arial" w:cs="Arial"/>
          <w:sz w:val="22"/>
          <w:szCs w:val="22"/>
        </w:rPr>
        <w:t>This research concludes that, while it’s</w:t>
      </w:r>
      <w:r w:rsidRPr="000D15DF">
        <w:rPr>
          <w:rFonts w:ascii="Arial" w:eastAsia="Arial" w:hAnsi="Arial" w:cs="Arial"/>
          <w:sz w:val="22"/>
          <w:szCs w:val="22"/>
        </w:rPr>
        <w:t xml:space="preserve"> often overlooked, adult care for those living with dementia shapes key aspects of health and everyday support. Because memory, self-reliance, and routine tasks become harder, thoughtful assistance makes a meaningful difference. Instead of just treating symptoms, good care maintains respect, keeps individuals safe, and lifts day-to-day experience </w:t>
      </w:r>
      <w:r w:rsidR="00362540">
        <w:rPr>
          <w:rFonts w:ascii="Arial" w:eastAsia="Arial" w:hAnsi="Arial" w:cs="Arial"/>
          <w:sz w:val="22"/>
          <w:szCs w:val="22"/>
        </w:rPr>
        <w:t>while</w:t>
      </w:r>
      <w:r w:rsidRPr="000D15DF">
        <w:rPr>
          <w:rFonts w:ascii="Arial" w:eastAsia="Arial" w:hAnsi="Arial" w:cs="Arial"/>
          <w:sz w:val="22"/>
          <w:szCs w:val="22"/>
        </w:rPr>
        <w:t xml:space="preserve"> benefiting relatives and helpers too. With numbers rising steadily, delays in spotting dementia or reaching proper help strain people and systems alike. Rather than relying on single sources, combining different research types and firsthand reports reveals deeper truths about what happens in care settings.</w:t>
      </w:r>
      <w:bookmarkStart w:id="17" w:name="_Toc225024752"/>
    </w:p>
    <w:p w14:paraId="2B8BF072" w14:textId="10278041" w:rsidR="00575E73" w:rsidRPr="00AF22D3" w:rsidRDefault="00575E73" w:rsidP="00362540">
      <w:pPr>
        <w:pStyle w:val="Heading1"/>
        <w:spacing w:line="360" w:lineRule="auto"/>
        <w:rPr>
          <w:rFonts w:eastAsia="Arial"/>
        </w:rPr>
      </w:pPr>
      <w:r w:rsidRPr="00AF22D3">
        <w:rPr>
          <w:rFonts w:eastAsia="Arial"/>
        </w:rPr>
        <w:t>Reference List</w:t>
      </w:r>
      <w:bookmarkEnd w:id="17"/>
    </w:p>
    <w:p w14:paraId="474AE9FA" w14:textId="77777777" w:rsidR="0012767A" w:rsidRPr="00AF22D3" w:rsidRDefault="0012767A" w:rsidP="00362540">
      <w:pPr>
        <w:spacing w:line="360" w:lineRule="auto"/>
        <w:rPr>
          <w:rFonts w:ascii="Arial" w:eastAsia="Arial" w:hAnsi="Arial" w:cs="Arial"/>
          <w:sz w:val="22"/>
          <w:szCs w:val="22"/>
        </w:rPr>
      </w:pPr>
    </w:p>
    <w:p w14:paraId="17AD5D6E" w14:textId="77777777" w:rsidR="000D15DF"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t xml:space="preserve">Alzheimer’s Society (2024) What is dementia. Available at: </w:t>
      </w:r>
      <w:hyperlink r:id="rId18" w:tgtFrame="_new" w:history="1">
        <w:r w:rsidRPr="000D15DF">
          <w:rPr>
            <w:rStyle w:val="Hyperlink"/>
            <w:rFonts w:ascii="Arial" w:eastAsia="Arial" w:hAnsi="Arial" w:cs="Arial"/>
            <w:sz w:val="22"/>
            <w:szCs w:val="22"/>
          </w:rPr>
          <w:t>https://www.alzheimers.org.uk/</w:t>
        </w:r>
      </w:hyperlink>
      <w:r w:rsidRPr="000D15DF">
        <w:rPr>
          <w:rFonts w:ascii="Arial" w:eastAsia="Arial" w:hAnsi="Arial" w:cs="Arial"/>
          <w:sz w:val="22"/>
          <w:szCs w:val="22"/>
        </w:rPr>
        <w:t xml:space="preserve"> (Accessed: 18 April 2026).</w:t>
      </w:r>
    </w:p>
    <w:p w14:paraId="4355DCE4" w14:textId="77777777" w:rsidR="000D15DF"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br/>
        <w:t xml:space="preserve">Alzheimer’s Society (2026) What we think about dementia diagnosis. Available at: </w:t>
      </w:r>
      <w:hyperlink r:id="rId19" w:tgtFrame="_new" w:history="1">
        <w:r w:rsidRPr="000D15DF">
          <w:rPr>
            <w:rStyle w:val="Hyperlink"/>
            <w:rFonts w:ascii="Arial" w:eastAsia="Arial" w:hAnsi="Arial" w:cs="Arial"/>
            <w:sz w:val="22"/>
            <w:szCs w:val="22"/>
          </w:rPr>
          <w:t>https://www.alzheimers.org.uk/</w:t>
        </w:r>
      </w:hyperlink>
      <w:r w:rsidRPr="000D15DF">
        <w:rPr>
          <w:rFonts w:ascii="Arial" w:eastAsia="Arial" w:hAnsi="Arial" w:cs="Arial"/>
          <w:sz w:val="22"/>
          <w:szCs w:val="22"/>
        </w:rPr>
        <w:t xml:space="preserve"> (Accessed: 18 April 2026).</w:t>
      </w:r>
    </w:p>
    <w:p w14:paraId="5C8E9772" w14:textId="77777777" w:rsidR="000D15DF"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br/>
        <w:t xml:space="preserve">Mental Health Foundation (2023) Dementia and carers support. Available at: </w:t>
      </w:r>
      <w:hyperlink r:id="rId20" w:tgtFrame="_new" w:history="1">
        <w:r w:rsidRPr="000D15DF">
          <w:rPr>
            <w:rStyle w:val="Hyperlink"/>
            <w:rFonts w:ascii="Arial" w:eastAsia="Arial" w:hAnsi="Arial" w:cs="Arial"/>
            <w:sz w:val="22"/>
            <w:szCs w:val="22"/>
          </w:rPr>
          <w:t>https://www.mentalhealth.org.uk/</w:t>
        </w:r>
      </w:hyperlink>
      <w:r w:rsidRPr="000D15DF">
        <w:rPr>
          <w:rFonts w:ascii="Arial" w:eastAsia="Arial" w:hAnsi="Arial" w:cs="Arial"/>
          <w:sz w:val="22"/>
          <w:szCs w:val="22"/>
        </w:rPr>
        <w:t xml:space="preserve"> (Accessed: 18 April 2026).</w:t>
      </w:r>
    </w:p>
    <w:p w14:paraId="0324972A" w14:textId="77777777" w:rsidR="000D15DF"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br/>
        <w:t xml:space="preserve">NHS (2024) Dementia overview. Available at: </w:t>
      </w:r>
      <w:hyperlink r:id="rId21" w:tgtFrame="_new" w:history="1">
        <w:r w:rsidRPr="000D15DF">
          <w:rPr>
            <w:rStyle w:val="Hyperlink"/>
            <w:rFonts w:ascii="Arial" w:eastAsia="Arial" w:hAnsi="Arial" w:cs="Arial"/>
            <w:sz w:val="22"/>
            <w:szCs w:val="22"/>
          </w:rPr>
          <w:t>https://www.nhs.uk/conditions/dementia/</w:t>
        </w:r>
      </w:hyperlink>
      <w:r w:rsidRPr="000D15DF">
        <w:rPr>
          <w:rFonts w:ascii="Arial" w:eastAsia="Arial" w:hAnsi="Arial" w:cs="Arial"/>
          <w:sz w:val="22"/>
          <w:szCs w:val="22"/>
        </w:rPr>
        <w:t xml:space="preserve"> (Accessed: 18 April 2026).</w:t>
      </w:r>
    </w:p>
    <w:p w14:paraId="68A23FD4" w14:textId="77777777" w:rsidR="000D15DF"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br/>
        <w:t xml:space="preserve">NHS (2025) Dementia, social services and the NHS. Available at: </w:t>
      </w:r>
      <w:hyperlink r:id="rId22" w:tgtFrame="_new" w:history="1">
        <w:r w:rsidRPr="000D15DF">
          <w:rPr>
            <w:rStyle w:val="Hyperlink"/>
            <w:rFonts w:ascii="Arial" w:eastAsia="Arial" w:hAnsi="Arial" w:cs="Arial"/>
            <w:sz w:val="22"/>
            <w:szCs w:val="22"/>
          </w:rPr>
          <w:t>https://www.nhs.uk/conditions/dementia/care-and-support/social-services-and-the-nhs/</w:t>
        </w:r>
      </w:hyperlink>
      <w:r w:rsidRPr="000D15DF">
        <w:rPr>
          <w:rFonts w:ascii="Arial" w:eastAsia="Arial" w:hAnsi="Arial" w:cs="Arial"/>
          <w:sz w:val="22"/>
          <w:szCs w:val="22"/>
        </w:rPr>
        <w:t xml:space="preserve"> (Accessed: 18 April 2026).</w:t>
      </w:r>
    </w:p>
    <w:p w14:paraId="626362A8" w14:textId="2DC7E4D3" w:rsidR="0012767A" w:rsidRPr="00575E73" w:rsidRDefault="000D15DF" w:rsidP="00362540">
      <w:pPr>
        <w:spacing w:line="360" w:lineRule="auto"/>
        <w:rPr>
          <w:rFonts w:ascii="Arial" w:eastAsia="Arial" w:hAnsi="Arial" w:cs="Arial"/>
          <w:sz w:val="22"/>
          <w:szCs w:val="22"/>
        </w:rPr>
      </w:pPr>
      <w:r w:rsidRPr="000D15DF">
        <w:rPr>
          <w:rFonts w:ascii="Arial" w:eastAsia="Arial" w:hAnsi="Arial" w:cs="Arial"/>
          <w:sz w:val="22"/>
          <w:szCs w:val="22"/>
        </w:rPr>
        <w:br/>
        <w:t xml:space="preserve">Skills for Care (2024) Adult social care careers. Available at: </w:t>
      </w:r>
      <w:hyperlink r:id="rId23" w:tgtFrame="_new" w:history="1">
        <w:r w:rsidRPr="000D15DF">
          <w:rPr>
            <w:rStyle w:val="Hyperlink"/>
            <w:rFonts w:ascii="Arial" w:eastAsia="Arial" w:hAnsi="Arial" w:cs="Arial"/>
            <w:sz w:val="22"/>
            <w:szCs w:val="22"/>
          </w:rPr>
          <w:t>https://www.skillsforcare.org.uk/</w:t>
        </w:r>
      </w:hyperlink>
      <w:r w:rsidRPr="000D15DF">
        <w:rPr>
          <w:rFonts w:ascii="Arial" w:eastAsia="Arial" w:hAnsi="Arial" w:cs="Arial"/>
          <w:sz w:val="22"/>
          <w:szCs w:val="22"/>
        </w:rPr>
        <w:t xml:space="preserve"> (Accessed: 18 April 2026).</w:t>
      </w:r>
    </w:p>
    <w:sectPr w:rsidR="0012767A" w:rsidRPr="00575E73" w:rsidSect="00722EFE">
      <w:footerReference w:type="first" r:id="rId2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B1B7B" w14:textId="77777777" w:rsidR="006853C4" w:rsidRPr="00AF22D3" w:rsidRDefault="006853C4" w:rsidP="002A1842">
      <w:pPr>
        <w:spacing w:after="0" w:line="240" w:lineRule="auto"/>
      </w:pPr>
      <w:r w:rsidRPr="00AF22D3">
        <w:separator/>
      </w:r>
    </w:p>
  </w:endnote>
  <w:endnote w:type="continuationSeparator" w:id="0">
    <w:p w14:paraId="61442962" w14:textId="77777777" w:rsidR="006853C4" w:rsidRPr="00AF22D3" w:rsidRDefault="006853C4" w:rsidP="002A1842">
      <w:pPr>
        <w:spacing w:after="0" w:line="240" w:lineRule="auto"/>
      </w:pPr>
      <w:r w:rsidRPr="00AF22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lay">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sdtContent>
      <w:p w14:paraId="00A0C60F" w14:textId="77777777" w:rsidR="00722EFE" w:rsidRPr="00AF22D3" w:rsidRDefault="00722EFE">
        <w:pPr>
          <w:pStyle w:val="Footer"/>
          <w:jc w:val="center"/>
        </w:pPr>
        <w:r w:rsidRPr="00AF22D3">
          <w:fldChar w:fldCharType="begin"/>
        </w:r>
        <w:r w:rsidRPr="00AF22D3">
          <w:instrText xml:space="preserve"> PAGE   \* MERGEFORMAT </w:instrText>
        </w:r>
        <w:r w:rsidRPr="00AF22D3">
          <w:fldChar w:fldCharType="separate"/>
        </w:r>
        <w:r w:rsidR="00432D05" w:rsidRPr="00AF22D3">
          <w:t>4</w:t>
        </w:r>
        <w:r w:rsidRPr="00AF22D3">
          <w:fldChar w:fldCharType="end"/>
        </w:r>
      </w:p>
    </w:sdtContent>
  </w:sdt>
  <w:p w14:paraId="32DACF78" w14:textId="77777777" w:rsidR="00722EFE" w:rsidRPr="00AF22D3"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sdtContent>
      <w:p w14:paraId="6F7ACAEE" w14:textId="77777777" w:rsidR="00722EFE" w:rsidRPr="00AF22D3" w:rsidRDefault="00722EFE">
        <w:pPr>
          <w:pStyle w:val="Footer"/>
          <w:jc w:val="center"/>
        </w:pPr>
        <w:r w:rsidRPr="00AF22D3">
          <w:fldChar w:fldCharType="begin"/>
        </w:r>
        <w:r w:rsidRPr="00AF22D3">
          <w:instrText xml:space="preserve"> PAGE   \* MERGEFORMAT </w:instrText>
        </w:r>
        <w:r w:rsidRPr="00AF22D3">
          <w:fldChar w:fldCharType="separate"/>
        </w:r>
        <w:r w:rsidR="00432D05" w:rsidRPr="00AF22D3">
          <w:t>1</w:t>
        </w:r>
        <w:r w:rsidRPr="00AF22D3">
          <w:fldChar w:fldCharType="end"/>
        </w:r>
      </w:p>
    </w:sdtContent>
  </w:sdt>
  <w:p w14:paraId="54C80522" w14:textId="77777777" w:rsidR="002A1842" w:rsidRPr="00AF22D3"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4114A" w14:textId="77777777" w:rsidR="006853C4" w:rsidRPr="00AF22D3" w:rsidRDefault="006853C4" w:rsidP="002A1842">
      <w:pPr>
        <w:spacing w:after="0" w:line="240" w:lineRule="auto"/>
      </w:pPr>
      <w:r w:rsidRPr="00AF22D3">
        <w:separator/>
      </w:r>
    </w:p>
  </w:footnote>
  <w:footnote w:type="continuationSeparator" w:id="0">
    <w:p w14:paraId="695A2797" w14:textId="77777777" w:rsidR="006853C4" w:rsidRPr="00AF22D3" w:rsidRDefault="006853C4" w:rsidP="002A1842">
      <w:pPr>
        <w:spacing w:after="0" w:line="240" w:lineRule="auto"/>
      </w:pPr>
      <w:r w:rsidRPr="00AF22D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96832582">
    <w:abstractNumId w:val="5"/>
  </w:num>
  <w:num w:numId="2" w16cid:durableId="759520408">
    <w:abstractNumId w:val="3"/>
  </w:num>
  <w:num w:numId="3" w16cid:durableId="233928350">
    <w:abstractNumId w:val="2"/>
  </w:num>
  <w:num w:numId="4" w16cid:durableId="323749504">
    <w:abstractNumId w:val="1"/>
  </w:num>
  <w:num w:numId="5" w16cid:durableId="2056545724">
    <w:abstractNumId w:val="4"/>
  </w:num>
  <w:num w:numId="6" w16cid:durableId="309093627">
    <w:abstractNumId w:val="0"/>
  </w:num>
  <w:num w:numId="7" w16cid:durableId="421073186">
    <w:abstractNumId w:val="7"/>
  </w:num>
  <w:num w:numId="8" w16cid:durableId="91963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78BD"/>
    <w:rsid w:val="000445CB"/>
    <w:rsid w:val="0006728A"/>
    <w:rsid w:val="000D15DF"/>
    <w:rsid w:val="000D18B9"/>
    <w:rsid w:val="000F588A"/>
    <w:rsid w:val="00116D92"/>
    <w:rsid w:val="0012767A"/>
    <w:rsid w:val="00127BB4"/>
    <w:rsid w:val="0015185D"/>
    <w:rsid w:val="0016754C"/>
    <w:rsid w:val="00172AD1"/>
    <w:rsid w:val="00176616"/>
    <w:rsid w:val="001813E7"/>
    <w:rsid w:val="001E0AF6"/>
    <w:rsid w:val="0020618A"/>
    <w:rsid w:val="002A1842"/>
    <w:rsid w:val="0030110A"/>
    <w:rsid w:val="00362540"/>
    <w:rsid w:val="003D044B"/>
    <w:rsid w:val="00432D05"/>
    <w:rsid w:val="004468F8"/>
    <w:rsid w:val="004505DD"/>
    <w:rsid w:val="004D3808"/>
    <w:rsid w:val="004F7F42"/>
    <w:rsid w:val="00530E16"/>
    <w:rsid w:val="00575E73"/>
    <w:rsid w:val="005B40AF"/>
    <w:rsid w:val="005D2A3A"/>
    <w:rsid w:val="006853C4"/>
    <w:rsid w:val="006C47F3"/>
    <w:rsid w:val="006E2548"/>
    <w:rsid w:val="00722EFE"/>
    <w:rsid w:val="0072625C"/>
    <w:rsid w:val="00735819"/>
    <w:rsid w:val="007637E9"/>
    <w:rsid w:val="00832C38"/>
    <w:rsid w:val="008C05D8"/>
    <w:rsid w:val="008E7834"/>
    <w:rsid w:val="008E7DE9"/>
    <w:rsid w:val="00903A29"/>
    <w:rsid w:val="00993B92"/>
    <w:rsid w:val="009F60D1"/>
    <w:rsid w:val="00A454F8"/>
    <w:rsid w:val="00A75B15"/>
    <w:rsid w:val="00AE06EA"/>
    <w:rsid w:val="00AF22D3"/>
    <w:rsid w:val="00B2535B"/>
    <w:rsid w:val="00B46C3A"/>
    <w:rsid w:val="00B65ED6"/>
    <w:rsid w:val="00BA0043"/>
    <w:rsid w:val="00BA0367"/>
    <w:rsid w:val="00C463AF"/>
    <w:rsid w:val="00C837CA"/>
    <w:rsid w:val="00CE118D"/>
    <w:rsid w:val="00CF650B"/>
    <w:rsid w:val="00D62A9C"/>
    <w:rsid w:val="00DB181C"/>
    <w:rsid w:val="00E63D4F"/>
    <w:rsid w:val="00E674CE"/>
    <w:rsid w:val="00EA04EC"/>
    <w:rsid w:val="00F459EE"/>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71C11"/>
  <w15:docId w15:val="{55EA0DE2-7C45-4E31-B969-D1209707F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1276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conditions/dementia/" TargetMode="External"/><Relationship Id="rId18" Type="http://schemas.openxmlformats.org/officeDocument/2006/relationships/hyperlink" Target="https://www.alzheimers.org.uk/"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nhs.uk/conditions/dementia/" TargetMode="External"/><Relationship Id="rId7" Type="http://schemas.openxmlformats.org/officeDocument/2006/relationships/footnotes" Target="footnotes.xml"/><Relationship Id="rId12" Type="http://schemas.openxmlformats.org/officeDocument/2006/relationships/hyperlink" Target="https://www.mentalhealth.org.uk/" TargetMode="External"/><Relationship Id="rId17" Type="http://schemas.openxmlformats.org/officeDocument/2006/relationships/hyperlink" Target="https://www.nhs.uk/conditions/dementi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ho.int/news-room/fact-sheets/detail/dementia" TargetMode="External"/><Relationship Id="rId20" Type="http://schemas.openxmlformats.org/officeDocument/2006/relationships/hyperlink" Target="https://www.mentalhealth.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zheimers.org.uk/"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skillsforcare.org.uk/" TargetMode="External"/><Relationship Id="rId23" Type="http://schemas.openxmlformats.org/officeDocument/2006/relationships/hyperlink" Target="https://www.skillsforcare.org.uk/" TargetMode="External"/><Relationship Id="rId10" Type="http://schemas.openxmlformats.org/officeDocument/2006/relationships/hyperlink" Target="https://www.alzheimers.org.uk/" TargetMode="External"/><Relationship Id="rId19" Type="http://schemas.openxmlformats.org/officeDocument/2006/relationships/hyperlink" Target="https://www.alzheimers.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nhs.uk/conditions/dementia/care-and-support/social-services-and-the-nhs/?utm_source=chatgpt.com" TargetMode="External"/><Relationship Id="rId22" Type="http://schemas.openxmlformats.org/officeDocument/2006/relationships/hyperlink" Target="https://www.nhs.uk/conditions/dementia/care-and-support/social-services-and-the-nh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1929</Words>
  <Characters>10999</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Links>
    <vt:vector size="192" baseType="variant">
      <vt:variant>
        <vt:i4>5963867</vt:i4>
      </vt:variant>
      <vt:variant>
        <vt:i4>150</vt:i4>
      </vt:variant>
      <vt:variant>
        <vt:i4>0</vt:i4>
      </vt:variant>
      <vt:variant>
        <vt:i4>5</vt:i4>
      </vt:variant>
      <vt:variant>
        <vt:lpwstr>https://www.skillsforcare.org.uk/</vt:lpwstr>
      </vt:variant>
      <vt:variant>
        <vt:lpwstr/>
      </vt:variant>
      <vt:variant>
        <vt:i4>8192020</vt:i4>
      </vt:variant>
      <vt:variant>
        <vt:i4>147</vt:i4>
      </vt:variant>
      <vt:variant>
        <vt:i4>0</vt:i4>
      </vt:variant>
      <vt:variant>
        <vt:i4>5</vt:i4>
      </vt:variant>
      <vt:variant>
        <vt:lpwstr>https://www.nhs.uk/conditions/dementia/care-and-support/social-services-and-the-nhs/?utm_source=chatgpt.com</vt:lpwstr>
      </vt:variant>
      <vt:variant>
        <vt:lpwstr/>
      </vt:variant>
      <vt:variant>
        <vt:i4>3932266</vt:i4>
      </vt:variant>
      <vt:variant>
        <vt:i4>144</vt:i4>
      </vt:variant>
      <vt:variant>
        <vt:i4>0</vt:i4>
      </vt:variant>
      <vt:variant>
        <vt:i4>5</vt:i4>
      </vt:variant>
      <vt:variant>
        <vt:lpwstr>https://www.nhs.uk/conditions/dementia/</vt:lpwstr>
      </vt:variant>
      <vt:variant>
        <vt:lpwstr/>
      </vt:variant>
      <vt:variant>
        <vt:i4>393286</vt:i4>
      </vt:variant>
      <vt:variant>
        <vt:i4>141</vt:i4>
      </vt:variant>
      <vt:variant>
        <vt:i4>0</vt:i4>
      </vt:variant>
      <vt:variant>
        <vt:i4>5</vt:i4>
      </vt:variant>
      <vt:variant>
        <vt:lpwstr>https://www.mentalhealth.org.uk/</vt:lpwstr>
      </vt:variant>
      <vt:variant>
        <vt:lpwstr/>
      </vt:variant>
      <vt:variant>
        <vt:i4>6357048</vt:i4>
      </vt:variant>
      <vt:variant>
        <vt:i4>138</vt:i4>
      </vt:variant>
      <vt:variant>
        <vt:i4>0</vt:i4>
      </vt:variant>
      <vt:variant>
        <vt:i4>5</vt:i4>
      </vt:variant>
      <vt:variant>
        <vt:lpwstr>https://www.alzheimers.org.uk/</vt:lpwstr>
      </vt:variant>
      <vt:variant>
        <vt:lpwstr/>
      </vt:variant>
      <vt:variant>
        <vt:i4>6357048</vt:i4>
      </vt:variant>
      <vt:variant>
        <vt:i4>135</vt:i4>
      </vt:variant>
      <vt:variant>
        <vt:i4>0</vt:i4>
      </vt:variant>
      <vt:variant>
        <vt:i4>5</vt:i4>
      </vt:variant>
      <vt:variant>
        <vt:lpwstr>https://www.alzheimers.org.uk/</vt:lpwstr>
      </vt:variant>
      <vt:variant>
        <vt:lpwstr/>
      </vt:variant>
      <vt:variant>
        <vt:i4>3932266</vt:i4>
      </vt:variant>
      <vt:variant>
        <vt:i4>132</vt:i4>
      </vt:variant>
      <vt:variant>
        <vt:i4>0</vt:i4>
      </vt:variant>
      <vt:variant>
        <vt:i4>5</vt:i4>
      </vt:variant>
      <vt:variant>
        <vt:lpwstr>https://www.nhs.uk/conditions/dementia/</vt:lpwstr>
      </vt:variant>
      <vt:variant>
        <vt:lpwstr/>
      </vt:variant>
      <vt:variant>
        <vt:i4>5570567</vt:i4>
      </vt:variant>
      <vt:variant>
        <vt:i4>129</vt:i4>
      </vt:variant>
      <vt:variant>
        <vt:i4>0</vt:i4>
      </vt:variant>
      <vt:variant>
        <vt:i4>5</vt:i4>
      </vt:variant>
      <vt:variant>
        <vt:lpwstr>https://www.who.int/news-room/fact-sheets/detail/dementia</vt:lpwstr>
      </vt:variant>
      <vt:variant>
        <vt:lpwstr/>
      </vt:variant>
      <vt:variant>
        <vt:i4>5963867</vt:i4>
      </vt:variant>
      <vt:variant>
        <vt:i4>126</vt:i4>
      </vt:variant>
      <vt:variant>
        <vt:i4>0</vt:i4>
      </vt:variant>
      <vt:variant>
        <vt:i4>5</vt:i4>
      </vt:variant>
      <vt:variant>
        <vt:lpwstr>https://www.skillsforcare.org.uk/</vt:lpwstr>
      </vt:variant>
      <vt:variant>
        <vt:lpwstr/>
      </vt:variant>
      <vt:variant>
        <vt:i4>8192020</vt:i4>
      </vt:variant>
      <vt:variant>
        <vt:i4>123</vt:i4>
      </vt:variant>
      <vt:variant>
        <vt:i4>0</vt:i4>
      </vt:variant>
      <vt:variant>
        <vt:i4>5</vt:i4>
      </vt:variant>
      <vt:variant>
        <vt:lpwstr>https://www.nhs.uk/conditions/dementia/care-and-support/social-services-and-the-nhs/?utm_source=chatgpt.com</vt:lpwstr>
      </vt:variant>
      <vt:variant>
        <vt:lpwstr/>
      </vt:variant>
      <vt:variant>
        <vt:i4>3932266</vt:i4>
      </vt:variant>
      <vt:variant>
        <vt:i4>120</vt:i4>
      </vt:variant>
      <vt:variant>
        <vt:i4>0</vt:i4>
      </vt:variant>
      <vt:variant>
        <vt:i4>5</vt:i4>
      </vt:variant>
      <vt:variant>
        <vt:lpwstr>https://www.nhs.uk/conditions/dementia/</vt:lpwstr>
      </vt:variant>
      <vt:variant>
        <vt:lpwstr/>
      </vt:variant>
      <vt:variant>
        <vt:i4>393286</vt:i4>
      </vt:variant>
      <vt:variant>
        <vt:i4>117</vt:i4>
      </vt:variant>
      <vt:variant>
        <vt:i4>0</vt:i4>
      </vt:variant>
      <vt:variant>
        <vt:i4>5</vt:i4>
      </vt:variant>
      <vt:variant>
        <vt:lpwstr>https://www.mentalhealth.org.uk/</vt:lpwstr>
      </vt:variant>
      <vt:variant>
        <vt:lpwstr/>
      </vt:variant>
      <vt:variant>
        <vt:i4>6357048</vt:i4>
      </vt:variant>
      <vt:variant>
        <vt:i4>114</vt:i4>
      </vt:variant>
      <vt:variant>
        <vt:i4>0</vt:i4>
      </vt:variant>
      <vt:variant>
        <vt:i4>5</vt:i4>
      </vt:variant>
      <vt:variant>
        <vt:lpwstr>https://www.alzheimers.org.uk/</vt:lpwstr>
      </vt:variant>
      <vt:variant>
        <vt:lpwstr/>
      </vt:variant>
      <vt:variant>
        <vt:i4>6357048</vt:i4>
      </vt:variant>
      <vt:variant>
        <vt:i4>111</vt:i4>
      </vt:variant>
      <vt:variant>
        <vt:i4>0</vt:i4>
      </vt:variant>
      <vt:variant>
        <vt:i4>5</vt:i4>
      </vt:variant>
      <vt:variant>
        <vt:lpwstr>https://www.alzheimers.org.uk/</vt:lpwstr>
      </vt:variant>
      <vt:variant>
        <vt:lpwstr/>
      </vt:variant>
      <vt:variant>
        <vt:i4>1310770</vt:i4>
      </vt:variant>
      <vt:variant>
        <vt:i4>104</vt:i4>
      </vt:variant>
      <vt:variant>
        <vt:i4>0</vt:i4>
      </vt:variant>
      <vt:variant>
        <vt:i4>5</vt:i4>
      </vt:variant>
      <vt:variant>
        <vt:lpwstr/>
      </vt:variant>
      <vt:variant>
        <vt:lpwstr>_Toc225024752</vt:lpwstr>
      </vt:variant>
      <vt:variant>
        <vt:i4>1310770</vt:i4>
      </vt:variant>
      <vt:variant>
        <vt:i4>98</vt:i4>
      </vt:variant>
      <vt:variant>
        <vt:i4>0</vt:i4>
      </vt:variant>
      <vt:variant>
        <vt:i4>5</vt:i4>
      </vt:variant>
      <vt:variant>
        <vt:lpwstr/>
      </vt:variant>
      <vt:variant>
        <vt:lpwstr>_Toc225024751</vt:lpwstr>
      </vt:variant>
      <vt:variant>
        <vt:i4>1310770</vt:i4>
      </vt:variant>
      <vt:variant>
        <vt:i4>92</vt:i4>
      </vt:variant>
      <vt:variant>
        <vt:i4>0</vt:i4>
      </vt:variant>
      <vt:variant>
        <vt:i4>5</vt:i4>
      </vt:variant>
      <vt:variant>
        <vt:lpwstr/>
      </vt:variant>
      <vt:variant>
        <vt:lpwstr>_Toc225024750</vt:lpwstr>
      </vt:variant>
      <vt:variant>
        <vt:i4>1376306</vt:i4>
      </vt:variant>
      <vt:variant>
        <vt:i4>86</vt:i4>
      </vt:variant>
      <vt:variant>
        <vt:i4>0</vt:i4>
      </vt:variant>
      <vt:variant>
        <vt:i4>5</vt:i4>
      </vt:variant>
      <vt:variant>
        <vt:lpwstr/>
      </vt:variant>
      <vt:variant>
        <vt:lpwstr>_Toc225024749</vt:lpwstr>
      </vt:variant>
      <vt:variant>
        <vt:i4>1376306</vt:i4>
      </vt:variant>
      <vt:variant>
        <vt:i4>80</vt:i4>
      </vt:variant>
      <vt:variant>
        <vt:i4>0</vt:i4>
      </vt:variant>
      <vt:variant>
        <vt:i4>5</vt:i4>
      </vt:variant>
      <vt:variant>
        <vt:lpwstr/>
      </vt:variant>
      <vt:variant>
        <vt:lpwstr>_Toc225024748</vt:lpwstr>
      </vt:variant>
      <vt:variant>
        <vt:i4>1376306</vt:i4>
      </vt:variant>
      <vt:variant>
        <vt:i4>74</vt:i4>
      </vt:variant>
      <vt:variant>
        <vt:i4>0</vt:i4>
      </vt:variant>
      <vt:variant>
        <vt:i4>5</vt:i4>
      </vt:variant>
      <vt:variant>
        <vt:lpwstr/>
      </vt:variant>
      <vt:variant>
        <vt:lpwstr>_Toc225024747</vt:lpwstr>
      </vt:variant>
      <vt:variant>
        <vt:i4>1376306</vt:i4>
      </vt:variant>
      <vt:variant>
        <vt:i4>68</vt:i4>
      </vt:variant>
      <vt:variant>
        <vt:i4>0</vt:i4>
      </vt:variant>
      <vt:variant>
        <vt:i4>5</vt:i4>
      </vt:variant>
      <vt:variant>
        <vt:lpwstr/>
      </vt:variant>
      <vt:variant>
        <vt:lpwstr>_Toc225024746</vt:lpwstr>
      </vt:variant>
      <vt:variant>
        <vt:i4>1376306</vt:i4>
      </vt:variant>
      <vt:variant>
        <vt:i4>62</vt:i4>
      </vt:variant>
      <vt:variant>
        <vt:i4>0</vt:i4>
      </vt:variant>
      <vt:variant>
        <vt:i4>5</vt:i4>
      </vt:variant>
      <vt:variant>
        <vt:lpwstr/>
      </vt:variant>
      <vt:variant>
        <vt:lpwstr>_Toc225024745</vt:lpwstr>
      </vt:variant>
      <vt:variant>
        <vt:i4>1376306</vt:i4>
      </vt:variant>
      <vt:variant>
        <vt:i4>56</vt:i4>
      </vt:variant>
      <vt:variant>
        <vt:i4>0</vt:i4>
      </vt:variant>
      <vt:variant>
        <vt:i4>5</vt:i4>
      </vt:variant>
      <vt:variant>
        <vt:lpwstr/>
      </vt:variant>
      <vt:variant>
        <vt:lpwstr>_Toc225024744</vt:lpwstr>
      </vt:variant>
      <vt:variant>
        <vt:i4>1376306</vt:i4>
      </vt:variant>
      <vt:variant>
        <vt:i4>50</vt:i4>
      </vt:variant>
      <vt:variant>
        <vt:i4>0</vt:i4>
      </vt:variant>
      <vt:variant>
        <vt:i4>5</vt:i4>
      </vt:variant>
      <vt:variant>
        <vt:lpwstr/>
      </vt:variant>
      <vt:variant>
        <vt:lpwstr>_Toc225024743</vt:lpwstr>
      </vt:variant>
      <vt:variant>
        <vt:i4>1376306</vt:i4>
      </vt:variant>
      <vt:variant>
        <vt:i4>44</vt:i4>
      </vt:variant>
      <vt:variant>
        <vt:i4>0</vt:i4>
      </vt:variant>
      <vt:variant>
        <vt:i4>5</vt:i4>
      </vt:variant>
      <vt:variant>
        <vt:lpwstr/>
      </vt:variant>
      <vt:variant>
        <vt:lpwstr>_Toc225024742</vt:lpwstr>
      </vt:variant>
      <vt:variant>
        <vt:i4>1376306</vt:i4>
      </vt:variant>
      <vt:variant>
        <vt:i4>38</vt:i4>
      </vt:variant>
      <vt:variant>
        <vt:i4>0</vt:i4>
      </vt:variant>
      <vt:variant>
        <vt:i4>5</vt:i4>
      </vt:variant>
      <vt:variant>
        <vt:lpwstr/>
      </vt:variant>
      <vt:variant>
        <vt:lpwstr>_Toc225024741</vt:lpwstr>
      </vt:variant>
      <vt:variant>
        <vt:i4>1376306</vt:i4>
      </vt:variant>
      <vt:variant>
        <vt:i4>32</vt:i4>
      </vt:variant>
      <vt:variant>
        <vt:i4>0</vt:i4>
      </vt:variant>
      <vt:variant>
        <vt:i4>5</vt:i4>
      </vt:variant>
      <vt:variant>
        <vt:lpwstr/>
      </vt:variant>
      <vt:variant>
        <vt:lpwstr>_Toc225024740</vt:lpwstr>
      </vt:variant>
      <vt:variant>
        <vt:i4>1179698</vt:i4>
      </vt:variant>
      <vt:variant>
        <vt:i4>26</vt:i4>
      </vt:variant>
      <vt:variant>
        <vt:i4>0</vt:i4>
      </vt:variant>
      <vt:variant>
        <vt:i4>5</vt:i4>
      </vt:variant>
      <vt:variant>
        <vt:lpwstr/>
      </vt:variant>
      <vt:variant>
        <vt:lpwstr>_Toc225024739</vt:lpwstr>
      </vt:variant>
      <vt:variant>
        <vt:i4>1179698</vt:i4>
      </vt:variant>
      <vt:variant>
        <vt:i4>20</vt:i4>
      </vt:variant>
      <vt:variant>
        <vt:i4>0</vt:i4>
      </vt:variant>
      <vt:variant>
        <vt:i4>5</vt:i4>
      </vt:variant>
      <vt:variant>
        <vt:lpwstr/>
      </vt:variant>
      <vt:variant>
        <vt:lpwstr>_Toc225024738</vt:lpwstr>
      </vt:variant>
      <vt:variant>
        <vt:i4>1179698</vt:i4>
      </vt:variant>
      <vt:variant>
        <vt:i4>14</vt:i4>
      </vt:variant>
      <vt:variant>
        <vt:i4>0</vt:i4>
      </vt:variant>
      <vt:variant>
        <vt:i4>5</vt:i4>
      </vt:variant>
      <vt:variant>
        <vt:lpwstr/>
      </vt:variant>
      <vt:variant>
        <vt:lpwstr>_Toc225024737</vt:lpwstr>
      </vt:variant>
      <vt:variant>
        <vt:i4>1179698</vt:i4>
      </vt:variant>
      <vt:variant>
        <vt:i4>8</vt:i4>
      </vt:variant>
      <vt:variant>
        <vt:i4>0</vt:i4>
      </vt:variant>
      <vt:variant>
        <vt:i4>5</vt:i4>
      </vt:variant>
      <vt:variant>
        <vt:lpwstr/>
      </vt:variant>
      <vt:variant>
        <vt:lpwstr>_Toc225024736</vt:lpwstr>
      </vt:variant>
      <vt:variant>
        <vt:i4>1179698</vt:i4>
      </vt:variant>
      <vt:variant>
        <vt:i4>2</vt:i4>
      </vt:variant>
      <vt:variant>
        <vt:i4>0</vt:i4>
      </vt:variant>
      <vt:variant>
        <vt:i4>5</vt:i4>
      </vt:variant>
      <vt:variant>
        <vt:lpwstr/>
      </vt:variant>
      <vt:variant>
        <vt:lpwstr>_Toc225024735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Thelma Laylo Lipa (2527562)</cp:lastModifiedBy>
  <cp:revision>10</cp:revision>
  <dcterms:created xsi:type="dcterms:W3CDTF">2026-04-18T20:57:00Z</dcterms:created>
  <dcterms:modified xsi:type="dcterms:W3CDTF">2026-04-18T13:06:00Z</dcterms:modified>
</cp:coreProperties>
</file>