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2EC7" w:rsidRDefault="005D4060" w:rsidP="0056301C">
      <w:pPr>
        <w:spacing w:line="360" w:lineRule="auto"/>
      </w:pPr>
    </w:p>
    <w:p w:rsidR="00C601A5" w:rsidRDefault="005D4060" w:rsidP="00230F35">
      <w:pPr>
        <w:pStyle w:val="NormalWeb"/>
        <w:spacing w:before="0" w:beforeAutospacing="0" w:after="0" w:afterAutospacing="0"/>
        <w:ind w:left="-180" w:right="-334"/>
      </w:pPr>
      <w:r>
        <w:rPr>
          <w:noProof/>
        </w:rPr>
        <w:pict w14:anchorId="192270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TSD_logo2010" style="width:150.4pt;height:49.9pt;mso-width-percent:0;mso-height-percent:0;mso-width-percent:0;mso-height-percent:0" o:bordertopcolor="this" o:borderleftcolor="this" o:borderbottomcolor="this" o:borderrightcolor="this">
            <v:imagedata r:id="rId7" o:title="TSD_logo2010"/>
            <w10:bordertop type="single" width="12"/>
            <w10:borderleft type="single" width="12"/>
            <w10:borderbottom type="single" width="12"/>
            <w10:borderright type="single" width="12"/>
          </v:shape>
        </w:pict>
      </w:r>
    </w:p>
    <w:p w:rsidR="00C601A5" w:rsidRDefault="00C601A5" w:rsidP="00230F35">
      <w:pPr>
        <w:pStyle w:val="NormalWeb"/>
        <w:spacing w:before="0" w:beforeAutospacing="0" w:after="0" w:afterAutospacing="0"/>
        <w:ind w:left="-180" w:right="-334"/>
      </w:pPr>
    </w:p>
    <w:p w:rsidR="00C601A5" w:rsidRDefault="00C601A5" w:rsidP="00230F35">
      <w:pPr>
        <w:pStyle w:val="NormalWeb"/>
        <w:spacing w:before="0" w:beforeAutospacing="0" w:after="0" w:afterAutospacing="0"/>
        <w:ind w:left="-180" w:right="-334"/>
      </w:pPr>
    </w:p>
    <w:p w:rsidR="00C601A5" w:rsidRDefault="00C601A5"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C601A5" w:rsidRPr="00230F35" w:rsidRDefault="00C601A5"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C601A5" w:rsidRPr="00230F35" w:rsidRDefault="00C601A5" w:rsidP="002E67CE">
      <w:pPr>
        <w:rPr>
          <w:rFonts w:ascii="Arial" w:hAnsi="Arial" w:cs="Arial"/>
          <w:sz w:val="28"/>
          <w:szCs w:val="28"/>
          <w:lang w:val="cy-GB"/>
        </w:rPr>
      </w:pPr>
    </w:p>
    <w:p w:rsidR="00C601A5" w:rsidRDefault="00C601A5" w:rsidP="002E67CE">
      <w:pPr>
        <w:pStyle w:val="Heading3"/>
        <w:jc w:val="center"/>
        <w:rPr>
          <w:lang w:val="cy-GB"/>
        </w:rPr>
      </w:pPr>
      <w:r>
        <w:rPr>
          <w:lang w:val="cy-GB"/>
        </w:rPr>
        <w:t>THIS SHEET MUST BE THE FIRST PAGE OF THE ASSIGNMENT YOU ARE SUBMITTING  (DO NOT SEND AS A SEPARATE FILE)</w:t>
      </w:r>
    </w:p>
    <w:p w:rsidR="00C601A5" w:rsidRDefault="00C601A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601A5" w:rsidRPr="00230F35" w:rsidTr="00A745B6">
        <w:trPr>
          <w:trHeight w:val="614"/>
        </w:trPr>
        <w:tc>
          <w:tcPr>
            <w:tcW w:w="8856" w:type="dxa"/>
            <w:gridSpan w:val="5"/>
          </w:tcPr>
          <w:p w:rsidR="00C601A5" w:rsidRPr="00230F3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601A5" w:rsidRPr="00230F35" w:rsidTr="00A745B6">
        <w:trPr>
          <w:trHeight w:val="718"/>
        </w:trPr>
        <w:tc>
          <w:tcPr>
            <w:tcW w:w="8856" w:type="dxa"/>
            <w:gridSpan w:val="5"/>
          </w:tcPr>
          <w:p w:rsidR="00C601A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4470B5">
              <w:rPr>
                <w:rFonts w:ascii="Arial" w:hAnsi="Arial" w:cs="Arial"/>
                <w:b/>
                <w:sz w:val="22"/>
                <w:szCs w:val="22"/>
              </w:rPr>
              <w:t>Karen Hunt</w:t>
            </w:r>
          </w:p>
          <w:p w:rsidR="00C601A5" w:rsidRPr="00230F35" w:rsidRDefault="00C601A5" w:rsidP="002F467C">
            <w:pPr>
              <w:pStyle w:val="NormalWeb"/>
              <w:spacing w:before="0" w:beforeAutospacing="0" w:after="0" w:afterAutospacing="0"/>
              <w:ind w:right="34"/>
              <w:rPr>
                <w:rFonts w:ascii="Arial" w:hAnsi="Arial" w:cs="Arial"/>
                <w:sz w:val="22"/>
                <w:szCs w:val="22"/>
              </w:rPr>
            </w:pPr>
          </w:p>
        </w:tc>
      </w:tr>
      <w:tr w:rsidR="00C601A5" w:rsidRPr="00230F35" w:rsidTr="00A745B6">
        <w:trPr>
          <w:trHeight w:val="849"/>
        </w:trPr>
        <w:tc>
          <w:tcPr>
            <w:tcW w:w="4788" w:type="dxa"/>
          </w:tcPr>
          <w:p w:rsidR="00C601A5" w:rsidRPr="00230F3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4470B5">
              <w:rPr>
                <w:rFonts w:ascii="Arial" w:hAnsi="Arial" w:cs="Arial"/>
                <w:b/>
                <w:sz w:val="22"/>
                <w:szCs w:val="22"/>
              </w:rPr>
              <w:t>AHHI7016</w:t>
            </w:r>
          </w:p>
          <w:p w:rsidR="00C601A5" w:rsidRPr="00230F35" w:rsidRDefault="00C601A5" w:rsidP="002F467C">
            <w:pPr>
              <w:pStyle w:val="NormalWeb"/>
              <w:spacing w:before="0" w:beforeAutospacing="0" w:after="0" w:afterAutospacing="0"/>
              <w:ind w:right="34"/>
              <w:rPr>
                <w:rFonts w:ascii="Arial" w:hAnsi="Arial" w:cs="Arial"/>
                <w:sz w:val="22"/>
                <w:szCs w:val="22"/>
              </w:rPr>
            </w:pPr>
          </w:p>
          <w:p w:rsidR="00C601A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4470B5">
              <w:rPr>
                <w:rFonts w:ascii="Arial" w:hAnsi="Arial" w:cs="Arial"/>
                <w:b/>
                <w:sz w:val="22"/>
                <w:szCs w:val="22"/>
              </w:rPr>
              <w:t>Studying the Medieval</w:t>
            </w:r>
          </w:p>
          <w:p w:rsidR="00C601A5" w:rsidRDefault="00C601A5" w:rsidP="002F467C">
            <w:pPr>
              <w:pStyle w:val="NormalWeb"/>
              <w:spacing w:before="0" w:beforeAutospacing="0" w:after="0" w:afterAutospacing="0"/>
              <w:ind w:right="34"/>
              <w:rPr>
                <w:rFonts w:ascii="Arial" w:hAnsi="Arial" w:cs="Arial"/>
                <w:sz w:val="22"/>
                <w:szCs w:val="22"/>
              </w:rPr>
            </w:pPr>
          </w:p>
          <w:p w:rsidR="00C601A5" w:rsidRPr="00230F35" w:rsidRDefault="00C601A5" w:rsidP="002F467C">
            <w:pPr>
              <w:pStyle w:val="NormalWeb"/>
              <w:spacing w:before="0" w:beforeAutospacing="0" w:after="0" w:afterAutospacing="0"/>
              <w:ind w:right="34"/>
              <w:rPr>
                <w:rFonts w:ascii="Arial" w:hAnsi="Arial" w:cs="Arial"/>
                <w:sz w:val="22"/>
                <w:szCs w:val="22"/>
              </w:rPr>
            </w:pPr>
          </w:p>
        </w:tc>
        <w:tc>
          <w:tcPr>
            <w:tcW w:w="2266" w:type="dxa"/>
            <w:gridSpan w:val="3"/>
          </w:tcPr>
          <w:p w:rsidR="00C601A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C601A5" w:rsidRDefault="00C601A5" w:rsidP="002F467C">
            <w:pPr>
              <w:pStyle w:val="NormalWeb"/>
              <w:spacing w:before="0" w:beforeAutospacing="0" w:after="0" w:afterAutospacing="0"/>
              <w:ind w:right="34"/>
              <w:rPr>
                <w:rFonts w:ascii="Arial" w:hAnsi="Arial" w:cs="Arial"/>
                <w:sz w:val="22"/>
                <w:szCs w:val="22"/>
              </w:rPr>
            </w:pPr>
          </w:p>
          <w:p w:rsidR="00C601A5" w:rsidRPr="004470B5" w:rsidRDefault="00C601A5" w:rsidP="002F467C">
            <w:pPr>
              <w:pStyle w:val="NormalWeb"/>
              <w:spacing w:before="0" w:beforeAutospacing="0" w:after="0" w:afterAutospacing="0"/>
              <w:ind w:right="34"/>
              <w:rPr>
                <w:rFonts w:ascii="Arial" w:hAnsi="Arial" w:cs="Arial"/>
                <w:b/>
                <w:sz w:val="22"/>
                <w:szCs w:val="22"/>
              </w:rPr>
            </w:pPr>
            <w:r w:rsidRPr="004470B5">
              <w:rPr>
                <w:rFonts w:ascii="Arial" w:hAnsi="Arial" w:cs="Arial"/>
                <w:b/>
                <w:sz w:val="22"/>
                <w:szCs w:val="22"/>
              </w:rPr>
              <w:t>1703957</w:t>
            </w:r>
          </w:p>
        </w:tc>
        <w:tc>
          <w:tcPr>
            <w:tcW w:w="1802" w:type="dxa"/>
          </w:tcPr>
          <w:p w:rsidR="00C601A5" w:rsidRPr="00230F3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601A5" w:rsidRPr="004470B5" w:rsidRDefault="00C601A5" w:rsidP="002F467C">
            <w:pPr>
              <w:pStyle w:val="NormalWeb"/>
              <w:spacing w:before="0" w:beforeAutospacing="0" w:after="0" w:afterAutospacing="0"/>
              <w:ind w:right="34"/>
              <w:rPr>
                <w:rFonts w:ascii="Arial" w:hAnsi="Arial" w:cs="Arial"/>
                <w:b/>
                <w:sz w:val="22"/>
                <w:szCs w:val="22"/>
              </w:rPr>
            </w:pPr>
            <w:r w:rsidRPr="004470B5">
              <w:rPr>
                <w:rFonts w:ascii="Arial" w:hAnsi="Arial" w:cs="Arial"/>
                <w:b/>
                <w:sz w:val="22"/>
                <w:szCs w:val="22"/>
              </w:rPr>
              <w:t>No</w:t>
            </w:r>
          </w:p>
        </w:tc>
      </w:tr>
      <w:tr w:rsidR="00C601A5" w:rsidRPr="00230F35" w:rsidTr="00A745B6">
        <w:trPr>
          <w:trHeight w:val="1139"/>
        </w:trPr>
        <w:tc>
          <w:tcPr>
            <w:tcW w:w="8856" w:type="dxa"/>
            <w:gridSpan w:val="5"/>
          </w:tcPr>
          <w:p w:rsidR="00C601A5" w:rsidRPr="00230F35" w:rsidRDefault="00C601A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4470B5">
              <w:rPr>
                <w:rFonts w:ascii="Arial" w:hAnsi="Arial" w:cs="Arial"/>
                <w:b/>
                <w:sz w:val="22"/>
                <w:szCs w:val="22"/>
              </w:rPr>
              <w:t>Janet Burton</w:t>
            </w:r>
          </w:p>
          <w:p w:rsidR="00C601A5" w:rsidRPr="00230F35" w:rsidRDefault="00C601A5" w:rsidP="002F467C">
            <w:pPr>
              <w:pStyle w:val="NormalWeb"/>
              <w:spacing w:before="0" w:beforeAutospacing="0" w:after="0" w:afterAutospacing="0"/>
              <w:ind w:right="34"/>
              <w:rPr>
                <w:rFonts w:ascii="Arial" w:hAnsi="Arial" w:cs="Arial"/>
                <w:sz w:val="22"/>
                <w:szCs w:val="22"/>
              </w:rPr>
            </w:pPr>
          </w:p>
          <w:p w:rsidR="00C601A5" w:rsidRDefault="00C601A5" w:rsidP="002F467C">
            <w:pPr>
              <w:pStyle w:val="NormalWeb"/>
              <w:spacing w:before="0" w:beforeAutospacing="0" w:after="0" w:afterAutospacing="0"/>
              <w:ind w:right="34"/>
              <w:rPr>
                <w:rFonts w:ascii="Arial" w:hAnsi="Arial" w:cs="Arial"/>
                <w:sz w:val="22"/>
                <w:szCs w:val="22"/>
              </w:rPr>
            </w:pPr>
          </w:p>
          <w:p w:rsidR="00C601A5" w:rsidRPr="00230F3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4470B5">
              <w:rPr>
                <w:rFonts w:ascii="Arial" w:hAnsi="Arial" w:cs="Arial"/>
                <w:b/>
                <w:sz w:val="22"/>
                <w:szCs w:val="22"/>
              </w:rPr>
              <w:t>31</w:t>
            </w:r>
            <w:r w:rsidRPr="004470B5">
              <w:rPr>
                <w:rFonts w:ascii="Arial" w:hAnsi="Arial" w:cs="Arial"/>
                <w:b/>
                <w:sz w:val="22"/>
                <w:szCs w:val="22"/>
                <w:vertAlign w:val="superscript"/>
              </w:rPr>
              <w:t>st</w:t>
            </w:r>
            <w:r w:rsidRPr="004470B5">
              <w:rPr>
                <w:rFonts w:ascii="Arial" w:hAnsi="Arial" w:cs="Arial"/>
                <w:b/>
                <w:sz w:val="22"/>
                <w:szCs w:val="22"/>
              </w:rPr>
              <w:t xml:space="preserve"> August 2018</w:t>
            </w:r>
          </w:p>
        </w:tc>
      </w:tr>
      <w:tr w:rsidR="00C601A5" w:rsidRPr="00230F35" w:rsidTr="00A745B6">
        <w:trPr>
          <w:trHeight w:val="978"/>
        </w:trPr>
        <w:tc>
          <w:tcPr>
            <w:tcW w:w="8856" w:type="dxa"/>
            <w:gridSpan w:val="5"/>
            <w:tcBorders>
              <w:bottom w:val="single" w:sz="4" w:space="0" w:color="000000"/>
            </w:tcBorders>
          </w:tcPr>
          <w:p w:rsidR="00C601A5" w:rsidRDefault="00C601A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rsidR="00C601A5" w:rsidRDefault="00C601A5" w:rsidP="00F75EB5">
            <w:pPr>
              <w:rPr>
                <w:rFonts w:ascii="Arial" w:hAnsi="Arial" w:cs="Arial"/>
                <w:sz w:val="22"/>
                <w:szCs w:val="22"/>
              </w:rPr>
            </w:pPr>
          </w:p>
          <w:p w:rsidR="00C601A5" w:rsidRPr="00230F35" w:rsidRDefault="00C601A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0"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1"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2"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p>
        </w:tc>
      </w:tr>
      <w:tr w:rsidR="00C601A5" w:rsidRPr="00230F35" w:rsidTr="00A745B6">
        <w:trPr>
          <w:trHeight w:val="978"/>
        </w:trPr>
        <w:tc>
          <w:tcPr>
            <w:tcW w:w="8856" w:type="dxa"/>
            <w:gridSpan w:val="5"/>
            <w:shd w:val="clear" w:color="auto" w:fill="D9D9D9"/>
          </w:tcPr>
          <w:p w:rsidR="00C601A5" w:rsidRPr="00230F3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C601A5" w:rsidRDefault="00C601A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C601A5" w:rsidRDefault="00C601A5"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sym w:font="Wingdings" w:char="F0FC"/>
            </w:r>
          </w:p>
          <w:p w:rsidR="00C601A5" w:rsidRPr="00230F35" w:rsidRDefault="00C601A5"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601A5" w:rsidRPr="00230F35" w:rsidTr="00A745B6">
        <w:trPr>
          <w:trHeight w:val="3972"/>
        </w:trPr>
        <w:tc>
          <w:tcPr>
            <w:tcW w:w="8856" w:type="dxa"/>
            <w:gridSpan w:val="5"/>
          </w:tcPr>
          <w:p w:rsidR="00C601A5" w:rsidRDefault="00C601A5" w:rsidP="00A745B6">
            <w:pPr>
              <w:rPr>
                <w:rFonts w:ascii="Arial" w:hAnsi="Arial"/>
                <w:b/>
              </w:rPr>
            </w:pPr>
          </w:p>
          <w:p w:rsidR="00C601A5" w:rsidRPr="00116CE6" w:rsidRDefault="00C601A5"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601A5" w:rsidRPr="00116CE6" w:rsidTr="00022345">
              <w:tc>
                <w:tcPr>
                  <w:tcW w:w="6970" w:type="dxa"/>
                </w:tcPr>
                <w:p w:rsidR="00C601A5" w:rsidRPr="00116CE6" w:rsidRDefault="00C601A5" w:rsidP="009C1A08">
                  <w:pPr>
                    <w:rPr>
                      <w:rFonts w:ascii="Arial" w:hAnsi="Arial"/>
                      <w:sz w:val="20"/>
                      <w:szCs w:val="20"/>
                    </w:rPr>
                  </w:pPr>
                </w:p>
                <w:p w:rsidR="00C601A5" w:rsidRPr="00116CE6" w:rsidRDefault="00C601A5"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C601A5" w:rsidRPr="00116CE6" w:rsidRDefault="00C601A5" w:rsidP="009C1A08">
                  <w:pPr>
                    <w:rPr>
                      <w:rFonts w:ascii="Arial" w:hAnsi="Arial"/>
                      <w:sz w:val="20"/>
                      <w:szCs w:val="20"/>
                    </w:rPr>
                  </w:pPr>
                </w:p>
              </w:tc>
            </w:tr>
            <w:tr w:rsidR="00C601A5" w:rsidRPr="00116CE6" w:rsidTr="00022345">
              <w:tc>
                <w:tcPr>
                  <w:tcW w:w="6970" w:type="dxa"/>
                </w:tcPr>
                <w:p w:rsidR="00C601A5" w:rsidRPr="00116CE6" w:rsidRDefault="00C601A5" w:rsidP="009C1A08">
                  <w:pPr>
                    <w:rPr>
                      <w:rFonts w:ascii="Arial" w:hAnsi="Arial"/>
                      <w:sz w:val="20"/>
                      <w:szCs w:val="20"/>
                    </w:rPr>
                  </w:pPr>
                </w:p>
                <w:p w:rsidR="00C601A5" w:rsidRPr="00116CE6" w:rsidRDefault="00C601A5"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C601A5" w:rsidRPr="00116CE6" w:rsidRDefault="00C601A5" w:rsidP="009C1A08">
                  <w:pPr>
                    <w:rPr>
                      <w:rFonts w:ascii="Arial" w:hAnsi="Arial"/>
                      <w:sz w:val="20"/>
                      <w:szCs w:val="20"/>
                    </w:rPr>
                  </w:pPr>
                </w:p>
              </w:tc>
            </w:tr>
            <w:tr w:rsidR="00C601A5" w:rsidRPr="00116CE6" w:rsidTr="00022345">
              <w:tc>
                <w:tcPr>
                  <w:tcW w:w="6970" w:type="dxa"/>
                </w:tcPr>
                <w:p w:rsidR="00C601A5" w:rsidRPr="00116CE6" w:rsidRDefault="00C601A5" w:rsidP="009C1A08">
                  <w:pPr>
                    <w:rPr>
                      <w:rFonts w:ascii="Arial" w:hAnsi="Arial"/>
                      <w:sz w:val="20"/>
                      <w:szCs w:val="20"/>
                    </w:rPr>
                  </w:pPr>
                </w:p>
                <w:p w:rsidR="00C601A5" w:rsidRPr="00116CE6" w:rsidRDefault="00C601A5"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C601A5" w:rsidRPr="00116CE6" w:rsidRDefault="00C601A5" w:rsidP="009C1A08">
                  <w:pPr>
                    <w:rPr>
                      <w:rFonts w:ascii="Arial" w:hAnsi="Arial"/>
                      <w:sz w:val="20"/>
                      <w:szCs w:val="20"/>
                    </w:rPr>
                  </w:pPr>
                </w:p>
              </w:tc>
            </w:tr>
            <w:tr w:rsidR="00C601A5" w:rsidRPr="00116CE6" w:rsidTr="00022345">
              <w:tc>
                <w:tcPr>
                  <w:tcW w:w="6970" w:type="dxa"/>
                </w:tcPr>
                <w:p w:rsidR="00C601A5" w:rsidRDefault="00C601A5" w:rsidP="009C1A08">
                  <w:pPr>
                    <w:rPr>
                      <w:rFonts w:ascii="Arial" w:hAnsi="Arial"/>
                      <w:sz w:val="20"/>
                      <w:szCs w:val="20"/>
                    </w:rPr>
                  </w:pPr>
                </w:p>
                <w:p w:rsidR="00C601A5" w:rsidRPr="00022345" w:rsidRDefault="00C601A5" w:rsidP="009C1A08">
                  <w:pPr>
                    <w:rPr>
                      <w:rFonts w:ascii="Arial" w:hAnsi="Arial"/>
                      <w:b/>
                      <w:sz w:val="20"/>
                      <w:szCs w:val="20"/>
                    </w:rPr>
                  </w:pPr>
                  <w:r w:rsidRPr="00022345">
                    <w:rPr>
                      <w:rFonts w:ascii="Arial" w:hAnsi="Arial"/>
                      <w:b/>
                      <w:sz w:val="20"/>
                      <w:szCs w:val="20"/>
                    </w:rPr>
                    <w:t>Final Mark</w:t>
                  </w:r>
                </w:p>
                <w:p w:rsidR="00C601A5" w:rsidRPr="00116CE6" w:rsidRDefault="00C601A5" w:rsidP="009C1A08">
                  <w:pPr>
                    <w:rPr>
                      <w:rFonts w:ascii="Arial" w:hAnsi="Arial"/>
                      <w:sz w:val="20"/>
                      <w:szCs w:val="20"/>
                    </w:rPr>
                  </w:pPr>
                </w:p>
              </w:tc>
              <w:tc>
                <w:tcPr>
                  <w:tcW w:w="1660" w:type="dxa"/>
                </w:tcPr>
                <w:p w:rsidR="00C601A5" w:rsidRPr="00116CE6" w:rsidRDefault="00C601A5" w:rsidP="009C1A08">
                  <w:pPr>
                    <w:rPr>
                      <w:rFonts w:ascii="Arial" w:hAnsi="Arial"/>
                      <w:sz w:val="20"/>
                      <w:szCs w:val="20"/>
                    </w:rPr>
                  </w:pPr>
                </w:p>
              </w:tc>
            </w:tr>
          </w:tbl>
          <w:p w:rsidR="00C601A5" w:rsidRDefault="00C601A5" w:rsidP="00A745B6">
            <w:pPr>
              <w:pStyle w:val="NormalWeb"/>
              <w:spacing w:before="0" w:beforeAutospacing="0" w:after="0" w:afterAutospacing="0"/>
              <w:ind w:left="142" w:right="34"/>
              <w:rPr>
                <w:rFonts w:ascii="Arial" w:hAnsi="Arial" w:cs="Arial"/>
                <w:b/>
                <w:sz w:val="22"/>
                <w:szCs w:val="22"/>
              </w:rPr>
            </w:pPr>
          </w:p>
          <w:p w:rsidR="00C601A5" w:rsidRPr="00230F35" w:rsidRDefault="00C601A5"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C601A5" w:rsidRDefault="00C601A5" w:rsidP="002F467C">
            <w:pPr>
              <w:pStyle w:val="NormalWeb"/>
              <w:spacing w:before="0" w:beforeAutospacing="0" w:after="0" w:afterAutospacing="0"/>
              <w:rPr>
                <w:rFonts w:ascii="Arial" w:hAnsi="Arial" w:cs="Arial"/>
                <w:b/>
                <w:sz w:val="22"/>
                <w:szCs w:val="22"/>
              </w:rPr>
            </w:pPr>
          </w:p>
          <w:p w:rsidR="00C601A5" w:rsidRDefault="00C601A5" w:rsidP="002F467C">
            <w:pPr>
              <w:pStyle w:val="NormalWeb"/>
              <w:spacing w:before="0" w:beforeAutospacing="0" w:after="0" w:afterAutospacing="0"/>
              <w:rPr>
                <w:rFonts w:ascii="Arial" w:hAnsi="Arial" w:cs="Arial"/>
                <w:b/>
                <w:sz w:val="22"/>
                <w:szCs w:val="22"/>
              </w:rPr>
            </w:pPr>
          </w:p>
          <w:p w:rsidR="00C601A5" w:rsidRDefault="00C601A5" w:rsidP="002F467C">
            <w:pPr>
              <w:pStyle w:val="NormalWeb"/>
              <w:spacing w:before="0" w:beforeAutospacing="0" w:after="0" w:afterAutospacing="0"/>
              <w:rPr>
                <w:rFonts w:ascii="Arial" w:hAnsi="Arial" w:cs="Arial"/>
                <w:b/>
                <w:sz w:val="22"/>
                <w:szCs w:val="22"/>
              </w:rPr>
            </w:pPr>
          </w:p>
          <w:p w:rsidR="00C601A5" w:rsidRDefault="00C601A5" w:rsidP="002F467C">
            <w:pPr>
              <w:pStyle w:val="NormalWeb"/>
              <w:spacing w:before="0" w:beforeAutospacing="0" w:after="0" w:afterAutospacing="0"/>
              <w:rPr>
                <w:rFonts w:ascii="Arial" w:hAnsi="Arial" w:cs="Arial"/>
                <w:b/>
                <w:sz w:val="22"/>
                <w:szCs w:val="22"/>
              </w:rPr>
            </w:pPr>
          </w:p>
          <w:p w:rsidR="00C601A5" w:rsidRDefault="00C601A5" w:rsidP="002F467C">
            <w:pPr>
              <w:pStyle w:val="NormalWeb"/>
              <w:spacing w:before="0" w:beforeAutospacing="0" w:after="0" w:afterAutospacing="0"/>
              <w:rPr>
                <w:rFonts w:ascii="Arial" w:hAnsi="Arial" w:cs="Arial"/>
                <w:b/>
                <w:sz w:val="22"/>
                <w:szCs w:val="22"/>
              </w:rPr>
            </w:pPr>
          </w:p>
          <w:p w:rsidR="00C601A5" w:rsidRPr="00230F35" w:rsidRDefault="00C601A5"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C601A5" w:rsidRDefault="00C601A5"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C601A5" w:rsidRPr="00001C3B" w:rsidRDefault="00C601A5" w:rsidP="00043549">
            <w:pPr>
              <w:pStyle w:val="NormalWeb"/>
              <w:rPr>
                <w:rFonts w:ascii="Arial" w:hAnsi="Arial" w:cs="Arial"/>
                <w:sz w:val="22"/>
                <w:szCs w:val="22"/>
              </w:rPr>
            </w:pPr>
          </w:p>
        </w:tc>
      </w:tr>
      <w:tr w:rsidR="00C601A5" w:rsidRPr="00230F35" w:rsidTr="00A745B6">
        <w:trPr>
          <w:trHeight w:val="492"/>
        </w:trPr>
        <w:tc>
          <w:tcPr>
            <w:tcW w:w="6768" w:type="dxa"/>
            <w:gridSpan w:val="3"/>
          </w:tcPr>
          <w:p w:rsidR="00C601A5" w:rsidRPr="00230F35" w:rsidRDefault="00C601A5"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C601A5" w:rsidRPr="00230F35" w:rsidRDefault="00C601A5"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C601A5" w:rsidRPr="002F467C" w:rsidTr="002F467C">
        <w:tc>
          <w:tcPr>
            <w:tcW w:w="8856" w:type="dxa"/>
            <w:gridSpan w:val="5"/>
          </w:tcPr>
          <w:p w:rsidR="00C601A5" w:rsidRPr="00230F35" w:rsidRDefault="00C601A5" w:rsidP="002F467C">
            <w:pPr>
              <w:pStyle w:val="NormalWeb"/>
              <w:spacing w:before="0" w:beforeAutospacing="0" w:after="0" w:afterAutospacing="0"/>
              <w:ind w:right="-334"/>
              <w:rPr>
                <w:rFonts w:ascii="Arial" w:hAnsi="Arial" w:cs="Arial"/>
                <w:bCs/>
                <w:i/>
                <w:sz w:val="22"/>
                <w:szCs w:val="22"/>
              </w:rPr>
            </w:pPr>
          </w:p>
          <w:p w:rsidR="00C601A5" w:rsidRPr="00230F35" w:rsidRDefault="00C601A5"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C601A5" w:rsidRPr="00230F35" w:rsidRDefault="00C601A5" w:rsidP="002F467C">
            <w:pPr>
              <w:pStyle w:val="NormalWeb"/>
              <w:spacing w:before="0" w:beforeAutospacing="0" w:after="0" w:afterAutospacing="0"/>
              <w:ind w:right="-334"/>
              <w:rPr>
                <w:rFonts w:ascii="Arial" w:hAnsi="Arial" w:cs="Arial"/>
                <w:b/>
                <w:bCs/>
                <w:sz w:val="22"/>
                <w:szCs w:val="22"/>
              </w:rPr>
            </w:pPr>
          </w:p>
          <w:p w:rsidR="00C601A5" w:rsidRPr="00230F35" w:rsidRDefault="00C601A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C601A5" w:rsidRPr="00230F35" w:rsidRDefault="00C601A5" w:rsidP="002F467C">
            <w:pPr>
              <w:pStyle w:val="NormalWeb"/>
              <w:spacing w:before="0" w:beforeAutospacing="0" w:after="0" w:afterAutospacing="0"/>
              <w:ind w:right="-334"/>
              <w:rPr>
                <w:rFonts w:ascii="Arial" w:hAnsi="Arial" w:cs="Arial"/>
                <w:bCs/>
                <w:sz w:val="22"/>
                <w:szCs w:val="22"/>
              </w:rPr>
            </w:pPr>
          </w:p>
          <w:p w:rsidR="00C601A5" w:rsidRPr="00230F35" w:rsidRDefault="00C601A5" w:rsidP="002F467C">
            <w:pPr>
              <w:pStyle w:val="NormalWeb"/>
              <w:spacing w:before="0" w:beforeAutospacing="0" w:after="0" w:afterAutospacing="0"/>
              <w:ind w:right="-334"/>
              <w:rPr>
                <w:rFonts w:ascii="Arial" w:hAnsi="Arial" w:cs="Arial"/>
                <w:bCs/>
                <w:sz w:val="22"/>
                <w:szCs w:val="22"/>
              </w:rPr>
            </w:pPr>
          </w:p>
          <w:p w:rsidR="00C601A5" w:rsidRPr="00230F35" w:rsidRDefault="00C601A5" w:rsidP="002F467C">
            <w:pPr>
              <w:pStyle w:val="NormalWeb"/>
              <w:spacing w:before="0" w:beforeAutospacing="0" w:after="0" w:afterAutospacing="0"/>
              <w:ind w:right="-334"/>
              <w:rPr>
                <w:rFonts w:ascii="Arial" w:hAnsi="Arial" w:cs="Arial"/>
                <w:bCs/>
                <w:sz w:val="22"/>
                <w:szCs w:val="22"/>
              </w:rPr>
            </w:pPr>
          </w:p>
        </w:tc>
      </w:tr>
      <w:tr w:rsidR="00C601A5" w:rsidRPr="002F467C" w:rsidTr="008D674F">
        <w:trPr>
          <w:trHeight w:val="720"/>
        </w:trPr>
        <w:tc>
          <w:tcPr>
            <w:tcW w:w="5211" w:type="dxa"/>
            <w:gridSpan w:val="2"/>
          </w:tcPr>
          <w:p w:rsidR="00C601A5" w:rsidRPr="00230F35" w:rsidRDefault="00C601A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C601A5" w:rsidRPr="00230F35" w:rsidRDefault="00C601A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601A5" w:rsidRPr="002F467C" w:rsidTr="009C1A08">
        <w:trPr>
          <w:trHeight w:val="720"/>
        </w:trPr>
        <w:tc>
          <w:tcPr>
            <w:tcW w:w="8856" w:type="dxa"/>
            <w:gridSpan w:val="5"/>
          </w:tcPr>
          <w:p w:rsidR="00C601A5" w:rsidRPr="00B34964" w:rsidRDefault="00C601A5" w:rsidP="00230F35">
            <w:pPr>
              <w:rPr>
                <w:rFonts w:ascii="Arial" w:hAnsi="Arial" w:cs="Arial"/>
                <w:b/>
                <w:sz w:val="22"/>
                <w:szCs w:val="22"/>
              </w:rPr>
            </w:pPr>
            <w:r w:rsidRPr="00B34964">
              <w:rPr>
                <w:rFonts w:ascii="Arial" w:hAnsi="Arial" w:cs="Arial"/>
                <w:b/>
                <w:sz w:val="22"/>
                <w:szCs w:val="22"/>
              </w:rPr>
              <w:t>External Examiner’s comments (if relevant)</w:t>
            </w:r>
          </w:p>
          <w:p w:rsidR="00C601A5" w:rsidRPr="00230F35" w:rsidRDefault="00C601A5" w:rsidP="002F467C">
            <w:pPr>
              <w:pStyle w:val="NormalWeb"/>
              <w:spacing w:before="0" w:beforeAutospacing="0" w:after="0" w:afterAutospacing="0"/>
              <w:ind w:right="-334"/>
              <w:rPr>
                <w:rFonts w:ascii="Arial" w:hAnsi="Arial" w:cs="Arial"/>
                <w:bCs/>
                <w:sz w:val="22"/>
                <w:szCs w:val="22"/>
              </w:rPr>
            </w:pPr>
          </w:p>
          <w:p w:rsidR="00C601A5" w:rsidRPr="00230F35" w:rsidRDefault="00C601A5" w:rsidP="002F467C">
            <w:pPr>
              <w:pStyle w:val="NormalWeb"/>
              <w:spacing w:before="0" w:beforeAutospacing="0" w:after="0" w:afterAutospacing="0"/>
              <w:ind w:right="-334"/>
              <w:rPr>
                <w:rFonts w:ascii="Arial" w:hAnsi="Arial" w:cs="Arial"/>
                <w:bCs/>
                <w:sz w:val="22"/>
                <w:szCs w:val="22"/>
              </w:rPr>
            </w:pPr>
          </w:p>
          <w:p w:rsidR="00C601A5" w:rsidRPr="00230F35" w:rsidRDefault="00C601A5" w:rsidP="002F467C">
            <w:pPr>
              <w:pStyle w:val="NormalWeb"/>
              <w:spacing w:before="0" w:beforeAutospacing="0" w:after="0" w:afterAutospacing="0"/>
              <w:ind w:right="-334"/>
              <w:rPr>
                <w:rFonts w:ascii="Arial" w:hAnsi="Arial" w:cs="Arial"/>
                <w:bCs/>
                <w:sz w:val="22"/>
                <w:szCs w:val="22"/>
              </w:rPr>
            </w:pPr>
          </w:p>
        </w:tc>
      </w:tr>
      <w:tr w:rsidR="00C601A5" w:rsidRPr="002F467C" w:rsidTr="00230F35">
        <w:trPr>
          <w:trHeight w:val="720"/>
        </w:trPr>
        <w:tc>
          <w:tcPr>
            <w:tcW w:w="5211" w:type="dxa"/>
            <w:gridSpan w:val="2"/>
          </w:tcPr>
          <w:p w:rsidR="00C601A5" w:rsidRPr="00230F35" w:rsidRDefault="00C601A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C601A5" w:rsidRPr="00230F35" w:rsidRDefault="00C601A5" w:rsidP="00230F35">
            <w:pPr>
              <w:rPr>
                <w:rFonts w:ascii="Arial" w:hAnsi="Arial" w:cs="Arial"/>
                <w:sz w:val="22"/>
                <w:szCs w:val="22"/>
              </w:rPr>
            </w:pPr>
            <w:r w:rsidRPr="00230F35">
              <w:rPr>
                <w:rFonts w:ascii="Arial" w:hAnsi="Arial" w:cs="Arial"/>
                <w:sz w:val="22"/>
                <w:szCs w:val="22"/>
              </w:rPr>
              <w:t>Date:</w:t>
            </w:r>
          </w:p>
        </w:tc>
      </w:tr>
    </w:tbl>
    <w:p w:rsidR="00C601A5" w:rsidRPr="00D67BF8" w:rsidRDefault="00C601A5" w:rsidP="00FA07E9">
      <w:pPr>
        <w:pStyle w:val="NormalWeb"/>
        <w:spacing w:before="0" w:beforeAutospacing="0" w:after="0" w:afterAutospacing="0"/>
        <w:ind w:right="-334"/>
        <w:rPr>
          <w:rFonts w:ascii="Trebuchet MS" w:hAnsi="Trebuchet MS" w:cs="Tahoma"/>
          <w:bCs/>
          <w:sz w:val="24"/>
          <w:szCs w:val="24"/>
        </w:rPr>
      </w:pPr>
    </w:p>
    <w:p w:rsidR="0066158B" w:rsidRDefault="0066158B">
      <w:r>
        <w:br w:type="page"/>
      </w:r>
    </w:p>
    <w:p w:rsidR="00C601A5" w:rsidRDefault="00C601A5" w:rsidP="0056301C">
      <w:pPr>
        <w:spacing w:line="360" w:lineRule="auto"/>
      </w:pPr>
      <w:bookmarkStart w:id="3" w:name="_GoBack"/>
      <w:bookmarkEnd w:id="3"/>
    </w:p>
    <w:p w:rsidR="00E67812" w:rsidRPr="00B73C7A" w:rsidRDefault="00E67812" w:rsidP="0056301C">
      <w:pPr>
        <w:spacing w:line="360" w:lineRule="auto"/>
        <w:rPr>
          <w:u w:val="single"/>
        </w:rPr>
      </w:pPr>
      <w:r w:rsidRPr="00B73C7A">
        <w:rPr>
          <w:u w:val="single"/>
        </w:rPr>
        <w:t>Commentary on a documentary source.</w:t>
      </w:r>
    </w:p>
    <w:p w:rsidR="00E67812" w:rsidRDefault="00E67812" w:rsidP="0056301C">
      <w:pPr>
        <w:spacing w:line="360" w:lineRule="auto"/>
      </w:pPr>
    </w:p>
    <w:p w:rsidR="00C22C18" w:rsidRDefault="000A753A" w:rsidP="0056301C">
      <w:pPr>
        <w:spacing w:line="360" w:lineRule="auto"/>
      </w:pPr>
      <w:r>
        <w:t>I have chosen to comment on the medieval will of Lady Isabella, countess of Warwick. Working from a translation of the document that was originally written in Latin.</w:t>
      </w:r>
    </w:p>
    <w:p w:rsidR="00D82756" w:rsidRDefault="00D82756" w:rsidP="0056301C">
      <w:pPr>
        <w:spacing w:line="360" w:lineRule="auto"/>
      </w:pPr>
    </w:p>
    <w:p w:rsidR="00D82756" w:rsidRDefault="00D82756" w:rsidP="0056301C">
      <w:pPr>
        <w:spacing w:line="360" w:lineRule="auto"/>
      </w:pPr>
      <w:r>
        <w:t xml:space="preserve">It is difficult to find information on medieval women in the written record as </w:t>
      </w:r>
      <w:r w:rsidR="00CB4E73">
        <w:t>although by the fifteenth-century woman could hold land, make wills, engage in trade, take apprentices run their households and manage their estates not many took advantage of these opportunities. Since scripture was the authority on how women should be viewed</w:t>
      </w:r>
      <w:r w:rsidR="00A97B67">
        <w:t>,</w:t>
      </w:r>
      <w:r w:rsidR="00CB4E73">
        <w:t xml:space="preserve"> if they questioned their position they were seen as questioning God.</w:t>
      </w:r>
      <w:r w:rsidR="00CB4E73">
        <w:rPr>
          <w:rStyle w:val="FootnoteReference"/>
        </w:rPr>
        <w:footnoteReference w:id="1"/>
      </w:r>
      <w:r w:rsidR="00C00271">
        <w:t xml:space="preserve"> In the middle ages women were considered inferior to men, intellectually and emotionally and so they could not hold office, vote, participate as part of the church structure, or access higher learning.</w:t>
      </w:r>
      <w:r w:rsidR="00C00271">
        <w:rPr>
          <w:rStyle w:val="FootnoteReference"/>
        </w:rPr>
        <w:footnoteReference w:id="2"/>
      </w:r>
      <w:r w:rsidR="00C00271">
        <w:t xml:space="preserve"> Given that woman had</w:t>
      </w:r>
      <w:r w:rsidR="00A97B67">
        <w:t xml:space="preserve"> few rights or chose not to make</w:t>
      </w:r>
      <w:r w:rsidR="00C00271">
        <w:t xml:space="preserve"> use </w:t>
      </w:r>
      <w:r w:rsidR="00A97B67">
        <w:t xml:space="preserve">of </w:t>
      </w:r>
      <w:r w:rsidR="00C00271">
        <w:t xml:space="preserve">those that they did have we are </w:t>
      </w:r>
      <w:r w:rsidR="00A97B67">
        <w:t xml:space="preserve">now </w:t>
      </w:r>
      <w:r w:rsidR="00C00271">
        <w:t>left with limited information on women, for example what they thought, or how they acted. One option is to view Legal records as this can give some indirect information through legal testimony.</w:t>
      </w:r>
      <w:r w:rsidR="00C00271">
        <w:rPr>
          <w:rStyle w:val="FootnoteReference"/>
        </w:rPr>
        <w:footnoteReference w:id="3"/>
      </w:r>
      <w:r w:rsidR="00A97B67">
        <w:t xml:space="preserve"> However another area where we can find direct information about what concerned woman, particularly </w:t>
      </w:r>
      <w:r w:rsidR="007F1609">
        <w:t>in their last days are in the w</w:t>
      </w:r>
      <w:r w:rsidR="00A97B67">
        <w:t xml:space="preserve">ills that some have left. </w:t>
      </w:r>
    </w:p>
    <w:p w:rsidR="00A97B67" w:rsidRDefault="00A97B67" w:rsidP="0056301C">
      <w:pPr>
        <w:spacing w:line="360" w:lineRule="auto"/>
      </w:pPr>
    </w:p>
    <w:p w:rsidR="007F1609" w:rsidRDefault="00B73C7A" w:rsidP="0056301C">
      <w:pPr>
        <w:spacing w:line="360" w:lineRule="auto"/>
      </w:pPr>
      <w:r>
        <w:t>O</w:t>
      </w:r>
      <w:r w:rsidR="00265B75">
        <w:t xml:space="preserve">nly widows or married women, with their </w:t>
      </w:r>
      <w:proofErr w:type="gramStart"/>
      <w:r w:rsidR="00265B75">
        <w:t>husbands</w:t>
      </w:r>
      <w:proofErr w:type="gramEnd"/>
      <w:r w:rsidR="00265B75">
        <w:t xml:space="preserve"> consent</w:t>
      </w:r>
      <w:r>
        <w:t>,</w:t>
      </w:r>
      <w:r w:rsidR="00265B75">
        <w:t xml:space="preserve"> could make a will. This pool is narrowed further as while Canon Law did not put any barriers to a married woman making a will this particular practise declined over the fifteenth-century and so unfortunately as married woman are leaving little trace in the written record we are left </w:t>
      </w:r>
      <w:r>
        <w:t xml:space="preserve">largely </w:t>
      </w:r>
      <w:r w:rsidR="00265B75">
        <w:t>with the wills of widows.</w:t>
      </w:r>
      <w:r w:rsidR="00265B75">
        <w:rPr>
          <w:rStyle w:val="FootnoteReference"/>
        </w:rPr>
        <w:footnoteReference w:id="4"/>
      </w:r>
      <w:r w:rsidR="000A7E77">
        <w:t xml:space="preserve"> </w:t>
      </w:r>
      <w:r w:rsidR="00EB6296">
        <w:t xml:space="preserve">We must also recognise that </w:t>
      </w:r>
      <w:r w:rsidR="007F1609">
        <w:t>most of the extant documents are in Latin, or Anglo-Norman French which require transcription and translation if t</w:t>
      </w:r>
      <w:r w:rsidR="000E5500">
        <w:t xml:space="preserve">hey are to be </w:t>
      </w:r>
      <w:r w:rsidR="000E5500">
        <w:lastRenderedPageBreak/>
        <w:t>accessible to anyone other than a specialist scholar.</w:t>
      </w:r>
      <w:r w:rsidR="000E5500">
        <w:rPr>
          <w:rStyle w:val="FootnoteReference"/>
        </w:rPr>
        <w:footnoteReference w:id="5"/>
      </w:r>
      <w:r w:rsidR="000E5500">
        <w:t xml:space="preserve"> </w:t>
      </w:r>
      <w:r>
        <w:t xml:space="preserve"> </w:t>
      </w:r>
      <w:r w:rsidR="000E5500">
        <w:t>This mean</w:t>
      </w:r>
      <w:r>
        <w:t>s</w:t>
      </w:r>
      <w:r w:rsidR="000E5500">
        <w:t xml:space="preserve"> that any available sources, particularly those that have been printed, are valuable to the historian who cannot necessarily access archives easily, or are unable to translate a document even it were in front of them. </w:t>
      </w:r>
    </w:p>
    <w:p w:rsidR="000A7E77" w:rsidRDefault="000A7E77" w:rsidP="0056301C">
      <w:pPr>
        <w:spacing w:line="360" w:lineRule="auto"/>
      </w:pPr>
    </w:p>
    <w:p w:rsidR="00FF1A0D" w:rsidRDefault="0095219A" w:rsidP="0056301C">
      <w:pPr>
        <w:spacing w:line="360" w:lineRule="auto"/>
      </w:pPr>
      <w:r>
        <w:t>W</w:t>
      </w:r>
      <w:r w:rsidR="00FF1A0D">
        <w:t xml:space="preserve">e must now consider the document in some kind of context.  Generally the will is going to be the last wishes of the soon to be deceased, and what </w:t>
      </w:r>
      <w:proofErr w:type="spellStart"/>
      <w:r w:rsidR="00FF1A0D">
        <w:t>Daniell</w:t>
      </w:r>
      <w:proofErr w:type="spellEnd"/>
      <w:r w:rsidR="00FF1A0D">
        <w:t xml:space="preserve"> calls the “artistic depictions of the death-bed scene, the will being writ</w:t>
      </w:r>
      <w:r w:rsidR="00B73C7A">
        <w:t>ten as the person lies dying” are</w:t>
      </w:r>
      <w:r w:rsidR="00FF1A0D">
        <w:t xml:space="preserve"> not necessarily incorrect</w:t>
      </w:r>
      <w:r w:rsidR="00413547">
        <w:t>.</w:t>
      </w:r>
      <w:r w:rsidR="00413547">
        <w:rPr>
          <w:rStyle w:val="FootnoteReference"/>
        </w:rPr>
        <w:footnoteReference w:id="6"/>
      </w:r>
      <w:r w:rsidR="00413547">
        <w:t xml:space="preserve"> However </w:t>
      </w:r>
      <w:r w:rsidR="00FF1A0D">
        <w:t>it is also true to say that ma</w:t>
      </w:r>
      <w:r w:rsidR="00413547">
        <w:t>n</w:t>
      </w:r>
      <w:r w:rsidR="00FF1A0D">
        <w:t xml:space="preserve">y noble families with a lot </w:t>
      </w:r>
      <w:r w:rsidR="00B73C7A">
        <w:t xml:space="preserve">of possessions or wealth </w:t>
      </w:r>
      <w:r w:rsidR="00FF1A0D">
        <w:t>to leave beh</w:t>
      </w:r>
      <w:r w:rsidR="00B73C7A">
        <w:t xml:space="preserve">ind may have taken care of the </w:t>
      </w:r>
      <w:r w:rsidR="00FF1A0D">
        <w:t>matter of their will some time before they actually died.</w:t>
      </w:r>
      <w:r w:rsidR="000A7E77">
        <w:rPr>
          <w:rStyle w:val="FootnoteReference"/>
        </w:rPr>
        <w:footnoteReference w:id="7"/>
      </w:r>
      <w:r w:rsidR="000A7E77">
        <w:t xml:space="preserve"> We also have to consider whether the will was an opportunity for the woman to do as they wished and lay out their own thoughts and requests or were they still constrained by the formalities of a will and scholarly opinion is divided on this matter.</w:t>
      </w:r>
      <w:r w:rsidR="000A7E77">
        <w:rPr>
          <w:rStyle w:val="FootnoteReference"/>
        </w:rPr>
        <w:footnoteReference w:id="8"/>
      </w:r>
      <w:r w:rsidR="0076299B">
        <w:t xml:space="preserve"> </w:t>
      </w:r>
      <w:r w:rsidR="00B73C7A">
        <w:t>When using a will as a source we must note that t</w:t>
      </w:r>
      <w:r w:rsidR="0076299B">
        <w:t>he will is being written with a specific context and so this does affect their meaning and how we interpret them.</w:t>
      </w:r>
      <w:r w:rsidR="0076299B">
        <w:rPr>
          <w:rStyle w:val="FootnoteReference"/>
        </w:rPr>
        <w:footnoteReference w:id="9"/>
      </w:r>
    </w:p>
    <w:p w:rsidR="00FF676B" w:rsidRDefault="00FF676B" w:rsidP="0056301C">
      <w:pPr>
        <w:spacing w:line="360" w:lineRule="auto"/>
      </w:pPr>
    </w:p>
    <w:p w:rsidR="0095219A" w:rsidRDefault="00B73C7A" w:rsidP="0056301C">
      <w:pPr>
        <w:spacing w:line="360" w:lineRule="auto"/>
      </w:pPr>
      <w:r>
        <w:t xml:space="preserve">For </w:t>
      </w:r>
      <w:r w:rsidR="00FF676B">
        <w:t xml:space="preserve">the will of Lady </w:t>
      </w:r>
      <w:proofErr w:type="gramStart"/>
      <w:r w:rsidR="00FF676B">
        <w:t>Isabella</w:t>
      </w:r>
      <w:proofErr w:type="gramEnd"/>
      <w:r w:rsidR="00FF676B">
        <w:t xml:space="preserve"> it starts with a standard statement showing concern for the soul, in this case ‘In the name of God Amen’.  </w:t>
      </w:r>
      <w:r w:rsidR="008E3F57">
        <w:t xml:space="preserve">By the fifteenth-century the idea of Purgatory was well established and so a concern for </w:t>
      </w:r>
      <w:proofErr w:type="spellStart"/>
      <w:proofErr w:type="gramStart"/>
      <w:r w:rsidR="008E3F57">
        <w:t>ones</w:t>
      </w:r>
      <w:proofErr w:type="spellEnd"/>
      <w:proofErr w:type="gramEnd"/>
      <w:r w:rsidR="008E3F57">
        <w:t xml:space="preserve"> soul was usually the first concern. We can then</w:t>
      </w:r>
      <w:r w:rsidR="00FF676B">
        <w:t xml:space="preserve"> </w:t>
      </w:r>
      <w:r w:rsidR="008E3F57">
        <w:t>identify</w:t>
      </w:r>
      <w:r w:rsidR="00FF676B">
        <w:t xml:space="preserve"> the </w:t>
      </w:r>
      <w:r w:rsidR="008E3F57">
        <w:t>who, where and when the will was</w:t>
      </w:r>
      <w:r w:rsidR="00FF676B">
        <w:t xml:space="preserve"> being made and knowing that Isabella died in 1439 (the date of the will) </w:t>
      </w:r>
      <w:r w:rsidR="008E3F57">
        <w:t xml:space="preserve">this tells us this </w:t>
      </w:r>
      <w:r w:rsidR="00FF676B">
        <w:t xml:space="preserve">was not a document that had been written some years previous </w:t>
      </w:r>
      <w:r w:rsidR="008E3F57">
        <w:t xml:space="preserve">with perhaps much care and attention </w:t>
      </w:r>
      <w:r>
        <w:t xml:space="preserve">being given to its content </w:t>
      </w:r>
      <w:r w:rsidR="008E3F57">
        <w:t>but was more likely being drafted in response to her impending death. In most cases death bed wills will not reveal evidence of much forward planning.</w:t>
      </w:r>
      <w:r w:rsidR="008E3F57">
        <w:rPr>
          <w:rStyle w:val="FootnoteReference"/>
        </w:rPr>
        <w:footnoteReference w:id="10"/>
      </w:r>
      <w:r w:rsidR="008E3F57">
        <w:t xml:space="preserve"> However in Isabella’s case she notes, after her first bequest of her soul to Almighty God, that </w:t>
      </w:r>
      <w:r w:rsidR="00E86904">
        <w:t xml:space="preserve">her body is to be buried at Tewkesbury abbey </w:t>
      </w:r>
      <w:proofErr w:type="gramStart"/>
      <w:r w:rsidR="00E86904">
        <w:t>“..</w:t>
      </w:r>
      <w:proofErr w:type="gramEnd"/>
      <w:r w:rsidR="00E86904">
        <w:t xml:space="preserve">in the place that I have assigned.” It was not uncommon for wills to </w:t>
      </w:r>
      <w:r w:rsidR="00E86904">
        <w:lastRenderedPageBreak/>
        <w:t>say where someone was to be buried, either naming a particular church or something more specific and if someone was a patron of a church, this could give them some control over their place of burial.</w:t>
      </w:r>
      <w:r w:rsidR="00E86904">
        <w:rPr>
          <w:rStyle w:val="FootnoteReference"/>
        </w:rPr>
        <w:footnoteReference w:id="11"/>
      </w:r>
      <w:r w:rsidR="00E86904">
        <w:t xml:space="preserve"> In Isabella’s case </w:t>
      </w:r>
      <w:r w:rsidR="00EC0C1B">
        <w:t>her family were signific</w:t>
      </w:r>
      <w:r w:rsidR="0095219A">
        <w:t>ant patrons of the abbey at Tewke</w:t>
      </w:r>
      <w:r w:rsidR="00EC0C1B">
        <w:t xml:space="preserve">sbury and together the de </w:t>
      </w:r>
      <w:proofErr w:type="spellStart"/>
      <w:r w:rsidR="00EC0C1B">
        <w:t>Clares</w:t>
      </w:r>
      <w:proofErr w:type="spellEnd"/>
      <w:r w:rsidR="00EC0C1B">
        <w:t xml:space="preserve">, the </w:t>
      </w:r>
      <w:proofErr w:type="spellStart"/>
      <w:r w:rsidR="00EC0C1B">
        <w:t>Despensers</w:t>
      </w:r>
      <w:proofErr w:type="spellEnd"/>
      <w:r w:rsidR="00EC0C1B">
        <w:t xml:space="preserve"> and the </w:t>
      </w:r>
      <w:proofErr w:type="spellStart"/>
      <w:r w:rsidR="00EC0C1B">
        <w:t>Beauchamps</w:t>
      </w:r>
      <w:proofErr w:type="spellEnd"/>
      <w:r w:rsidR="00EC0C1B">
        <w:t xml:space="preserve"> extended and rebuilt the abbey with Isabella building the Beauchamp chantry in 1430.</w:t>
      </w:r>
      <w:r w:rsidR="0095219A">
        <w:rPr>
          <w:rStyle w:val="FootnoteReference"/>
        </w:rPr>
        <w:footnoteReference w:id="12"/>
      </w:r>
      <w:r w:rsidR="00EC0C1B">
        <w:t xml:space="preserve">  </w:t>
      </w:r>
      <w:r w:rsidR="0095219A">
        <w:t xml:space="preserve">Isabella was a </w:t>
      </w:r>
      <w:proofErr w:type="spellStart"/>
      <w:r w:rsidR="0095219A">
        <w:t>Despenser</w:t>
      </w:r>
      <w:proofErr w:type="spellEnd"/>
      <w:r w:rsidR="0095219A">
        <w:t xml:space="preserve"> from birth being the posthumous daughter of Thomas le </w:t>
      </w:r>
      <w:proofErr w:type="spellStart"/>
      <w:r w:rsidR="0095219A">
        <w:t>Depsenser</w:t>
      </w:r>
      <w:proofErr w:type="spellEnd"/>
      <w:r w:rsidR="0095219A">
        <w:t>, 1</w:t>
      </w:r>
      <w:r w:rsidR="0095219A" w:rsidRPr="000A753A">
        <w:rPr>
          <w:vertAlign w:val="superscript"/>
        </w:rPr>
        <w:t>st</w:t>
      </w:r>
      <w:r w:rsidR="0095219A">
        <w:t xml:space="preserve"> Earl of Gloucester, and a Beauchamp twice over with her first marriage to Richard de Beauchamp, becoming countess of Worcester, and then subsequently marrying another Richard de Beauchamp, cousin of her first husband, to become countess of Warwick. </w:t>
      </w:r>
      <w:proofErr w:type="gramStart"/>
      <w:r>
        <w:t>Therefore</w:t>
      </w:r>
      <w:proofErr w:type="gramEnd"/>
      <w:r>
        <w:t xml:space="preserve"> she had significant connections to Tewkesbury. </w:t>
      </w:r>
    </w:p>
    <w:p w:rsidR="0095219A" w:rsidRDefault="0095219A" w:rsidP="0056301C">
      <w:pPr>
        <w:spacing w:line="360" w:lineRule="auto"/>
      </w:pPr>
    </w:p>
    <w:p w:rsidR="00B73C7A" w:rsidRDefault="0095219A" w:rsidP="0056301C">
      <w:pPr>
        <w:spacing w:line="360" w:lineRule="auto"/>
      </w:pPr>
      <w:r>
        <w:t xml:space="preserve">Despite her family connections to the abbey </w:t>
      </w:r>
      <w:r w:rsidR="001619C3">
        <w:t>Isabella</w:t>
      </w:r>
      <w:r>
        <w:t xml:space="preserve"> clearly still </w:t>
      </w:r>
      <w:r w:rsidR="001619C3">
        <w:t xml:space="preserve">had </w:t>
      </w:r>
      <w:r>
        <w:t xml:space="preserve">a concern that the </w:t>
      </w:r>
      <w:r w:rsidR="006664BB">
        <w:t xml:space="preserve">abbot and monks may have an issue with her tomb and to silence their grumbles she notes that her “great </w:t>
      </w:r>
      <w:proofErr w:type="spellStart"/>
      <w:r w:rsidR="006664BB">
        <w:t>templys</w:t>
      </w:r>
      <w:proofErr w:type="spellEnd"/>
      <w:r w:rsidR="006664BB">
        <w:t xml:space="preserve"> with the pale rubies are to be sold for the highest </w:t>
      </w:r>
      <w:proofErr w:type="gramStart"/>
      <w:r w:rsidR="006664BB">
        <w:t>price..</w:t>
      </w:r>
      <w:proofErr w:type="gramEnd"/>
      <w:r w:rsidR="006664BB">
        <w:t xml:space="preserve">” the funds are then to be given to the abbot.  It is possible that she knew her plans </w:t>
      </w:r>
      <w:r w:rsidR="00D1567F">
        <w:t>may cause concern.  Isabella had</w:t>
      </w:r>
      <w:r w:rsidR="006664BB">
        <w:t xml:space="preserve"> requested that her image </w:t>
      </w:r>
      <w:r w:rsidR="00B73C7A">
        <w:t xml:space="preserve">on her tomb </w:t>
      </w:r>
      <w:r w:rsidR="006664BB">
        <w:t>be naked, her head bare and hair back. This was a developing naturalism which was giving women a sense of individualism.</w:t>
      </w:r>
      <w:r w:rsidR="006664BB">
        <w:rPr>
          <w:rStyle w:val="FootnoteReference"/>
        </w:rPr>
        <w:footnoteReference w:id="13"/>
      </w:r>
      <w:r w:rsidR="006664BB">
        <w:t xml:space="preserve"> </w:t>
      </w:r>
      <w:r w:rsidR="00D1567F">
        <w:t xml:space="preserve">She was also requesting Mary Magdalene at her head and </w:t>
      </w:r>
      <w:proofErr w:type="spellStart"/>
      <w:r w:rsidR="00D1567F">
        <w:t>Leyser</w:t>
      </w:r>
      <w:proofErr w:type="spellEnd"/>
      <w:r w:rsidR="00D1567F">
        <w:t xml:space="preserve"> says that her tomb was to centre around the woman identified in the gospels as a prostitute and the first witness to the resurrection </w:t>
      </w:r>
      <w:proofErr w:type="gramStart"/>
      <w:r w:rsidR="00D1567F">
        <w:t>“..</w:t>
      </w:r>
      <w:proofErr w:type="gramEnd"/>
      <w:r w:rsidR="00D1567F">
        <w:t xml:space="preserve">a role model of dramatic potential..” </w:t>
      </w:r>
      <w:proofErr w:type="spellStart"/>
      <w:r w:rsidR="00D1567F">
        <w:t>Leyser</w:t>
      </w:r>
      <w:proofErr w:type="spellEnd"/>
      <w:r w:rsidR="00D1567F">
        <w:t xml:space="preserve"> also suggests that “The theatricality of Isabella’s projected tomb</w:t>
      </w:r>
      <w:r w:rsidR="000E3495">
        <w:t>…</w:t>
      </w:r>
      <w:r w:rsidR="00D1567F">
        <w:t>suggests a heightened form of piety”</w:t>
      </w:r>
      <w:r w:rsidR="00D1567F" w:rsidRPr="00D1567F">
        <w:rPr>
          <w:rStyle w:val="FootnoteReference"/>
        </w:rPr>
        <w:t xml:space="preserve"> </w:t>
      </w:r>
      <w:r w:rsidR="00D1567F">
        <w:rPr>
          <w:rStyle w:val="FootnoteReference"/>
        </w:rPr>
        <w:footnoteReference w:id="14"/>
      </w:r>
      <w:r w:rsidR="00096EAB">
        <w:t xml:space="preserve"> </w:t>
      </w:r>
    </w:p>
    <w:p w:rsidR="00B73C7A" w:rsidRDefault="00B73C7A" w:rsidP="0056301C">
      <w:pPr>
        <w:spacing w:line="360" w:lineRule="auto"/>
      </w:pPr>
    </w:p>
    <w:p w:rsidR="00096EAB" w:rsidRDefault="00AF6753" w:rsidP="0056301C">
      <w:pPr>
        <w:spacing w:line="360" w:lineRule="auto"/>
      </w:pPr>
      <w:r>
        <w:t xml:space="preserve">Isabella is also making sure to link the tomb with her family, using her coat of arms, together with that of her husband at her feet. </w:t>
      </w:r>
      <w:r w:rsidR="00E124D5">
        <w:t>Imagery and iconography was important in churches as it served to remind the illiterate laity of their position since most images in a church are of the wealthy or anyone who was socially prominent.</w:t>
      </w:r>
      <w:r w:rsidR="00E124D5">
        <w:rPr>
          <w:rStyle w:val="FootnoteReference"/>
        </w:rPr>
        <w:footnoteReference w:id="15"/>
      </w:r>
      <w:r w:rsidR="00E124D5">
        <w:t xml:space="preserve"> </w:t>
      </w:r>
      <w:r w:rsidR="00B73C7A">
        <w:t>In addition to</w:t>
      </w:r>
      <w:r w:rsidR="00E124D5">
        <w:t xml:space="preserve"> the heraldry we have Isabella requesting images of poor men and women “..to be depicted in their poor array </w:t>
      </w:r>
      <w:r w:rsidR="00E124D5">
        <w:lastRenderedPageBreak/>
        <w:t>with beads in their hands..” It was common in medieval ecclesiastical art to use images to reinforce social order, perhaps depictions of manual labour.</w:t>
      </w:r>
      <w:r w:rsidR="00E124D5">
        <w:rPr>
          <w:rStyle w:val="FootnoteReference"/>
        </w:rPr>
        <w:footnoteReference w:id="16"/>
      </w:r>
      <w:r w:rsidR="00E124D5">
        <w:t xml:space="preserve"> This was despite the fourteenth-century Dominican preacher John Bromyard saying “that there should be no difference between kings and </w:t>
      </w:r>
      <w:proofErr w:type="spellStart"/>
      <w:r w:rsidR="00E124D5">
        <w:t>beggers</w:t>
      </w:r>
      <w:proofErr w:type="spellEnd"/>
      <w:r w:rsidR="00E124D5">
        <w:t xml:space="preserve"> or masters and servants in death”</w:t>
      </w:r>
      <w:r w:rsidR="000E40CB">
        <w:t xml:space="preserve"> Unfortunately in reality the wealthy expected to maintain a social hierarchy.</w:t>
      </w:r>
      <w:r w:rsidR="000E40CB">
        <w:rPr>
          <w:rStyle w:val="FootnoteReference"/>
        </w:rPr>
        <w:footnoteReference w:id="17"/>
      </w:r>
      <w:r w:rsidR="000E40CB">
        <w:t xml:space="preserve"> Isabella is demonstrating this very clearly in her tomb in asking for the poor to adorn it.  The beads she mentions in their hands are meant to represent rosary’s so that the prayers can be said for her soul. </w:t>
      </w:r>
    </w:p>
    <w:p w:rsidR="000E40CB" w:rsidRDefault="000E40CB" w:rsidP="0056301C">
      <w:pPr>
        <w:spacing w:line="360" w:lineRule="auto"/>
      </w:pPr>
    </w:p>
    <w:p w:rsidR="00AF6753" w:rsidRDefault="000974B3" w:rsidP="0056301C">
      <w:pPr>
        <w:spacing w:line="360" w:lineRule="auto"/>
      </w:pPr>
      <w:r>
        <w:t>As Hadley notes regarding wills “Their real value lies in hints they give about aspirations an</w:t>
      </w:r>
      <w:r>
        <w:t>d preparation for the afterlife”.</w:t>
      </w:r>
      <w:r>
        <w:rPr>
          <w:rStyle w:val="FootnoteReference"/>
        </w:rPr>
        <w:footnoteReference w:id="18"/>
      </w:r>
      <w:r>
        <w:t xml:space="preserve"> From this section of the will for Lady Isabella we can deduce a connection to Tewkesbury abbey, an awareness of the problems the image she had chosen for her tomb could cause and an attempt at least to quieten any dissenters regarding her plans.  In death she wants to remind visitors to the Abbey of her family connections and also suggest that the poor of the area will, or should be, saying prayers for her soul.  </w:t>
      </w:r>
    </w:p>
    <w:p w:rsidR="0056301C" w:rsidRDefault="0056301C" w:rsidP="0056301C">
      <w:pPr>
        <w:spacing w:line="360" w:lineRule="auto"/>
      </w:pPr>
    </w:p>
    <w:p w:rsidR="0056301C" w:rsidRDefault="0056301C" w:rsidP="0056301C">
      <w:pPr>
        <w:spacing w:line="360" w:lineRule="auto"/>
      </w:pPr>
    </w:p>
    <w:p w:rsidR="0056301C" w:rsidRDefault="0056301C">
      <w:r>
        <w:br w:type="page"/>
      </w:r>
    </w:p>
    <w:p w:rsidR="0056301C" w:rsidRDefault="0056301C" w:rsidP="0056301C">
      <w:pPr>
        <w:spacing w:line="360" w:lineRule="auto"/>
      </w:pPr>
    </w:p>
    <w:p w:rsidR="0056301C" w:rsidRPr="0056301C" w:rsidRDefault="0056301C" w:rsidP="0056301C">
      <w:pPr>
        <w:spacing w:line="360" w:lineRule="auto"/>
        <w:rPr>
          <w:u w:val="single"/>
        </w:rPr>
      </w:pPr>
      <w:r w:rsidRPr="0056301C">
        <w:rPr>
          <w:u w:val="single"/>
        </w:rPr>
        <w:t>Bibliography</w:t>
      </w:r>
    </w:p>
    <w:p w:rsidR="0056301C" w:rsidRPr="00FE0B6B" w:rsidRDefault="0056301C" w:rsidP="0056301C">
      <w:pPr>
        <w:rPr>
          <w:sz w:val="20"/>
          <w:szCs w:val="20"/>
        </w:rPr>
      </w:pPr>
    </w:p>
    <w:p w:rsidR="0056301C" w:rsidRPr="00816708" w:rsidRDefault="0056301C" w:rsidP="0056301C">
      <w:proofErr w:type="spellStart"/>
      <w:r w:rsidRPr="00816708">
        <w:t>Daniell</w:t>
      </w:r>
      <w:proofErr w:type="spellEnd"/>
      <w:r w:rsidRPr="00816708">
        <w:t xml:space="preserve">, C., </w:t>
      </w:r>
      <w:r w:rsidRPr="00816708">
        <w:rPr>
          <w:i/>
        </w:rPr>
        <w:t>Death and Burial in Medieval England: 1066-1550,</w:t>
      </w:r>
      <w:r w:rsidRPr="00816708">
        <w:t xml:space="preserve"> (London: Routledge, 1997).</w:t>
      </w:r>
    </w:p>
    <w:p w:rsidR="0056301C" w:rsidRPr="00816708" w:rsidRDefault="0056301C" w:rsidP="0056301C"/>
    <w:p w:rsidR="0056301C" w:rsidRPr="00816708" w:rsidRDefault="0056301C" w:rsidP="0056301C">
      <w:proofErr w:type="spellStart"/>
      <w:r w:rsidRPr="00816708">
        <w:t>Erler</w:t>
      </w:r>
      <w:proofErr w:type="spellEnd"/>
      <w:r w:rsidRPr="00816708">
        <w:t xml:space="preserve">, M. and </w:t>
      </w:r>
      <w:proofErr w:type="spellStart"/>
      <w:r w:rsidRPr="00816708">
        <w:t>Kowaleski</w:t>
      </w:r>
      <w:proofErr w:type="spellEnd"/>
      <w:r w:rsidRPr="00816708">
        <w:t xml:space="preserve">, M., ed. Women in Power in the Middle Ages, (Georgia: University of Georgia Press, 1988). </w:t>
      </w:r>
    </w:p>
    <w:p w:rsidR="0056301C" w:rsidRPr="00816708" w:rsidRDefault="0056301C" w:rsidP="0056301C"/>
    <w:p w:rsidR="0056301C" w:rsidRPr="00816708" w:rsidRDefault="0056301C" w:rsidP="0056301C">
      <w:proofErr w:type="spellStart"/>
      <w:r w:rsidRPr="00816708">
        <w:t>Gittings</w:t>
      </w:r>
      <w:proofErr w:type="spellEnd"/>
      <w:r w:rsidRPr="00816708">
        <w:t xml:space="preserve">, C., </w:t>
      </w:r>
      <w:r w:rsidRPr="00816708">
        <w:rPr>
          <w:i/>
        </w:rPr>
        <w:t>Death, Burial and the Individual in Early Modern England</w:t>
      </w:r>
      <w:r w:rsidRPr="00816708">
        <w:t xml:space="preserve">, (Beckenham: </w:t>
      </w:r>
      <w:proofErr w:type="spellStart"/>
      <w:r w:rsidRPr="00816708">
        <w:t>Croom</w:t>
      </w:r>
      <w:proofErr w:type="spellEnd"/>
      <w:r w:rsidRPr="00816708">
        <w:t xml:space="preserve"> Helm Ltd, 1984).</w:t>
      </w:r>
    </w:p>
    <w:p w:rsidR="0056301C" w:rsidRPr="00816708" w:rsidRDefault="0056301C" w:rsidP="0056301C"/>
    <w:p w:rsidR="0056301C" w:rsidRPr="00816708" w:rsidRDefault="0056301C" w:rsidP="0056301C">
      <w:r w:rsidRPr="00816708">
        <w:t xml:space="preserve">Goldberg, P.J.P., ‘Women’ </w:t>
      </w:r>
      <w:r w:rsidRPr="00816708">
        <w:rPr>
          <w:i/>
        </w:rPr>
        <w:t>Fifteenth-Century attitudes: Perceptions of Society in Late Medieval England</w:t>
      </w:r>
      <w:r w:rsidRPr="00816708">
        <w:t xml:space="preserve">, </w:t>
      </w:r>
      <w:proofErr w:type="spellStart"/>
      <w:r w:rsidRPr="00816708">
        <w:t>Horrox</w:t>
      </w:r>
      <w:proofErr w:type="spellEnd"/>
      <w:r w:rsidRPr="00816708">
        <w:t>, R., ed. (Cambridge: Cambridge University Press, 1996), pp. 112-131.</w:t>
      </w:r>
    </w:p>
    <w:p w:rsidR="0056301C" w:rsidRPr="00816708" w:rsidRDefault="0056301C" w:rsidP="0056301C"/>
    <w:p w:rsidR="0056301C" w:rsidRPr="00816708" w:rsidRDefault="0056301C" w:rsidP="0056301C">
      <w:r w:rsidRPr="00816708">
        <w:t xml:space="preserve">Hadley, D.M., </w:t>
      </w:r>
      <w:r w:rsidRPr="00816708">
        <w:rPr>
          <w:i/>
        </w:rPr>
        <w:t>Death in Medieval England: An archaeology</w:t>
      </w:r>
      <w:r w:rsidRPr="00816708">
        <w:t>, (Stroud: Tempus Publishing Ltd, 2001).</w:t>
      </w:r>
    </w:p>
    <w:p w:rsidR="0056301C" w:rsidRPr="00816708" w:rsidRDefault="0056301C" w:rsidP="0056301C"/>
    <w:p w:rsidR="0056301C" w:rsidRPr="00816708" w:rsidRDefault="0056301C" w:rsidP="0056301C">
      <w:proofErr w:type="spellStart"/>
      <w:r w:rsidRPr="00816708">
        <w:t>Leongard</w:t>
      </w:r>
      <w:proofErr w:type="spellEnd"/>
      <w:r w:rsidRPr="00816708">
        <w:t xml:space="preserve">, J.S., ‘Legal History and the Medieval Englishwoman’ </w:t>
      </w:r>
      <w:r w:rsidRPr="00816708">
        <w:rPr>
          <w:i/>
        </w:rPr>
        <w:t>Medieval Women and the Sources of Medieval History</w:t>
      </w:r>
      <w:r w:rsidRPr="00816708">
        <w:t xml:space="preserve">, Rosenthal, J.T. </w:t>
      </w:r>
      <w:proofErr w:type="spellStart"/>
      <w:r w:rsidRPr="00816708">
        <w:t>ed</w:t>
      </w:r>
      <w:proofErr w:type="spellEnd"/>
      <w:r w:rsidRPr="00816708">
        <w:t>, (Georgia: University of Georgia Press, 1990), pp. 210-236.</w:t>
      </w:r>
    </w:p>
    <w:p w:rsidR="0056301C" w:rsidRPr="00816708" w:rsidRDefault="0056301C" w:rsidP="0056301C"/>
    <w:p w:rsidR="0056301C" w:rsidRPr="00816708" w:rsidRDefault="0056301C" w:rsidP="0056301C">
      <w:r w:rsidRPr="00816708">
        <w:t xml:space="preserve">Lewis, K. J., ‘Women, Testamentary Discourse and life-writing in later Medieval England’ </w:t>
      </w:r>
      <w:r w:rsidRPr="00816708">
        <w:rPr>
          <w:i/>
        </w:rPr>
        <w:t>Medieval Women and the Law</w:t>
      </w:r>
      <w:r w:rsidRPr="00816708">
        <w:t xml:space="preserve">, </w:t>
      </w:r>
      <w:proofErr w:type="spellStart"/>
      <w:r w:rsidRPr="00816708">
        <w:t>Meriuge</w:t>
      </w:r>
      <w:proofErr w:type="spellEnd"/>
      <w:r w:rsidRPr="00816708">
        <w:t xml:space="preserve">, N.J. </w:t>
      </w:r>
      <w:proofErr w:type="spellStart"/>
      <w:r w:rsidRPr="00816708">
        <w:t>ed</w:t>
      </w:r>
      <w:proofErr w:type="spellEnd"/>
      <w:r w:rsidRPr="00816708">
        <w:t xml:space="preserve">, (Woodbridge: </w:t>
      </w:r>
      <w:proofErr w:type="spellStart"/>
      <w:r w:rsidRPr="00816708">
        <w:t>Boydell</w:t>
      </w:r>
      <w:proofErr w:type="spellEnd"/>
      <w:r w:rsidRPr="00816708">
        <w:t xml:space="preserve"> Press, 2000), pp. 57-76. </w:t>
      </w:r>
    </w:p>
    <w:p w:rsidR="0056301C" w:rsidRPr="00816708" w:rsidRDefault="0056301C" w:rsidP="0056301C"/>
    <w:p w:rsidR="0056301C" w:rsidRPr="00816708" w:rsidRDefault="0056301C" w:rsidP="0056301C">
      <w:proofErr w:type="spellStart"/>
      <w:r w:rsidRPr="00816708">
        <w:t>Leyser</w:t>
      </w:r>
      <w:proofErr w:type="spellEnd"/>
      <w:r w:rsidRPr="00816708">
        <w:t xml:space="preserve">, H., </w:t>
      </w:r>
      <w:r w:rsidRPr="00816708">
        <w:rPr>
          <w:i/>
        </w:rPr>
        <w:t>Medieval Women A social history of Women in England</w:t>
      </w:r>
      <w:r w:rsidRPr="00816708">
        <w:t xml:space="preserve"> </w:t>
      </w:r>
      <w:r w:rsidRPr="00816708">
        <w:rPr>
          <w:i/>
        </w:rPr>
        <w:t>450 – 1500</w:t>
      </w:r>
      <w:r w:rsidRPr="00816708">
        <w:t>, (London: Phoenix Press, 1996).</w:t>
      </w:r>
    </w:p>
    <w:p w:rsidR="0056301C" w:rsidRPr="00816708" w:rsidRDefault="0056301C" w:rsidP="0056301C"/>
    <w:p w:rsidR="0056301C" w:rsidRPr="00816708" w:rsidRDefault="0056301C" w:rsidP="0056301C">
      <w:proofErr w:type="spellStart"/>
      <w:r w:rsidRPr="00816708">
        <w:t>Mc</w:t>
      </w:r>
      <w:r w:rsidR="0027521A" w:rsidRPr="00816708">
        <w:t>Mi</w:t>
      </w:r>
      <w:r w:rsidRPr="00816708">
        <w:t>llwain</w:t>
      </w:r>
      <w:proofErr w:type="spellEnd"/>
      <w:r w:rsidRPr="00816708">
        <w:t xml:space="preserve">, J., ed. </w:t>
      </w:r>
      <w:proofErr w:type="spellStart"/>
      <w:r w:rsidRPr="00816708">
        <w:rPr>
          <w:i/>
        </w:rPr>
        <w:t>Tewekesbury</w:t>
      </w:r>
      <w:proofErr w:type="spellEnd"/>
      <w:r w:rsidRPr="00816708">
        <w:rPr>
          <w:i/>
        </w:rPr>
        <w:t xml:space="preserve"> Abbey Guide Book</w:t>
      </w:r>
      <w:r w:rsidRPr="00816708">
        <w:t xml:space="preserve">, (Hampshire: </w:t>
      </w:r>
      <w:proofErr w:type="spellStart"/>
      <w:r w:rsidRPr="00816708">
        <w:t>Jarrold</w:t>
      </w:r>
      <w:proofErr w:type="spellEnd"/>
      <w:r w:rsidRPr="00816708">
        <w:t xml:space="preserve"> Publishing c1999).</w:t>
      </w:r>
    </w:p>
    <w:p w:rsidR="0056301C" w:rsidRPr="00816708" w:rsidRDefault="0056301C" w:rsidP="0056301C"/>
    <w:p w:rsidR="0056301C" w:rsidRPr="00816708" w:rsidRDefault="0056301C" w:rsidP="0056301C">
      <w:r w:rsidRPr="00816708">
        <w:t xml:space="preserve">Morrison, S.S., </w:t>
      </w:r>
      <w:r w:rsidRPr="00816708">
        <w:rPr>
          <w:i/>
        </w:rPr>
        <w:t>A Medieval Women’s Companion</w:t>
      </w:r>
      <w:r w:rsidRPr="00816708">
        <w:t>, (Oxford: Oxbow Books, 2016).</w:t>
      </w:r>
    </w:p>
    <w:p w:rsidR="0056301C" w:rsidRPr="00816708" w:rsidRDefault="0056301C" w:rsidP="0056301C"/>
    <w:p w:rsidR="0056301C" w:rsidRPr="00816708" w:rsidRDefault="0056301C" w:rsidP="0056301C">
      <w:proofErr w:type="spellStart"/>
      <w:r w:rsidRPr="00816708">
        <w:t>Schaus</w:t>
      </w:r>
      <w:proofErr w:type="spellEnd"/>
      <w:r w:rsidRPr="00816708">
        <w:t xml:space="preserve">, M., ed. </w:t>
      </w:r>
      <w:r w:rsidRPr="00816708">
        <w:rPr>
          <w:i/>
        </w:rPr>
        <w:t>Women and Gender in Medieval Europe. An Encyclopaedia</w:t>
      </w:r>
      <w:r w:rsidRPr="00816708">
        <w:t>, (Abingdon: Routledge, 2015).</w:t>
      </w:r>
    </w:p>
    <w:p w:rsidR="000974B3" w:rsidRDefault="000974B3" w:rsidP="0056301C">
      <w:pPr>
        <w:spacing w:line="360" w:lineRule="auto"/>
      </w:pPr>
    </w:p>
    <w:p w:rsidR="00AF6753" w:rsidRDefault="00AF6753" w:rsidP="0056301C">
      <w:pPr>
        <w:spacing w:line="360" w:lineRule="auto"/>
      </w:pPr>
    </w:p>
    <w:p w:rsidR="0095219A" w:rsidRDefault="0095219A" w:rsidP="0056301C">
      <w:pPr>
        <w:spacing w:line="360" w:lineRule="auto"/>
      </w:pPr>
    </w:p>
    <w:p w:rsidR="008E3F57" w:rsidRDefault="008E3F57" w:rsidP="0056301C">
      <w:pPr>
        <w:spacing w:line="360" w:lineRule="auto"/>
      </w:pPr>
    </w:p>
    <w:p w:rsidR="00FF676B" w:rsidRDefault="00FF676B" w:rsidP="0056301C">
      <w:pPr>
        <w:spacing w:line="360" w:lineRule="auto"/>
      </w:pPr>
    </w:p>
    <w:p w:rsidR="000A7E77" w:rsidRDefault="000A7E77" w:rsidP="0056301C">
      <w:pPr>
        <w:spacing w:line="360" w:lineRule="auto"/>
      </w:pPr>
    </w:p>
    <w:p w:rsidR="000A7E77" w:rsidRDefault="000A7E77" w:rsidP="0056301C">
      <w:pPr>
        <w:spacing w:line="360" w:lineRule="auto"/>
      </w:pPr>
    </w:p>
    <w:sectPr w:rsidR="000A7E77" w:rsidSect="0001683F">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4060" w:rsidRDefault="005D4060" w:rsidP="00780DAE">
      <w:r>
        <w:separator/>
      </w:r>
    </w:p>
  </w:endnote>
  <w:endnote w:type="continuationSeparator" w:id="0">
    <w:p w:rsidR="005D4060" w:rsidRDefault="005D4060" w:rsidP="0078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4060" w:rsidRDefault="005D4060" w:rsidP="00780DAE">
      <w:r>
        <w:separator/>
      </w:r>
    </w:p>
  </w:footnote>
  <w:footnote w:type="continuationSeparator" w:id="0">
    <w:p w:rsidR="005D4060" w:rsidRDefault="005D4060" w:rsidP="00780DAE">
      <w:r>
        <w:continuationSeparator/>
      </w:r>
    </w:p>
  </w:footnote>
  <w:footnote w:id="1">
    <w:p w:rsidR="00CB4E73" w:rsidRDefault="00CB4E73" w:rsidP="00CB4E73">
      <w:pPr>
        <w:pStyle w:val="FootnoteText"/>
      </w:pPr>
      <w:r>
        <w:rPr>
          <w:rStyle w:val="FootnoteReference"/>
        </w:rPr>
        <w:footnoteRef/>
      </w:r>
      <w:r>
        <w:t xml:space="preserve"> </w:t>
      </w:r>
      <w:proofErr w:type="spellStart"/>
      <w:r w:rsidR="00683DA3">
        <w:t>P.J.</w:t>
      </w:r>
      <w:proofErr w:type="gramStart"/>
      <w:r w:rsidR="00683DA3">
        <w:t>P.</w:t>
      </w:r>
      <w:r w:rsidR="00C31F20">
        <w:t>G</w:t>
      </w:r>
      <w:r w:rsidR="00683DA3" w:rsidRPr="00FE0B6B">
        <w:t>oldberg</w:t>
      </w:r>
      <w:proofErr w:type="spellEnd"/>
      <w:proofErr w:type="gramEnd"/>
      <w:r w:rsidR="00683DA3" w:rsidRPr="00FE0B6B">
        <w:t xml:space="preserve">, ‘Women’ </w:t>
      </w:r>
      <w:r w:rsidR="00683DA3" w:rsidRPr="00FE0B6B">
        <w:rPr>
          <w:i/>
        </w:rPr>
        <w:t>Fifteenth-Century attitudes: Perceptions of Society in Late Medieval England</w:t>
      </w:r>
      <w:r w:rsidR="00683DA3" w:rsidRPr="00FE0B6B">
        <w:t xml:space="preserve">, </w:t>
      </w:r>
      <w:proofErr w:type="spellStart"/>
      <w:r w:rsidR="00683DA3" w:rsidRPr="00FE0B6B">
        <w:t>Horrox</w:t>
      </w:r>
      <w:proofErr w:type="spellEnd"/>
      <w:r w:rsidR="00683DA3" w:rsidRPr="00FE0B6B">
        <w:t>, R., ed. (Cambridge: Cambridge University Press, 1996)</w:t>
      </w:r>
      <w:r w:rsidR="00683DA3">
        <w:t xml:space="preserve">, </w:t>
      </w:r>
      <w:r>
        <w:t>p</w:t>
      </w:r>
      <w:r w:rsidR="00C31F20">
        <w:t>.</w:t>
      </w:r>
      <w:r>
        <w:t xml:space="preserve"> 112</w:t>
      </w:r>
      <w:r w:rsidR="00C31F20">
        <w:t>.</w:t>
      </w:r>
    </w:p>
  </w:footnote>
  <w:footnote w:id="2">
    <w:p w:rsidR="00C00271" w:rsidRPr="00C31F20" w:rsidRDefault="00C00271" w:rsidP="00C31F20">
      <w:pPr>
        <w:rPr>
          <w:sz w:val="20"/>
          <w:szCs w:val="20"/>
        </w:rPr>
      </w:pPr>
      <w:r>
        <w:rPr>
          <w:rStyle w:val="FootnoteReference"/>
        </w:rPr>
        <w:footnoteRef/>
      </w:r>
      <w:r>
        <w:t xml:space="preserve"> </w:t>
      </w:r>
      <w:r w:rsidR="00C31F20">
        <w:rPr>
          <w:sz w:val="20"/>
          <w:szCs w:val="20"/>
        </w:rPr>
        <w:t xml:space="preserve">M. </w:t>
      </w:r>
      <w:proofErr w:type="spellStart"/>
      <w:r w:rsidR="00C31F20">
        <w:rPr>
          <w:sz w:val="20"/>
          <w:szCs w:val="20"/>
        </w:rPr>
        <w:t>Erler</w:t>
      </w:r>
      <w:proofErr w:type="spellEnd"/>
      <w:r w:rsidR="00C31F20">
        <w:rPr>
          <w:sz w:val="20"/>
          <w:szCs w:val="20"/>
        </w:rPr>
        <w:t xml:space="preserve"> </w:t>
      </w:r>
      <w:r w:rsidR="00C31F20" w:rsidRPr="00FE0B6B">
        <w:rPr>
          <w:sz w:val="20"/>
          <w:szCs w:val="20"/>
        </w:rPr>
        <w:t xml:space="preserve">and </w:t>
      </w:r>
      <w:r w:rsidR="00C31F20">
        <w:rPr>
          <w:sz w:val="20"/>
          <w:szCs w:val="20"/>
        </w:rPr>
        <w:t xml:space="preserve">M. </w:t>
      </w:r>
      <w:proofErr w:type="spellStart"/>
      <w:r w:rsidR="00C31F20">
        <w:rPr>
          <w:sz w:val="20"/>
          <w:szCs w:val="20"/>
        </w:rPr>
        <w:t>Kowaleski</w:t>
      </w:r>
      <w:proofErr w:type="spellEnd"/>
      <w:r w:rsidR="00C31F20">
        <w:rPr>
          <w:sz w:val="20"/>
          <w:szCs w:val="20"/>
        </w:rPr>
        <w:t>,</w:t>
      </w:r>
      <w:r w:rsidR="00C31F20" w:rsidRPr="00FE0B6B">
        <w:rPr>
          <w:sz w:val="20"/>
          <w:szCs w:val="20"/>
        </w:rPr>
        <w:t xml:space="preserve"> ed</w:t>
      </w:r>
      <w:r w:rsidR="00C31F20">
        <w:rPr>
          <w:sz w:val="20"/>
          <w:szCs w:val="20"/>
        </w:rPr>
        <w:t>s</w:t>
      </w:r>
      <w:r w:rsidR="00C31F20" w:rsidRPr="00FE0B6B">
        <w:rPr>
          <w:sz w:val="20"/>
          <w:szCs w:val="20"/>
        </w:rPr>
        <w:t xml:space="preserve">. </w:t>
      </w:r>
      <w:r w:rsidR="00C31F20" w:rsidRPr="00C31F20">
        <w:rPr>
          <w:i/>
          <w:sz w:val="20"/>
          <w:szCs w:val="20"/>
        </w:rPr>
        <w:t>Women in Power in the Middle Ages</w:t>
      </w:r>
      <w:r w:rsidR="00C31F20" w:rsidRPr="00FE0B6B">
        <w:rPr>
          <w:sz w:val="20"/>
          <w:szCs w:val="20"/>
        </w:rPr>
        <w:t>, (Georgia: Unive</w:t>
      </w:r>
      <w:r w:rsidR="00C31F20">
        <w:rPr>
          <w:sz w:val="20"/>
          <w:szCs w:val="20"/>
        </w:rPr>
        <w:t>rsity of Georgia Press, 1988), p. 1.</w:t>
      </w:r>
    </w:p>
  </w:footnote>
  <w:footnote w:id="3">
    <w:p w:rsidR="00C00271" w:rsidRPr="00C31F20" w:rsidRDefault="00C00271" w:rsidP="00C31F20">
      <w:pPr>
        <w:rPr>
          <w:sz w:val="20"/>
          <w:szCs w:val="20"/>
        </w:rPr>
      </w:pPr>
      <w:r>
        <w:rPr>
          <w:rStyle w:val="FootnoteReference"/>
        </w:rPr>
        <w:footnoteRef/>
      </w:r>
      <w:r>
        <w:t xml:space="preserve"> </w:t>
      </w:r>
      <w:proofErr w:type="spellStart"/>
      <w:r w:rsidR="00C31F20">
        <w:rPr>
          <w:sz w:val="20"/>
          <w:szCs w:val="20"/>
        </w:rPr>
        <w:t>S.</w:t>
      </w:r>
      <w:proofErr w:type="gramStart"/>
      <w:r w:rsidR="00C31F20">
        <w:rPr>
          <w:sz w:val="20"/>
          <w:szCs w:val="20"/>
        </w:rPr>
        <w:t>S.Morrison</w:t>
      </w:r>
      <w:proofErr w:type="spellEnd"/>
      <w:proofErr w:type="gramEnd"/>
      <w:r w:rsidR="00C31F20" w:rsidRPr="00FE0B6B">
        <w:rPr>
          <w:sz w:val="20"/>
          <w:szCs w:val="20"/>
        </w:rPr>
        <w:t xml:space="preserve">, </w:t>
      </w:r>
      <w:r w:rsidR="00C31F20" w:rsidRPr="00FE0B6B">
        <w:rPr>
          <w:i/>
          <w:sz w:val="20"/>
          <w:szCs w:val="20"/>
        </w:rPr>
        <w:t>A Medieval Women’s Companion</w:t>
      </w:r>
      <w:r w:rsidR="00C31F20" w:rsidRPr="00FE0B6B">
        <w:rPr>
          <w:sz w:val="20"/>
          <w:szCs w:val="20"/>
        </w:rPr>
        <w:t>, (Oxford: Oxbow Books, 2016).</w:t>
      </w:r>
      <w:r w:rsidR="00C31F20">
        <w:rPr>
          <w:sz w:val="20"/>
          <w:szCs w:val="20"/>
        </w:rPr>
        <w:t xml:space="preserve"> p. 6.</w:t>
      </w:r>
    </w:p>
  </w:footnote>
  <w:footnote w:id="4">
    <w:p w:rsidR="00265B75" w:rsidRDefault="00265B75">
      <w:pPr>
        <w:pStyle w:val="FootnoteText"/>
      </w:pPr>
      <w:r>
        <w:rPr>
          <w:rStyle w:val="FootnoteReference"/>
        </w:rPr>
        <w:footnoteRef/>
      </w:r>
      <w:r>
        <w:t xml:space="preserve"> Goldberg, </w:t>
      </w:r>
      <w:r w:rsidR="00C31F20">
        <w:t>‘</w:t>
      </w:r>
      <w:proofErr w:type="spellStart"/>
      <w:r w:rsidR="00C31F20" w:rsidRPr="00C31F20">
        <w:rPr>
          <w:i/>
        </w:rPr>
        <w:t>Women</w:t>
      </w:r>
      <w:proofErr w:type="gramStart"/>
      <w:r w:rsidR="00C31F20">
        <w:t>’,</w:t>
      </w:r>
      <w:r>
        <w:t>p</w:t>
      </w:r>
      <w:proofErr w:type="spellEnd"/>
      <w:r>
        <w:t>.</w:t>
      </w:r>
      <w:proofErr w:type="gramEnd"/>
      <w:r>
        <w:t xml:space="preserve"> 115</w:t>
      </w:r>
      <w:r w:rsidR="00C31F20">
        <w:t>.</w:t>
      </w:r>
    </w:p>
  </w:footnote>
  <w:footnote w:id="5">
    <w:p w:rsidR="000E5500" w:rsidRDefault="000E5500">
      <w:pPr>
        <w:pStyle w:val="FootnoteText"/>
      </w:pPr>
      <w:r>
        <w:rPr>
          <w:rStyle w:val="FootnoteReference"/>
        </w:rPr>
        <w:footnoteRef/>
      </w:r>
      <w:r>
        <w:t xml:space="preserve"> </w:t>
      </w:r>
      <w:r w:rsidR="00C31F20">
        <w:t xml:space="preserve">J.S. </w:t>
      </w:r>
      <w:proofErr w:type="spellStart"/>
      <w:r w:rsidR="00C31F20">
        <w:t>Leongard</w:t>
      </w:r>
      <w:proofErr w:type="spellEnd"/>
      <w:r w:rsidR="00C31F20" w:rsidRPr="00FE0B6B">
        <w:t xml:space="preserve">, ‘Legal History and the Medieval Englishwoman’ </w:t>
      </w:r>
      <w:r w:rsidR="00C31F20" w:rsidRPr="00FE0B6B">
        <w:rPr>
          <w:i/>
        </w:rPr>
        <w:t xml:space="preserve">Medieval Women and the Sources of Medieval History, </w:t>
      </w:r>
      <w:r w:rsidR="00C31F20" w:rsidRPr="00C31F20">
        <w:t>Rosenthal,</w:t>
      </w:r>
      <w:r w:rsidR="00C31F20" w:rsidRPr="00FE0B6B">
        <w:t xml:space="preserve"> J.T. </w:t>
      </w:r>
      <w:proofErr w:type="spellStart"/>
      <w:r w:rsidR="00C31F20" w:rsidRPr="00FE0B6B">
        <w:t>ed</w:t>
      </w:r>
      <w:proofErr w:type="spellEnd"/>
      <w:r w:rsidR="00C31F20" w:rsidRPr="00FE0B6B">
        <w:t xml:space="preserve">, (Georgia: University of Georgia Press, 1990), </w:t>
      </w:r>
      <w:r>
        <w:t>p. 212</w:t>
      </w:r>
    </w:p>
  </w:footnote>
  <w:footnote w:id="6">
    <w:p w:rsidR="00413547" w:rsidRDefault="00413547" w:rsidP="00413547">
      <w:pPr>
        <w:pStyle w:val="FootnoteText"/>
      </w:pPr>
      <w:r>
        <w:rPr>
          <w:rStyle w:val="FootnoteReference"/>
        </w:rPr>
        <w:footnoteRef/>
      </w:r>
      <w:r w:rsidR="00C31F20">
        <w:t xml:space="preserve"> C. </w:t>
      </w:r>
      <w:proofErr w:type="spellStart"/>
      <w:r w:rsidR="00C31F20">
        <w:t>Daniell</w:t>
      </w:r>
      <w:proofErr w:type="spellEnd"/>
      <w:r w:rsidR="00C31F20">
        <w:t>,</w:t>
      </w:r>
      <w:r w:rsidR="00C31F20" w:rsidRPr="00FE0B6B">
        <w:t xml:space="preserve"> </w:t>
      </w:r>
      <w:r w:rsidR="00C31F20" w:rsidRPr="00FE0B6B">
        <w:rPr>
          <w:i/>
        </w:rPr>
        <w:t>Death and Burial in Medieval England: 1066-1550,</w:t>
      </w:r>
      <w:r w:rsidR="00C31F20" w:rsidRPr="00FE0B6B">
        <w:t xml:space="preserve"> (London: Routledge, 1997)</w:t>
      </w:r>
      <w:r w:rsidR="00C31F20">
        <w:t xml:space="preserve"> </w:t>
      </w:r>
      <w:r>
        <w:t>p. 32</w:t>
      </w:r>
    </w:p>
  </w:footnote>
  <w:footnote w:id="7">
    <w:p w:rsidR="000A7E77" w:rsidRDefault="000A7E77">
      <w:pPr>
        <w:pStyle w:val="FootnoteText"/>
      </w:pPr>
      <w:r>
        <w:rPr>
          <w:rStyle w:val="FootnoteReference"/>
        </w:rPr>
        <w:footnoteRef/>
      </w:r>
      <w:r>
        <w:t xml:space="preserve"> </w:t>
      </w:r>
      <w:proofErr w:type="spellStart"/>
      <w:r w:rsidR="005910A8">
        <w:t>J.</w:t>
      </w:r>
      <w:proofErr w:type="gramStart"/>
      <w:r w:rsidR="005910A8">
        <w:t>T.</w:t>
      </w:r>
      <w:r>
        <w:t>Rosenthal</w:t>
      </w:r>
      <w:proofErr w:type="gramEnd"/>
      <w:r w:rsidR="005910A8">
        <w:t>,’The</w:t>
      </w:r>
      <w:proofErr w:type="spellEnd"/>
      <w:r w:rsidR="005910A8">
        <w:t xml:space="preserve"> Purchase of Paradise’, in C. </w:t>
      </w:r>
      <w:proofErr w:type="spellStart"/>
      <w:r w:rsidR="005910A8">
        <w:t>Daniell</w:t>
      </w:r>
      <w:proofErr w:type="spellEnd"/>
      <w:r w:rsidR="005910A8">
        <w:t xml:space="preserve">, </w:t>
      </w:r>
      <w:r w:rsidR="005910A8" w:rsidRPr="00FE0B6B">
        <w:rPr>
          <w:i/>
        </w:rPr>
        <w:t>Death and Burial in Medieval England</w:t>
      </w:r>
      <w:r w:rsidR="005910A8">
        <w:rPr>
          <w:i/>
        </w:rPr>
        <w:t xml:space="preserve">, </w:t>
      </w:r>
      <w:r>
        <w:t>p. 32</w:t>
      </w:r>
      <w:r w:rsidR="005910A8">
        <w:t>.</w:t>
      </w:r>
    </w:p>
  </w:footnote>
  <w:footnote w:id="8">
    <w:p w:rsidR="000A7E77" w:rsidRDefault="000A7E77">
      <w:pPr>
        <w:pStyle w:val="FootnoteText"/>
      </w:pPr>
      <w:r>
        <w:rPr>
          <w:rStyle w:val="FootnoteReference"/>
        </w:rPr>
        <w:footnoteRef/>
      </w:r>
      <w:r w:rsidR="005910A8">
        <w:t xml:space="preserve"> M. </w:t>
      </w:r>
      <w:proofErr w:type="spellStart"/>
      <w:r w:rsidR="005910A8">
        <w:t>Schaus</w:t>
      </w:r>
      <w:proofErr w:type="spellEnd"/>
      <w:r w:rsidR="005910A8">
        <w:t xml:space="preserve">, </w:t>
      </w:r>
      <w:r w:rsidR="009B460E">
        <w:t>ed.</w:t>
      </w:r>
      <w:r>
        <w:t xml:space="preserve"> </w:t>
      </w:r>
      <w:r w:rsidR="009B460E" w:rsidRPr="00FE0B6B">
        <w:rPr>
          <w:i/>
        </w:rPr>
        <w:t>Women and Gender in Medieval Europe. An Encyclopaedia</w:t>
      </w:r>
      <w:r w:rsidR="009B460E" w:rsidRPr="00FE0B6B">
        <w:t>, (Abingdon: Routledge, 2015</w:t>
      </w:r>
      <w:r w:rsidR="009B460E">
        <w:t xml:space="preserve">), </w:t>
      </w:r>
      <w:r>
        <w:t>p. 839</w:t>
      </w:r>
    </w:p>
  </w:footnote>
  <w:footnote w:id="9">
    <w:p w:rsidR="0076299B" w:rsidRDefault="0076299B">
      <w:pPr>
        <w:pStyle w:val="FootnoteText"/>
      </w:pPr>
      <w:r>
        <w:rPr>
          <w:rStyle w:val="FootnoteReference"/>
        </w:rPr>
        <w:footnoteRef/>
      </w:r>
      <w:r>
        <w:t xml:space="preserve"> </w:t>
      </w:r>
      <w:proofErr w:type="spellStart"/>
      <w:r w:rsidR="009B460E">
        <w:t>K.</w:t>
      </w:r>
      <w:proofErr w:type="gramStart"/>
      <w:r w:rsidR="009B460E">
        <w:t>J.Lewis</w:t>
      </w:r>
      <w:proofErr w:type="spellEnd"/>
      <w:proofErr w:type="gramEnd"/>
      <w:r w:rsidR="009B460E">
        <w:t>,</w:t>
      </w:r>
      <w:r w:rsidR="009B460E" w:rsidRPr="00FE0B6B">
        <w:t xml:space="preserve"> ‘Women, Testamentary Discourse and life-writing in later Medieval England’ </w:t>
      </w:r>
      <w:r w:rsidR="009B460E" w:rsidRPr="00FE0B6B">
        <w:rPr>
          <w:i/>
        </w:rPr>
        <w:t>Medieval Women and the Law</w:t>
      </w:r>
      <w:r w:rsidR="009B460E">
        <w:t xml:space="preserve">, </w:t>
      </w:r>
      <w:proofErr w:type="spellStart"/>
      <w:r w:rsidR="009B460E">
        <w:t>Men</w:t>
      </w:r>
      <w:r w:rsidR="009B460E" w:rsidRPr="00FE0B6B">
        <w:t>uge</w:t>
      </w:r>
      <w:proofErr w:type="spellEnd"/>
      <w:r w:rsidR="009B460E" w:rsidRPr="00FE0B6B">
        <w:t xml:space="preserve">, N.J. </w:t>
      </w:r>
      <w:proofErr w:type="spellStart"/>
      <w:r w:rsidR="009B460E" w:rsidRPr="00FE0B6B">
        <w:t>ed</w:t>
      </w:r>
      <w:proofErr w:type="spellEnd"/>
      <w:r w:rsidR="009B460E" w:rsidRPr="00FE0B6B">
        <w:t xml:space="preserve">, (Woodbridge: </w:t>
      </w:r>
      <w:proofErr w:type="spellStart"/>
      <w:r w:rsidR="009B460E" w:rsidRPr="00FE0B6B">
        <w:t>Boydell</w:t>
      </w:r>
      <w:proofErr w:type="spellEnd"/>
      <w:r w:rsidR="009B460E" w:rsidRPr="00FE0B6B">
        <w:t xml:space="preserve"> Press, 2000</w:t>
      </w:r>
      <w:r w:rsidR="009B460E">
        <w:t>)</w:t>
      </w:r>
      <w:r>
        <w:t>, p. 57</w:t>
      </w:r>
      <w:r w:rsidR="009B460E">
        <w:t>.</w:t>
      </w:r>
    </w:p>
  </w:footnote>
  <w:footnote w:id="10">
    <w:p w:rsidR="008E3F57" w:rsidRDefault="008E3F57">
      <w:pPr>
        <w:pStyle w:val="FootnoteText"/>
      </w:pPr>
      <w:r>
        <w:rPr>
          <w:rStyle w:val="FootnoteReference"/>
        </w:rPr>
        <w:footnoteRef/>
      </w:r>
      <w:r w:rsidR="00AE4E4D">
        <w:t xml:space="preserve"> D.M. Hadley,</w:t>
      </w:r>
      <w:r w:rsidR="00AE4E4D" w:rsidRPr="00FE0B6B">
        <w:t xml:space="preserve"> </w:t>
      </w:r>
      <w:r w:rsidR="00AE4E4D" w:rsidRPr="00FE0B6B">
        <w:rPr>
          <w:i/>
        </w:rPr>
        <w:t>Death in Medieval England: An archaeology</w:t>
      </w:r>
      <w:r w:rsidR="00AE4E4D" w:rsidRPr="00FE0B6B">
        <w:t>, (Stroud: Tempus Publishing Ltd, 2001</w:t>
      </w:r>
      <w:r w:rsidR="00AE4E4D">
        <w:t>),</w:t>
      </w:r>
      <w:r>
        <w:t xml:space="preserve"> p. 76</w:t>
      </w:r>
      <w:r w:rsidR="00AE4E4D">
        <w:t>.</w:t>
      </w:r>
    </w:p>
  </w:footnote>
  <w:footnote w:id="11">
    <w:p w:rsidR="00E86904" w:rsidRDefault="00E86904">
      <w:pPr>
        <w:pStyle w:val="FootnoteText"/>
      </w:pPr>
      <w:r>
        <w:rPr>
          <w:rStyle w:val="FootnoteReference"/>
        </w:rPr>
        <w:footnoteRef/>
      </w:r>
      <w:r>
        <w:t xml:space="preserve"> </w:t>
      </w:r>
      <w:r w:rsidR="00AE4E4D">
        <w:t>Ibid.</w:t>
      </w:r>
      <w:r>
        <w:t>, p. 77-78</w:t>
      </w:r>
      <w:r w:rsidR="00AE4E4D">
        <w:t>.</w:t>
      </w:r>
    </w:p>
  </w:footnote>
  <w:footnote w:id="12">
    <w:p w:rsidR="0095219A" w:rsidRDefault="0095219A">
      <w:pPr>
        <w:pStyle w:val="FootnoteText"/>
      </w:pPr>
      <w:r>
        <w:rPr>
          <w:rStyle w:val="FootnoteReference"/>
        </w:rPr>
        <w:footnoteRef/>
      </w:r>
      <w:r>
        <w:t xml:space="preserve"> </w:t>
      </w:r>
      <w:r w:rsidR="00AE4E4D">
        <w:t xml:space="preserve">J. </w:t>
      </w:r>
      <w:proofErr w:type="spellStart"/>
      <w:r w:rsidR="00AE4E4D">
        <w:t>McMill</w:t>
      </w:r>
      <w:r w:rsidR="00AE4E4D">
        <w:t>wain</w:t>
      </w:r>
      <w:proofErr w:type="spellEnd"/>
      <w:r w:rsidR="00AE4E4D">
        <w:t xml:space="preserve">, </w:t>
      </w:r>
      <w:r w:rsidR="00AE4E4D" w:rsidRPr="00FE0B6B">
        <w:t xml:space="preserve">ed. </w:t>
      </w:r>
      <w:proofErr w:type="spellStart"/>
      <w:r w:rsidR="00AE4E4D" w:rsidRPr="00FE0B6B">
        <w:rPr>
          <w:i/>
        </w:rPr>
        <w:t>Tewekesbury</w:t>
      </w:r>
      <w:proofErr w:type="spellEnd"/>
      <w:r w:rsidR="00AE4E4D" w:rsidRPr="00FE0B6B">
        <w:rPr>
          <w:i/>
        </w:rPr>
        <w:t xml:space="preserve"> Abbey Guide Book</w:t>
      </w:r>
      <w:r w:rsidR="00AE4E4D" w:rsidRPr="00FE0B6B">
        <w:t xml:space="preserve">, (Hampshire: </w:t>
      </w:r>
      <w:proofErr w:type="spellStart"/>
      <w:r w:rsidR="00AE4E4D" w:rsidRPr="00FE0B6B">
        <w:t>Jarrold</w:t>
      </w:r>
      <w:proofErr w:type="spellEnd"/>
      <w:r w:rsidR="00AE4E4D" w:rsidRPr="00FE0B6B">
        <w:t xml:space="preserve"> Publishing c1999)</w:t>
      </w:r>
      <w:r w:rsidR="00AE4E4D">
        <w:t xml:space="preserve"> </w:t>
      </w:r>
      <w:r>
        <w:t>p. 8-9</w:t>
      </w:r>
    </w:p>
  </w:footnote>
  <w:footnote w:id="13">
    <w:p w:rsidR="006664BB" w:rsidRPr="0027521A" w:rsidRDefault="006664BB" w:rsidP="0027521A">
      <w:pPr>
        <w:rPr>
          <w:sz w:val="20"/>
          <w:szCs w:val="20"/>
        </w:rPr>
      </w:pPr>
      <w:r w:rsidRPr="0027521A">
        <w:rPr>
          <w:rStyle w:val="FootnoteReference"/>
          <w:sz w:val="20"/>
          <w:szCs w:val="20"/>
        </w:rPr>
        <w:footnoteRef/>
      </w:r>
      <w:r w:rsidRPr="0027521A">
        <w:rPr>
          <w:sz w:val="20"/>
          <w:szCs w:val="20"/>
        </w:rPr>
        <w:t xml:space="preserve"> </w:t>
      </w:r>
      <w:r w:rsidR="00AE4E4D" w:rsidRPr="00AE4E4D">
        <w:rPr>
          <w:sz w:val="20"/>
          <w:szCs w:val="20"/>
        </w:rPr>
        <w:t xml:space="preserve">L. </w:t>
      </w:r>
      <w:r w:rsidRPr="00AE4E4D">
        <w:rPr>
          <w:sz w:val="20"/>
          <w:szCs w:val="20"/>
        </w:rPr>
        <w:t>Stone</w:t>
      </w:r>
      <w:r w:rsidR="00AE4E4D" w:rsidRPr="00AE4E4D">
        <w:rPr>
          <w:sz w:val="20"/>
          <w:szCs w:val="20"/>
        </w:rPr>
        <w:t>, ‘Sculpture in Britain in the Middle Ages’</w:t>
      </w:r>
      <w:r>
        <w:t xml:space="preserve"> </w:t>
      </w:r>
      <w:r w:rsidRPr="00AE4E4D">
        <w:rPr>
          <w:sz w:val="20"/>
          <w:szCs w:val="20"/>
        </w:rPr>
        <w:t>in</w:t>
      </w:r>
      <w:r>
        <w:t xml:space="preserve"> </w:t>
      </w:r>
      <w:r w:rsidR="00AE4E4D" w:rsidRPr="00AE4E4D">
        <w:rPr>
          <w:sz w:val="20"/>
          <w:szCs w:val="20"/>
        </w:rPr>
        <w:t xml:space="preserve">C. </w:t>
      </w:r>
      <w:proofErr w:type="spellStart"/>
      <w:r w:rsidR="00AE4E4D" w:rsidRPr="00AE4E4D">
        <w:rPr>
          <w:sz w:val="20"/>
          <w:szCs w:val="20"/>
        </w:rPr>
        <w:t>Gittings</w:t>
      </w:r>
      <w:proofErr w:type="spellEnd"/>
      <w:r w:rsidR="00AE4E4D" w:rsidRPr="00FE0B6B">
        <w:rPr>
          <w:sz w:val="20"/>
          <w:szCs w:val="20"/>
        </w:rPr>
        <w:t xml:space="preserve">, </w:t>
      </w:r>
      <w:r w:rsidR="00AE4E4D" w:rsidRPr="00FE0B6B">
        <w:rPr>
          <w:i/>
          <w:sz w:val="20"/>
          <w:szCs w:val="20"/>
        </w:rPr>
        <w:t>Death, Burial and the Individual in Early Modern England</w:t>
      </w:r>
      <w:r w:rsidR="00AE4E4D" w:rsidRPr="00FE0B6B">
        <w:rPr>
          <w:sz w:val="20"/>
          <w:szCs w:val="20"/>
        </w:rPr>
        <w:t xml:space="preserve">, (Beckenham: </w:t>
      </w:r>
      <w:proofErr w:type="spellStart"/>
      <w:r w:rsidR="00AE4E4D" w:rsidRPr="00FE0B6B">
        <w:rPr>
          <w:sz w:val="20"/>
          <w:szCs w:val="20"/>
        </w:rPr>
        <w:t>C</w:t>
      </w:r>
      <w:r w:rsidR="00AE4E4D">
        <w:rPr>
          <w:sz w:val="20"/>
          <w:szCs w:val="20"/>
        </w:rPr>
        <w:t>room</w:t>
      </w:r>
      <w:proofErr w:type="spellEnd"/>
      <w:r w:rsidR="00AE4E4D">
        <w:rPr>
          <w:sz w:val="20"/>
          <w:szCs w:val="20"/>
        </w:rPr>
        <w:t xml:space="preserve"> Helm Ltd, 1984), p. </w:t>
      </w:r>
      <w:r w:rsidR="0027521A">
        <w:rPr>
          <w:sz w:val="20"/>
          <w:szCs w:val="20"/>
        </w:rPr>
        <w:t>33.</w:t>
      </w:r>
    </w:p>
  </w:footnote>
  <w:footnote w:id="14">
    <w:p w:rsidR="00D1567F" w:rsidRPr="0027521A" w:rsidRDefault="00D1567F" w:rsidP="0027521A">
      <w:pPr>
        <w:rPr>
          <w:sz w:val="20"/>
          <w:szCs w:val="20"/>
        </w:rPr>
      </w:pPr>
      <w:r w:rsidRPr="0027521A">
        <w:rPr>
          <w:rStyle w:val="FootnoteReference"/>
          <w:sz w:val="20"/>
          <w:szCs w:val="20"/>
        </w:rPr>
        <w:footnoteRef/>
      </w:r>
      <w:r>
        <w:t xml:space="preserve"> </w:t>
      </w:r>
      <w:r w:rsidR="0027521A">
        <w:rPr>
          <w:sz w:val="20"/>
          <w:szCs w:val="20"/>
        </w:rPr>
        <w:t xml:space="preserve">H. </w:t>
      </w:r>
      <w:proofErr w:type="spellStart"/>
      <w:proofErr w:type="gramStart"/>
      <w:r w:rsidR="0027521A">
        <w:rPr>
          <w:sz w:val="20"/>
          <w:szCs w:val="20"/>
        </w:rPr>
        <w:t>Leyser</w:t>
      </w:r>
      <w:proofErr w:type="spellEnd"/>
      <w:r w:rsidR="0027521A">
        <w:rPr>
          <w:sz w:val="20"/>
          <w:szCs w:val="20"/>
        </w:rPr>
        <w:t xml:space="preserve">, </w:t>
      </w:r>
      <w:r w:rsidR="0027521A" w:rsidRPr="00FE0B6B">
        <w:rPr>
          <w:sz w:val="20"/>
          <w:szCs w:val="20"/>
        </w:rPr>
        <w:t xml:space="preserve"> </w:t>
      </w:r>
      <w:r w:rsidR="0027521A" w:rsidRPr="00FE0B6B">
        <w:rPr>
          <w:i/>
          <w:sz w:val="20"/>
          <w:szCs w:val="20"/>
        </w:rPr>
        <w:t>Medieval</w:t>
      </w:r>
      <w:proofErr w:type="gramEnd"/>
      <w:r w:rsidR="0027521A" w:rsidRPr="00FE0B6B">
        <w:rPr>
          <w:i/>
          <w:sz w:val="20"/>
          <w:szCs w:val="20"/>
        </w:rPr>
        <w:t xml:space="preserve"> Women A social history of Women in England</w:t>
      </w:r>
      <w:r w:rsidR="0027521A" w:rsidRPr="00FE0B6B">
        <w:rPr>
          <w:sz w:val="20"/>
          <w:szCs w:val="20"/>
        </w:rPr>
        <w:t xml:space="preserve"> </w:t>
      </w:r>
      <w:r w:rsidR="0027521A" w:rsidRPr="00FE0B6B">
        <w:rPr>
          <w:i/>
          <w:sz w:val="20"/>
          <w:szCs w:val="20"/>
        </w:rPr>
        <w:t>450 – 1500</w:t>
      </w:r>
      <w:r w:rsidR="0027521A" w:rsidRPr="00FE0B6B">
        <w:rPr>
          <w:sz w:val="20"/>
          <w:szCs w:val="20"/>
        </w:rPr>
        <w:t>,</w:t>
      </w:r>
      <w:r w:rsidR="0027521A">
        <w:rPr>
          <w:sz w:val="20"/>
          <w:szCs w:val="20"/>
        </w:rPr>
        <w:t xml:space="preserve"> (London: Phoenix Press, 1996), p. 234.</w:t>
      </w:r>
    </w:p>
  </w:footnote>
  <w:footnote w:id="15">
    <w:p w:rsidR="00E124D5" w:rsidRDefault="00E124D5">
      <w:pPr>
        <w:pStyle w:val="FootnoteText"/>
      </w:pPr>
      <w:r>
        <w:rPr>
          <w:rStyle w:val="FootnoteReference"/>
        </w:rPr>
        <w:footnoteRef/>
      </w:r>
      <w:r w:rsidR="0027521A">
        <w:t xml:space="preserve"> H</w:t>
      </w:r>
      <w:r>
        <w:t xml:space="preserve">adley, </w:t>
      </w:r>
      <w:r w:rsidR="0027521A" w:rsidRPr="0027521A">
        <w:rPr>
          <w:i/>
        </w:rPr>
        <w:t>Death in Medieval England</w:t>
      </w:r>
      <w:r w:rsidR="0027521A">
        <w:t xml:space="preserve">, </w:t>
      </w:r>
      <w:r>
        <w:t>p. 69</w:t>
      </w:r>
    </w:p>
  </w:footnote>
  <w:footnote w:id="16">
    <w:p w:rsidR="00E124D5" w:rsidRDefault="00E124D5">
      <w:pPr>
        <w:pStyle w:val="FootnoteText"/>
      </w:pPr>
      <w:r>
        <w:rPr>
          <w:rStyle w:val="FootnoteReference"/>
        </w:rPr>
        <w:footnoteRef/>
      </w:r>
      <w:r>
        <w:t xml:space="preserve"> </w:t>
      </w:r>
      <w:r w:rsidR="0027521A">
        <w:t xml:space="preserve">Ibid., </w:t>
      </w:r>
      <w:r>
        <w:t>p. 70</w:t>
      </w:r>
      <w:r w:rsidR="0027521A">
        <w:t>.</w:t>
      </w:r>
    </w:p>
  </w:footnote>
  <w:footnote w:id="17">
    <w:p w:rsidR="000E40CB" w:rsidRDefault="000E40CB">
      <w:pPr>
        <w:pStyle w:val="FootnoteText"/>
      </w:pPr>
      <w:r>
        <w:rPr>
          <w:rStyle w:val="FootnoteReference"/>
        </w:rPr>
        <w:footnoteRef/>
      </w:r>
      <w:r>
        <w:t xml:space="preserve"> </w:t>
      </w:r>
      <w:r w:rsidR="0027521A">
        <w:t>Ibid.,</w:t>
      </w:r>
      <w:r>
        <w:t xml:space="preserve"> p. 70</w:t>
      </w:r>
    </w:p>
  </w:footnote>
  <w:footnote w:id="18">
    <w:p w:rsidR="000974B3" w:rsidRDefault="000974B3">
      <w:pPr>
        <w:pStyle w:val="FootnoteText"/>
      </w:pPr>
      <w:r>
        <w:rPr>
          <w:rStyle w:val="FootnoteReference"/>
        </w:rPr>
        <w:footnoteRef/>
      </w:r>
      <w:r>
        <w:t xml:space="preserve"> </w:t>
      </w:r>
      <w:r w:rsidR="0027521A">
        <w:t>Ibid.,</w:t>
      </w:r>
      <w:r>
        <w:t xml:space="preserve"> p. 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0DAE" w:rsidRDefault="00780DAE">
    <w:pPr>
      <w:pStyle w:val="Header"/>
    </w:pPr>
    <w:r>
      <w:t>Karen Hunt</w:t>
    </w:r>
    <w:r>
      <w:ptab w:relativeTo="margin" w:alignment="center" w:leader="none"/>
    </w:r>
    <w:r w:rsidR="00172D5F">
      <w:t>AHHI</w:t>
    </w:r>
    <w:r w:rsidR="00E67812">
      <w:t>7016</w:t>
    </w:r>
    <w:r>
      <w:ptab w:relativeTo="margin" w:alignment="right" w:leader="none"/>
    </w:r>
    <w:r>
      <w:t xml:space="preserve">Assignment </w:t>
    </w:r>
    <w:r w:rsidR="00E67812">
      <w:t>3</w:t>
    </w:r>
  </w:p>
  <w:p w:rsidR="00780DAE" w:rsidRDefault="00E67812">
    <w:pPr>
      <w:pStyle w:val="Header"/>
    </w:pPr>
    <w:r>
      <w:t>1703957</w:t>
    </w:r>
    <w:r>
      <w:tab/>
      <w:t>Studying the Medieval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12"/>
    <w:rsid w:val="0001683F"/>
    <w:rsid w:val="00096EAB"/>
    <w:rsid w:val="000974B3"/>
    <w:rsid w:val="000A753A"/>
    <w:rsid w:val="000A7E77"/>
    <w:rsid w:val="000E3495"/>
    <w:rsid w:val="000E40CB"/>
    <w:rsid w:val="000E5500"/>
    <w:rsid w:val="001619C3"/>
    <w:rsid w:val="00172D5F"/>
    <w:rsid w:val="00265B75"/>
    <w:rsid w:val="0027521A"/>
    <w:rsid w:val="00400717"/>
    <w:rsid w:val="00413547"/>
    <w:rsid w:val="0056301C"/>
    <w:rsid w:val="0058361D"/>
    <w:rsid w:val="005910A8"/>
    <w:rsid w:val="005D4060"/>
    <w:rsid w:val="0066158B"/>
    <w:rsid w:val="006664BB"/>
    <w:rsid w:val="00683DA3"/>
    <w:rsid w:val="00693A4B"/>
    <w:rsid w:val="0076299B"/>
    <w:rsid w:val="00780DAE"/>
    <w:rsid w:val="007F1609"/>
    <w:rsid w:val="00816708"/>
    <w:rsid w:val="008E3F57"/>
    <w:rsid w:val="0095219A"/>
    <w:rsid w:val="009B460E"/>
    <w:rsid w:val="00A97B67"/>
    <w:rsid w:val="00AE4E4D"/>
    <w:rsid w:val="00AF6753"/>
    <w:rsid w:val="00B73C7A"/>
    <w:rsid w:val="00B870C9"/>
    <w:rsid w:val="00C00271"/>
    <w:rsid w:val="00C22C18"/>
    <w:rsid w:val="00C31F20"/>
    <w:rsid w:val="00C601A5"/>
    <w:rsid w:val="00CB4E73"/>
    <w:rsid w:val="00D1567F"/>
    <w:rsid w:val="00D82756"/>
    <w:rsid w:val="00D846D0"/>
    <w:rsid w:val="00E124D5"/>
    <w:rsid w:val="00E67812"/>
    <w:rsid w:val="00E85B36"/>
    <w:rsid w:val="00E86904"/>
    <w:rsid w:val="00EB6296"/>
    <w:rsid w:val="00EC0C1B"/>
    <w:rsid w:val="00FF1A0D"/>
    <w:rsid w:val="00FF6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65B30"/>
  <w14:defaultImageDpi w14:val="32767"/>
  <w15:chartTrackingRefBased/>
  <w15:docId w15:val="{FCC568D1-C275-3E43-AB59-3BD5F87AA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qFormat/>
    <w:rsid w:val="00C601A5"/>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DAE"/>
    <w:pPr>
      <w:tabs>
        <w:tab w:val="center" w:pos="4513"/>
        <w:tab w:val="right" w:pos="9026"/>
      </w:tabs>
    </w:pPr>
  </w:style>
  <w:style w:type="character" w:customStyle="1" w:styleId="HeaderChar">
    <w:name w:val="Header Char"/>
    <w:basedOn w:val="DefaultParagraphFont"/>
    <w:link w:val="Header"/>
    <w:uiPriority w:val="99"/>
    <w:rsid w:val="00780DAE"/>
  </w:style>
  <w:style w:type="paragraph" w:styleId="Footer">
    <w:name w:val="footer"/>
    <w:basedOn w:val="Normal"/>
    <w:link w:val="FooterChar"/>
    <w:uiPriority w:val="99"/>
    <w:unhideWhenUsed/>
    <w:rsid w:val="00780DAE"/>
    <w:pPr>
      <w:tabs>
        <w:tab w:val="center" w:pos="4513"/>
        <w:tab w:val="right" w:pos="9026"/>
      </w:tabs>
    </w:pPr>
  </w:style>
  <w:style w:type="character" w:customStyle="1" w:styleId="FooterChar">
    <w:name w:val="Footer Char"/>
    <w:basedOn w:val="DefaultParagraphFont"/>
    <w:link w:val="Footer"/>
    <w:uiPriority w:val="99"/>
    <w:rsid w:val="00780DAE"/>
  </w:style>
  <w:style w:type="paragraph" w:styleId="FootnoteText">
    <w:name w:val="footnote text"/>
    <w:basedOn w:val="Normal"/>
    <w:link w:val="FootnoteTextChar"/>
    <w:uiPriority w:val="99"/>
    <w:semiHidden/>
    <w:unhideWhenUsed/>
    <w:rsid w:val="00CB4E73"/>
    <w:rPr>
      <w:sz w:val="20"/>
      <w:szCs w:val="20"/>
    </w:rPr>
  </w:style>
  <w:style w:type="character" w:customStyle="1" w:styleId="FootnoteTextChar">
    <w:name w:val="Footnote Text Char"/>
    <w:basedOn w:val="DefaultParagraphFont"/>
    <w:link w:val="FootnoteText"/>
    <w:uiPriority w:val="99"/>
    <w:semiHidden/>
    <w:rsid w:val="00CB4E73"/>
    <w:rPr>
      <w:sz w:val="20"/>
      <w:szCs w:val="20"/>
    </w:rPr>
  </w:style>
  <w:style w:type="character" w:styleId="FootnoteReference">
    <w:name w:val="footnote reference"/>
    <w:basedOn w:val="DefaultParagraphFont"/>
    <w:uiPriority w:val="99"/>
    <w:semiHidden/>
    <w:unhideWhenUsed/>
    <w:rsid w:val="00CB4E73"/>
    <w:rPr>
      <w:vertAlign w:val="superscript"/>
    </w:rPr>
  </w:style>
  <w:style w:type="character" w:customStyle="1" w:styleId="Heading3Char">
    <w:name w:val="Heading 3 Char"/>
    <w:basedOn w:val="DefaultParagraphFont"/>
    <w:link w:val="Heading3"/>
    <w:rsid w:val="00C601A5"/>
    <w:rPr>
      <w:rFonts w:ascii="Tahoma" w:eastAsia="SimSun" w:hAnsi="Tahoma" w:cs="Tahoma"/>
      <w:b/>
      <w:bCs/>
      <w:sz w:val="20"/>
      <w:szCs w:val="20"/>
      <w:lang w:eastAsia="zh-CN"/>
    </w:rPr>
  </w:style>
  <w:style w:type="paragraph" w:styleId="NormalWeb">
    <w:name w:val="Normal (Web)"/>
    <w:basedOn w:val="Normal"/>
    <w:rsid w:val="00C601A5"/>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karenhunt/Documents/MA%20Medieval%20Studies/Assig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179C8-3AD5-4F46-9308-8D8A3006F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Assigment template.dotx</Template>
  <TotalTime>134</TotalTime>
  <Pages>7</Pages>
  <Words>1500</Words>
  <Characters>8551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Hunt (1703957)</dc:creator>
  <cp:keywords/>
  <dc:description/>
  <cp:lastModifiedBy>Karen Hunt (1703957)</cp:lastModifiedBy>
  <cp:revision>18</cp:revision>
  <dcterms:created xsi:type="dcterms:W3CDTF">2018-08-30T17:02:00Z</dcterms:created>
  <dcterms:modified xsi:type="dcterms:W3CDTF">2018-08-31T16:27:00Z</dcterms:modified>
</cp:coreProperties>
</file>