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5E9C" w:rsidRPr="0004088D" w:rsidRDefault="00DC5E9C" w:rsidP="0004088D">
      <w:pPr>
        <w:pBdr>
          <w:bottom w:val="single" w:sz="36" w:space="5" w:color="DAE6DB"/>
        </w:pBdr>
        <w:shd w:val="clear" w:color="auto" w:fill="FFFFFF"/>
        <w:spacing w:before="150" w:after="225" w:line="273" w:lineRule="atLeast"/>
        <w:outlineLvl w:val="1"/>
        <w:rPr>
          <w:rFonts w:ascii="Arial" w:hAnsi="Arial" w:cs="Arial"/>
          <w:b/>
          <w:bCs/>
          <w:color w:val="303B44"/>
          <w:sz w:val="28"/>
          <w:szCs w:val="28"/>
        </w:rPr>
      </w:pPr>
      <w:r w:rsidRPr="0004088D">
        <w:rPr>
          <w:rFonts w:ascii="Arial" w:hAnsi="Arial" w:cs="Arial"/>
          <w:b/>
          <w:bCs/>
          <w:color w:val="303B44"/>
          <w:sz w:val="28"/>
          <w:szCs w:val="28"/>
        </w:rPr>
        <w:t>What is human capital?</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t>The term ‘human capital’ is widely used in HR to describe people at work and their collective knowledge, skills, abilities and capacity to develop and innovate. Human capital reporting aims to provide quantitative, as well as qualitative, data on a range of measures (such as labour turnover or employee engagement levels) to help identify which sort of HR or management interventions will drive business performance.</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t>It is now commonly accepted that the value of organisations is drawn from a mixture of tangible assets in the form of equipment, money, land or other physical objects together with intangibles in the form of brand, reputation, knowledge and, of course, people – critically important in an increasingly knowledge-based economy.</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t>However, the evaluation of human capital remains difficult for most companies. There are a number of reasons for this:</w:t>
      </w:r>
    </w:p>
    <w:p w:rsidR="00DC5E9C" w:rsidRPr="0004088D" w:rsidRDefault="00DC5E9C" w:rsidP="0004088D">
      <w:pPr>
        <w:numPr>
          <w:ilvl w:val="0"/>
          <w:numId w:val="1"/>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color w:val="303B44"/>
          <w:sz w:val="20"/>
          <w:szCs w:val="20"/>
        </w:rPr>
        <w:t>The contribution of people is difficult to isolate from other factors such as the economic situation, market forces and customer or social trends.</w:t>
      </w:r>
    </w:p>
    <w:p w:rsidR="00DC5E9C" w:rsidRPr="0004088D" w:rsidRDefault="00DC5E9C" w:rsidP="0004088D">
      <w:pPr>
        <w:numPr>
          <w:ilvl w:val="0"/>
          <w:numId w:val="1"/>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color w:val="303B44"/>
          <w:sz w:val="20"/>
          <w:szCs w:val="20"/>
        </w:rPr>
        <w:t>The value of people is often expressed in qualitative rather than quantitative terms that make it difficult to represent in traditional accountancy models.</w:t>
      </w:r>
    </w:p>
    <w:p w:rsidR="00DC5E9C" w:rsidRPr="0004088D" w:rsidRDefault="00DC5E9C" w:rsidP="0004088D">
      <w:pPr>
        <w:numPr>
          <w:ilvl w:val="0"/>
          <w:numId w:val="1"/>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color w:val="303B44"/>
          <w:sz w:val="20"/>
          <w:szCs w:val="20"/>
        </w:rPr>
        <w:t>HR data has traditionally been collected for administrative rather than evaluation purposes.</w:t>
      </w:r>
    </w:p>
    <w:p w:rsidR="00DC5E9C" w:rsidRPr="0004088D" w:rsidRDefault="00DC5E9C" w:rsidP="0004088D">
      <w:pPr>
        <w:numPr>
          <w:ilvl w:val="0"/>
          <w:numId w:val="1"/>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color w:val="303B44"/>
          <w:sz w:val="20"/>
          <w:szCs w:val="20"/>
        </w:rPr>
        <w:t>HR people do not always have the skills or resources to interpret or explain data to evaluate the contribution of people to business performance.</w:t>
      </w:r>
    </w:p>
    <w:p w:rsidR="00DC5E9C" w:rsidRPr="0004088D" w:rsidRDefault="00DC5E9C" w:rsidP="0004088D">
      <w:pPr>
        <w:numPr>
          <w:ilvl w:val="0"/>
          <w:numId w:val="1"/>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color w:val="303B44"/>
          <w:sz w:val="20"/>
          <w:szCs w:val="20"/>
        </w:rPr>
        <w:t>Senior leaders or stakeholders do not recognise human capital as a performance measure and therefore do not demand human capital information.</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t>These difficulties have been further compounded by the varying definitions of human capital developed over the years. </w:t>
      </w:r>
    </w:p>
    <w:p w:rsidR="00DC5E9C" w:rsidRPr="0004088D" w:rsidRDefault="00DC5E9C" w:rsidP="0004088D">
      <w:pPr>
        <w:shd w:val="clear" w:color="auto" w:fill="FFFFFF"/>
        <w:spacing w:before="100" w:beforeAutospacing="1" w:after="48" w:line="273" w:lineRule="atLeast"/>
        <w:outlineLvl w:val="2"/>
        <w:rPr>
          <w:rFonts w:ascii="Arial" w:hAnsi="Arial" w:cs="Arial"/>
          <w:b/>
          <w:bCs/>
          <w:color w:val="303B44"/>
          <w:sz w:val="26"/>
          <w:szCs w:val="26"/>
        </w:rPr>
      </w:pPr>
      <w:r w:rsidRPr="0004088D">
        <w:rPr>
          <w:rFonts w:ascii="Arial" w:hAnsi="Arial" w:cs="Arial"/>
          <w:b/>
          <w:bCs/>
          <w:color w:val="303B44"/>
          <w:sz w:val="26"/>
          <w:szCs w:val="26"/>
        </w:rPr>
        <w:t>Intellectual capital</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br/>
        <w:t>In our CIPD research work, we have found it helpful to describe human capital as one of three elements that make up intellectual capital. Intellectual capital encompasses: </w:t>
      </w:r>
    </w:p>
    <w:p w:rsidR="00DC5E9C" w:rsidRPr="0004088D" w:rsidRDefault="00DC5E9C" w:rsidP="0004088D">
      <w:pPr>
        <w:numPr>
          <w:ilvl w:val="0"/>
          <w:numId w:val="2"/>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b/>
          <w:bCs/>
          <w:color w:val="303B44"/>
          <w:sz w:val="20"/>
          <w:szCs w:val="20"/>
        </w:rPr>
        <w:t>Human capital</w:t>
      </w:r>
      <w:r w:rsidRPr="0004088D">
        <w:rPr>
          <w:rFonts w:ascii="Arial" w:hAnsi="Arial" w:cs="Arial"/>
          <w:color w:val="303B44"/>
          <w:sz w:val="20"/>
          <w:szCs w:val="20"/>
        </w:rPr>
        <w:t> – the knowledge, skills, abilities and capacity to develop and innovate possessed by people in an organisation</w:t>
      </w:r>
    </w:p>
    <w:p w:rsidR="00DC5E9C" w:rsidRPr="0004088D" w:rsidRDefault="00DC5E9C" w:rsidP="0004088D">
      <w:pPr>
        <w:numPr>
          <w:ilvl w:val="0"/>
          <w:numId w:val="2"/>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b/>
          <w:bCs/>
          <w:color w:val="303B44"/>
          <w:sz w:val="20"/>
          <w:szCs w:val="20"/>
        </w:rPr>
        <w:t>Social capital</w:t>
      </w:r>
      <w:r w:rsidRPr="0004088D">
        <w:rPr>
          <w:rFonts w:ascii="Arial" w:hAnsi="Arial" w:cs="Arial"/>
          <w:color w:val="303B44"/>
          <w:sz w:val="20"/>
          <w:szCs w:val="20"/>
        </w:rPr>
        <w:t> – the structures, networks and procedures that enable those people to acquire and develop intellectual capital, represented by the stocks and flows of knowledge derived from relationships within and outside the organisation</w:t>
      </w:r>
    </w:p>
    <w:p w:rsidR="00DC5E9C" w:rsidRPr="0004088D" w:rsidRDefault="00DC5E9C" w:rsidP="0004088D">
      <w:pPr>
        <w:numPr>
          <w:ilvl w:val="0"/>
          <w:numId w:val="2"/>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b/>
          <w:bCs/>
          <w:color w:val="303B44"/>
          <w:sz w:val="20"/>
          <w:szCs w:val="20"/>
        </w:rPr>
        <w:t>Organisational capital</w:t>
      </w:r>
      <w:r w:rsidRPr="0004088D">
        <w:rPr>
          <w:rFonts w:ascii="Arial" w:hAnsi="Arial" w:cs="Arial"/>
          <w:color w:val="303B44"/>
          <w:sz w:val="20"/>
          <w:szCs w:val="20"/>
        </w:rPr>
        <w:t> –the institutionalised knowledge possessed by an organisation which is stored in databases and manuals, including the HR policies and processes used to manage people.</w:t>
      </w:r>
    </w:p>
    <w:p w:rsidR="00DC5E9C" w:rsidRPr="0004088D" w:rsidRDefault="00DC5E9C" w:rsidP="0004088D">
      <w:pPr>
        <w:shd w:val="clear" w:color="auto" w:fill="FFFFFF"/>
        <w:spacing w:before="100" w:beforeAutospacing="1" w:after="48" w:line="273" w:lineRule="atLeast"/>
        <w:outlineLvl w:val="2"/>
        <w:rPr>
          <w:rFonts w:ascii="Arial" w:hAnsi="Arial" w:cs="Arial"/>
          <w:b/>
          <w:bCs/>
          <w:color w:val="303B44"/>
          <w:sz w:val="26"/>
          <w:szCs w:val="26"/>
        </w:rPr>
      </w:pPr>
      <w:r w:rsidRPr="0004088D">
        <w:rPr>
          <w:rFonts w:ascii="Arial" w:hAnsi="Arial" w:cs="Arial"/>
          <w:b/>
          <w:bCs/>
          <w:color w:val="303B44"/>
          <w:sz w:val="26"/>
          <w:szCs w:val="26"/>
        </w:rPr>
        <w:t>Human capital management</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br/>
        <w:t>While some commentators argue that there is little difference between the concept of human capital and that of human resources, perhaps the key distinction is the focus of human capital on the value of employees, and how this may be measured, rather than on the HR function itself.</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t>CIPD members may view our online tool </w:t>
      </w:r>
      <w:r w:rsidRPr="0004088D">
        <w:rPr>
          <w:rFonts w:ascii="Arial" w:hAnsi="Arial" w:cs="Arial"/>
          <w:i/>
          <w:iCs/>
          <w:color w:val="303B44"/>
          <w:sz w:val="20"/>
          <w:szCs w:val="20"/>
        </w:rPr>
        <w:t>Human capital management: introducing and operating human capital management processes</w:t>
      </w:r>
      <w:r w:rsidRPr="0004088D">
        <w:rPr>
          <w:rFonts w:ascii="Arial" w:hAnsi="Arial" w:cs="Arial"/>
          <w:color w:val="303B44"/>
          <w:sz w:val="20"/>
          <w:szCs w:val="20"/>
        </w:rPr>
        <w:t>.</w:t>
      </w:r>
    </w:p>
    <w:p w:rsidR="00DC5E9C" w:rsidRPr="0004088D" w:rsidRDefault="00DC5E9C" w:rsidP="0004088D">
      <w:pPr>
        <w:numPr>
          <w:ilvl w:val="0"/>
          <w:numId w:val="3"/>
        </w:numPr>
        <w:shd w:val="clear" w:color="auto" w:fill="FFFFFF"/>
        <w:spacing w:after="225" w:line="273" w:lineRule="atLeast"/>
        <w:rPr>
          <w:rFonts w:ascii="Arial" w:hAnsi="Arial" w:cs="Arial"/>
          <w:color w:val="303B44"/>
          <w:sz w:val="20"/>
          <w:szCs w:val="20"/>
        </w:rPr>
      </w:pPr>
      <w:hyperlink r:id="rId5" w:tooltip="Human capital management: introducing and operating human capital management processes" w:history="1">
        <w:r w:rsidRPr="0004088D">
          <w:rPr>
            <w:rFonts w:ascii="Arial" w:hAnsi="Arial" w:cs="Arial"/>
            <w:color w:val="1578BE"/>
            <w:sz w:val="20"/>
            <w:szCs w:val="20"/>
            <w:u w:val="single"/>
          </w:rPr>
          <w:t>Visit the human capital management online tool</w:t>
        </w:r>
      </w:hyperlink>
    </w:p>
    <w:p w:rsidR="00DC5E9C" w:rsidRPr="0004088D" w:rsidRDefault="00DC5E9C" w:rsidP="0004088D">
      <w:pPr>
        <w:shd w:val="clear" w:color="auto" w:fill="FFFFFF"/>
        <w:spacing w:before="100" w:beforeAutospacing="1" w:after="48" w:line="273" w:lineRule="atLeast"/>
        <w:outlineLvl w:val="2"/>
        <w:rPr>
          <w:rFonts w:ascii="Arial" w:hAnsi="Arial" w:cs="Arial"/>
          <w:b/>
          <w:bCs/>
          <w:color w:val="303B44"/>
          <w:sz w:val="26"/>
          <w:szCs w:val="26"/>
        </w:rPr>
      </w:pPr>
      <w:r w:rsidRPr="0004088D">
        <w:rPr>
          <w:rFonts w:ascii="Arial" w:hAnsi="Arial" w:cs="Arial"/>
          <w:b/>
          <w:bCs/>
          <w:color w:val="303B44"/>
          <w:sz w:val="26"/>
          <w:szCs w:val="26"/>
        </w:rPr>
        <w:t>Types of human capital data</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br/>
        <w:t>There are many different types of data that can be useful in measuring and evaluating human capital.  Generally these fall under the following headings:</w:t>
      </w:r>
    </w:p>
    <w:p w:rsidR="00DC5E9C" w:rsidRPr="0004088D" w:rsidRDefault="00DC5E9C" w:rsidP="0004088D">
      <w:pPr>
        <w:numPr>
          <w:ilvl w:val="0"/>
          <w:numId w:val="4"/>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b/>
          <w:bCs/>
          <w:color w:val="303B44"/>
          <w:sz w:val="20"/>
          <w:szCs w:val="20"/>
        </w:rPr>
        <w:t>demographic data</w:t>
      </w:r>
      <w:r w:rsidRPr="0004088D">
        <w:rPr>
          <w:rFonts w:ascii="Arial" w:hAnsi="Arial" w:cs="Arial"/>
          <w:color w:val="303B44"/>
          <w:sz w:val="20"/>
          <w:szCs w:val="20"/>
        </w:rPr>
        <w:t>: information on workforce composition including age, gender and ethnicity</w:t>
      </w:r>
    </w:p>
    <w:p w:rsidR="00DC5E9C" w:rsidRPr="0004088D" w:rsidRDefault="00DC5E9C" w:rsidP="0004088D">
      <w:pPr>
        <w:numPr>
          <w:ilvl w:val="0"/>
          <w:numId w:val="4"/>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b/>
          <w:bCs/>
          <w:color w:val="303B44"/>
          <w:sz w:val="20"/>
          <w:szCs w:val="20"/>
        </w:rPr>
        <w:t>recruitment and retention</w:t>
      </w:r>
      <w:r w:rsidRPr="0004088D">
        <w:rPr>
          <w:rFonts w:ascii="Arial" w:hAnsi="Arial" w:cs="Arial"/>
          <w:color w:val="303B44"/>
          <w:sz w:val="20"/>
          <w:szCs w:val="20"/>
        </w:rPr>
        <w:t>: number of resignations/vacancies/applications, length of service</w:t>
      </w:r>
    </w:p>
    <w:p w:rsidR="00DC5E9C" w:rsidRPr="0004088D" w:rsidRDefault="00DC5E9C" w:rsidP="0004088D">
      <w:pPr>
        <w:numPr>
          <w:ilvl w:val="0"/>
          <w:numId w:val="4"/>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b/>
          <w:bCs/>
          <w:color w:val="303B44"/>
          <w:sz w:val="20"/>
          <w:szCs w:val="20"/>
        </w:rPr>
        <w:t>learning and development</w:t>
      </w:r>
      <w:r w:rsidRPr="0004088D">
        <w:rPr>
          <w:rFonts w:ascii="Arial" w:hAnsi="Arial" w:cs="Arial"/>
          <w:color w:val="303B44"/>
          <w:sz w:val="20"/>
          <w:szCs w:val="20"/>
        </w:rPr>
        <w:t>: levels of expenditure on training, types of training provided, length of time to reach competence levels, data on training needs</w:t>
      </w:r>
    </w:p>
    <w:p w:rsidR="00DC5E9C" w:rsidRPr="0004088D" w:rsidRDefault="00DC5E9C" w:rsidP="0004088D">
      <w:pPr>
        <w:numPr>
          <w:ilvl w:val="0"/>
          <w:numId w:val="4"/>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b/>
          <w:bCs/>
          <w:color w:val="303B44"/>
          <w:sz w:val="20"/>
          <w:szCs w:val="20"/>
        </w:rPr>
        <w:t>performance</w:t>
      </w:r>
      <w:r w:rsidRPr="0004088D">
        <w:rPr>
          <w:rFonts w:ascii="Arial" w:hAnsi="Arial" w:cs="Arial"/>
          <w:color w:val="303B44"/>
          <w:sz w:val="20"/>
          <w:szCs w:val="20"/>
        </w:rPr>
        <w:t>: performance management results, productivity and profitability data, targets set and met, levels of customer satisfaction, customer loyalty</w:t>
      </w:r>
    </w:p>
    <w:p w:rsidR="00DC5E9C" w:rsidRPr="0004088D" w:rsidRDefault="00DC5E9C" w:rsidP="0004088D">
      <w:pPr>
        <w:numPr>
          <w:ilvl w:val="0"/>
          <w:numId w:val="4"/>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b/>
          <w:bCs/>
          <w:color w:val="303B44"/>
          <w:sz w:val="20"/>
          <w:szCs w:val="20"/>
        </w:rPr>
        <w:t>engagement and opinion</w:t>
      </w:r>
      <w:r w:rsidRPr="0004088D">
        <w:rPr>
          <w:rFonts w:ascii="Arial" w:hAnsi="Arial" w:cs="Arial"/>
          <w:color w:val="303B44"/>
          <w:sz w:val="20"/>
          <w:szCs w:val="20"/>
        </w:rPr>
        <w:t>: findings from employee attitude surveys</w:t>
      </w:r>
    </w:p>
    <w:p w:rsidR="00DC5E9C" w:rsidRPr="0004088D" w:rsidRDefault="00DC5E9C" w:rsidP="0004088D">
      <w:pPr>
        <w:numPr>
          <w:ilvl w:val="0"/>
          <w:numId w:val="4"/>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b/>
          <w:bCs/>
          <w:color w:val="303B44"/>
          <w:sz w:val="20"/>
          <w:szCs w:val="20"/>
        </w:rPr>
        <w:t>reward and pay</w:t>
      </w:r>
      <w:r w:rsidRPr="0004088D">
        <w:rPr>
          <w:rFonts w:ascii="Arial" w:hAnsi="Arial" w:cs="Arial"/>
          <w:color w:val="303B44"/>
          <w:sz w:val="20"/>
          <w:szCs w:val="20"/>
        </w:rPr>
        <w:t>: overall wage bill costs, distribution of individual performance-related pay awards, level of total reward package.</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t>Wherever possible, it is important to distinguish between measures of outputs and measures of inputs. For example, figures for expenditure on specialist training provision is an input, the output might be higher levels of customer sales or higher levels of employee skill and capability.</w:t>
      </w:r>
    </w:p>
    <w:p w:rsidR="00DC5E9C" w:rsidRPr="0004088D" w:rsidRDefault="00DC5E9C" w:rsidP="0004088D">
      <w:pPr>
        <w:pBdr>
          <w:bottom w:val="single" w:sz="36" w:space="5" w:color="DAE6DB"/>
        </w:pBdr>
        <w:shd w:val="clear" w:color="auto" w:fill="FFFFFF"/>
        <w:spacing w:before="150" w:after="225" w:line="273" w:lineRule="atLeast"/>
        <w:outlineLvl w:val="1"/>
        <w:rPr>
          <w:rFonts w:ascii="Arial" w:hAnsi="Arial" w:cs="Arial"/>
          <w:b/>
          <w:bCs/>
          <w:color w:val="303B44"/>
          <w:sz w:val="28"/>
          <w:szCs w:val="28"/>
        </w:rPr>
      </w:pPr>
      <w:r w:rsidRPr="0004088D">
        <w:rPr>
          <w:rFonts w:ascii="Arial" w:hAnsi="Arial" w:cs="Arial"/>
          <w:b/>
          <w:bCs/>
          <w:color w:val="303B44"/>
          <w:sz w:val="28"/>
          <w:szCs w:val="28"/>
        </w:rPr>
        <w:t>Measuring human capital</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t>The CIPD has been undertaking work in the field of human capital since 2000 – around the time the subject emerged as a key issue for the HR profession. Much of our research in this area since then suggests that there is no single measure or set of measures that can uniformly provide a value for human capital.</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t>This conclusion was confirmed by the 2003 report</w:t>
      </w:r>
      <w:r w:rsidRPr="0004088D">
        <w:rPr>
          <w:rFonts w:ascii="Arial" w:hAnsi="Arial" w:cs="Arial"/>
          <w:color w:val="303B44"/>
          <w:sz w:val="20"/>
          <w:szCs w:val="20"/>
          <w:vertAlign w:val="superscript"/>
        </w:rPr>
        <w:t>1</w:t>
      </w:r>
      <w:r w:rsidRPr="0004088D">
        <w:rPr>
          <w:rFonts w:ascii="Arial" w:hAnsi="Arial" w:cs="Arial"/>
          <w:color w:val="303B44"/>
          <w:sz w:val="20"/>
          <w:szCs w:val="20"/>
        </w:rPr>
        <w:t> of the Task Force on Human Capital Management, which was set up by the government under the chair of Denise Kingsmill to address the lack of reporting on human capital in business - as this was felt to be inhibiting competitiveness. </w:t>
      </w:r>
    </w:p>
    <w:p w:rsidR="00DC5E9C" w:rsidRPr="0004088D" w:rsidRDefault="00DC5E9C" w:rsidP="0004088D">
      <w:pPr>
        <w:shd w:val="clear" w:color="auto" w:fill="FFFFFF"/>
        <w:spacing w:before="100" w:beforeAutospacing="1" w:after="48" w:line="273" w:lineRule="atLeast"/>
        <w:outlineLvl w:val="2"/>
        <w:rPr>
          <w:rFonts w:ascii="Arial" w:hAnsi="Arial" w:cs="Arial"/>
          <w:b/>
          <w:bCs/>
          <w:color w:val="303B44"/>
          <w:sz w:val="26"/>
          <w:szCs w:val="26"/>
        </w:rPr>
      </w:pPr>
      <w:r w:rsidRPr="0004088D">
        <w:rPr>
          <w:rFonts w:ascii="Arial" w:hAnsi="Arial" w:cs="Arial"/>
          <w:b/>
          <w:bCs/>
          <w:color w:val="303B44"/>
          <w:sz w:val="26"/>
          <w:szCs w:val="26"/>
        </w:rPr>
        <w:t>Measurement difficulties</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br/>
        <w:t>Measurement is notoriously difficult, in part because the factors that human capital is likely to influence (such as customer satisfaction, innovation and service delivery) are at the mercy of numerous other contextual factors. Whereas it can be relatively easy to collect data to describe the workforce and the prevalence of certain practices, particularly where sophisticated human resource information systems (HRIS) exist (such as absence and attendance data) it is more difficult to develop credible and reliable new measures and assess how such data may be interpreted.</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t>For example, CIPD research has found that engaged employees are more likely to perform better and hence contribute to bottom line performance, meaning that this is a key measure impacting on business success.  However, engagement levels are extremely difficult to quantify as much of the data pertaining to engagement is actually measuring elements of it, such as satisfaction or commitment. To find our more about engagement, see our factsheet on that topic.</w:t>
      </w:r>
    </w:p>
    <w:p w:rsidR="00DC5E9C" w:rsidRPr="0004088D" w:rsidRDefault="00DC5E9C" w:rsidP="0004088D">
      <w:pPr>
        <w:numPr>
          <w:ilvl w:val="0"/>
          <w:numId w:val="5"/>
        </w:numPr>
        <w:shd w:val="clear" w:color="auto" w:fill="FFFFFF"/>
        <w:spacing w:after="225" w:line="273" w:lineRule="atLeast"/>
        <w:rPr>
          <w:rFonts w:ascii="Arial" w:hAnsi="Arial" w:cs="Arial"/>
          <w:color w:val="303B44"/>
          <w:sz w:val="20"/>
          <w:szCs w:val="20"/>
        </w:rPr>
      </w:pPr>
      <w:hyperlink r:id="rId6" w:tooltip="Employee engagement" w:history="1">
        <w:r w:rsidRPr="0004088D">
          <w:rPr>
            <w:rFonts w:ascii="Arial" w:hAnsi="Arial" w:cs="Arial"/>
            <w:color w:val="1578BE"/>
            <w:sz w:val="20"/>
            <w:szCs w:val="20"/>
            <w:u w:val="single"/>
          </w:rPr>
          <w:t>Go to our factsheet on employee engagement </w:t>
        </w:r>
      </w:hyperlink>
    </w:p>
    <w:p w:rsidR="00DC5E9C" w:rsidRPr="0004088D" w:rsidRDefault="00DC5E9C" w:rsidP="0004088D">
      <w:pPr>
        <w:shd w:val="clear" w:color="auto" w:fill="FFFFFF"/>
        <w:spacing w:before="100" w:beforeAutospacing="1" w:after="48" w:line="273" w:lineRule="atLeast"/>
        <w:outlineLvl w:val="2"/>
        <w:rPr>
          <w:rFonts w:ascii="Arial" w:hAnsi="Arial" w:cs="Arial"/>
          <w:b/>
          <w:bCs/>
          <w:color w:val="303B44"/>
          <w:sz w:val="26"/>
          <w:szCs w:val="26"/>
        </w:rPr>
      </w:pPr>
      <w:r w:rsidRPr="0004088D">
        <w:rPr>
          <w:rFonts w:ascii="Arial" w:hAnsi="Arial" w:cs="Arial"/>
          <w:b/>
          <w:bCs/>
          <w:color w:val="303B44"/>
          <w:sz w:val="26"/>
          <w:szCs w:val="26"/>
        </w:rPr>
        <w:t>Focus on business context</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br/>
        <w:t>Organisations will, in addition, wish to measure the aspects of human capital that are relevant to their own business strategy (for example the need for a particular type of employee competency). As a result of this consideration, together with the other factors identified here, the emphasis of measurement has shifted away from absolute measures towards understanding of context to make an informed decision.</w:t>
      </w:r>
    </w:p>
    <w:p w:rsidR="00DC5E9C" w:rsidRPr="0004088D" w:rsidRDefault="00DC5E9C" w:rsidP="0004088D">
      <w:pPr>
        <w:shd w:val="clear" w:color="auto" w:fill="FFFFFF"/>
        <w:spacing w:before="100" w:beforeAutospacing="1" w:after="48" w:line="273" w:lineRule="atLeast"/>
        <w:outlineLvl w:val="2"/>
        <w:rPr>
          <w:rFonts w:ascii="Arial" w:hAnsi="Arial" w:cs="Arial"/>
          <w:b/>
          <w:bCs/>
          <w:color w:val="303B44"/>
          <w:sz w:val="26"/>
          <w:szCs w:val="26"/>
        </w:rPr>
      </w:pPr>
      <w:r w:rsidRPr="0004088D">
        <w:rPr>
          <w:rFonts w:ascii="Arial" w:hAnsi="Arial" w:cs="Arial"/>
          <w:b/>
          <w:bCs/>
          <w:color w:val="303B44"/>
          <w:sz w:val="26"/>
          <w:szCs w:val="26"/>
        </w:rPr>
        <w:t>Differing levels of data collection</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br/>
        <w:t>At the most basic level, human capital data can be collected for simple monitoring purposes, such as controlling absence or monitoring retention difficulties. At the highest level data can be used to identify performance drivers: by correlating different types of data with performance data organisations can begin to understand what the real benefits are of improving levels of motivation or retention.</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t>The table below summarises the different levels of data collection that might take place and the likely outcomes of data collection.</w:t>
      </w:r>
    </w:p>
    <w:tbl>
      <w:tblPr>
        <w:tblW w:w="9540" w:type="dxa"/>
        <w:tblCellSpacing w:w="15" w:type="dxa"/>
        <w:tblCellMar>
          <w:top w:w="15" w:type="dxa"/>
          <w:left w:w="15" w:type="dxa"/>
          <w:bottom w:w="15" w:type="dxa"/>
          <w:right w:w="15" w:type="dxa"/>
        </w:tblCellMar>
        <w:tblLook w:val="00A0"/>
      </w:tblPr>
      <w:tblGrid>
        <w:gridCol w:w="1362"/>
        <w:gridCol w:w="2678"/>
        <w:gridCol w:w="2957"/>
        <w:gridCol w:w="2543"/>
      </w:tblGrid>
      <w:tr w:rsidR="00DC5E9C" w:rsidRPr="004C4BFD" w:rsidTr="0004088D">
        <w:trPr>
          <w:tblHeader/>
          <w:tblCellSpacing w:w="15" w:type="dxa"/>
        </w:trPr>
        <w:tc>
          <w:tcPr>
            <w:tcW w:w="0" w:type="auto"/>
            <w:shd w:val="clear" w:color="auto" w:fill="517417"/>
            <w:tcMar>
              <w:top w:w="60" w:type="dxa"/>
              <w:left w:w="150" w:type="dxa"/>
              <w:bottom w:w="75" w:type="dxa"/>
              <w:right w:w="150" w:type="dxa"/>
            </w:tcMar>
          </w:tcPr>
          <w:p w:rsidR="00DC5E9C" w:rsidRPr="0004088D" w:rsidRDefault="00DC5E9C" w:rsidP="0004088D">
            <w:pPr>
              <w:spacing w:after="150" w:line="273" w:lineRule="atLeast"/>
              <w:jc w:val="center"/>
              <w:rPr>
                <w:rFonts w:ascii="Arial" w:hAnsi="Arial" w:cs="Arial"/>
                <w:b/>
                <w:bCs/>
                <w:color w:val="FFFFFF"/>
                <w:sz w:val="20"/>
                <w:szCs w:val="20"/>
              </w:rPr>
            </w:pPr>
          </w:p>
        </w:tc>
        <w:tc>
          <w:tcPr>
            <w:tcW w:w="0" w:type="auto"/>
            <w:shd w:val="clear" w:color="auto" w:fill="517417"/>
            <w:tcMar>
              <w:top w:w="60" w:type="dxa"/>
              <w:left w:w="150" w:type="dxa"/>
              <w:bottom w:w="75" w:type="dxa"/>
              <w:right w:w="150" w:type="dxa"/>
            </w:tcMar>
          </w:tcPr>
          <w:p w:rsidR="00DC5E9C" w:rsidRPr="0004088D" w:rsidRDefault="00DC5E9C" w:rsidP="0004088D">
            <w:pPr>
              <w:spacing w:after="150" w:line="273" w:lineRule="atLeast"/>
              <w:jc w:val="center"/>
              <w:rPr>
                <w:rFonts w:ascii="Arial" w:hAnsi="Arial" w:cs="Arial"/>
                <w:b/>
                <w:bCs/>
                <w:color w:val="FFFFFF"/>
                <w:sz w:val="20"/>
                <w:szCs w:val="20"/>
              </w:rPr>
            </w:pPr>
            <w:r w:rsidRPr="0004088D">
              <w:rPr>
                <w:rFonts w:ascii="Arial" w:hAnsi="Arial" w:cs="Arial"/>
                <w:b/>
                <w:bCs/>
                <w:color w:val="FFFFFF"/>
                <w:sz w:val="20"/>
                <w:szCs w:val="20"/>
              </w:rPr>
              <w:t>Basic level</w:t>
            </w:r>
          </w:p>
        </w:tc>
        <w:tc>
          <w:tcPr>
            <w:tcW w:w="0" w:type="auto"/>
            <w:shd w:val="clear" w:color="auto" w:fill="517417"/>
            <w:tcMar>
              <w:top w:w="60" w:type="dxa"/>
              <w:left w:w="150" w:type="dxa"/>
              <w:bottom w:w="75" w:type="dxa"/>
              <w:right w:w="150" w:type="dxa"/>
            </w:tcMar>
          </w:tcPr>
          <w:p w:rsidR="00DC5E9C" w:rsidRPr="0004088D" w:rsidRDefault="00DC5E9C" w:rsidP="0004088D">
            <w:pPr>
              <w:spacing w:after="150" w:line="273" w:lineRule="atLeast"/>
              <w:jc w:val="center"/>
              <w:rPr>
                <w:rFonts w:ascii="Arial" w:hAnsi="Arial" w:cs="Arial"/>
                <w:b/>
                <w:bCs/>
                <w:color w:val="FFFFFF"/>
                <w:sz w:val="20"/>
                <w:szCs w:val="20"/>
              </w:rPr>
            </w:pPr>
            <w:r w:rsidRPr="0004088D">
              <w:rPr>
                <w:rFonts w:ascii="Arial" w:hAnsi="Arial" w:cs="Arial"/>
                <w:b/>
                <w:bCs/>
                <w:color w:val="FFFFFF"/>
                <w:sz w:val="20"/>
                <w:szCs w:val="20"/>
              </w:rPr>
              <w:t>Intermediate level</w:t>
            </w:r>
          </w:p>
        </w:tc>
        <w:tc>
          <w:tcPr>
            <w:tcW w:w="0" w:type="auto"/>
            <w:shd w:val="clear" w:color="auto" w:fill="517417"/>
            <w:tcMar>
              <w:top w:w="60" w:type="dxa"/>
              <w:left w:w="150" w:type="dxa"/>
              <w:bottom w:w="75" w:type="dxa"/>
              <w:right w:w="150" w:type="dxa"/>
            </w:tcMar>
          </w:tcPr>
          <w:p w:rsidR="00DC5E9C" w:rsidRPr="0004088D" w:rsidRDefault="00DC5E9C" w:rsidP="0004088D">
            <w:pPr>
              <w:spacing w:after="150" w:line="273" w:lineRule="atLeast"/>
              <w:jc w:val="center"/>
              <w:rPr>
                <w:rFonts w:ascii="Arial" w:hAnsi="Arial" w:cs="Arial"/>
                <w:b/>
                <w:bCs/>
                <w:color w:val="FFFFFF"/>
                <w:sz w:val="20"/>
                <w:szCs w:val="20"/>
              </w:rPr>
            </w:pPr>
            <w:r w:rsidRPr="0004088D">
              <w:rPr>
                <w:rFonts w:ascii="Arial" w:hAnsi="Arial" w:cs="Arial"/>
                <w:b/>
                <w:bCs/>
                <w:color w:val="FFFFFF"/>
                <w:sz w:val="20"/>
                <w:szCs w:val="20"/>
              </w:rPr>
              <w:t>Higher level</w:t>
            </w:r>
          </w:p>
        </w:tc>
      </w:tr>
      <w:tr w:rsidR="00DC5E9C" w:rsidRPr="004C4BFD" w:rsidTr="0004088D">
        <w:trPr>
          <w:tblCellSpacing w:w="15" w:type="dxa"/>
        </w:trPr>
        <w:tc>
          <w:tcPr>
            <w:tcW w:w="0" w:type="auto"/>
            <w:shd w:val="clear" w:color="auto" w:fill="F9F9F9"/>
            <w:tcMar>
              <w:top w:w="225" w:type="dxa"/>
              <w:left w:w="225" w:type="dxa"/>
              <w:bottom w:w="225" w:type="dxa"/>
              <w:right w:w="225" w:type="dxa"/>
            </w:tcMar>
          </w:tcPr>
          <w:p w:rsidR="00DC5E9C" w:rsidRPr="0004088D" w:rsidRDefault="00DC5E9C" w:rsidP="0004088D">
            <w:pPr>
              <w:spacing w:after="150" w:line="273" w:lineRule="atLeast"/>
              <w:rPr>
                <w:rFonts w:ascii="Arial" w:hAnsi="Arial" w:cs="Arial"/>
                <w:color w:val="303B44"/>
                <w:sz w:val="20"/>
                <w:szCs w:val="20"/>
              </w:rPr>
            </w:pPr>
            <w:r w:rsidRPr="0004088D">
              <w:rPr>
                <w:rFonts w:ascii="Arial" w:hAnsi="Arial" w:cs="Arial"/>
                <w:b/>
                <w:bCs/>
                <w:color w:val="303B44"/>
                <w:sz w:val="20"/>
                <w:szCs w:val="20"/>
              </w:rPr>
              <w:t>Action</w:t>
            </w:r>
          </w:p>
        </w:tc>
        <w:tc>
          <w:tcPr>
            <w:tcW w:w="0" w:type="auto"/>
            <w:shd w:val="clear" w:color="auto" w:fill="F9F9F9"/>
            <w:tcMar>
              <w:top w:w="225" w:type="dxa"/>
              <w:left w:w="225" w:type="dxa"/>
              <w:bottom w:w="225" w:type="dxa"/>
              <w:right w:w="225" w:type="dxa"/>
            </w:tcMar>
          </w:tcPr>
          <w:p w:rsidR="00DC5E9C" w:rsidRPr="004C4BFD" w:rsidRDefault="00DC5E9C" w:rsidP="0004088D">
            <w:pPr>
              <w:spacing w:after="225" w:line="273" w:lineRule="atLeast"/>
              <w:rPr>
                <w:rFonts w:ascii="Arial" w:hAnsi="Arial" w:cs="Arial"/>
                <w:color w:val="303B44"/>
                <w:sz w:val="20"/>
                <w:szCs w:val="20"/>
              </w:rPr>
            </w:pPr>
            <w:r w:rsidRPr="004C4BFD">
              <w:rPr>
                <w:rFonts w:ascii="Arial" w:hAnsi="Arial" w:cs="Arial"/>
                <w:color w:val="303B44"/>
                <w:sz w:val="20"/>
                <w:szCs w:val="20"/>
              </w:rPr>
              <w:t>Collect basic input measures such as absence data, turnover data</w:t>
            </w:r>
          </w:p>
          <w:p w:rsidR="00DC5E9C" w:rsidRPr="004C4BFD" w:rsidRDefault="00DC5E9C" w:rsidP="0004088D">
            <w:pPr>
              <w:spacing w:after="225" w:line="273" w:lineRule="atLeast"/>
              <w:rPr>
                <w:rFonts w:ascii="Arial" w:hAnsi="Arial" w:cs="Arial"/>
                <w:color w:val="303B44"/>
                <w:sz w:val="20"/>
                <w:szCs w:val="20"/>
              </w:rPr>
            </w:pPr>
            <w:r w:rsidRPr="004C4BFD">
              <w:rPr>
                <w:rFonts w:ascii="Arial" w:hAnsi="Arial" w:cs="Arial"/>
                <w:color w:val="303B44"/>
                <w:sz w:val="20"/>
                <w:szCs w:val="20"/>
              </w:rPr>
              <w:t>Identify useful data already available, such as data from pay reviews, performance management, job evaluation, training, the recruitment process</w:t>
            </w:r>
          </w:p>
          <w:p w:rsidR="00DC5E9C" w:rsidRPr="004C4BFD" w:rsidRDefault="00DC5E9C" w:rsidP="0004088D">
            <w:pPr>
              <w:spacing w:after="225" w:line="273" w:lineRule="atLeast"/>
              <w:rPr>
                <w:rFonts w:ascii="Arial" w:hAnsi="Arial" w:cs="Arial"/>
                <w:color w:val="303B44"/>
                <w:sz w:val="20"/>
                <w:szCs w:val="20"/>
              </w:rPr>
            </w:pPr>
            <w:r w:rsidRPr="004C4BFD">
              <w:rPr>
                <w:rFonts w:ascii="Arial" w:hAnsi="Arial" w:cs="Arial"/>
                <w:color w:val="303B44"/>
                <w:sz w:val="20"/>
                <w:szCs w:val="20"/>
              </w:rPr>
              <w:t>Use this data to communicate essential information to managers about absence, turnover or accident levels, compared by department</w:t>
            </w:r>
          </w:p>
          <w:p w:rsidR="00DC5E9C" w:rsidRPr="004C4BFD" w:rsidRDefault="00DC5E9C" w:rsidP="0004088D">
            <w:pPr>
              <w:spacing w:after="225" w:line="273" w:lineRule="atLeast"/>
              <w:rPr>
                <w:rFonts w:ascii="Arial" w:hAnsi="Arial" w:cs="Arial"/>
                <w:color w:val="303B44"/>
                <w:sz w:val="20"/>
                <w:szCs w:val="20"/>
              </w:rPr>
            </w:pPr>
            <w:r w:rsidRPr="004C4BFD">
              <w:rPr>
                <w:rFonts w:ascii="Arial" w:hAnsi="Arial" w:cs="Arial"/>
                <w:color w:val="303B44"/>
                <w:sz w:val="20"/>
                <w:szCs w:val="20"/>
              </w:rPr>
              <w:t>Look for trends or patterns in the data and investigate their causes</w:t>
            </w:r>
          </w:p>
        </w:tc>
        <w:tc>
          <w:tcPr>
            <w:tcW w:w="0" w:type="auto"/>
            <w:shd w:val="clear" w:color="auto" w:fill="F9F9F9"/>
            <w:tcMar>
              <w:top w:w="225" w:type="dxa"/>
              <w:left w:w="225" w:type="dxa"/>
              <w:bottom w:w="225" w:type="dxa"/>
              <w:right w:w="225" w:type="dxa"/>
            </w:tcMar>
          </w:tcPr>
          <w:p w:rsidR="00DC5E9C" w:rsidRPr="004C4BFD" w:rsidRDefault="00DC5E9C" w:rsidP="0004088D">
            <w:pPr>
              <w:spacing w:after="225" w:line="273" w:lineRule="atLeast"/>
              <w:rPr>
                <w:rFonts w:ascii="Arial" w:hAnsi="Arial" w:cs="Arial"/>
                <w:color w:val="303B44"/>
                <w:sz w:val="20"/>
                <w:szCs w:val="20"/>
              </w:rPr>
            </w:pPr>
            <w:r w:rsidRPr="004C4BFD">
              <w:rPr>
                <w:rFonts w:ascii="Arial" w:hAnsi="Arial" w:cs="Arial"/>
                <w:color w:val="303B44"/>
                <w:sz w:val="20"/>
                <w:szCs w:val="20"/>
              </w:rPr>
              <w:t>Design data collection for specific human capital needs. For example, conduct an employee attitude survey to measure satisfaction, or follow up on training activity to monitor implementation and use</w:t>
            </w:r>
          </w:p>
          <w:p w:rsidR="00DC5E9C" w:rsidRPr="004C4BFD" w:rsidRDefault="00DC5E9C" w:rsidP="0004088D">
            <w:pPr>
              <w:spacing w:after="225" w:line="273" w:lineRule="atLeast"/>
              <w:rPr>
                <w:rFonts w:ascii="Arial" w:hAnsi="Arial" w:cs="Arial"/>
                <w:color w:val="303B44"/>
                <w:sz w:val="20"/>
                <w:szCs w:val="20"/>
              </w:rPr>
            </w:pPr>
            <w:r w:rsidRPr="004C4BFD">
              <w:rPr>
                <w:rFonts w:ascii="Arial" w:hAnsi="Arial" w:cs="Arial"/>
                <w:color w:val="303B44"/>
                <w:sz w:val="20"/>
                <w:szCs w:val="20"/>
              </w:rPr>
              <w:t>Look for correlations between data – for example, whether high levels of job satisfaction occur when certain HR practices are in place, such as performance management, career management or flexible working</w:t>
            </w:r>
          </w:p>
          <w:p w:rsidR="00DC5E9C" w:rsidRPr="004C4BFD" w:rsidRDefault="00DC5E9C" w:rsidP="0004088D">
            <w:pPr>
              <w:spacing w:after="225" w:line="273" w:lineRule="atLeast"/>
              <w:rPr>
                <w:rFonts w:ascii="Arial" w:hAnsi="Arial" w:cs="Arial"/>
                <w:color w:val="303B44"/>
                <w:sz w:val="20"/>
                <w:szCs w:val="20"/>
              </w:rPr>
            </w:pPr>
            <w:r w:rsidRPr="004C4BFD">
              <w:rPr>
                <w:rFonts w:ascii="Arial" w:hAnsi="Arial" w:cs="Arial"/>
                <w:color w:val="303B44"/>
                <w:sz w:val="20"/>
                <w:szCs w:val="20"/>
              </w:rPr>
              <w:t>Identify specific actions to improve people management</w:t>
            </w:r>
          </w:p>
        </w:tc>
        <w:tc>
          <w:tcPr>
            <w:tcW w:w="0" w:type="auto"/>
            <w:shd w:val="clear" w:color="auto" w:fill="F9F9F9"/>
            <w:tcMar>
              <w:top w:w="225" w:type="dxa"/>
              <w:left w:w="225" w:type="dxa"/>
              <w:bottom w:w="225" w:type="dxa"/>
              <w:right w:w="225" w:type="dxa"/>
            </w:tcMar>
          </w:tcPr>
          <w:p w:rsidR="00DC5E9C" w:rsidRPr="004C4BFD" w:rsidRDefault="00DC5E9C" w:rsidP="0004088D">
            <w:pPr>
              <w:spacing w:after="225" w:line="273" w:lineRule="atLeast"/>
              <w:rPr>
                <w:rFonts w:ascii="Arial" w:hAnsi="Arial" w:cs="Arial"/>
                <w:color w:val="303B44"/>
                <w:sz w:val="20"/>
                <w:szCs w:val="20"/>
              </w:rPr>
            </w:pPr>
            <w:r w:rsidRPr="004C4BFD">
              <w:rPr>
                <w:rFonts w:ascii="Arial" w:hAnsi="Arial" w:cs="Arial"/>
                <w:color w:val="303B44"/>
                <w:sz w:val="20"/>
                <w:szCs w:val="20"/>
              </w:rPr>
              <w:t>Identify key performance indicators relating to the business strategy, and design data collection processes to measure against them</w:t>
            </w:r>
          </w:p>
          <w:p w:rsidR="00DC5E9C" w:rsidRPr="004C4BFD" w:rsidRDefault="00DC5E9C" w:rsidP="0004088D">
            <w:pPr>
              <w:spacing w:after="225" w:line="273" w:lineRule="atLeast"/>
              <w:rPr>
                <w:rFonts w:ascii="Arial" w:hAnsi="Arial" w:cs="Arial"/>
                <w:color w:val="303B44"/>
                <w:sz w:val="20"/>
                <w:szCs w:val="20"/>
              </w:rPr>
            </w:pPr>
            <w:r w:rsidRPr="004C4BFD">
              <w:rPr>
                <w:rFonts w:ascii="Arial" w:hAnsi="Arial" w:cs="Arial"/>
                <w:color w:val="303B44"/>
                <w:sz w:val="20"/>
                <w:szCs w:val="20"/>
              </w:rPr>
              <w:t>Provide managers with indicators on a range of measures designed to inform them on performance and progress in their department</w:t>
            </w:r>
          </w:p>
          <w:p w:rsidR="00DC5E9C" w:rsidRPr="004C4BFD" w:rsidRDefault="00DC5E9C" w:rsidP="0004088D">
            <w:pPr>
              <w:spacing w:after="225" w:line="273" w:lineRule="atLeast"/>
              <w:rPr>
                <w:rFonts w:ascii="Arial" w:hAnsi="Arial" w:cs="Arial"/>
                <w:color w:val="303B44"/>
                <w:sz w:val="20"/>
                <w:szCs w:val="20"/>
              </w:rPr>
            </w:pPr>
            <w:r w:rsidRPr="004C4BFD">
              <w:rPr>
                <w:rFonts w:ascii="Arial" w:hAnsi="Arial" w:cs="Arial"/>
                <w:color w:val="303B44"/>
                <w:sz w:val="20"/>
                <w:szCs w:val="20"/>
              </w:rPr>
              <w:t>Accompany this with specific actions to be taken informed by the resulting human capital data</w:t>
            </w:r>
          </w:p>
          <w:p w:rsidR="00DC5E9C" w:rsidRPr="004C4BFD" w:rsidRDefault="00DC5E9C" w:rsidP="0004088D">
            <w:pPr>
              <w:spacing w:after="225" w:line="273" w:lineRule="atLeast"/>
              <w:rPr>
                <w:rFonts w:ascii="Arial" w:hAnsi="Arial" w:cs="Arial"/>
                <w:color w:val="303B44"/>
                <w:sz w:val="20"/>
                <w:szCs w:val="20"/>
              </w:rPr>
            </w:pPr>
            <w:r w:rsidRPr="004C4BFD">
              <w:rPr>
                <w:rFonts w:ascii="Arial" w:hAnsi="Arial" w:cs="Arial"/>
                <w:color w:val="303B44"/>
                <w:sz w:val="20"/>
                <w:szCs w:val="20"/>
              </w:rPr>
              <w:t>Communicate data in ways that are meaningful to differing audiences</w:t>
            </w:r>
          </w:p>
        </w:tc>
      </w:tr>
      <w:tr w:rsidR="00DC5E9C" w:rsidRPr="004C4BFD" w:rsidTr="0004088D">
        <w:trPr>
          <w:tblCellSpacing w:w="15" w:type="dxa"/>
        </w:trPr>
        <w:tc>
          <w:tcPr>
            <w:tcW w:w="0" w:type="auto"/>
            <w:shd w:val="clear" w:color="auto" w:fill="F9F9F9"/>
            <w:tcMar>
              <w:top w:w="225" w:type="dxa"/>
              <w:left w:w="225" w:type="dxa"/>
              <w:bottom w:w="225" w:type="dxa"/>
              <w:right w:w="225" w:type="dxa"/>
            </w:tcMar>
          </w:tcPr>
          <w:p w:rsidR="00DC5E9C" w:rsidRPr="004C4BFD" w:rsidRDefault="00DC5E9C" w:rsidP="0004088D">
            <w:pPr>
              <w:spacing w:after="225" w:line="273" w:lineRule="atLeast"/>
              <w:rPr>
                <w:rFonts w:ascii="Arial" w:hAnsi="Arial" w:cs="Arial"/>
                <w:color w:val="303B44"/>
                <w:sz w:val="20"/>
                <w:szCs w:val="20"/>
              </w:rPr>
            </w:pPr>
            <w:r w:rsidRPr="004C4BFD">
              <w:rPr>
                <w:rFonts w:ascii="Arial" w:hAnsi="Arial" w:cs="Arial"/>
                <w:b/>
                <w:bCs/>
                <w:color w:val="303B44"/>
                <w:sz w:val="20"/>
                <w:szCs w:val="20"/>
              </w:rPr>
              <w:t>Outcome</w:t>
            </w:r>
          </w:p>
        </w:tc>
        <w:tc>
          <w:tcPr>
            <w:tcW w:w="0" w:type="auto"/>
            <w:shd w:val="clear" w:color="auto" w:fill="F9F9F9"/>
            <w:tcMar>
              <w:top w:w="225" w:type="dxa"/>
              <w:left w:w="225" w:type="dxa"/>
              <w:bottom w:w="225" w:type="dxa"/>
              <w:right w:w="225" w:type="dxa"/>
            </w:tcMar>
          </w:tcPr>
          <w:p w:rsidR="00DC5E9C" w:rsidRPr="004C4BFD" w:rsidRDefault="00DC5E9C" w:rsidP="0004088D">
            <w:pPr>
              <w:spacing w:after="225" w:line="273" w:lineRule="atLeast"/>
              <w:rPr>
                <w:rFonts w:ascii="Arial" w:hAnsi="Arial" w:cs="Arial"/>
                <w:color w:val="303B44"/>
                <w:sz w:val="20"/>
                <w:szCs w:val="20"/>
              </w:rPr>
            </w:pPr>
            <w:r w:rsidRPr="004C4BFD">
              <w:rPr>
                <w:rFonts w:ascii="Arial" w:hAnsi="Arial" w:cs="Arial"/>
                <w:color w:val="303B44"/>
                <w:sz w:val="20"/>
                <w:szCs w:val="20"/>
              </w:rPr>
              <w:t>Basic information for managers on headcount and make-up of the workforce</w:t>
            </w:r>
          </w:p>
          <w:p w:rsidR="00DC5E9C" w:rsidRPr="004C4BFD" w:rsidRDefault="00DC5E9C" w:rsidP="0004088D">
            <w:pPr>
              <w:spacing w:after="225" w:line="273" w:lineRule="atLeast"/>
              <w:rPr>
                <w:rFonts w:ascii="Arial" w:hAnsi="Arial" w:cs="Arial"/>
                <w:color w:val="303B44"/>
                <w:sz w:val="20"/>
                <w:szCs w:val="20"/>
              </w:rPr>
            </w:pPr>
            <w:r w:rsidRPr="004C4BFD">
              <w:rPr>
                <w:rFonts w:ascii="Arial" w:hAnsi="Arial" w:cs="Arial"/>
                <w:color w:val="303B44"/>
                <w:sz w:val="20"/>
                <w:szCs w:val="20"/>
              </w:rPr>
              <w:t>Identification of any action that might be needed as a result of these measures – for example, to reduce accident rates, to improve the diversity profile of the workforce or to reduce absence</w:t>
            </w:r>
          </w:p>
        </w:tc>
        <w:tc>
          <w:tcPr>
            <w:tcW w:w="0" w:type="auto"/>
            <w:shd w:val="clear" w:color="auto" w:fill="F9F9F9"/>
            <w:tcMar>
              <w:top w:w="225" w:type="dxa"/>
              <w:left w:w="225" w:type="dxa"/>
              <w:bottom w:w="225" w:type="dxa"/>
              <w:right w:w="225" w:type="dxa"/>
            </w:tcMar>
          </w:tcPr>
          <w:p w:rsidR="00DC5E9C" w:rsidRPr="004C4BFD" w:rsidRDefault="00DC5E9C" w:rsidP="0004088D">
            <w:pPr>
              <w:spacing w:after="225" w:line="273" w:lineRule="atLeast"/>
              <w:rPr>
                <w:rFonts w:ascii="Arial" w:hAnsi="Arial" w:cs="Arial"/>
                <w:color w:val="303B44"/>
                <w:sz w:val="20"/>
                <w:szCs w:val="20"/>
              </w:rPr>
            </w:pPr>
            <w:r w:rsidRPr="004C4BFD">
              <w:rPr>
                <w:rFonts w:ascii="Arial" w:hAnsi="Arial" w:cs="Arial"/>
                <w:color w:val="303B44"/>
                <w:sz w:val="20"/>
                <w:szCs w:val="20"/>
              </w:rPr>
              <w:t>Information to help design the HR model most likely to contribute to performance</w:t>
            </w:r>
          </w:p>
          <w:p w:rsidR="00DC5E9C" w:rsidRPr="004C4BFD" w:rsidRDefault="00DC5E9C" w:rsidP="0004088D">
            <w:pPr>
              <w:spacing w:after="225" w:line="273" w:lineRule="atLeast"/>
              <w:rPr>
                <w:rFonts w:ascii="Arial" w:hAnsi="Arial" w:cs="Arial"/>
                <w:color w:val="303B44"/>
                <w:sz w:val="20"/>
                <w:szCs w:val="20"/>
              </w:rPr>
            </w:pPr>
            <w:r w:rsidRPr="004C4BFD">
              <w:rPr>
                <w:rFonts w:ascii="Arial" w:hAnsi="Arial" w:cs="Arial"/>
                <w:color w:val="303B44"/>
                <w:sz w:val="20"/>
                <w:szCs w:val="20"/>
              </w:rPr>
              <w:t>Communication to managers not just on how to implement processes, but with accompanying information on why they are important and what they can achieve</w:t>
            </w:r>
          </w:p>
        </w:tc>
        <w:tc>
          <w:tcPr>
            <w:tcW w:w="0" w:type="auto"/>
            <w:shd w:val="clear" w:color="auto" w:fill="F9F9F9"/>
            <w:tcMar>
              <w:top w:w="225" w:type="dxa"/>
              <w:left w:w="225" w:type="dxa"/>
              <w:bottom w:w="225" w:type="dxa"/>
              <w:right w:w="225" w:type="dxa"/>
            </w:tcMar>
          </w:tcPr>
          <w:p w:rsidR="00DC5E9C" w:rsidRPr="004C4BFD" w:rsidRDefault="00DC5E9C" w:rsidP="0004088D">
            <w:pPr>
              <w:spacing w:after="225" w:line="273" w:lineRule="atLeast"/>
              <w:rPr>
                <w:rFonts w:ascii="Arial" w:hAnsi="Arial" w:cs="Arial"/>
                <w:color w:val="303B44"/>
                <w:sz w:val="20"/>
                <w:szCs w:val="20"/>
              </w:rPr>
            </w:pPr>
            <w:r w:rsidRPr="004C4BFD">
              <w:rPr>
                <w:rFonts w:ascii="Arial" w:hAnsi="Arial" w:cs="Arial"/>
                <w:color w:val="303B44"/>
                <w:sz w:val="20"/>
                <w:szCs w:val="20"/>
              </w:rPr>
              <w:t>Identification of the drivers of business performance</w:t>
            </w:r>
          </w:p>
          <w:p w:rsidR="00DC5E9C" w:rsidRPr="004C4BFD" w:rsidRDefault="00DC5E9C" w:rsidP="0004088D">
            <w:pPr>
              <w:spacing w:after="225" w:line="273" w:lineRule="atLeast"/>
              <w:rPr>
                <w:rFonts w:ascii="Arial" w:hAnsi="Arial" w:cs="Arial"/>
                <w:color w:val="303B44"/>
                <w:sz w:val="20"/>
                <w:szCs w:val="20"/>
              </w:rPr>
            </w:pPr>
            <w:r w:rsidRPr="004C4BFD">
              <w:rPr>
                <w:rFonts w:ascii="Arial" w:hAnsi="Arial" w:cs="Arial"/>
                <w:color w:val="303B44"/>
                <w:sz w:val="20"/>
                <w:szCs w:val="20"/>
              </w:rPr>
              <w:t>Information that will enable better-informed decision-making both internally on the management of people and externally on the progress with regard to strategy</w:t>
            </w:r>
          </w:p>
        </w:tc>
      </w:tr>
    </w:tbl>
    <w:p w:rsidR="00DC5E9C" w:rsidRPr="0004088D" w:rsidRDefault="00DC5E9C" w:rsidP="0004088D">
      <w:pPr>
        <w:pBdr>
          <w:bottom w:val="single" w:sz="36" w:space="5" w:color="DAE6DB"/>
        </w:pBdr>
        <w:shd w:val="clear" w:color="auto" w:fill="FFFFFF"/>
        <w:spacing w:before="150" w:after="225" w:line="273" w:lineRule="atLeast"/>
        <w:outlineLvl w:val="1"/>
        <w:rPr>
          <w:rFonts w:ascii="Arial" w:hAnsi="Arial" w:cs="Arial"/>
          <w:b/>
          <w:bCs/>
          <w:color w:val="303B44"/>
          <w:sz w:val="28"/>
          <w:szCs w:val="28"/>
        </w:rPr>
      </w:pPr>
      <w:r w:rsidRPr="0004088D">
        <w:rPr>
          <w:rFonts w:ascii="Arial" w:hAnsi="Arial" w:cs="Arial"/>
          <w:b/>
          <w:bCs/>
          <w:color w:val="303B44"/>
          <w:sz w:val="28"/>
          <w:szCs w:val="28"/>
        </w:rPr>
        <w:t>Reporting human capital</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t>Different types of information will be of value to different audiences within the business:</w:t>
      </w:r>
    </w:p>
    <w:p w:rsidR="00DC5E9C" w:rsidRPr="0004088D" w:rsidRDefault="00DC5E9C" w:rsidP="0004088D">
      <w:pPr>
        <w:numPr>
          <w:ilvl w:val="0"/>
          <w:numId w:val="6"/>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color w:val="303B44"/>
          <w:sz w:val="20"/>
          <w:szCs w:val="20"/>
        </w:rPr>
        <w:t>Shareholders seek information on the employee attributes or behaviours that are likely to influence short- or long-term financial performance.</w:t>
      </w:r>
    </w:p>
    <w:p w:rsidR="00DC5E9C" w:rsidRPr="0004088D" w:rsidRDefault="00DC5E9C" w:rsidP="0004088D">
      <w:pPr>
        <w:numPr>
          <w:ilvl w:val="0"/>
          <w:numId w:val="6"/>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color w:val="303B44"/>
          <w:sz w:val="20"/>
          <w:szCs w:val="20"/>
        </w:rPr>
        <w:t>Customers wish to know if they will get good service and after sales support.</w:t>
      </w:r>
    </w:p>
    <w:p w:rsidR="00DC5E9C" w:rsidRPr="0004088D" w:rsidRDefault="00DC5E9C" w:rsidP="0004088D">
      <w:pPr>
        <w:numPr>
          <w:ilvl w:val="0"/>
          <w:numId w:val="6"/>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color w:val="303B44"/>
          <w:sz w:val="20"/>
          <w:szCs w:val="20"/>
        </w:rPr>
        <w:t>Employees want to know their jobs are secure and how they can develop themselves and their skills.</w:t>
      </w:r>
    </w:p>
    <w:p w:rsidR="00DC5E9C" w:rsidRPr="0004088D" w:rsidRDefault="00DC5E9C" w:rsidP="0004088D">
      <w:pPr>
        <w:numPr>
          <w:ilvl w:val="0"/>
          <w:numId w:val="6"/>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color w:val="303B44"/>
          <w:sz w:val="20"/>
          <w:szCs w:val="20"/>
        </w:rPr>
        <w:t>Managers require information on which actions they can take to improve the performance of their business units.</w:t>
      </w:r>
    </w:p>
    <w:p w:rsidR="00DC5E9C" w:rsidRPr="0004088D" w:rsidRDefault="00DC5E9C" w:rsidP="0004088D">
      <w:pPr>
        <w:shd w:val="clear" w:color="auto" w:fill="FFFFFF"/>
        <w:spacing w:before="100" w:beforeAutospacing="1" w:after="48" w:line="273" w:lineRule="atLeast"/>
        <w:outlineLvl w:val="2"/>
        <w:rPr>
          <w:rFonts w:ascii="Arial" w:hAnsi="Arial" w:cs="Arial"/>
          <w:b/>
          <w:bCs/>
          <w:color w:val="303B44"/>
          <w:sz w:val="26"/>
          <w:szCs w:val="26"/>
        </w:rPr>
      </w:pPr>
      <w:r w:rsidRPr="0004088D">
        <w:rPr>
          <w:rFonts w:ascii="Arial" w:hAnsi="Arial" w:cs="Arial"/>
          <w:b/>
          <w:bCs/>
          <w:color w:val="303B44"/>
          <w:sz w:val="26"/>
          <w:szCs w:val="26"/>
        </w:rPr>
        <w:t>External reporting</w:t>
      </w:r>
    </w:p>
    <w:p w:rsidR="00DC5E9C" w:rsidRPr="0004088D" w:rsidRDefault="00DC5E9C" w:rsidP="0004088D">
      <w:pPr>
        <w:shd w:val="clear" w:color="auto" w:fill="FFFFFF"/>
        <w:spacing w:before="100" w:beforeAutospacing="1" w:after="48" w:line="273" w:lineRule="atLeast"/>
        <w:outlineLvl w:val="3"/>
        <w:rPr>
          <w:rFonts w:ascii="Arial" w:hAnsi="Arial" w:cs="Arial"/>
          <w:b/>
          <w:bCs/>
          <w:color w:val="303B44"/>
          <w:sz w:val="22"/>
          <w:szCs w:val="22"/>
        </w:rPr>
      </w:pPr>
      <w:r w:rsidRPr="0004088D">
        <w:rPr>
          <w:rFonts w:ascii="Arial" w:hAnsi="Arial" w:cs="Arial"/>
          <w:b/>
          <w:bCs/>
          <w:color w:val="303B44"/>
          <w:sz w:val="22"/>
          <w:szCs w:val="22"/>
        </w:rPr>
        <w:t>Regulatory background</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t>The extent of external reporting on human capital remains limited. There are two main sections where such data may be published within companies’ annual reports:</w:t>
      </w:r>
    </w:p>
    <w:p w:rsidR="00DC5E9C" w:rsidRPr="0004088D" w:rsidRDefault="00DC5E9C" w:rsidP="0004088D">
      <w:pPr>
        <w:numPr>
          <w:ilvl w:val="0"/>
          <w:numId w:val="7"/>
        </w:numPr>
        <w:shd w:val="clear" w:color="auto" w:fill="FFFFFF"/>
        <w:spacing w:after="225" w:line="273" w:lineRule="atLeast"/>
        <w:rPr>
          <w:rFonts w:ascii="Arial" w:hAnsi="Arial" w:cs="Arial"/>
          <w:color w:val="303B44"/>
          <w:sz w:val="20"/>
          <w:szCs w:val="20"/>
        </w:rPr>
      </w:pPr>
      <w:r w:rsidRPr="0004088D">
        <w:rPr>
          <w:rFonts w:ascii="Arial" w:hAnsi="Arial" w:cs="Arial"/>
          <w:b/>
          <w:bCs/>
          <w:color w:val="303B44"/>
          <w:sz w:val="20"/>
          <w:szCs w:val="20"/>
        </w:rPr>
        <w:t>Business review</w:t>
      </w:r>
      <w:r w:rsidRPr="0004088D">
        <w:rPr>
          <w:rFonts w:ascii="Arial" w:hAnsi="Arial" w:cs="Arial"/>
          <w:color w:val="303B44"/>
          <w:sz w:val="20"/>
          <w:szCs w:val="20"/>
        </w:rPr>
        <w:t> - quoted companies are required to include information on employees (as well as other issues) within the business review section of the annual report.</w:t>
      </w:r>
    </w:p>
    <w:p w:rsidR="00DC5E9C" w:rsidRPr="0004088D" w:rsidRDefault="00DC5E9C" w:rsidP="0004088D">
      <w:pPr>
        <w:numPr>
          <w:ilvl w:val="0"/>
          <w:numId w:val="7"/>
        </w:numPr>
        <w:shd w:val="clear" w:color="auto" w:fill="FFFFFF"/>
        <w:spacing w:after="225" w:line="273" w:lineRule="atLeast"/>
        <w:rPr>
          <w:rFonts w:ascii="Arial" w:hAnsi="Arial" w:cs="Arial"/>
          <w:color w:val="303B44"/>
          <w:sz w:val="20"/>
          <w:szCs w:val="20"/>
        </w:rPr>
      </w:pPr>
      <w:r w:rsidRPr="0004088D">
        <w:rPr>
          <w:rFonts w:ascii="Arial" w:hAnsi="Arial" w:cs="Arial"/>
          <w:b/>
          <w:bCs/>
          <w:color w:val="303B44"/>
          <w:sz w:val="20"/>
          <w:szCs w:val="20"/>
        </w:rPr>
        <w:t>Operating and financial review</w:t>
      </w:r>
      <w:r w:rsidRPr="0004088D">
        <w:rPr>
          <w:rFonts w:ascii="Arial" w:hAnsi="Arial" w:cs="Arial"/>
          <w:color w:val="303B44"/>
          <w:sz w:val="20"/>
          <w:szCs w:val="20"/>
        </w:rPr>
        <w:t> - with the growth of interest in the idea of human capital reporting during the early years of this century, culminating in the publication of the Kingsmill report (mentioned above), government proposals were developed to introduce mandatory compliance with best practice principles on narrative reporting in the operating and financial review section of annual reports. However, these plans for compulsion were abandoned in 2005, although some companies follow such principles on a voluntary basis, though only among in a minority of cases, according to the latest analysis of the content of annual reports from Deloitte</w:t>
      </w:r>
      <w:r w:rsidRPr="0004088D">
        <w:rPr>
          <w:rFonts w:ascii="Arial" w:hAnsi="Arial" w:cs="Arial"/>
          <w:color w:val="303B44"/>
          <w:sz w:val="20"/>
          <w:szCs w:val="20"/>
          <w:vertAlign w:val="superscript"/>
        </w:rPr>
        <w:t>2</w:t>
      </w:r>
      <w:r w:rsidRPr="0004088D">
        <w:rPr>
          <w:rFonts w:ascii="Arial" w:hAnsi="Arial" w:cs="Arial"/>
          <w:color w:val="303B44"/>
          <w:sz w:val="20"/>
          <w:szCs w:val="20"/>
        </w:rPr>
        <w:t>.</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t>A detailed consideration of the highly complex regulatory background is beyond the scope of this factsheet. However, recent years have seen a renewed interest in the issue of company reporting as a result of perceived deficiencies in companies’ reporting procedures in the wake of the global financial crisis. More information can be found in our factsheet on corporate governance.</w:t>
      </w:r>
    </w:p>
    <w:p w:rsidR="00DC5E9C" w:rsidRPr="0004088D" w:rsidRDefault="00DC5E9C" w:rsidP="0004088D">
      <w:pPr>
        <w:numPr>
          <w:ilvl w:val="0"/>
          <w:numId w:val="8"/>
        </w:numPr>
        <w:shd w:val="clear" w:color="auto" w:fill="FFFFFF"/>
        <w:spacing w:after="225" w:line="273" w:lineRule="atLeast"/>
        <w:rPr>
          <w:rFonts w:ascii="Arial" w:hAnsi="Arial" w:cs="Arial"/>
          <w:color w:val="303B44"/>
          <w:sz w:val="20"/>
          <w:szCs w:val="20"/>
        </w:rPr>
      </w:pPr>
      <w:hyperlink r:id="rId7" w:tooltip="Corporate governance" w:history="1">
        <w:r w:rsidRPr="0004088D">
          <w:rPr>
            <w:rFonts w:ascii="Arial" w:hAnsi="Arial" w:cs="Arial"/>
            <w:color w:val="1578BE"/>
            <w:sz w:val="20"/>
            <w:szCs w:val="20"/>
            <w:u w:val="single"/>
          </w:rPr>
          <w:t>Go to our corporate governance factsheet</w:t>
        </w:r>
      </w:hyperlink>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t>In 2010, the Department for Business Innovation and Skills launched a consultation on the future of narrative reporting (sometimes known as ‘the front half’ of company reports)</w:t>
      </w:r>
      <w:r w:rsidRPr="0004088D">
        <w:rPr>
          <w:rFonts w:ascii="Arial" w:hAnsi="Arial" w:cs="Arial"/>
          <w:color w:val="303B44"/>
          <w:sz w:val="20"/>
          <w:szCs w:val="20"/>
          <w:vertAlign w:val="superscript"/>
        </w:rPr>
        <w:t>3</w:t>
      </w:r>
      <w:r w:rsidRPr="0004088D">
        <w:rPr>
          <w:rFonts w:ascii="Arial" w:hAnsi="Arial" w:cs="Arial"/>
          <w:color w:val="303B44"/>
          <w:sz w:val="20"/>
          <w:szCs w:val="20"/>
        </w:rPr>
        <w:t>. Information on the CIPD’s position is available in our response to that consultation. As yet no firm proposals or reporting have been forthcoming.</w:t>
      </w:r>
    </w:p>
    <w:p w:rsidR="00DC5E9C" w:rsidRPr="0004088D" w:rsidRDefault="00DC5E9C" w:rsidP="0004088D">
      <w:pPr>
        <w:numPr>
          <w:ilvl w:val="0"/>
          <w:numId w:val="9"/>
        </w:numPr>
        <w:shd w:val="clear" w:color="auto" w:fill="FFFFFF"/>
        <w:spacing w:after="225" w:line="273" w:lineRule="atLeast"/>
        <w:rPr>
          <w:rFonts w:ascii="Arial" w:hAnsi="Arial" w:cs="Arial"/>
          <w:color w:val="303B44"/>
          <w:sz w:val="20"/>
          <w:szCs w:val="20"/>
        </w:rPr>
      </w:pPr>
      <w:hyperlink r:id="rId8" w:tooltip="The future of narrative reporting" w:history="1">
        <w:r w:rsidRPr="0004088D">
          <w:rPr>
            <w:rFonts w:ascii="Arial" w:hAnsi="Arial" w:cs="Arial"/>
            <w:color w:val="1578BE"/>
            <w:sz w:val="20"/>
            <w:szCs w:val="20"/>
            <w:u w:val="single"/>
          </w:rPr>
          <w:t>Visit CIPD response</w:t>
        </w:r>
      </w:hyperlink>
    </w:p>
    <w:p w:rsidR="00DC5E9C" w:rsidRPr="0004088D" w:rsidRDefault="00DC5E9C" w:rsidP="0004088D">
      <w:pPr>
        <w:shd w:val="clear" w:color="auto" w:fill="FFFFFF"/>
        <w:spacing w:before="100" w:beforeAutospacing="1" w:after="48" w:line="273" w:lineRule="atLeast"/>
        <w:outlineLvl w:val="3"/>
        <w:rPr>
          <w:rFonts w:ascii="Arial" w:hAnsi="Arial" w:cs="Arial"/>
          <w:b/>
          <w:bCs/>
          <w:color w:val="303B44"/>
          <w:sz w:val="22"/>
          <w:szCs w:val="22"/>
        </w:rPr>
      </w:pPr>
      <w:r w:rsidRPr="0004088D">
        <w:rPr>
          <w:rFonts w:ascii="Arial" w:hAnsi="Arial" w:cs="Arial"/>
          <w:b/>
          <w:bCs/>
          <w:color w:val="303B44"/>
          <w:sz w:val="22"/>
          <w:szCs w:val="22"/>
        </w:rPr>
        <w:t>Published human capital data</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t>More information on the extent of human capital reporting that is included within annual reports is available in our report </w:t>
      </w:r>
      <w:r w:rsidRPr="0004088D">
        <w:rPr>
          <w:rFonts w:ascii="Arial" w:hAnsi="Arial" w:cs="Arial"/>
          <w:i/>
          <w:iCs/>
          <w:color w:val="303B44"/>
          <w:sz w:val="20"/>
          <w:szCs w:val="20"/>
        </w:rPr>
        <w:t>Human capital management: an analysis of disclosure in UK reports</w:t>
      </w:r>
      <w:r w:rsidRPr="0004088D">
        <w:rPr>
          <w:rFonts w:ascii="Arial" w:hAnsi="Arial" w:cs="Arial"/>
          <w:color w:val="303B44"/>
          <w:sz w:val="20"/>
          <w:szCs w:val="20"/>
        </w:rPr>
        <w:t> setting out an analysis of disclosure levels produced in conjunction with professional accountants’ body ACCA.</w:t>
      </w:r>
    </w:p>
    <w:p w:rsidR="00DC5E9C" w:rsidRPr="0004088D" w:rsidRDefault="00DC5E9C" w:rsidP="0004088D">
      <w:pPr>
        <w:numPr>
          <w:ilvl w:val="0"/>
          <w:numId w:val="10"/>
        </w:numPr>
        <w:shd w:val="clear" w:color="auto" w:fill="FFFFFF"/>
        <w:spacing w:after="225" w:line="273" w:lineRule="atLeast"/>
        <w:rPr>
          <w:rFonts w:ascii="Arial" w:hAnsi="Arial" w:cs="Arial"/>
          <w:color w:val="303B44"/>
          <w:sz w:val="20"/>
          <w:szCs w:val="20"/>
        </w:rPr>
      </w:pPr>
      <w:hyperlink r:id="rId9" w:tooltip="Human capital management: an analysis of disclosure in UK reports" w:history="1">
        <w:r w:rsidRPr="0004088D">
          <w:rPr>
            <w:rFonts w:ascii="Arial" w:hAnsi="Arial" w:cs="Arial"/>
            <w:color w:val="1578BE"/>
            <w:sz w:val="20"/>
            <w:szCs w:val="20"/>
            <w:u w:val="single"/>
          </w:rPr>
          <w:t>Visit the report</w:t>
        </w:r>
      </w:hyperlink>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t>Additionally, our latest research into the ways in which human capital reporting can inform investment decisions  has found that stakeholders would particularly value information that is comparable, explained in context and related to business outcomes, whilst also finding that a focus on risk in human capital reporting would be particularly relevant to the business community.</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t>Find out more in our report </w:t>
      </w:r>
      <w:r w:rsidRPr="0004088D">
        <w:rPr>
          <w:rFonts w:ascii="Arial" w:hAnsi="Arial" w:cs="Arial"/>
          <w:i/>
          <w:iCs/>
          <w:color w:val="303B44"/>
          <w:sz w:val="20"/>
          <w:szCs w:val="20"/>
        </w:rPr>
        <w:t>View from the City: how can human capital reporting inform investment decisions?</w:t>
      </w:r>
    </w:p>
    <w:p w:rsidR="00DC5E9C" w:rsidRPr="0004088D" w:rsidRDefault="00DC5E9C" w:rsidP="0004088D">
      <w:pPr>
        <w:numPr>
          <w:ilvl w:val="0"/>
          <w:numId w:val="11"/>
        </w:numPr>
        <w:shd w:val="clear" w:color="auto" w:fill="FFFFFF"/>
        <w:spacing w:after="225" w:line="273" w:lineRule="atLeast"/>
        <w:rPr>
          <w:rFonts w:ascii="Arial" w:hAnsi="Arial" w:cs="Arial"/>
          <w:color w:val="303B44"/>
          <w:sz w:val="20"/>
          <w:szCs w:val="20"/>
        </w:rPr>
      </w:pPr>
      <w:hyperlink r:id="rId10" w:tooltip="View from the City: how can human capital management and reporting inform investment decisions?" w:history="1">
        <w:r w:rsidRPr="0004088D">
          <w:rPr>
            <w:rFonts w:ascii="Arial" w:hAnsi="Arial" w:cs="Arial"/>
            <w:color w:val="1578BE"/>
            <w:sz w:val="20"/>
            <w:szCs w:val="20"/>
            <w:u w:val="single"/>
          </w:rPr>
          <w:t>Go to the report</w:t>
        </w:r>
      </w:hyperlink>
    </w:p>
    <w:p w:rsidR="00DC5E9C" w:rsidRPr="0004088D" w:rsidRDefault="00DC5E9C" w:rsidP="0004088D">
      <w:pPr>
        <w:shd w:val="clear" w:color="auto" w:fill="FFFFFF"/>
        <w:spacing w:before="100" w:beforeAutospacing="1" w:after="48" w:line="273" w:lineRule="atLeast"/>
        <w:outlineLvl w:val="2"/>
        <w:rPr>
          <w:rFonts w:ascii="Arial" w:hAnsi="Arial" w:cs="Arial"/>
          <w:b/>
          <w:bCs/>
          <w:color w:val="303B44"/>
          <w:sz w:val="26"/>
          <w:szCs w:val="26"/>
        </w:rPr>
      </w:pPr>
      <w:r w:rsidRPr="0004088D">
        <w:rPr>
          <w:rFonts w:ascii="Arial" w:hAnsi="Arial" w:cs="Arial"/>
          <w:b/>
          <w:bCs/>
          <w:color w:val="303B44"/>
          <w:sz w:val="26"/>
          <w:szCs w:val="26"/>
        </w:rPr>
        <w:t>Internal reporting</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br/>
        <w:t>Internal reporting is far more prevalent than external reporting, as this is important in the evaluation of the effectiveness of HR interventions and guiding future HR strategy, while also protecting business confidentiality where desired. It takes a number of forms. </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t>Generally any human capital data reported internally should be:</w:t>
      </w:r>
    </w:p>
    <w:p w:rsidR="00DC5E9C" w:rsidRPr="0004088D" w:rsidRDefault="00DC5E9C" w:rsidP="0004088D">
      <w:pPr>
        <w:numPr>
          <w:ilvl w:val="0"/>
          <w:numId w:val="12"/>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color w:val="303B44"/>
          <w:sz w:val="20"/>
          <w:szCs w:val="20"/>
        </w:rPr>
        <w:t>reliable and open to scrutiny</w:t>
      </w:r>
    </w:p>
    <w:p w:rsidR="00DC5E9C" w:rsidRPr="0004088D" w:rsidRDefault="00DC5E9C" w:rsidP="0004088D">
      <w:pPr>
        <w:numPr>
          <w:ilvl w:val="0"/>
          <w:numId w:val="12"/>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color w:val="303B44"/>
          <w:sz w:val="20"/>
          <w:szCs w:val="20"/>
        </w:rPr>
        <w:t>accompanied by adequate explanation</w:t>
      </w:r>
    </w:p>
    <w:p w:rsidR="00DC5E9C" w:rsidRPr="0004088D" w:rsidRDefault="00DC5E9C" w:rsidP="0004088D">
      <w:pPr>
        <w:numPr>
          <w:ilvl w:val="0"/>
          <w:numId w:val="12"/>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color w:val="303B44"/>
          <w:sz w:val="20"/>
          <w:szCs w:val="20"/>
        </w:rPr>
        <w:t>presented in a manner that is easily understandable for the audience</w:t>
      </w:r>
    </w:p>
    <w:p w:rsidR="00DC5E9C" w:rsidRPr="0004088D" w:rsidRDefault="00DC5E9C" w:rsidP="0004088D">
      <w:pPr>
        <w:numPr>
          <w:ilvl w:val="0"/>
          <w:numId w:val="12"/>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color w:val="303B44"/>
          <w:sz w:val="20"/>
          <w:szCs w:val="20"/>
        </w:rPr>
        <w:t>related to business needs</w:t>
      </w:r>
    </w:p>
    <w:p w:rsidR="00DC5E9C" w:rsidRPr="0004088D" w:rsidRDefault="00DC5E9C" w:rsidP="0004088D">
      <w:pPr>
        <w:numPr>
          <w:ilvl w:val="0"/>
          <w:numId w:val="12"/>
        </w:numPr>
        <w:shd w:val="clear" w:color="auto" w:fill="FFFFFF"/>
        <w:spacing w:before="100" w:beforeAutospacing="1" w:after="120" w:line="273" w:lineRule="atLeast"/>
        <w:rPr>
          <w:rFonts w:ascii="Arial" w:hAnsi="Arial" w:cs="Arial"/>
          <w:color w:val="303B44"/>
          <w:sz w:val="20"/>
          <w:szCs w:val="20"/>
        </w:rPr>
      </w:pPr>
      <w:r w:rsidRPr="0004088D">
        <w:rPr>
          <w:rFonts w:ascii="Arial" w:hAnsi="Arial" w:cs="Arial"/>
          <w:color w:val="303B44"/>
          <w:sz w:val="20"/>
          <w:szCs w:val="20"/>
        </w:rPr>
        <w:t>enable managers to identify appropriate actions that will improve business performance.</w:t>
      </w:r>
    </w:p>
    <w:p w:rsidR="00DC5E9C" w:rsidRPr="0004088D" w:rsidRDefault="00DC5E9C" w:rsidP="0004088D">
      <w:pPr>
        <w:shd w:val="clear" w:color="auto" w:fill="FFFFFF"/>
        <w:spacing w:before="100" w:beforeAutospacing="1" w:after="48" w:line="273" w:lineRule="atLeast"/>
        <w:outlineLvl w:val="2"/>
        <w:rPr>
          <w:rFonts w:ascii="Arial" w:hAnsi="Arial" w:cs="Arial"/>
          <w:b/>
          <w:bCs/>
          <w:color w:val="303B44"/>
          <w:sz w:val="26"/>
          <w:szCs w:val="26"/>
        </w:rPr>
      </w:pPr>
      <w:r w:rsidRPr="0004088D">
        <w:rPr>
          <w:rFonts w:ascii="Arial" w:hAnsi="Arial" w:cs="Arial"/>
          <w:b/>
          <w:bCs/>
          <w:color w:val="303B44"/>
          <w:sz w:val="26"/>
          <w:szCs w:val="26"/>
        </w:rPr>
        <w:t>Identifying business drivers</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br/>
        <w:t>Because the evaluation of human capital is context-dependent, the key to identifying business drivers lies in developing a better understanding of the people element of the business and what policies and practices to manage teams or individuals are likely to achieve results.</w:t>
      </w:r>
    </w:p>
    <w:p w:rsidR="00DC5E9C" w:rsidRPr="0004088D" w:rsidRDefault="00DC5E9C" w:rsidP="0004088D">
      <w:pPr>
        <w:shd w:val="clear" w:color="auto" w:fill="FFFFFF"/>
        <w:spacing w:after="225" w:line="273" w:lineRule="atLeast"/>
        <w:rPr>
          <w:rFonts w:ascii="Arial" w:hAnsi="Arial" w:cs="Arial"/>
          <w:color w:val="303B44"/>
          <w:sz w:val="20"/>
          <w:szCs w:val="20"/>
        </w:rPr>
      </w:pPr>
      <w:r w:rsidRPr="0004088D">
        <w:rPr>
          <w:rFonts w:ascii="Arial" w:hAnsi="Arial" w:cs="Arial"/>
          <w:color w:val="303B44"/>
          <w:sz w:val="20"/>
          <w:szCs w:val="20"/>
        </w:rPr>
        <w:t>There are a number of good examples of organisations that have successfully correlated human capital data with performance data to identify which interventions are likely to produce results.  Many of these are reported in our guide on internal human capital reporting </w:t>
      </w:r>
      <w:r w:rsidRPr="0004088D">
        <w:rPr>
          <w:rFonts w:ascii="Arial" w:hAnsi="Arial" w:cs="Arial"/>
          <w:i/>
          <w:iCs/>
          <w:color w:val="303B44"/>
          <w:sz w:val="20"/>
          <w:szCs w:val="20"/>
        </w:rPr>
        <w:t>Human capital reporting: an internal perspective</w:t>
      </w:r>
      <w:r w:rsidRPr="0004088D">
        <w:rPr>
          <w:rFonts w:ascii="Arial" w:hAnsi="Arial" w:cs="Arial"/>
          <w:color w:val="303B44"/>
          <w:sz w:val="20"/>
          <w:szCs w:val="20"/>
        </w:rPr>
        <w:t>.</w:t>
      </w:r>
    </w:p>
    <w:p w:rsidR="00DC5E9C" w:rsidRPr="0004088D" w:rsidRDefault="00DC5E9C" w:rsidP="0004088D">
      <w:pPr>
        <w:numPr>
          <w:ilvl w:val="0"/>
          <w:numId w:val="13"/>
        </w:numPr>
        <w:shd w:val="clear" w:color="auto" w:fill="FFFFFF"/>
        <w:spacing w:after="225" w:line="273" w:lineRule="atLeast"/>
        <w:rPr>
          <w:rFonts w:ascii="Arial" w:hAnsi="Arial" w:cs="Arial"/>
          <w:color w:val="303B44"/>
          <w:sz w:val="20"/>
          <w:szCs w:val="20"/>
        </w:rPr>
      </w:pPr>
      <w:hyperlink r:id="rId11" w:tooltip="Human capital reporting: an internal perspective" w:history="1">
        <w:r w:rsidRPr="0004088D">
          <w:rPr>
            <w:rFonts w:ascii="Arial" w:hAnsi="Arial" w:cs="Arial"/>
            <w:color w:val="1578BE"/>
            <w:sz w:val="20"/>
            <w:szCs w:val="20"/>
            <w:u w:val="single"/>
          </w:rPr>
          <w:t>Go to our guide</w:t>
        </w:r>
      </w:hyperlink>
    </w:p>
    <w:p w:rsidR="00DC5E9C" w:rsidRPr="0004088D" w:rsidRDefault="00DC5E9C" w:rsidP="0004088D">
      <w:pPr>
        <w:pBdr>
          <w:bottom w:val="single" w:sz="36" w:space="5" w:color="DAE6DB"/>
        </w:pBdr>
        <w:shd w:val="clear" w:color="auto" w:fill="FFFFFF"/>
        <w:spacing w:before="150" w:after="225" w:line="273" w:lineRule="atLeast"/>
        <w:outlineLvl w:val="1"/>
        <w:rPr>
          <w:rFonts w:ascii="Arial" w:hAnsi="Arial" w:cs="Arial"/>
          <w:b/>
          <w:bCs/>
          <w:color w:val="303B44"/>
          <w:sz w:val="28"/>
          <w:szCs w:val="28"/>
        </w:rPr>
      </w:pPr>
      <w:r w:rsidRPr="0004088D">
        <w:rPr>
          <w:rFonts w:ascii="Arial" w:hAnsi="Arial" w:cs="Arial"/>
          <w:b/>
          <w:bCs/>
          <w:color w:val="303B44"/>
          <w:sz w:val="28"/>
          <w:szCs w:val="28"/>
        </w:rPr>
        <w:t>CIPD viewpoint</w:t>
      </w:r>
    </w:p>
    <w:p w:rsidR="00DC5E9C" w:rsidRPr="0004088D" w:rsidRDefault="00DC5E9C" w:rsidP="0004088D">
      <w:pPr>
        <w:spacing w:after="225"/>
        <w:rPr>
          <w:rFonts w:ascii="Times" w:hAnsi="Times"/>
          <w:sz w:val="20"/>
          <w:szCs w:val="20"/>
        </w:rPr>
      </w:pPr>
      <w:r w:rsidRPr="0004088D">
        <w:rPr>
          <w:rFonts w:ascii="Times" w:hAnsi="Times"/>
          <w:sz w:val="20"/>
          <w:szCs w:val="20"/>
        </w:rPr>
        <w:t>There is a great deal of evidence that the contribution of people is the largest driver of organisational performance. Systematically collecting, analysing and communicating information on the value of this contribution is vital and will assist in the design and implementation of HR policies and practices to maximise the impact on business performance. However, all our research to date indicates that the evaluation of human capital is highly contextual and therefore no single measure or set of measures can adequately convey its value. Organisations need to decide which measures are relevant to them and will give them to information they need to effectively communicate the value and contribution of human capital both internally and externally. They will then need to interpret these measure in context to inform their relevance to key business performance indicators.</w:t>
      </w:r>
    </w:p>
    <w:p w:rsidR="00DC5E9C" w:rsidRPr="0004088D" w:rsidRDefault="00DC5E9C" w:rsidP="0004088D">
      <w:pPr>
        <w:pBdr>
          <w:bottom w:val="single" w:sz="36" w:space="5" w:color="DAE6DB"/>
        </w:pBdr>
        <w:shd w:val="clear" w:color="auto" w:fill="FFFFFF"/>
        <w:spacing w:before="150" w:after="225" w:line="273" w:lineRule="atLeast"/>
        <w:outlineLvl w:val="1"/>
        <w:rPr>
          <w:rFonts w:ascii="Arial" w:hAnsi="Arial" w:cs="Arial"/>
          <w:b/>
          <w:bCs/>
          <w:color w:val="303B44"/>
          <w:sz w:val="28"/>
          <w:szCs w:val="28"/>
        </w:rPr>
      </w:pPr>
      <w:r w:rsidRPr="0004088D">
        <w:rPr>
          <w:rFonts w:ascii="Arial" w:hAnsi="Arial" w:cs="Arial"/>
          <w:b/>
          <w:bCs/>
          <w:color w:val="303B44"/>
          <w:sz w:val="28"/>
          <w:szCs w:val="28"/>
        </w:rPr>
        <w:t>References</w:t>
      </w:r>
    </w:p>
    <w:p w:rsidR="00DC5E9C" w:rsidRPr="0004088D" w:rsidRDefault="00DC5E9C" w:rsidP="0004088D">
      <w:pPr>
        <w:numPr>
          <w:ilvl w:val="0"/>
          <w:numId w:val="14"/>
        </w:numPr>
        <w:spacing w:after="225"/>
        <w:rPr>
          <w:rFonts w:ascii="Times" w:hAnsi="Times"/>
          <w:sz w:val="20"/>
          <w:szCs w:val="20"/>
        </w:rPr>
      </w:pPr>
      <w:r w:rsidRPr="0004088D">
        <w:rPr>
          <w:rFonts w:ascii="Times" w:hAnsi="Times"/>
          <w:sz w:val="20"/>
          <w:szCs w:val="20"/>
        </w:rPr>
        <w:t>KINGSMILL, D. (2003) </w:t>
      </w:r>
      <w:r w:rsidRPr="0004088D">
        <w:rPr>
          <w:rFonts w:ascii="Times" w:hAnsi="Times"/>
          <w:i/>
          <w:iCs/>
          <w:sz w:val="20"/>
          <w:szCs w:val="20"/>
        </w:rPr>
        <w:t>Accounting for people: report</w:t>
      </w:r>
      <w:r w:rsidRPr="0004088D">
        <w:rPr>
          <w:rFonts w:ascii="Times" w:hAnsi="Times"/>
          <w:sz w:val="20"/>
          <w:szCs w:val="20"/>
        </w:rPr>
        <w:t>. London: Task Force on Human Capital Management.</w:t>
      </w:r>
    </w:p>
    <w:p w:rsidR="00DC5E9C" w:rsidRPr="0004088D" w:rsidRDefault="00DC5E9C" w:rsidP="0004088D">
      <w:pPr>
        <w:numPr>
          <w:ilvl w:val="0"/>
          <w:numId w:val="14"/>
        </w:numPr>
        <w:spacing w:after="225"/>
        <w:rPr>
          <w:rFonts w:ascii="Times" w:hAnsi="Times"/>
          <w:sz w:val="20"/>
          <w:szCs w:val="20"/>
        </w:rPr>
      </w:pPr>
      <w:r w:rsidRPr="0004088D">
        <w:rPr>
          <w:rFonts w:ascii="Times" w:hAnsi="Times"/>
          <w:sz w:val="20"/>
          <w:szCs w:val="20"/>
        </w:rPr>
        <w:t>DELOITTE. (2010) </w:t>
      </w:r>
      <w:r w:rsidRPr="0004088D">
        <w:rPr>
          <w:rFonts w:ascii="Times" w:hAnsi="Times"/>
          <w:i/>
          <w:iCs/>
          <w:sz w:val="20"/>
          <w:szCs w:val="20"/>
        </w:rPr>
        <w:t>Swimming in words – surveying narrative reporting in annual reports</w:t>
      </w:r>
      <w:r w:rsidRPr="0004088D">
        <w:rPr>
          <w:rFonts w:ascii="Times" w:hAnsi="Times"/>
          <w:sz w:val="20"/>
          <w:szCs w:val="20"/>
        </w:rPr>
        <w:t>. London: Deloitte. Available at: </w:t>
      </w:r>
      <w:hyperlink r:id="rId12" w:history="1">
        <w:r w:rsidRPr="0004088D">
          <w:rPr>
            <w:rFonts w:ascii="Times" w:hAnsi="Times"/>
            <w:color w:val="1578BE"/>
            <w:sz w:val="20"/>
            <w:szCs w:val="20"/>
            <w:u w:val="single"/>
          </w:rPr>
          <w:t>http://www.deloitte.com/view/en_GB/uk/news/news-releases/3f68dca8434cb210VgnVCM3000001c56f00aRCRD.htm</w:t>
        </w:r>
      </w:hyperlink>
    </w:p>
    <w:p w:rsidR="00DC5E9C" w:rsidRPr="0004088D" w:rsidRDefault="00DC5E9C" w:rsidP="0004088D">
      <w:pPr>
        <w:numPr>
          <w:ilvl w:val="0"/>
          <w:numId w:val="14"/>
        </w:numPr>
        <w:spacing w:after="225"/>
        <w:rPr>
          <w:rFonts w:ascii="Times" w:hAnsi="Times"/>
          <w:sz w:val="20"/>
          <w:szCs w:val="20"/>
        </w:rPr>
      </w:pPr>
      <w:r w:rsidRPr="0004088D">
        <w:rPr>
          <w:rFonts w:ascii="Times" w:hAnsi="Times"/>
          <w:sz w:val="20"/>
          <w:szCs w:val="20"/>
        </w:rPr>
        <w:t>DEPARTMENT FOR BUSSINESS INNOVATION AND SKILLS. (2010) </w:t>
      </w:r>
      <w:r w:rsidRPr="0004088D">
        <w:rPr>
          <w:rFonts w:ascii="Times" w:hAnsi="Times"/>
          <w:i/>
          <w:iCs/>
          <w:sz w:val="20"/>
          <w:szCs w:val="20"/>
        </w:rPr>
        <w:t>The future of narrative reporting: a consultation.</w:t>
      </w:r>
      <w:r w:rsidRPr="0004088D">
        <w:rPr>
          <w:rFonts w:ascii="Times" w:hAnsi="Times"/>
          <w:sz w:val="20"/>
          <w:szCs w:val="20"/>
        </w:rPr>
        <w:t> London: BIS. Available at: </w:t>
      </w:r>
      <w:hyperlink r:id="rId13" w:history="1">
        <w:r w:rsidRPr="0004088D">
          <w:rPr>
            <w:rFonts w:ascii="Times" w:hAnsi="Times"/>
            <w:color w:val="1578BE"/>
            <w:sz w:val="20"/>
            <w:szCs w:val="20"/>
            <w:u w:val="single"/>
          </w:rPr>
          <w:t>http://www.bis.gov.uk/assets/biscore/business-law/docs/n/10-1057-future-narrative-reporting-consultation</w:t>
        </w:r>
      </w:hyperlink>
      <w:r w:rsidRPr="0004088D">
        <w:rPr>
          <w:rFonts w:ascii="Times" w:hAnsi="Times"/>
          <w:sz w:val="20"/>
          <w:szCs w:val="20"/>
        </w:rPr>
        <w:t> </w:t>
      </w:r>
    </w:p>
    <w:p w:rsidR="00DC5E9C" w:rsidRPr="0004088D" w:rsidRDefault="00DC5E9C" w:rsidP="0004088D">
      <w:pPr>
        <w:shd w:val="clear" w:color="auto" w:fill="DAE6DB"/>
        <w:spacing w:before="450" w:after="100" w:afterAutospacing="1" w:line="273" w:lineRule="atLeast"/>
        <w:outlineLvl w:val="1"/>
        <w:rPr>
          <w:rFonts w:ascii="Arial" w:hAnsi="Arial" w:cs="Arial"/>
          <w:b/>
          <w:bCs/>
          <w:color w:val="303B44"/>
          <w:sz w:val="28"/>
          <w:szCs w:val="28"/>
        </w:rPr>
      </w:pPr>
      <w:r w:rsidRPr="0004088D">
        <w:rPr>
          <w:rFonts w:ascii="Arial" w:hAnsi="Arial" w:cs="Arial"/>
          <w:b/>
          <w:bCs/>
          <w:color w:val="303B44"/>
          <w:sz w:val="28"/>
          <w:szCs w:val="28"/>
        </w:rPr>
        <w:t>Further reading</w:t>
      </w:r>
    </w:p>
    <w:p w:rsidR="00DC5E9C" w:rsidRPr="0004088D" w:rsidRDefault="00DC5E9C" w:rsidP="0004088D">
      <w:pPr>
        <w:shd w:val="clear" w:color="auto" w:fill="FFFFFF"/>
        <w:spacing w:before="100" w:beforeAutospacing="1" w:after="48" w:line="273" w:lineRule="atLeast"/>
        <w:outlineLvl w:val="2"/>
        <w:rPr>
          <w:rFonts w:ascii="Arial" w:hAnsi="Arial" w:cs="Arial"/>
          <w:b/>
          <w:bCs/>
          <w:color w:val="303B44"/>
          <w:sz w:val="26"/>
          <w:szCs w:val="26"/>
        </w:rPr>
      </w:pPr>
      <w:r w:rsidRPr="0004088D">
        <w:rPr>
          <w:rFonts w:ascii="Arial" w:hAnsi="Arial" w:cs="Arial"/>
          <w:b/>
          <w:bCs/>
          <w:color w:val="303B44"/>
          <w:sz w:val="26"/>
          <w:szCs w:val="26"/>
        </w:rPr>
        <w:t>Books and reports</w:t>
      </w:r>
    </w:p>
    <w:p w:rsidR="00DC5E9C" w:rsidRPr="0004088D" w:rsidRDefault="00DC5E9C" w:rsidP="0004088D">
      <w:pPr>
        <w:spacing w:after="225"/>
        <w:rPr>
          <w:rFonts w:ascii="Times" w:hAnsi="Times"/>
          <w:sz w:val="20"/>
          <w:szCs w:val="20"/>
        </w:rPr>
      </w:pPr>
      <w:r w:rsidRPr="0004088D">
        <w:rPr>
          <w:rFonts w:ascii="Times" w:hAnsi="Times"/>
          <w:sz w:val="20"/>
          <w:szCs w:val="20"/>
        </w:rPr>
        <w:br/>
        <w:t>ACCENTURE. (2010) </w:t>
      </w:r>
      <w:r w:rsidRPr="0004088D">
        <w:rPr>
          <w:rFonts w:ascii="Times" w:hAnsi="Times"/>
          <w:i/>
          <w:iCs/>
          <w:sz w:val="20"/>
          <w:szCs w:val="20"/>
        </w:rPr>
        <w:t>The new generation of human capital analytics</w:t>
      </w:r>
      <w:r w:rsidRPr="0004088D">
        <w:rPr>
          <w:rFonts w:ascii="Times" w:hAnsi="Times"/>
          <w:sz w:val="20"/>
          <w:szCs w:val="20"/>
        </w:rPr>
        <w:t>. Boston, MA: Accenture. 10pp. Available at:   </w:t>
      </w:r>
      <w:r w:rsidRPr="0004088D">
        <w:rPr>
          <w:rFonts w:ascii="Times" w:hAnsi="Times"/>
          <w:sz w:val="20"/>
          <w:szCs w:val="20"/>
        </w:rPr>
        <w:br/>
      </w:r>
      <w:hyperlink r:id="rId14" w:history="1">
        <w:r w:rsidRPr="0004088D">
          <w:rPr>
            <w:rFonts w:ascii="Times" w:hAnsi="Times"/>
            <w:color w:val="1578BE"/>
            <w:sz w:val="20"/>
            <w:szCs w:val="20"/>
            <w:u w:val="single"/>
          </w:rPr>
          <w:t>http://www.accenture.com/us-en/Pages/insight-new-generation-human-capital-analytics-summary.asp</w:t>
        </w:r>
      </w:hyperlink>
      <w:r w:rsidRPr="0004088D">
        <w:rPr>
          <w:rFonts w:ascii="Times" w:hAnsi="Times"/>
          <w:sz w:val="20"/>
          <w:szCs w:val="20"/>
        </w:rPr>
        <w:t>  </w:t>
      </w:r>
      <w:r w:rsidRPr="0004088D">
        <w:rPr>
          <w:rFonts w:ascii="Times" w:hAnsi="Times"/>
          <w:sz w:val="20"/>
          <w:szCs w:val="20"/>
        </w:rPr>
        <w:br/>
      </w:r>
      <w:r w:rsidRPr="0004088D">
        <w:rPr>
          <w:rFonts w:ascii="Times" w:hAnsi="Times"/>
          <w:sz w:val="20"/>
          <w:szCs w:val="20"/>
        </w:rPr>
        <w:br/>
        <w:t>BARON, A. and ARMSTRONG, M. (2007) </w:t>
      </w:r>
      <w:r w:rsidRPr="0004088D">
        <w:rPr>
          <w:rFonts w:ascii="Times" w:hAnsi="Times"/>
          <w:i/>
          <w:iCs/>
          <w:sz w:val="20"/>
          <w:szCs w:val="20"/>
        </w:rPr>
        <w:t>Human capital management: achieving added value through people.</w:t>
      </w:r>
      <w:r w:rsidRPr="0004088D">
        <w:rPr>
          <w:rFonts w:ascii="Times" w:hAnsi="Times"/>
          <w:sz w:val="20"/>
          <w:szCs w:val="20"/>
        </w:rPr>
        <w:t> London: Kogan Page. </w:t>
      </w:r>
      <w:r w:rsidRPr="0004088D">
        <w:rPr>
          <w:rFonts w:ascii="Times" w:hAnsi="Times"/>
          <w:sz w:val="20"/>
          <w:szCs w:val="20"/>
        </w:rPr>
        <w:br/>
      </w:r>
      <w:r w:rsidRPr="0004088D">
        <w:rPr>
          <w:rFonts w:ascii="Times" w:hAnsi="Times"/>
          <w:sz w:val="20"/>
          <w:szCs w:val="20"/>
        </w:rPr>
        <w:br/>
        <w:t>KEARNS, P. et al. (2006) </w:t>
      </w:r>
      <w:hyperlink r:id="rId15" w:history="1">
        <w:r w:rsidRPr="0004088D">
          <w:rPr>
            <w:rFonts w:ascii="Times" w:hAnsi="Times"/>
            <w:i/>
            <w:iCs/>
            <w:color w:val="1578BE"/>
            <w:sz w:val="20"/>
            <w:szCs w:val="20"/>
          </w:rPr>
          <w:t>What's the future for human capital?</w:t>
        </w:r>
      </w:hyperlink>
      <w:r w:rsidRPr="0004088D">
        <w:rPr>
          <w:rFonts w:ascii="Times" w:hAnsi="Times"/>
          <w:sz w:val="20"/>
          <w:szCs w:val="20"/>
        </w:rPr>
        <w:t> Executive briefing. London: Chartered Institute of Personnel and Development. </w:t>
      </w:r>
      <w:r w:rsidRPr="0004088D">
        <w:rPr>
          <w:rFonts w:ascii="Times" w:hAnsi="Times"/>
          <w:sz w:val="20"/>
          <w:szCs w:val="20"/>
        </w:rPr>
        <w:br/>
      </w:r>
      <w:r w:rsidRPr="0004088D">
        <w:rPr>
          <w:rFonts w:ascii="Times" w:hAnsi="Times"/>
          <w:sz w:val="20"/>
          <w:szCs w:val="20"/>
        </w:rPr>
        <w:br/>
        <w:t>Visit the </w:t>
      </w:r>
      <w:hyperlink r:id="rId16" w:history="1">
        <w:r w:rsidRPr="0004088D">
          <w:rPr>
            <w:rFonts w:ascii="Times" w:hAnsi="Times"/>
            <w:color w:val="1578BE"/>
            <w:sz w:val="20"/>
            <w:szCs w:val="20"/>
            <w:u w:val="single"/>
          </w:rPr>
          <w:t>CIPD Store</w:t>
        </w:r>
      </w:hyperlink>
      <w:r w:rsidRPr="0004088D">
        <w:rPr>
          <w:rFonts w:ascii="Times" w:hAnsi="Times"/>
          <w:sz w:val="20"/>
          <w:szCs w:val="20"/>
        </w:rPr>
        <w:t> to see all our priced publications currently in print.</w:t>
      </w:r>
    </w:p>
    <w:p w:rsidR="00DC5E9C" w:rsidRPr="0004088D" w:rsidRDefault="00DC5E9C" w:rsidP="0004088D">
      <w:pPr>
        <w:shd w:val="clear" w:color="auto" w:fill="FFFFFF"/>
        <w:spacing w:before="100" w:beforeAutospacing="1" w:after="48" w:line="273" w:lineRule="atLeast"/>
        <w:outlineLvl w:val="2"/>
        <w:rPr>
          <w:rFonts w:ascii="Arial" w:hAnsi="Arial" w:cs="Arial"/>
          <w:b/>
          <w:bCs/>
          <w:color w:val="303B44"/>
          <w:sz w:val="26"/>
          <w:szCs w:val="26"/>
        </w:rPr>
      </w:pPr>
      <w:r w:rsidRPr="0004088D">
        <w:rPr>
          <w:rFonts w:ascii="Arial" w:hAnsi="Arial" w:cs="Arial"/>
          <w:b/>
          <w:bCs/>
          <w:color w:val="303B44"/>
          <w:sz w:val="26"/>
          <w:szCs w:val="26"/>
        </w:rPr>
        <w:t>Journal articles</w:t>
      </w:r>
    </w:p>
    <w:p w:rsidR="00DC5E9C" w:rsidRPr="0004088D" w:rsidRDefault="00DC5E9C" w:rsidP="0004088D">
      <w:pPr>
        <w:spacing w:after="225"/>
        <w:rPr>
          <w:rFonts w:ascii="Times" w:hAnsi="Times"/>
          <w:sz w:val="20"/>
          <w:szCs w:val="20"/>
        </w:rPr>
      </w:pPr>
      <w:r w:rsidRPr="0004088D">
        <w:rPr>
          <w:rFonts w:ascii="Times" w:hAnsi="Times"/>
          <w:sz w:val="20"/>
          <w:szCs w:val="20"/>
        </w:rPr>
        <w:br/>
        <w:t>BARBER, F. and STRACK, R. (2005) The surprising economics of a people business. </w:t>
      </w:r>
      <w:r w:rsidRPr="0004088D">
        <w:rPr>
          <w:rFonts w:ascii="Times" w:hAnsi="Times"/>
          <w:i/>
          <w:iCs/>
          <w:sz w:val="20"/>
          <w:szCs w:val="20"/>
        </w:rPr>
        <w:t>Harvard Business Review</w:t>
      </w:r>
      <w:r w:rsidRPr="0004088D">
        <w:rPr>
          <w:rFonts w:ascii="Times" w:hAnsi="Times"/>
          <w:sz w:val="20"/>
          <w:szCs w:val="20"/>
        </w:rPr>
        <w:t>. Vol 83, No 6, June. pp81-90.</w:t>
      </w:r>
    </w:p>
    <w:p w:rsidR="00DC5E9C" w:rsidRPr="0004088D" w:rsidRDefault="00DC5E9C" w:rsidP="0004088D">
      <w:pPr>
        <w:spacing w:after="225"/>
        <w:rPr>
          <w:rFonts w:ascii="Times" w:hAnsi="Times"/>
          <w:sz w:val="20"/>
          <w:szCs w:val="20"/>
        </w:rPr>
      </w:pPr>
      <w:r w:rsidRPr="0004088D">
        <w:rPr>
          <w:rFonts w:ascii="Times" w:hAnsi="Times"/>
          <w:sz w:val="20"/>
          <w:szCs w:val="20"/>
        </w:rPr>
        <w:t>BARON, A. (2011) Measuring human capital. </w:t>
      </w:r>
      <w:r w:rsidRPr="0004088D">
        <w:rPr>
          <w:rFonts w:ascii="Times" w:hAnsi="Times"/>
          <w:i/>
          <w:iCs/>
          <w:sz w:val="20"/>
          <w:szCs w:val="20"/>
        </w:rPr>
        <w:t>Strategic HR Review</w:t>
      </w:r>
      <w:r w:rsidRPr="0004088D">
        <w:rPr>
          <w:rFonts w:ascii="Times" w:hAnsi="Times"/>
          <w:sz w:val="20"/>
          <w:szCs w:val="20"/>
        </w:rPr>
        <w:t>. Vol 10, No 2. pp30-35.</w:t>
      </w:r>
    </w:p>
    <w:p w:rsidR="00DC5E9C" w:rsidRPr="0004088D" w:rsidRDefault="00DC5E9C" w:rsidP="0004088D">
      <w:pPr>
        <w:spacing w:after="225"/>
        <w:rPr>
          <w:rFonts w:ascii="Times" w:hAnsi="Times"/>
          <w:sz w:val="20"/>
          <w:szCs w:val="20"/>
        </w:rPr>
      </w:pPr>
      <w:r w:rsidRPr="0004088D">
        <w:rPr>
          <w:rFonts w:ascii="Times" w:hAnsi="Times"/>
          <w:sz w:val="20"/>
          <w:szCs w:val="20"/>
        </w:rPr>
        <w:t>LAWLER, E.E. (2009) Make human capital a source of competitive advantage. </w:t>
      </w:r>
      <w:r w:rsidRPr="0004088D">
        <w:rPr>
          <w:rFonts w:ascii="Times" w:hAnsi="Times"/>
          <w:i/>
          <w:iCs/>
          <w:sz w:val="20"/>
          <w:szCs w:val="20"/>
        </w:rPr>
        <w:t>Organizational Dynamics</w:t>
      </w:r>
      <w:r w:rsidRPr="0004088D">
        <w:rPr>
          <w:rFonts w:ascii="Times" w:hAnsi="Times"/>
          <w:sz w:val="20"/>
          <w:szCs w:val="20"/>
        </w:rPr>
        <w:t>. Vol 38, No 1, January-March. pp1-7.</w:t>
      </w:r>
    </w:p>
    <w:p w:rsidR="00DC5E9C" w:rsidRPr="0004088D" w:rsidRDefault="00DC5E9C" w:rsidP="0004088D">
      <w:pPr>
        <w:spacing w:after="225"/>
        <w:rPr>
          <w:rFonts w:ascii="Times" w:hAnsi="Times"/>
          <w:sz w:val="20"/>
          <w:szCs w:val="20"/>
        </w:rPr>
      </w:pPr>
      <w:r w:rsidRPr="0004088D">
        <w:rPr>
          <w:rFonts w:ascii="Times" w:hAnsi="Times"/>
          <w:sz w:val="20"/>
          <w:szCs w:val="20"/>
        </w:rPr>
        <w:t>WRIGHT, P.M. and MCMAHAN, G.C. (2011) Exploring human capital: putting human back into strategic human resource management. </w:t>
      </w:r>
      <w:r w:rsidRPr="0004088D">
        <w:rPr>
          <w:rFonts w:ascii="Times" w:hAnsi="Times"/>
          <w:i/>
          <w:iCs/>
          <w:sz w:val="20"/>
          <w:szCs w:val="20"/>
        </w:rPr>
        <w:t>Human Resource Management Journal</w:t>
      </w:r>
      <w:r w:rsidRPr="0004088D">
        <w:rPr>
          <w:rFonts w:ascii="Times" w:hAnsi="Times"/>
          <w:sz w:val="20"/>
          <w:szCs w:val="20"/>
        </w:rPr>
        <w:t>. Vol 21, No 2. April. pp93-104. </w:t>
      </w:r>
    </w:p>
    <w:p w:rsidR="00DC5E9C" w:rsidRPr="0004088D" w:rsidRDefault="00DC5E9C" w:rsidP="0004088D">
      <w:pPr>
        <w:spacing w:after="225"/>
        <w:rPr>
          <w:rFonts w:ascii="Times" w:hAnsi="Times"/>
          <w:sz w:val="20"/>
          <w:szCs w:val="20"/>
        </w:rPr>
      </w:pPr>
      <w:r w:rsidRPr="0004088D">
        <w:rPr>
          <w:rFonts w:ascii="Times" w:hAnsi="Times"/>
          <w:sz w:val="20"/>
          <w:szCs w:val="20"/>
        </w:rPr>
        <w:t>CIPD members can use our </w:t>
      </w:r>
      <w:hyperlink r:id="rId17" w:history="1">
        <w:r w:rsidRPr="0004088D">
          <w:rPr>
            <w:rFonts w:ascii="Times" w:hAnsi="Times"/>
            <w:color w:val="1578BE"/>
            <w:sz w:val="20"/>
            <w:szCs w:val="20"/>
            <w:u w:val="single"/>
          </w:rPr>
          <w:t>online journals</w:t>
        </w:r>
      </w:hyperlink>
      <w:r w:rsidRPr="0004088D">
        <w:rPr>
          <w:rFonts w:ascii="Times" w:hAnsi="Times"/>
          <w:sz w:val="20"/>
          <w:szCs w:val="20"/>
        </w:rPr>
        <w:t> to find articles from over 300 journal titles relevant to HR. </w:t>
      </w:r>
      <w:r w:rsidRPr="0004088D">
        <w:rPr>
          <w:rFonts w:ascii="Times" w:hAnsi="Times"/>
          <w:sz w:val="20"/>
          <w:szCs w:val="20"/>
        </w:rPr>
        <w:br/>
        <w:t>Members and </w:t>
      </w:r>
      <w:r w:rsidRPr="0004088D">
        <w:rPr>
          <w:rFonts w:ascii="Times" w:hAnsi="Times"/>
          <w:i/>
          <w:iCs/>
          <w:sz w:val="20"/>
          <w:szCs w:val="20"/>
        </w:rPr>
        <w:t>People Management</w:t>
      </w:r>
      <w:r w:rsidRPr="0004088D">
        <w:rPr>
          <w:rFonts w:ascii="Times" w:hAnsi="Times"/>
          <w:sz w:val="20"/>
          <w:szCs w:val="20"/>
        </w:rPr>
        <w:t> subscribers can see articles on the </w:t>
      </w:r>
      <w:hyperlink r:id="rId18" w:history="1">
        <w:r w:rsidRPr="0004088D">
          <w:rPr>
            <w:rFonts w:ascii="Times" w:hAnsi="Times"/>
            <w:i/>
            <w:iCs/>
            <w:color w:val="1578BE"/>
            <w:sz w:val="20"/>
            <w:szCs w:val="20"/>
          </w:rPr>
          <w:t>People Management</w:t>
        </w:r>
        <w:r w:rsidRPr="0004088D">
          <w:rPr>
            <w:rFonts w:ascii="Times" w:hAnsi="Times"/>
            <w:color w:val="1578BE"/>
            <w:sz w:val="20"/>
            <w:szCs w:val="20"/>
          </w:rPr>
          <w:t> </w:t>
        </w:r>
        <w:r w:rsidRPr="0004088D">
          <w:rPr>
            <w:rFonts w:ascii="Times" w:hAnsi="Times"/>
            <w:color w:val="1578BE"/>
            <w:sz w:val="20"/>
            <w:szCs w:val="20"/>
            <w:u w:val="single"/>
          </w:rPr>
          <w:t>website.</w:t>
        </w:r>
      </w:hyperlink>
    </w:p>
    <w:p w:rsidR="00DC5E9C" w:rsidRPr="0004088D" w:rsidRDefault="00DC5E9C" w:rsidP="0004088D">
      <w:pPr>
        <w:rPr>
          <w:rFonts w:ascii="Times" w:hAnsi="Times"/>
          <w:sz w:val="20"/>
          <w:szCs w:val="20"/>
        </w:rPr>
      </w:pPr>
    </w:p>
    <w:p w:rsidR="00DC5E9C" w:rsidRDefault="00DC5E9C">
      <w:bookmarkStart w:id="0" w:name="_GoBack"/>
      <w:bookmarkEnd w:id="0"/>
    </w:p>
    <w:sectPr w:rsidR="00DC5E9C" w:rsidSect="006E29CA">
      <w:pgSz w:w="11900" w:h="16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MS ??">
    <w:altName w:val="MS Mincho"/>
    <w:panose1 w:val="00000000000000000000"/>
    <w:charset w:val="80"/>
    <w:family w:val="auto"/>
    <w:notTrueType/>
    <w:pitch w:val="variable"/>
    <w:sig w:usb0="00000001" w:usb1="08070000" w:usb2="00000010" w:usb3="00000000" w:csb0="00020000" w:csb1="00000000"/>
  </w:font>
  <w:font w:name="Times">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A7C40"/>
    <w:multiLevelType w:val="multilevel"/>
    <w:tmpl w:val="04DA7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352354"/>
    <w:multiLevelType w:val="multilevel"/>
    <w:tmpl w:val="298E7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2A6845"/>
    <w:multiLevelType w:val="multilevel"/>
    <w:tmpl w:val="E8965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D624EA"/>
    <w:multiLevelType w:val="multilevel"/>
    <w:tmpl w:val="CF5ED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01721D9"/>
    <w:multiLevelType w:val="multilevel"/>
    <w:tmpl w:val="52982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7364B04"/>
    <w:multiLevelType w:val="multilevel"/>
    <w:tmpl w:val="3288F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A2E434A"/>
    <w:multiLevelType w:val="multilevel"/>
    <w:tmpl w:val="62D63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D0F166A"/>
    <w:multiLevelType w:val="multilevel"/>
    <w:tmpl w:val="1DCCA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F1550CD"/>
    <w:multiLevelType w:val="multilevel"/>
    <w:tmpl w:val="41A26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07F183E"/>
    <w:multiLevelType w:val="multilevel"/>
    <w:tmpl w:val="7E4EF03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4D7F4481"/>
    <w:multiLevelType w:val="multilevel"/>
    <w:tmpl w:val="B5CE1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B755106"/>
    <w:multiLevelType w:val="multilevel"/>
    <w:tmpl w:val="500A0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24B2084"/>
    <w:multiLevelType w:val="multilevel"/>
    <w:tmpl w:val="3B42A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E0444EE"/>
    <w:multiLevelType w:val="multilevel"/>
    <w:tmpl w:val="4FE8D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8"/>
  </w:num>
  <w:num w:numId="3">
    <w:abstractNumId w:val="7"/>
  </w:num>
  <w:num w:numId="4">
    <w:abstractNumId w:val="6"/>
  </w:num>
  <w:num w:numId="5">
    <w:abstractNumId w:val="10"/>
  </w:num>
  <w:num w:numId="6">
    <w:abstractNumId w:val="12"/>
  </w:num>
  <w:num w:numId="7">
    <w:abstractNumId w:val="3"/>
  </w:num>
  <w:num w:numId="8">
    <w:abstractNumId w:val="4"/>
  </w:num>
  <w:num w:numId="9">
    <w:abstractNumId w:val="0"/>
  </w:num>
  <w:num w:numId="10">
    <w:abstractNumId w:val="2"/>
  </w:num>
  <w:num w:numId="11">
    <w:abstractNumId w:val="11"/>
  </w:num>
  <w:num w:numId="12">
    <w:abstractNumId w:val="5"/>
  </w:num>
  <w:num w:numId="13">
    <w:abstractNumId w:val="13"/>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4088D"/>
    <w:rsid w:val="0004088D"/>
    <w:rsid w:val="004C4BFD"/>
    <w:rsid w:val="0050767F"/>
    <w:rsid w:val="005610D4"/>
    <w:rsid w:val="006E29CA"/>
    <w:rsid w:val="00766D35"/>
    <w:rsid w:val="00D30B76"/>
    <w:rsid w:val="00DC5E9C"/>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MS ??" w:hAnsi="Cambria"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767F"/>
    <w:rPr>
      <w:sz w:val="24"/>
      <w:szCs w:val="24"/>
      <w:lang w:eastAsia="en-US"/>
    </w:rPr>
  </w:style>
  <w:style w:type="paragraph" w:styleId="Heading2">
    <w:name w:val="heading 2"/>
    <w:basedOn w:val="Normal"/>
    <w:link w:val="Heading2Char"/>
    <w:uiPriority w:val="99"/>
    <w:qFormat/>
    <w:rsid w:val="0004088D"/>
    <w:pPr>
      <w:spacing w:before="100" w:beforeAutospacing="1" w:after="100" w:afterAutospacing="1"/>
      <w:outlineLvl w:val="1"/>
    </w:pPr>
    <w:rPr>
      <w:rFonts w:ascii="Times" w:hAnsi="Times"/>
      <w:b/>
      <w:bCs/>
      <w:sz w:val="36"/>
      <w:szCs w:val="36"/>
    </w:rPr>
  </w:style>
  <w:style w:type="paragraph" w:styleId="Heading3">
    <w:name w:val="heading 3"/>
    <w:basedOn w:val="Normal"/>
    <w:link w:val="Heading3Char"/>
    <w:uiPriority w:val="99"/>
    <w:qFormat/>
    <w:rsid w:val="0004088D"/>
    <w:pPr>
      <w:spacing w:before="100" w:beforeAutospacing="1" w:after="100" w:afterAutospacing="1"/>
      <w:outlineLvl w:val="2"/>
    </w:pPr>
    <w:rPr>
      <w:rFonts w:ascii="Times" w:hAnsi="Times"/>
      <w:b/>
      <w:bCs/>
      <w:sz w:val="27"/>
      <w:szCs w:val="27"/>
    </w:rPr>
  </w:style>
  <w:style w:type="paragraph" w:styleId="Heading4">
    <w:name w:val="heading 4"/>
    <w:basedOn w:val="Normal"/>
    <w:link w:val="Heading4Char"/>
    <w:uiPriority w:val="99"/>
    <w:qFormat/>
    <w:rsid w:val="0004088D"/>
    <w:pPr>
      <w:spacing w:before="100" w:beforeAutospacing="1" w:after="100" w:afterAutospacing="1"/>
      <w:outlineLvl w:val="3"/>
    </w:pPr>
    <w:rPr>
      <w:rFonts w:ascii="Times" w:hAnsi="Times"/>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04088D"/>
    <w:rPr>
      <w:rFonts w:ascii="Times" w:hAnsi="Times" w:cs="Times New Roman"/>
      <w:b/>
      <w:bCs/>
      <w:sz w:val="36"/>
      <w:szCs w:val="36"/>
    </w:rPr>
  </w:style>
  <w:style w:type="character" w:customStyle="1" w:styleId="Heading3Char">
    <w:name w:val="Heading 3 Char"/>
    <w:basedOn w:val="DefaultParagraphFont"/>
    <w:link w:val="Heading3"/>
    <w:uiPriority w:val="99"/>
    <w:locked/>
    <w:rsid w:val="0004088D"/>
    <w:rPr>
      <w:rFonts w:ascii="Times" w:hAnsi="Times" w:cs="Times New Roman"/>
      <w:b/>
      <w:bCs/>
      <w:sz w:val="27"/>
      <w:szCs w:val="27"/>
    </w:rPr>
  </w:style>
  <w:style w:type="character" w:customStyle="1" w:styleId="Heading4Char">
    <w:name w:val="Heading 4 Char"/>
    <w:basedOn w:val="DefaultParagraphFont"/>
    <w:link w:val="Heading4"/>
    <w:uiPriority w:val="99"/>
    <w:locked/>
    <w:rsid w:val="0004088D"/>
    <w:rPr>
      <w:rFonts w:ascii="Times" w:hAnsi="Times" w:cs="Times New Roman"/>
      <w:b/>
      <w:bCs/>
    </w:rPr>
  </w:style>
  <w:style w:type="paragraph" w:styleId="NormalWeb">
    <w:name w:val="Normal (Web)"/>
    <w:basedOn w:val="Normal"/>
    <w:uiPriority w:val="99"/>
    <w:rsid w:val="0004088D"/>
    <w:pPr>
      <w:spacing w:before="100" w:beforeAutospacing="1" w:after="100" w:afterAutospacing="1"/>
    </w:pPr>
    <w:rPr>
      <w:rFonts w:ascii="Times" w:hAnsi="Times"/>
      <w:sz w:val="20"/>
      <w:szCs w:val="20"/>
    </w:rPr>
  </w:style>
  <w:style w:type="character" w:styleId="Strong">
    <w:name w:val="Strong"/>
    <w:basedOn w:val="DefaultParagraphFont"/>
    <w:uiPriority w:val="99"/>
    <w:qFormat/>
    <w:rsid w:val="0004088D"/>
    <w:rPr>
      <w:rFonts w:cs="Times New Roman"/>
      <w:b/>
      <w:bCs/>
    </w:rPr>
  </w:style>
  <w:style w:type="character" w:customStyle="1" w:styleId="apple-converted-space">
    <w:name w:val="apple-converted-space"/>
    <w:basedOn w:val="DefaultParagraphFont"/>
    <w:uiPriority w:val="99"/>
    <w:rsid w:val="0004088D"/>
    <w:rPr>
      <w:rFonts w:cs="Times New Roman"/>
    </w:rPr>
  </w:style>
  <w:style w:type="character" w:styleId="Emphasis">
    <w:name w:val="Emphasis"/>
    <w:basedOn w:val="DefaultParagraphFont"/>
    <w:uiPriority w:val="99"/>
    <w:qFormat/>
    <w:rsid w:val="0004088D"/>
    <w:rPr>
      <w:rFonts w:cs="Times New Roman"/>
      <w:i/>
      <w:iCs/>
    </w:rPr>
  </w:style>
  <w:style w:type="character" w:styleId="Hyperlink">
    <w:name w:val="Hyperlink"/>
    <w:basedOn w:val="DefaultParagraphFont"/>
    <w:uiPriority w:val="99"/>
    <w:semiHidden/>
    <w:rsid w:val="0004088D"/>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639873363">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cipd.co.uk/publicpolicy/consultation-responses/narrative-reporting.aspx" TargetMode="External"/><Relationship Id="rId13" Type="http://schemas.openxmlformats.org/officeDocument/2006/relationships/hyperlink" Target="http://www.bis.gov.uk/assets/biscore/business-law/docs/n/10-1057-future-narrative-reporting-consultation" TargetMode="External"/><Relationship Id="rId18" Type="http://schemas.openxmlformats.org/officeDocument/2006/relationships/hyperlink" Target="http://www.peoplemanagement.co.uk/" TargetMode="External"/><Relationship Id="rId3" Type="http://schemas.openxmlformats.org/officeDocument/2006/relationships/settings" Target="settings.xml"/><Relationship Id="rId7" Type="http://schemas.openxmlformats.org/officeDocument/2006/relationships/hyperlink" Target="http://www.cipd.co.uk/hr-resources/factsheets/corporate-governance.aspx" TargetMode="External"/><Relationship Id="rId12" Type="http://schemas.openxmlformats.org/officeDocument/2006/relationships/hyperlink" Target="http://www.deloitte.com/view/en_GB/uk/news/news-releases/3f68dca8434cb210VgnVCM3000001c56f00aRCRD.htm" TargetMode="External"/><Relationship Id="rId17" Type="http://schemas.openxmlformats.org/officeDocument/2006/relationships/hyperlink" Target="http://www.cipd.co.uk/onlineinfodocuments/journals" TargetMode="External"/><Relationship Id="rId2" Type="http://schemas.openxmlformats.org/officeDocument/2006/relationships/styles" Target="styles.xml"/><Relationship Id="rId16" Type="http://schemas.openxmlformats.org/officeDocument/2006/relationships/hyperlink" Target="http://www.cipd.co.uk/bookstor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cipd.co.uk/hr-resources/factsheets/employee-engagement.aspx" TargetMode="External"/><Relationship Id="rId11" Type="http://schemas.openxmlformats.org/officeDocument/2006/relationships/hyperlink" Target="http://www.cipd.co.uk/hr-resources/guides/human-capital-reporting-internal-perspective.aspx" TargetMode="External"/><Relationship Id="rId5" Type="http://schemas.openxmlformats.org/officeDocument/2006/relationships/hyperlink" Target="http://www.cipd.co.uk/hr-resources/practical-tools/human-capital-management.aspx" TargetMode="External"/><Relationship Id="rId15" Type="http://schemas.openxmlformats.org/officeDocument/2006/relationships/hyperlink" Target="http://www.cipd.co.uk/Bookstore/_catalogue/CorporateAndHRStrategy/1843981637.htm" TargetMode="External"/><Relationship Id="rId10" Type="http://schemas.openxmlformats.org/officeDocument/2006/relationships/hyperlink" Target="http://www.cipd.co.uk/hr-resources/research/human-capital-management-inform-decisions.aspx"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ipd.co.uk/hr-resources/research/human-capital-management-disclosure-uk-reports-analysis.aspx" TargetMode="External"/><Relationship Id="rId14" Type="http://schemas.openxmlformats.org/officeDocument/2006/relationships/hyperlink" Target="http://www.accenture.com/us-en/Pages/insight-new-generation-human-capital-analytics-summary.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7</Pages>
  <Words>2662</Words>
  <Characters>15178</Characters>
  <Application>Microsoft Office Outlook</Application>
  <DocSecurity>0</DocSecurity>
  <Lines>0</Lines>
  <Paragraphs>0</Paragraphs>
  <ScaleCrop>false</ScaleCrop>
  <Company>Fortitude Development Ltd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is human capital</dc:title>
  <dc:subject/>
  <dc:creator>Caroline Foster</dc:creator>
  <cp:keywords/>
  <dc:description/>
  <cp:lastModifiedBy>Mary</cp:lastModifiedBy>
  <cp:revision>2</cp:revision>
  <dcterms:created xsi:type="dcterms:W3CDTF">2014-10-19T10:57:00Z</dcterms:created>
  <dcterms:modified xsi:type="dcterms:W3CDTF">2014-10-19T10:57:00Z</dcterms:modified>
</cp:coreProperties>
</file>