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D838E" w14:textId="41AF87E4" w:rsidR="001A420C" w:rsidRPr="001A420C" w:rsidRDefault="001A420C" w:rsidP="001A420C">
      <w:pPr>
        <w:pStyle w:val="Title"/>
        <w:rPr>
          <w:lang w:val="en-US"/>
        </w:rPr>
      </w:pPr>
      <w:r w:rsidRPr="001A420C">
        <w:rPr>
          <w:lang w:val="en-US"/>
        </w:rPr>
        <w:t>BMIH6007</w:t>
      </w:r>
    </w:p>
    <w:p w14:paraId="45B4299B" w14:textId="7854CE1B" w:rsidR="001A420C" w:rsidRDefault="001A420C" w:rsidP="001A420C">
      <w:pPr>
        <w:pStyle w:val="Title"/>
        <w:rPr>
          <w:lang w:val="en-US"/>
        </w:rPr>
      </w:pPr>
      <w:r w:rsidRPr="001A420C">
        <w:rPr>
          <w:lang w:val="en-US"/>
        </w:rPr>
        <w:t>International Meetings Management for the Hotel Industry</w:t>
      </w:r>
      <w:r w:rsidR="003D1866">
        <w:rPr>
          <w:lang w:val="en-US"/>
        </w:rPr>
        <w:t xml:space="preserve"> (PPT) </w:t>
      </w:r>
    </w:p>
    <w:p w14:paraId="4082DCC5" w14:textId="77777777" w:rsidR="00D27667" w:rsidRDefault="00D27667" w:rsidP="001A420C">
      <w:pPr>
        <w:jc w:val="center"/>
        <w:rPr>
          <w:b/>
          <w:sz w:val="32"/>
          <w:szCs w:val="32"/>
          <w:lang w:val="en-US"/>
        </w:rPr>
      </w:pPr>
    </w:p>
    <w:p w14:paraId="290551A2" w14:textId="77777777" w:rsidR="00D27667" w:rsidRDefault="00D27667" w:rsidP="001A420C">
      <w:pPr>
        <w:jc w:val="center"/>
        <w:rPr>
          <w:b/>
          <w:sz w:val="32"/>
          <w:szCs w:val="32"/>
          <w:lang w:val="en-US"/>
        </w:rPr>
      </w:pPr>
    </w:p>
    <w:p w14:paraId="088AF863" w14:textId="4A8D7956" w:rsidR="00D27667" w:rsidRDefault="00BB28CC" w:rsidP="00D27667">
      <w:pPr>
        <w:spacing w:before="0" w:after="0"/>
        <w:contextualSpacing/>
        <w:jc w:val="center"/>
        <w:rPr>
          <w:rFonts w:eastAsiaTheme="majorEastAsia" w:cstheme="majorBidi"/>
          <w:b/>
          <w:spacing w:val="-10"/>
          <w:kern w:val="28"/>
          <w:sz w:val="40"/>
          <w:szCs w:val="40"/>
          <w:lang w:val="en-GB" w:eastAsia="zh-CN" w:bidi="th-TH"/>
        </w:rPr>
      </w:pPr>
      <w:r>
        <w:rPr>
          <w:rFonts w:eastAsiaTheme="majorEastAsia" w:cstheme="majorBidi"/>
          <w:b/>
          <w:spacing w:val="-10"/>
          <w:kern w:val="28"/>
          <w:sz w:val="40"/>
          <w:szCs w:val="40"/>
          <w:lang w:val="en-GB" w:eastAsia="zh-CN" w:bidi="th-TH"/>
        </w:rPr>
        <w:t xml:space="preserve">             </w:t>
      </w:r>
      <w:r w:rsidR="00D27667">
        <w:rPr>
          <w:rFonts w:eastAsiaTheme="majorEastAsia" w:cstheme="majorBidi"/>
          <w:b/>
          <w:spacing w:val="-10"/>
          <w:kern w:val="28"/>
          <w:sz w:val="40"/>
          <w:szCs w:val="40"/>
          <w:lang w:val="en-GB" w:eastAsia="zh-CN" w:bidi="th-TH"/>
        </w:rPr>
        <w:t>Student Name: Raducu – Viorel Ciolpan</w:t>
      </w:r>
    </w:p>
    <w:p w14:paraId="638BFC7C" w14:textId="7DCA01B7" w:rsidR="00D27667" w:rsidRDefault="00D27667" w:rsidP="00D27667">
      <w:pPr>
        <w:spacing w:before="0" w:after="0"/>
        <w:contextualSpacing/>
        <w:jc w:val="center"/>
        <w:rPr>
          <w:rFonts w:eastAsiaTheme="majorEastAsia" w:cstheme="majorBidi"/>
          <w:b/>
          <w:spacing w:val="-10"/>
          <w:kern w:val="28"/>
          <w:sz w:val="40"/>
          <w:szCs w:val="40"/>
          <w:lang w:val="en-GB" w:eastAsia="zh-CN" w:bidi="th-TH"/>
        </w:rPr>
      </w:pPr>
      <w:r>
        <w:rPr>
          <w:rFonts w:eastAsiaTheme="majorEastAsia" w:cstheme="majorBidi"/>
          <w:b/>
          <w:spacing w:val="-10"/>
          <w:kern w:val="28"/>
          <w:sz w:val="40"/>
          <w:szCs w:val="40"/>
          <w:lang w:val="en-GB" w:eastAsia="zh-CN" w:bidi="th-TH"/>
        </w:rPr>
        <w:t>Lecturer`s Name: Kathryn Flynn</w:t>
      </w:r>
    </w:p>
    <w:p w14:paraId="0C620980" w14:textId="02C6D799" w:rsidR="00D27667" w:rsidRDefault="00BB28CC" w:rsidP="00BB28CC">
      <w:pPr>
        <w:spacing w:before="0" w:after="0"/>
        <w:contextualSpacing/>
        <w:rPr>
          <w:rFonts w:eastAsiaTheme="majorEastAsia" w:cstheme="majorBidi"/>
          <w:b/>
          <w:spacing w:val="-10"/>
          <w:kern w:val="28"/>
          <w:sz w:val="40"/>
          <w:szCs w:val="40"/>
          <w:lang w:val="en-GB" w:eastAsia="zh-CN" w:bidi="th-TH"/>
        </w:rPr>
      </w:pPr>
      <w:r>
        <w:rPr>
          <w:rFonts w:eastAsiaTheme="majorEastAsia" w:cstheme="majorBidi"/>
          <w:b/>
          <w:spacing w:val="-10"/>
          <w:kern w:val="28"/>
          <w:sz w:val="40"/>
          <w:szCs w:val="40"/>
          <w:lang w:val="en-GB" w:eastAsia="zh-CN" w:bidi="th-TH"/>
        </w:rPr>
        <w:t xml:space="preserve">                     </w:t>
      </w:r>
      <w:r w:rsidR="00D27667">
        <w:rPr>
          <w:rFonts w:eastAsiaTheme="majorEastAsia" w:cstheme="majorBidi"/>
          <w:b/>
          <w:spacing w:val="-10"/>
          <w:kern w:val="28"/>
          <w:sz w:val="40"/>
          <w:szCs w:val="40"/>
          <w:lang w:val="en-GB" w:eastAsia="zh-CN" w:bidi="th-TH"/>
        </w:rPr>
        <w:t>Student ID: 2221478</w:t>
      </w:r>
    </w:p>
    <w:p w14:paraId="28132EEC" w14:textId="585AE29B" w:rsidR="00D27667" w:rsidRDefault="009B6114" w:rsidP="00D27667">
      <w:r>
        <w:rPr>
          <w:rFonts w:eastAsiaTheme="majorEastAsia" w:cstheme="majorBidi"/>
          <w:b/>
          <w:spacing w:val="-10"/>
          <w:kern w:val="28"/>
          <w:sz w:val="40"/>
          <w:szCs w:val="40"/>
          <w:lang w:val="en-GB" w:eastAsia="zh-CN" w:bidi="th-TH"/>
        </w:rPr>
        <w:t xml:space="preserve">                    </w:t>
      </w:r>
      <w:r w:rsidR="00D27667">
        <w:rPr>
          <w:rFonts w:eastAsiaTheme="majorEastAsia" w:cstheme="majorBidi"/>
          <w:b/>
          <w:spacing w:val="-10"/>
          <w:kern w:val="28"/>
          <w:sz w:val="40"/>
          <w:szCs w:val="40"/>
          <w:lang w:val="en-GB" w:eastAsia="zh-CN" w:bidi="th-TH"/>
        </w:rPr>
        <w:t xml:space="preserve">Date of Submission: </w:t>
      </w:r>
      <w:r w:rsidR="00CF48DB">
        <w:rPr>
          <w:rFonts w:eastAsiaTheme="majorEastAsia" w:cstheme="majorBidi"/>
          <w:b/>
          <w:spacing w:val="-10"/>
          <w:kern w:val="28"/>
          <w:sz w:val="40"/>
          <w:szCs w:val="40"/>
          <w:lang w:val="en-GB" w:eastAsia="zh-CN" w:bidi="th-TH"/>
        </w:rPr>
        <w:t>10/06/2025</w:t>
      </w:r>
    </w:p>
    <w:p w14:paraId="1921E5E4" w14:textId="77777777" w:rsidR="001A420C" w:rsidRPr="00D22C8E" w:rsidRDefault="001A420C" w:rsidP="001A420C">
      <w:pPr>
        <w:jc w:val="center"/>
        <w:rPr>
          <w:b/>
          <w:sz w:val="32"/>
          <w:szCs w:val="32"/>
          <w:lang w:val="en-US"/>
        </w:rPr>
      </w:pPr>
    </w:p>
    <w:p w14:paraId="0FAF3342" w14:textId="77777777" w:rsidR="001A420C" w:rsidRDefault="001A420C">
      <w:pPr>
        <w:spacing w:before="0" w:after="160" w:line="259" w:lineRule="auto"/>
        <w:jc w:val="left"/>
        <w:rPr>
          <w:rFonts w:eastAsiaTheme="majorEastAsia" w:cstheme="majorBidi"/>
          <w:b/>
          <w:sz w:val="36"/>
          <w:szCs w:val="32"/>
        </w:rPr>
      </w:pPr>
      <w:r>
        <w:br w:type="page"/>
      </w:r>
    </w:p>
    <w:sdt>
      <w:sdtPr>
        <w:rPr>
          <w:rFonts w:ascii="Times New Roman" w:eastAsiaTheme="minorEastAsia" w:hAnsi="Times New Roman" w:cstheme="minorBidi"/>
          <w:color w:val="auto"/>
          <w:kern w:val="2"/>
          <w:sz w:val="24"/>
          <w:szCs w:val="24"/>
          <w:lang w:val="en-IN" w:eastAsia="en-IN"/>
        </w:rPr>
        <w:id w:val="1898236381"/>
        <w:docPartObj>
          <w:docPartGallery w:val="Table of Contents"/>
          <w:docPartUnique/>
        </w:docPartObj>
      </w:sdtPr>
      <w:sdtEndPr>
        <w:rPr>
          <w:b/>
          <w:bCs/>
        </w:rPr>
      </w:sdtEndPr>
      <w:sdtContent>
        <w:p w14:paraId="4B05D9D6" w14:textId="75566315" w:rsidR="00B43B0F" w:rsidRPr="00B43B0F" w:rsidRDefault="00B43B0F">
          <w:pPr>
            <w:pStyle w:val="TOCHeading"/>
            <w:rPr>
              <w:rFonts w:ascii="Times New Roman" w:hAnsi="Times New Roman" w:cs="Times New Roman"/>
              <w:b/>
              <w:bCs/>
              <w:color w:val="auto"/>
            </w:rPr>
          </w:pPr>
          <w:r w:rsidRPr="00B43B0F">
            <w:rPr>
              <w:rFonts w:ascii="Times New Roman" w:hAnsi="Times New Roman" w:cs="Times New Roman"/>
              <w:b/>
              <w:bCs/>
              <w:color w:val="auto"/>
            </w:rPr>
            <w:t>Table of Contents</w:t>
          </w:r>
          <w:r>
            <w:rPr>
              <w:rFonts w:ascii="Times New Roman" w:hAnsi="Times New Roman" w:cs="Times New Roman"/>
              <w:b/>
              <w:bCs/>
              <w:color w:val="auto"/>
            </w:rPr>
            <w:t xml:space="preserve"> </w:t>
          </w:r>
        </w:p>
        <w:p w14:paraId="0CCC46A4" w14:textId="244C5265" w:rsidR="00AF4C91" w:rsidRDefault="00B43B0F">
          <w:pPr>
            <w:pStyle w:val="TOC1"/>
            <w:tabs>
              <w:tab w:val="right" w:leader="dot" w:pos="9016"/>
            </w:tabs>
            <w:rPr>
              <w:rFonts w:asciiTheme="minorHAnsi" w:hAnsiTheme="minorHAnsi"/>
              <w:noProof/>
              <w:lang w:val="en-GB" w:eastAsia="en-GB"/>
            </w:rPr>
          </w:pPr>
          <w:r>
            <w:fldChar w:fldCharType="begin"/>
          </w:r>
          <w:r>
            <w:instrText xml:space="preserve"> TOC \o "1-3" \h \z \u </w:instrText>
          </w:r>
          <w:r>
            <w:fldChar w:fldCharType="separate"/>
          </w:r>
          <w:hyperlink w:anchor="_Toc197788630" w:history="1">
            <w:r w:rsidR="00AF4C91" w:rsidRPr="00B37AFC">
              <w:rPr>
                <w:rStyle w:val="Hyperlink"/>
                <w:noProof/>
              </w:rPr>
              <w:t>Executive Summary</w:t>
            </w:r>
            <w:r w:rsidR="00AF4C91">
              <w:rPr>
                <w:noProof/>
                <w:webHidden/>
              </w:rPr>
              <w:tab/>
            </w:r>
            <w:r w:rsidR="00AF4C91">
              <w:rPr>
                <w:noProof/>
                <w:webHidden/>
              </w:rPr>
              <w:fldChar w:fldCharType="begin"/>
            </w:r>
            <w:r w:rsidR="00AF4C91">
              <w:rPr>
                <w:noProof/>
                <w:webHidden/>
              </w:rPr>
              <w:instrText xml:space="preserve"> PAGEREF _Toc197788630 \h </w:instrText>
            </w:r>
            <w:r w:rsidR="00AF4C91">
              <w:rPr>
                <w:noProof/>
                <w:webHidden/>
              </w:rPr>
            </w:r>
            <w:r w:rsidR="00AF4C91">
              <w:rPr>
                <w:noProof/>
                <w:webHidden/>
              </w:rPr>
              <w:fldChar w:fldCharType="separate"/>
            </w:r>
            <w:r w:rsidR="00AF4C91">
              <w:rPr>
                <w:noProof/>
                <w:webHidden/>
              </w:rPr>
              <w:t>3</w:t>
            </w:r>
            <w:r w:rsidR="00AF4C91">
              <w:rPr>
                <w:noProof/>
                <w:webHidden/>
              </w:rPr>
              <w:fldChar w:fldCharType="end"/>
            </w:r>
          </w:hyperlink>
        </w:p>
        <w:p w14:paraId="13BEA9E5" w14:textId="4DB931A9" w:rsidR="00AF4C91" w:rsidRDefault="00AF4C91">
          <w:pPr>
            <w:pStyle w:val="TOC1"/>
            <w:tabs>
              <w:tab w:val="right" w:leader="dot" w:pos="9016"/>
            </w:tabs>
            <w:rPr>
              <w:rFonts w:asciiTheme="minorHAnsi" w:hAnsiTheme="minorHAnsi"/>
              <w:noProof/>
              <w:lang w:val="en-GB" w:eastAsia="en-GB"/>
            </w:rPr>
          </w:pPr>
          <w:hyperlink w:anchor="_Toc197788631" w:history="1">
            <w:r w:rsidRPr="00B37AFC">
              <w:rPr>
                <w:rStyle w:val="Hyperlink"/>
                <w:noProof/>
              </w:rPr>
              <w:t>Introduction</w:t>
            </w:r>
            <w:r>
              <w:rPr>
                <w:noProof/>
                <w:webHidden/>
              </w:rPr>
              <w:tab/>
            </w:r>
            <w:r>
              <w:rPr>
                <w:noProof/>
                <w:webHidden/>
              </w:rPr>
              <w:fldChar w:fldCharType="begin"/>
            </w:r>
            <w:r>
              <w:rPr>
                <w:noProof/>
                <w:webHidden/>
              </w:rPr>
              <w:instrText xml:space="preserve"> PAGEREF _Toc197788631 \h </w:instrText>
            </w:r>
            <w:r>
              <w:rPr>
                <w:noProof/>
                <w:webHidden/>
              </w:rPr>
            </w:r>
            <w:r>
              <w:rPr>
                <w:noProof/>
                <w:webHidden/>
              </w:rPr>
              <w:fldChar w:fldCharType="separate"/>
            </w:r>
            <w:r>
              <w:rPr>
                <w:noProof/>
                <w:webHidden/>
              </w:rPr>
              <w:t>4</w:t>
            </w:r>
            <w:r>
              <w:rPr>
                <w:noProof/>
                <w:webHidden/>
              </w:rPr>
              <w:fldChar w:fldCharType="end"/>
            </w:r>
          </w:hyperlink>
        </w:p>
        <w:p w14:paraId="14885F08" w14:textId="64015902" w:rsidR="00AF4C91" w:rsidRDefault="00AF4C91">
          <w:pPr>
            <w:pStyle w:val="TOC1"/>
            <w:tabs>
              <w:tab w:val="right" w:leader="dot" w:pos="9016"/>
            </w:tabs>
            <w:rPr>
              <w:rFonts w:asciiTheme="minorHAnsi" w:hAnsiTheme="minorHAnsi"/>
              <w:noProof/>
              <w:lang w:val="en-GB" w:eastAsia="en-GB"/>
            </w:rPr>
          </w:pPr>
          <w:hyperlink w:anchor="_Toc197788632" w:history="1">
            <w:r w:rsidRPr="00B37AFC">
              <w:rPr>
                <w:rStyle w:val="Hyperlink"/>
                <w:noProof/>
              </w:rPr>
              <w:t>Event Content and Context</w:t>
            </w:r>
            <w:r>
              <w:rPr>
                <w:noProof/>
                <w:webHidden/>
              </w:rPr>
              <w:tab/>
            </w:r>
            <w:r>
              <w:rPr>
                <w:noProof/>
                <w:webHidden/>
              </w:rPr>
              <w:fldChar w:fldCharType="begin"/>
            </w:r>
            <w:r>
              <w:rPr>
                <w:noProof/>
                <w:webHidden/>
              </w:rPr>
              <w:instrText xml:space="preserve"> PAGEREF _Toc197788632 \h </w:instrText>
            </w:r>
            <w:r>
              <w:rPr>
                <w:noProof/>
                <w:webHidden/>
              </w:rPr>
            </w:r>
            <w:r>
              <w:rPr>
                <w:noProof/>
                <w:webHidden/>
              </w:rPr>
              <w:fldChar w:fldCharType="separate"/>
            </w:r>
            <w:r>
              <w:rPr>
                <w:noProof/>
                <w:webHidden/>
              </w:rPr>
              <w:t>5</w:t>
            </w:r>
            <w:r>
              <w:rPr>
                <w:noProof/>
                <w:webHidden/>
              </w:rPr>
              <w:fldChar w:fldCharType="end"/>
            </w:r>
          </w:hyperlink>
        </w:p>
        <w:p w14:paraId="4EB26928" w14:textId="405E9EB9" w:rsidR="00AF4C91" w:rsidRDefault="00AF4C91">
          <w:pPr>
            <w:pStyle w:val="TOC1"/>
            <w:tabs>
              <w:tab w:val="right" w:leader="dot" w:pos="9016"/>
            </w:tabs>
            <w:rPr>
              <w:rFonts w:asciiTheme="minorHAnsi" w:hAnsiTheme="minorHAnsi"/>
              <w:noProof/>
              <w:lang w:val="en-GB" w:eastAsia="en-GB"/>
            </w:rPr>
          </w:pPr>
          <w:hyperlink w:anchor="_Toc197788633" w:history="1">
            <w:r w:rsidRPr="00B37AFC">
              <w:rPr>
                <w:rStyle w:val="Hyperlink"/>
                <w:noProof/>
              </w:rPr>
              <w:t>Market Analysis</w:t>
            </w:r>
            <w:r>
              <w:rPr>
                <w:noProof/>
                <w:webHidden/>
              </w:rPr>
              <w:tab/>
            </w:r>
            <w:r>
              <w:rPr>
                <w:noProof/>
                <w:webHidden/>
              </w:rPr>
              <w:fldChar w:fldCharType="begin"/>
            </w:r>
            <w:r>
              <w:rPr>
                <w:noProof/>
                <w:webHidden/>
              </w:rPr>
              <w:instrText xml:space="preserve"> PAGEREF _Toc197788633 \h </w:instrText>
            </w:r>
            <w:r>
              <w:rPr>
                <w:noProof/>
                <w:webHidden/>
              </w:rPr>
            </w:r>
            <w:r>
              <w:rPr>
                <w:noProof/>
                <w:webHidden/>
              </w:rPr>
              <w:fldChar w:fldCharType="separate"/>
            </w:r>
            <w:r>
              <w:rPr>
                <w:noProof/>
                <w:webHidden/>
              </w:rPr>
              <w:t>6</w:t>
            </w:r>
            <w:r>
              <w:rPr>
                <w:noProof/>
                <w:webHidden/>
              </w:rPr>
              <w:fldChar w:fldCharType="end"/>
            </w:r>
          </w:hyperlink>
        </w:p>
        <w:p w14:paraId="2D7906AA" w14:textId="31DAD63E" w:rsidR="00AF4C91" w:rsidRDefault="00AF4C91">
          <w:pPr>
            <w:pStyle w:val="TOC1"/>
            <w:tabs>
              <w:tab w:val="right" w:leader="dot" w:pos="9016"/>
            </w:tabs>
            <w:rPr>
              <w:rFonts w:asciiTheme="minorHAnsi" w:hAnsiTheme="minorHAnsi"/>
              <w:noProof/>
              <w:lang w:val="en-GB" w:eastAsia="en-GB"/>
            </w:rPr>
          </w:pPr>
          <w:hyperlink w:anchor="_Toc197788634" w:history="1">
            <w:r w:rsidRPr="00B37AFC">
              <w:rPr>
                <w:rStyle w:val="Hyperlink"/>
                <w:noProof/>
              </w:rPr>
              <w:t>Operational Feasibility</w:t>
            </w:r>
            <w:r>
              <w:rPr>
                <w:noProof/>
                <w:webHidden/>
              </w:rPr>
              <w:tab/>
            </w:r>
            <w:r>
              <w:rPr>
                <w:noProof/>
                <w:webHidden/>
              </w:rPr>
              <w:fldChar w:fldCharType="begin"/>
            </w:r>
            <w:r>
              <w:rPr>
                <w:noProof/>
                <w:webHidden/>
              </w:rPr>
              <w:instrText xml:space="preserve"> PAGEREF _Toc197788634 \h </w:instrText>
            </w:r>
            <w:r>
              <w:rPr>
                <w:noProof/>
                <w:webHidden/>
              </w:rPr>
            </w:r>
            <w:r>
              <w:rPr>
                <w:noProof/>
                <w:webHidden/>
              </w:rPr>
              <w:fldChar w:fldCharType="separate"/>
            </w:r>
            <w:r>
              <w:rPr>
                <w:noProof/>
                <w:webHidden/>
              </w:rPr>
              <w:t>7</w:t>
            </w:r>
            <w:r>
              <w:rPr>
                <w:noProof/>
                <w:webHidden/>
              </w:rPr>
              <w:fldChar w:fldCharType="end"/>
            </w:r>
          </w:hyperlink>
        </w:p>
        <w:p w14:paraId="17016726" w14:textId="35C3D29E" w:rsidR="00AF4C91" w:rsidRDefault="00AF4C91">
          <w:pPr>
            <w:pStyle w:val="TOC1"/>
            <w:tabs>
              <w:tab w:val="right" w:leader="dot" w:pos="9016"/>
            </w:tabs>
            <w:rPr>
              <w:rFonts w:asciiTheme="minorHAnsi" w:hAnsiTheme="minorHAnsi"/>
              <w:noProof/>
              <w:lang w:val="en-GB" w:eastAsia="en-GB"/>
            </w:rPr>
          </w:pPr>
          <w:hyperlink w:anchor="_Toc197788635" w:history="1">
            <w:r w:rsidRPr="00B37AFC">
              <w:rPr>
                <w:rStyle w:val="Hyperlink"/>
                <w:noProof/>
              </w:rPr>
              <w:t>Financial Feasibility</w:t>
            </w:r>
            <w:r>
              <w:rPr>
                <w:noProof/>
                <w:webHidden/>
              </w:rPr>
              <w:tab/>
            </w:r>
            <w:r>
              <w:rPr>
                <w:noProof/>
                <w:webHidden/>
              </w:rPr>
              <w:fldChar w:fldCharType="begin"/>
            </w:r>
            <w:r>
              <w:rPr>
                <w:noProof/>
                <w:webHidden/>
              </w:rPr>
              <w:instrText xml:space="preserve"> PAGEREF _Toc197788635 \h </w:instrText>
            </w:r>
            <w:r>
              <w:rPr>
                <w:noProof/>
                <w:webHidden/>
              </w:rPr>
            </w:r>
            <w:r>
              <w:rPr>
                <w:noProof/>
                <w:webHidden/>
              </w:rPr>
              <w:fldChar w:fldCharType="separate"/>
            </w:r>
            <w:r>
              <w:rPr>
                <w:noProof/>
                <w:webHidden/>
              </w:rPr>
              <w:t>8</w:t>
            </w:r>
            <w:r>
              <w:rPr>
                <w:noProof/>
                <w:webHidden/>
              </w:rPr>
              <w:fldChar w:fldCharType="end"/>
            </w:r>
          </w:hyperlink>
        </w:p>
        <w:p w14:paraId="2BDEE9E8" w14:textId="7791624E" w:rsidR="00AF4C91" w:rsidRDefault="00AF4C91">
          <w:pPr>
            <w:pStyle w:val="TOC1"/>
            <w:tabs>
              <w:tab w:val="right" w:leader="dot" w:pos="9016"/>
            </w:tabs>
            <w:rPr>
              <w:rFonts w:asciiTheme="minorHAnsi" w:hAnsiTheme="minorHAnsi"/>
              <w:noProof/>
              <w:lang w:val="en-GB" w:eastAsia="en-GB"/>
            </w:rPr>
          </w:pPr>
          <w:hyperlink w:anchor="_Toc197788636" w:history="1">
            <w:r w:rsidRPr="00B37AFC">
              <w:rPr>
                <w:rStyle w:val="Hyperlink"/>
                <w:noProof/>
              </w:rPr>
              <w:t>Strategic Importance and Impact</w:t>
            </w:r>
            <w:r>
              <w:rPr>
                <w:noProof/>
                <w:webHidden/>
              </w:rPr>
              <w:tab/>
            </w:r>
            <w:r>
              <w:rPr>
                <w:noProof/>
                <w:webHidden/>
              </w:rPr>
              <w:fldChar w:fldCharType="begin"/>
            </w:r>
            <w:r>
              <w:rPr>
                <w:noProof/>
                <w:webHidden/>
              </w:rPr>
              <w:instrText xml:space="preserve"> PAGEREF _Toc197788636 \h </w:instrText>
            </w:r>
            <w:r>
              <w:rPr>
                <w:noProof/>
                <w:webHidden/>
              </w:rPr>
            </w:r>
            <w:r>
              <w:rPr>
                <w:noProof/>
                <w:webHidden/>
              </w:rPr>
              <w:fldChar w:fldCharType="separate"/>
            </w:r>
            <w:r>
              <w:rPr>
                <w:noProof/>
                <w:webHidden/>
              </w:rPr>
              <w:t>10</w:t>
            </w:r>
            <w:r>
              <w:rPr>
                <w:noProof/>
                <w:webHidden/>
              </w:rPr>
              <w:fldChar w:fldCharType="end"/>
            </w:r>
          </w:hyperlink>
        </w:p>
        <w:p w14:paraId="21C03F9A" w14:textId="7804D9C7" w:rsidR="00AF4C91" w:rsidRDefault="00AF4C91">
          <w:pPr>
            <w:pStyle w:val="TOC1"/>
            <w:tabs>
              <w:tab w:val="right" w:leader="dot" w:pos="9016"/>
            </w:tabs>
            <w:rPr>
              <w:rFonts w:asciiTheme="minorHAnsi" w:hAnsiTheme="minorHAnsi"/>
              <w:noProof/>
              <w:lang w:val="en-GB" w:eastAsia="en-GB"/>
            </w:rPr>
          </w:pPr>
          <w:hyperlink w:anchor="_Toc197788637" w:history="1">
            <w:r w:rsidRPr="00B37AFC">
              <w:rPr>
                <w:rStyle w:val="Hyperlink"/>
                <w:noProof/>
              </w:rPr>
              <w:t>Risk Assessment Mitigation</w:t>
            </w:r>
            <w:r>
              <w:rPr>
                <w:noProof/>
                <w:webHidden/>
              </w:rPr>
              <w:tab/>
            </w:r>
            <w:r>
              <w:rPr>
                <w:noProof/>
                <w:webHidden/>
              </w:rPr>
              <w:fldChar w:fldCharType="begin"/>
            </w:r>
            <w:r>
              <w:rPr>
                <w:noProof/>
                <w:webHidden/>
              </w:rPr>
              <w:instrText xml:space="preserve"> PAGEREF _Toc197788637 \h </w:instrText>
            </w:r>
            <w:r>
              <w:rPr>
                <w:noProof/>
                <w:webHidden/>
              </w:rPr>
            </w:r>
            <w:r>
              <w:rPr>
                <w:noProof/>
                <w:webHidden/>
              </w:rPr>
              <w:fldChar w:fldCharType="separate"/>
            </w:r>
            <w:r>
              <w:rPr>
                <w:noProof/>
                <w:webHidden/>
              </w:rPr>
              <w:t>11</w:t>
            </w:r>
            <w:r>
              <w:rPr>
                <w:noProof/>
                <w:webHidden/>
              </w:rPr>
              <w:fldChar w:fldCharType="end"/>
            </w:r>
          </w:hyperlink>
        </w:p>
        <w:p w14:paraId="6754B403" w14:textId="685588B6" w:rsidR="00AF4C91" w:rsidRDefault="00AF4C91">
          <w:pPr>
            <w:pStyle w:val="TOC1"/>
            <w:tabs>
              <w:tab w:val="right" w:leader="dot" w:pos="9016"/>
            </w:tabs>
            <w:rPr>
              <w:rFonts w:asciiTheme="minorHAnsi" w:hAnsiTheme="minorHAnsi"/>
              <w:noProof/>
              <w:lang w:val="en-GB" w:eastAsia="en-GB"/>
            </w:rPr>
          </w:pPr>
          <w:hyperlink w:anchor="_Toc197788638" w:history="1">
            <w:r w:rsidRPr="00B37AFC">
              <w:rPr>
                <w:rStyle w:val="Hyperlink"/>
                <w:noProof/>
              </w:rPr>
              <w:t>Conclusion &amp; recommendations</w:t>
            </w:r>
            <w:r>
              <w:rPr>
                <w:noProof/>
                <w:webHidden/>
              </w:rPr>
              <w:tab/>
            </w:r>
            <w:r>
              <w:rPr>
                <w:noProof/>
                <w:webHidden/>
              </w:rPr>
              <w:fldChar w:fldCharType="begin"/>
            </w:r>
            <w:r>
              <w:rPr>
                <w:noProof/>
                <w:webHidden/>
              </w:rPr>
              <w:instrText xml:space="preserve"> PAGEREF _Toc197788638 \h </w:instrText>
            </w:r>
            <w:r>
              <w:rPr>
                <w:noProof/>
                <w:webHidden/>
              </w:rPr>
            </w:r>
            <w:r>
              <w:rPr>
                <w:noProof/>
                <w:webHidden/>
              </w:rPr>
              <w:fldChar w:fldCharType="separate"/>
            </w:r>
            <w:r>
              <w:rPr>
                <w:noProof/>
                <w:webHidden/>
              </w:rPr>
              <w:t>12</w:t>
            </w:r>
            <w:r>
              <w:rPr>
                <w:noProof/>
                <w:webHidden/>
              </w:rPr>
              <w:fldChar w:fldCharType="end"/>
            </w:r>
          </w:hyperlink>
        </w:p>
        <w:p w14:paraId="378AB25A" w14:textId="295E4EFA" w:rsidR="00AF4C91" w:rsidRDefault="00AF4C91">
          <w:pPr>
            <w:pStyle w:val="TOC1"/>
            <w:tabs>
              <w:tab w:val="right" w:leader="dot" w:pos="9016"/>
            </w:tabs>
            <w:rPr>
              <w:rFonts w:asciiTheme="minorHAnsi" w:hAnsiTheme="minorHAnsi"/>
              <w:noProof/>
              <w:lang w:val="en-GB" w:eastAsia="en-GB"/>
            </w:rPr>
          </w:pPr>
          <w:hyperlink w:anchor="_Toc197788639" w:history="1">
            <w:r w:rsidRPr="00B37AFC">
              <w:rPr>
                <w:rStyle w:val="Hyperlink"/>
                <w:noProof/>
              </w:rPr>
              <w:t>References</w:t>
            </w:r>
            <w:r>
              <w:rPr>
                <w:noProof/>
                <w:webHidden/>
              </w:rPr>
              <w:tab/>
            </w:r>
            <w:r>
              <w:rPr>
                <w:noProof/>
                <w:webHidden/>
              </w:rPr>
              <w:fldChar w:fldCharType="begin"/>
            </w:r>
            <w:r>
              <w:rPr>
                <w:noProof/>
                <w:webHidden/>
              </w:rPr>
              <w:instrText xml:space="preserve"> PAGEREF _Toc197788639 \h </w:instrText>
            </w:r>
            <w:r>
              <w:rPr>
                <w:noProof/>
                <w:webHidden/>
              </w:rPr>
            </w:r>
            <w:r>
              <w:rPr>
                <w:noProof/>
                <w:webHidden/>
              </w:rPr>
              <w:fldChar w:fldCharType="separate"/>
            </w:r>
            <w:r>
              <w:rPr>
                <w:noProof/>
                <w:webHidden/>
              </w:rPr>
              <w:t>13</w:t>
            </w:r>
            <w:r>
              <w:rPr>
                <w:noProof/>
                <w:webHidden/>
              </w:rPr>
              <w:fldChar w:fldCharType="end"/>
            </w:r>
          </w:hyperlink>
        </w:p>
        <w:p w14:paraId="3A82CE85" w14:textId="5EE909AD" w:rsidR="00B43B0F" w:rsidRDefault="00B43B0F">
          <w:r>
            <w:rPr>
              <w:b/>
              <w:bCs/>
            </w:rPr>
            <w:fldChar w:fldCharType="end"/>
          </w:r>
        </w:p>
      </w:sdtContent>
    </w:sdt>
    <w:p w14:paraId="4BF70C89" w14:textId="6896385A" w:rsidR="00B43B0F" w:rsidRDefault="00B43B0F" w:rsidP="00B43B0F">
      <w:pPr>
        <w:rPr>
          <w:rFonts w:eastAsiaTheme="majorEastAsia" w:cstheme="majorBidi"/>
          <w:sz w:val="36"/>
          <w:szCs w:val="32"/>
        </w:rPr>
      </w:pPr>
    </w:p>
    <w:p w14:paraId="254816D6" w14:textId="77777777" w:rsidR="00FE5E46" w:rsidRDefault="00FE5E46" w:rsidP="00931EC1">
      <w:bookmarkStart w:id="0" w:name="_Toc197788630"/>
    </w:p>
    <w:p w14:paraId="08E97BF3" w14:textId="77777777" w:rsidR="00FE5E46" w:rsidRDefault="00FE5E46" w:rsidP="00931EC1"/>
    <w:p w14:paraId="69562675" w14:textId="77777777" w:rsidR="00FE5E46" w:rsidRDefault="00FE5E46" w:rsidP="00931EC1"/>
    <w:p w14:paraId="23585DE3" w14:textId="77777777" w:rsidR="00FE5E46" w:rsidRDefault="00FE5E46" w:rsidP="00931EC1"/>
    <w:p w14:paraId="4D430DDB" w14:textId="77777777" w:rsidR="00FE5E46" w:rsidRDefault="00FE5E46" w:rsidP="00931EC1"/>
    <w:p w14:paraId="20E5DCA0" w14:textId="77777777" w:rsidR="00FE5E46" w:rsidRDefault="00FE5E46" w:rsidP="00931EC1"/>
    <w:p w14:paraId="14BFBDFC" w14:textId="77777777" w:rsidR="00FE5E46" w:rsidRDefault="00FE5E46" w:rsidP="00931EC1"/>
    <w:p w14:paraId="54DF6656" w14:textId="77777777" w:rsidR="00FE5E46" w:rsidRDefault="00FE5E46" w:rsidP="00931EC1"/>
    <w:p w14:paraId="71497501" w14:textId="77777777" w:rsidR="00FE5E46" w:rsidRDefault="00FE5E46" w:rsidP="00931EC1"/>
    <w:p w14:paraId="5B1CBD1D" w14:textId="77777777" w:rsidR="00FE5E46" w:rsidRDefault="00FE5E46" w:rsidP="00931EC1"/>
    <w:p w14:paraId="41476A67" w14:textId="77777777" w:rsidR="00FE5E46" w:rsidRDefault="00FE5E46" w:rsidP="00931EC1"/>
    <w:p w14:paraId="35B5C99A" w14:textId="77777777" w:rsidR="00FE5E46" w:rsidRDefault="00FE5E46" w:rsidP="00931EC1"/>
    <w:p w14:paraId="70974243" w14:textId="77777777" w:rsidR="00FE5E46" w:rsidRDefault="00FE5E46" w:rsidP="00931EC1"/>
    <w:p w14:paraId="2A4BCA5B" w14:textId="77777777" w:rsidR="00FE5E46" w:rsidRDefault="00FE5E46" w:rsidP="00931EC1"/>
    <w:p w14:paraId="3CDDA8A6" w14:textId="77777777" w:rsidR="00FE5E46" w:rsidRDefault="00FE5E46" w:rsidP="00931EC1"/>
    <w:p w14:paraId="1BDD5647" w14:textId="1EF69BD1" w:rsidR="00931EC1" w:rsidRDefault="00931EC1" w:rsidP="00931EC1">
      <w:r>
        <w:t xml:space="preserve">I acknowledge the use of Grammarly (https://www.grammarly.com/) on </w:t>
      </w:r>
      <w:r w:rsidR="00D819F1">
        <w:t>20.May</w:t>
      </w:r>
      <w:r>
        <w:t xml:space="preserve"> 202</w:t>
      </w:r>
      <w:r w:rsidR="00FE5E46">
        <w:t>5</w:t>
      </w:r>
      <w:r>
        <w:t xml:space="preserve"> to check my work using the prompt(s): </w:t>
      </w:r>
    </w:p>
    <w:p w14:paraId="1543A1EF" w14:textId="77777777" w:rsidR="00931EC1" w:rsidRDefault="00931EC1" w:rsidP="00931EC1">
      <w:pPr>
        <w:pStyle w:val="ListParagraph"/>
        <w:numPr>
          <w:ilvl w:val="0"/>
          <w:numId w:val="8"/>
        </w:numPr>
        <w:spacing w:before="0" w:after="160"/>
      </w:pPr>
      <w:r>
        <w:t xml:space="preserve">Please check the following text for readability, grammar and syntax. </w:t>
      </w:r>
    </w:p>
    <w:p w14:paraId="5EA813E1" w14:textId="77777777" w:rsidR="00931EC1" w:rsidRDefault="00931EC1" w:rsidP="00931EC1">
      <w:pPr>
        <w:pStyle w:val="ListParagraph"/>
        <w:ind w:left="786"/>
      </w:pPr>
    </w:p>
    <w:p w14:paraId="710F9892" w14:textId="77777777" w:rsidR="00931EC1" w:rsidRDefault="00931EC1" w:rsidP="00931EC1">
      <w:pPr>
        <w:pStyle w:val="ListParagraph"/>
        <w:ind w:left="786"/>
      </w:pPr>
      <w:r>
        <w:t>I confirm that I have not presented any AI generated text as my own work. I confirm I have copies of my drafts, notes, and other resources I used before, and after the use of AI tools which I may be asked to provide in evidence.</w:t>
      </w:r>
    </w:p>
    <w:p w14:paraId="7E5D0036" w14:textId="77777777" w:rsidR="00931EC1" w:rsidRDefault="00931EC1" w:rsidP="00931EC1"/>
    <w:p w14:paraId="50DE1C77" w14:textId="2874571F" w:rsidR="00931EC1" w:rsidRDefault="00931EC1" w:rsidP="00931EC1">
      <w:r>
        <w:t xml:space="preserve">I acknowledge the use of Google Scholar on </w:t>
      </w:r>
      <w:r w:rsidR="00D819F1">
        <w:t>20.May</w:t>
      </w:r>
      <w:r>
        <w:t xml:space="preserve"> 202</w:t>
      </w:r>
      <w:r w:rsidR="00D819F1">
        <w:t>5</w:t>
      </w:r>
      <w:r>
        <w:t xml:space="preserve"> to check my work using the prompt(s):</w:t>
      </w:r>
    </w:p>
    <w:p w14:paraId="73F6DD04" w14:textId="77777777" w:rsidR="00931EC1" w:rsidRDefault="00931EC1" w:rsidP="00931EC1">
      <w:pPr>
        <w:pStyle w:val="ListParagraph"/>
        <w:numPr>
          <w:ilvl w:val="0"/>
          <w:numId w:val="7"/>
        </w:numPr>
        <w:spacing w:before="0" w:after="160"/>
      </w:pPr>
      <w:r>
        <w:t>Please check the following text for readability, grammar and syntax.</w:t>
      </w:r>
    </w:p>
    <w:p w14:paraId="6089CFD9" w14:textId="77777777" w:rsidR="00931EC1" w:rsidRDefault="00931EC1" w:rsidP="00931EC1">
      <w:pPr>
        <w:pStyle w:val="ListParagraph"/>
        <w:ind w:left="420"/>
      </w:pPr>
    </w:p>
    <w:p w14:paraId="21F7992B" w14:textId="77777777" w:rsidR="00931EC1" w:rsidRDefault="00931EC1" w:rsidP="00931EC1">
      <w:pPr>
        <w:pStyle w:val="ListParagraph"/>
        <w:ind w:left="420"/>
      </w:pPr>
      <w:r>
        <w:t xml:space="preserve"> I confirm that I have not presented any AI generated text as my own work. I confirm I have copies of my drafts, notes, and other resources I used before, and after the use of AI tools which I may be asked to provide in evidence.</w:t>
      </w:r>
    </w:p>
    <w:p w14:paraId="27E759CD" w14:textId="6045B8FD" w:rsidR="007E08EB" w:rsidRDefault="001A420C" w:rsidP="001A420C">
      <w:pPr>
        <w:pStyle w:val="Heading1"/>
      </w:pPr>
      <w:r>
        <w:lastRenderedPageBreak/>
        <w:t>Executive Summary</w:t>
      </w:r>
      <w:bookmarkEnd w:id="0"/>
      <w:r w:rsidR="00B43B0F">
        <w:t xml:space="preserve"> </w:t>
      </w:r>
      <w:r>
        <w:t xml:space="preserve"> </w:t>
      </w:r>
      <w:r w:rsidR="00F02EA3">
        <w:t xml:space="preserve"> </w:t>
      </w:r>
      <w:r w:rsidR="007E08EB">
        <w:t xml:space="preserve"> </w:t>
      </w:r>
      <w:r w:rsidR="001642DB">
        <w:t xml:space="preserve"> </w:t>
      </w:r>
    </w:p>
    <w:p w14:paraId="06B4509D" w14:textId="4B89A20C" w:rsidR="00274D58" w:rsidRDefault="007E08EB" w:rsidP="007E08EB">
      <w:r w:rsidRPr="007E08EB">
        <w:rPr>
          <w:noProof/>
          <w:lang w:val="en-US" w:eastAsia="en-US"/>
        </w:rPr>
        <w:drawing>
          <wp:inline distT="0" distB="0" distL="0" distR="0" wp14:anchorId="6A3D70EF" wp14:editId="0BFB877E">
            <wp:extent cx="5731510" cy="3228340"/>
            <wp:effectExtent l="0" t="0" r="0" b="0"/>
            <wp:docPr id="1616124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124386" name=""/>
                    <pic:cNvPicPr/>
                  </pic:nvPicPr>
                  <pic:blipFill>
                    <a:blip r:embed="rId8"/>
                    <a:stretch>
                      <a:fillRect/>
                    </a:stretch>
                  </pic:blipFill>
                  <pic:spPr>
                    <a:xfrm>
                      <a:off x="0" y="0"/>
                      <a:ext cx="5731510" cy="3228340"/>
                    </a:xfrm>
                    <a:prstGeom prst="rect">
                      <a:avLst/>
                    </a:prstGeom>
                  </pic:spPr>
                </pic:pic>
              </a:graphicData>
            </a:graphic>
          </wp:inline>
        </w:drawing>
      </w:r>
      <w:r>
        <w:t xml:space="preserve"> </w:t>
      </w:r>
      <w:r w:rsidR="00A76178">
        <w:t xml:space="preserve"> </w:t>
      </w:r>
    </w:p>
    <w:p w14:paraId="7D4F5DA6" w14:textId="2A3192A7" w:rsidR="001A420C" w:rsidRPr="001A420C" w:rsidRDefault="001A420C" w:rsidP="001A420C">
      <w:r w:rsidRPr="001A420C">
        <w:t>The Celtic Arts Revival: A Global Cultural Exchange Festival is an international arts affair to celebrate the vibrant cultural heritage of Wales and make sincere artistic links with other Celtic nations. At the home of the famous St Fagans National Museum of History, the festival will include both traditional and contemporary Welsh art shows and live folklore music, along with Celtic dance, storytelling and authentic workshops regarding crafts such as slate carving, knot designs and harp music.</w:t>
      </w:r>
    </w:p>
    <w:p w14:paraId="723EB2E0" w14:textId="34FCF040" w:rsidR="001A420C" w:rsidRPr="001A420C" w:rsidRDefault="001A420C" w:rsidP="001A420C">
      <w:r w:rsidRPr="001A420C">
        <w:t>The strategic objective for the festival is to support Welsh cultural identity within the larger Croeso 2025 initiative</w:t>
      </w:r>
      <w:r>
        <w:t>,</w:t>
      </w:r>
      <w:r w:rsidRPr="001A420C">
        <w:t xml:space="preserve"> which will further the positive image Wales has of itself as a leading cultural tourism destination in Europe. </w:t>
      </w:r>
      <w:r>
        <w:t>The event hopes to draw in the international art faithful, media and cultural bodies by designing a dynamic global cultural platform</w:t>
      </w:r>
      <w:r w:rsidRPr="001A420C">
        <w:t>.</w:t>
      </w:r>
    </w:p>
    <w:p w14:paraId="17AFEB91" w14:textId="36F1C494" w:rsidR="001A420C" w:rsidRDefault="001A420C" w:rsidP="001A420C">
      <w:r w:rsidRPr="001A420C">
        <w:t xml:space="preserve">Anticipated results are: greater global exposure of Welsh artists; increased intercultural connections within other Celtic domains; and local economic upgrading via tourism, sponsorship and media involvement – perpetuating </w:t>
      </w:r>
      <w:r>
        <w:t>long-term</w:t>
      </w:r>
      <w:r w:rsidRPr="001A420C">
        <w:t xml:space="preserve"> cultural and financial benefits.</w:t>
      </w:r>
      <w:r>
        <w:t xml:space="preserve"> </w:t>
      </w:r>
    </w:p>
    <w:p w14:paraId="063DC8B1" w14:textId="305E1E59" w:rsidR="001A420C" w:rsidRDefault="001A420C" w:rsidP="001A420C">
      <w:pPr>
        <w:pStyle w:val="Heading1"/>
      </w:pPr>
      <w:bookmarkStart w:id="1" w:name="_Toc197788631"/>
      <w:r>
        <w:lastRenderedPageBreak/>
        <w:t>Introduction</w:t>
      </w:r>
      <w:bookmarkEnd w:id="1"/>
      <w:r>
        <w:t xml:space="preserve"> </w:t>
      </w:r>
      <w:r w:rsidR="007E08EB">
        <w:t xml:space="preserve"> </w:t>
      </w:r>
    </w:p>
    <w:p w14:paraId="2CFF1BF6" w14:textId="4C58EBB1" w:rsidR="007E08EB" w:rsidRPr="007E08EB" w:rsidRDefault="007E08EB" w:rsidP="007E08EB">
      <w:r w:rsidRPr="007E08EB">
        <w:rPr>
          <w:noProof/>
          <w:lang w:val="en-US" w:eastAsia="en-US"/>
        </w:rPr>
        <w:drawing>
          <wp:inline distT="0" distB="0" distL="0" distR="0" wp14:anchorId="4DB190FE" wp14:editId="4B566476">
            <wp:extent cx="5731510" cy="3209290"/>
            <wp:effectExtent l="0" t="0" r="0" b="0"/>
            <wp:docPr id="1502789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789199" name=""/>
                    <pic:cNvPicPr/>
                  </pic:nvPicPr>
                  <pic:blipFill>
                    <a:blip r:embed="rId9"/>
                    <a:stretch>
                      <a:fillRect/>
                    </a:stretch>
                  </pic:blipFill>
                  <pic:spPr>
                    <a:xfrm>
                      <a:off x="0" y="0"/>
                      <a:ext cx="5731510" cy="3209290"/>
                    </a:xfrm>
                    <a:prstGeom prst="rect">
                      <a:avLst/>
                    </a:prstGeom>
                  </pic:spPr>
                </pic:pic>
              </a:graphicData>
            </a:graphic>
          </wp:inline>
        </w:drawing>
      </w:r>
      <w:r>
        <w:t xml:space="preserve"> </w:t>
      </w:r>
    </w:p>
    <w:p w14:paraId="44504793" w14:textId="77777777" w:rsidR="003D1866" w:rsidRDefault="003D1866" w:rsidP="003D1866">
      <w:r w:rsidRPr="003D1866">
        <w:t>This presentation analy</w:t>
      </w:r>
      <w:r>
        <w:t>s</w:t>
      </w:r>
      <w:r w:rsidRPr="003D1866">
        <w:t xml:space="preserve">es the feasibility study of The Celtic Arts Revival: A Global Cultural Exchange Festival, an international festival that is meant to </w:t>
      </w:r>
      <w:r>
        <w:t>honour</w:t>
      </w:r>
      <w:r w:rsidRPr="003D1866">
        <w:t xml:space="preserve"> and market Wales' rich cultural heritage through its traditional and contemporary art forms. The study encompasses four major points: event context and content, market, operational feasibility, and financial feasibility. It considers the festival's strategic objectives, its main activities like exhibitions, performances, and workshops, and how it can encourage cultural exchange with other Celtic countries. The study also examines the target market, demand in the market, competition, and marketing strategies to entice local and global visitors. Operational dimension includes venue appropriateness, resource needs, and staffing for effective execution. Lastly, the financial viability checks estimated costs, strategies for generating revenues, and sources of funding to ensure the event is financially sustainable. At this point </w:t>
      </w:r>
      <w:r>
        <w:t>in</w:t>
      </w:r>
      <w:r w:rsidRPr="003D1866">
        <w:t xml:space="preserve"> this presentation, we shall know the potential contribution of the event </w:t>
      </w:r>
      <w:r>
        <w:t>to</w:t>
      </w:r>
      <w:r w:rsidRPr="003D1866">
        <w:t xml:space="preserve"> Wales' cultural tourism and economy.</w:t>
      </w:r>
      <w:r>
        <w:t xml:space="preserve">  </w:t>
      </w:r>
    </w:p>
    <w:p w14:paraId="34838B5A" w14:textId="2A4F6E89" w:rsidR="001A420C" w:rsidRDefault="001A420C" w:rsidP="003D1866">
      <w:r>
        <w:br w:type="page"/>
      </w:r>
    </w:p>
    <w:p w14:paraId="3371FDC0" w14:textId="0FDA905F" w:rsidR="001A420C" w:rsidRDefault="001A420C" w:rsidP="001A420C">
      <w:pPr>
        <w:pStyle w:val="Heading1"/>
      </w:pPr>
      <w:bookmarkStart w:id="2" w:name="_Toc197788632"/>
      <w:r w:rsidRPr="001A420C">
        <w:lastRenderedPageBreak/>
        <w:t>Event Content and Context</w:t>
      </w:r>
      <w:bookmarkEnd w:id="2"/>
      <w:r>
        <w:t xml:space="preserve"> </w:t>
      </w:r>
    </w:p>
    <w:p w14:paraId="40A4B3D5" w14:textId="2212AA8E" w:rsidR="007E08EB" w:rsidRPr="007E08EB" w:rsidRDefault="007E08EB" w:rsidP="007E08EB">
      <w:r w:rsidRPr="007E08EB">
        <w:rPr>
          <w:noProof/>
          <w:lang w:val="en-US" w:eastAsia="en-US"/>
        </w:rPr>
        <w:drawing>
          <wp:inline distT="0" distB="0" distL="0" distR="0" wp14:anchorId="2F1CA908" wp14:editId="48D4AD8C">
            <wp:extent cx="5731510" cy="3183255"/>
            <wp:effectExtent l="0" t="0" r="0" b="0"/>
            <wp:docPr id="1787819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819656" name=""/>
                    <pic:cNvPicPr/>
                  </pic:nvPicPr>
                  <pic:blipFill>
                    <a:blip r:embed="rId10"/>
                    <a:stretch>
                      <a:fillRect/>
                    </a:stretch>
                  </pic:blipFill>
                  <pic:spPr>
                    <a:xfrm>
                      <a:off x="0" y="0"/>
                      <a:ext cx="5731510" cy="3183255"/>
                    </a:xfrm>
                    <a:prstGeom prst="rect">
                      <a:avLst/>
                    </a:prstGeom>
                  </pic:spPr>
                </pic:pic>
              </a:graphicData>
            </a:graphic>
          </wp:inline>
        </w:drawing>
      </w:r>
      <w:r>
        <w:t xml:space="preserve"> </w:t>
      </w:r>
    </w:p>
    <w:p w14:paraId="45156987" w14:textId="737E1321" w:rsidR="004647D1" w:rsidRDefault="004647D1" w:rsidP="004647D1">
      <w:pPr>
        <w:pStyle w:val="ListParagraph"/>
        <w:numPr>
          <w:ilvl w:val="0"/>
          <w:numId w:val="1"/>
        </w:numPr>
      </w:pPr>
      <w:r>
        <w:t>Introduction: International arts festival promoting Welsh and Celtic heritage</w:t>
      </w:r>
      <w:r w:rsidR="00A76178">
        <w:t xml:space="preserve"> (</w:t>
      </w:r>
      <w:r w:rsidR="00A76178" w:rsidRPr="00A76178">
        <w:t>Rhodes, 2021</w:t>
      </w:r>
      <w:r w:rsidR="00A76178">
        <w:t>)</w:t>
      </w:r>
      <w:r w:rsidR="00A76178" w:rsidRPr="00A76178">
        <w:t>.</w:t>
      </w:r>
    </w:p>
    <w:p w14:paraId="436BD21E" w14:textId="77777777" w:rsidR="004647D1" w:rsidRDefault="004647D1" w:rsidP="004647D1">
      <w:pPr>
        <w:pStyle w:val="ListParagraph"/>
        <w:numPr>
          <w:ilvl w:val="0"/>
          <w:numId w:val="1"/>
        </w:numPr>
      </w:pPr>
      <w:r>
        <w:t>Theme: Welsh culture celebration through contemporary and traditional arts.</w:t>
      </w:r>
    </w:p>
    <w:p w14:paraId="3BD61738" w14:textId="77777777" w:rsidR="004647D1" w:rsidRDefault="004647D1" w:rsidP="004647D1">
      <w:pPr>
        <w:pStyle w:val="ListParagraph"/>
        <w:numPr>
          <w:ilvl w:val="0"/>
          <w:numId w:val="1"/>
        </w:numPr>
      </w:pPr>
      <w:r>
        <w:t>Objectives: Encourage Welsh identity, develop international arts exchange, and enhance cultural tourism.</w:t>
      </w:r>
    </w:p>
    <w:p w14:paraId="4C884C71" w14:textId="7EFFD126" w:rsidR="004647D1" w:rsidRDefault="004647D1" w:rsidP="004647D1">
      <w:pPr>
        <w:pStyle w:val="ListParagraph"/>
        <w:numPr>
          <w:ilvl w:val="0"/>
          <w:numId w:val="1"/>
        </w:numPr>
      </w:pPr>
      <w:r>
        <w:t>Core Activities: Art exhibition, live traditional music, Celtic dance, storytelling, and craft activities</w:t>
      </w:r>
      <w:r w:rsidR="00A76178">
        <w:t xml:space="preserve"> (</w:t>
      </w:r>
      <w:r w:rsidR="00A76178" w:rsidRPr="00A76178">
        <w:t>Beresford, 2023</w:t>
      </w:r>
      <w:r w:rsidR="00A76178">
        <w:t>).</w:t>
      </w:r>
    </w:p>
    <w:p w14:paraId="35549C92" w14:textId="5DEAC532" w:rsidR="001A420C" w:rsidRPr="001A420C" w:rsidRDefault="004647D1" w:rsidP="004647D1">
      <w:pPr>
        <w:pStyle w:val="ListParagraph"/>
        <w:numPr>
          <w:ilvl w:val="0"/>
          <w:numId w:val="1"/>
        </w:numPr>
      </w:pPr>
      <w:r>
        <w:t xml:space="preserve">Cultural Exchange: Performances by Irish, Scottish, Breton, and Galician artists. </w:t>
      </w:r>
    </w:p>
    <w:p w14:paraId="1D9A2CD3" w14:textId="041EFDC3" w:rsidR="001A420C" w:rsidRPr="004647D1" w:rsidRDefault="004647D1" w:rsidP="004647D1">
      <w:pPr>
        <w:rPr>
          <w:b/>
          <w:bCs/>
        </w:rPr>
      </w:pPr>
      <w:r w:rsidRPr="004647D1">
        <w:rPr>
          <w:b/>
          <w:bCs/>
        </w:rPr>
        <w:t xml:space="preserve">Notes: </w:t>
      </w:r>
      <w:r>
        <w:rPr>
          <w:b/>
          <w:bCs/>
        </w:rPr>
        <w:t xml:space="preserve"> </w:t>
      </w:r>
      <w:r w:rsidR="003D1866">
        <w:rPr>
          <w:b/>
          <w:bCs/>
        </w:rPr>
        <w:t xml:space="preserve">  </w:t>
      </w:r>
    </w:p>
    <w:p w14:paraId="4CCB2B30" w14:textId="03CC587D" w:rsidR="004647D1" w:rsidRDefault="004647D1" w:rsidP="004647D1">
      <w:r w:rsidRPr="004647D1">
        <w:t xml:space="preserve">The Celtic Arts Revival: Global Cultural Exchange Festival is a worldwide celebration of Welsh and wider Celtic heritage in the form of traditional and modern art forms. Based on the concept of cultural pride and exchange, the festival is designed to advance Welsh identity as well as establish global links. Major goals include the promotion of the richness of Welsh arts, the development of cultural tourism, and collaboration between Celtic nations. Main activities will comprise displays of traditional and contemporary Welsh art, live shows of folklore dance </w:t>
      </w:r>
      <w:r w:rsidRPr="004647D1">
        <w:lastRenderedPageBreak/>
        <w:t>and music, storytelling, and practical workshops in ancient crafts. The festival also focuses on global cultural exchange through artists from Ireland, Scotland, Brittany, and Galicia.</w:t>
      </w:r>
      <w:r>
        <w:t xml:space="preserve">  </w:t>
      </w:r>
    </w:p>
    <w:p w14:paraId="206B033C" w14:textId="3ADC9CF9" w:rsidR="004647D1" w:rsidRDefault="004647D1" w:rsidP="004647D1">
      <w:pPr>
        <w:pStyle w:val="Heading1"/>
      </w:pPr>
      <w:bookmarkStart w:id="3" w:name="_Toc197788633"/>
      <w:r>
        <w:t>Market Analysis</w:t>
      </w:r>
      <w:bookmarkEnd w:id="3"/>
      <w:r>
        <w:t xml:space="preserve">  </w:t>
      </w:r>
    </w:p>
    <w:p w14:paraId="72DE7E99" w14:textId="301FF213" w:rsidR="00AA4B9B" w:rsidRPr="00AA4B9B" w:rsidRDefault="00AA4B9B" w:rsidP="00AA4B9B">
      <w:r w:rsidRPr="00AA4B9B">
        <w:rPr>
          <w:noProof/>
          <w:lang w:val="en-US" w:eastAsia="en-US"/>
        </w:rPr>
        <w:drawing>
          <wp:inline distT="0" distB="0" distL="0" distR="0" wp14:anchorId="4489F275" wp14:editId="7BA2D059">
            <wp:extent cx="5731510" cy="3241040"/>
            <wp:effectExtent l="0" t="0" r="0" b="0"/>
            <wp:docPr id="2039296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296461" name=""/>
                    <pic:cNvPicPr/>
                  </pic:nvPicPr>
                  <pic:blipFill>
                    <a:blip r:embed="rId11"/>
                    <a:stretch>
                      <a:fillRect/>
                    </a:stretch>
                  </pic:blipFill>
                  <pic:spPr>
                    <a:xfrm>
                      <a:off x="0" y="0"/>
                      <a:ext cx="5731510" cy="3241040"/>
                    </a:xfrm>
                    <a:prstGeom prst="rect">
                      <a:avLst/>
                    </a:prstGeom>
                  </pic:spPr>
                </pic:pic>
              </a:graphicData>
            </a:graphic>
          </wp:inline>
        </w:drawing>
      </w:r>
      <w:r>
        <w:t xml:space="preserve"> </w:t>
      </w:r>
    </w:p>
    <w:p w14:paraId="716AC40D" w14:textId="5FD882FC" w:rsidR="004647D1" w:rsidRDefault="004647D1" w:rsidP="004647D1">
      <w:pPr>
        <w:pStyle w:val="ListParagraph"/>
        <w:numPr>
          <w:ilvl w:val="0"/>
          <w:numId w:val="2"/>
        </w:numPr>
      </w:pPr>
      <w:r>
        <w:t>Target Market: Global art lovers, cultural travellers, educational institutions, and media experts</w:t>
      </w:r>
      <w:r w:rsidR="00A76178">
        <w:t xml:space="preserve"> (</w:t>
      </w:r>
      <w:r w:rsidR="00A76178" w:rsidRPr="00A76178">
        <w:t>Alnasser and Yi,</w:t>
      </w:r>
      <w:r w:rsidR="00A76178">
        <w:t xml:space="preserve"> </w:t>
      </w:r>
      <w:r w:rsidR="00A76178" w:rsidRPr="00A76178">
        <w:t>2023</w:t>
      </w:r>
      <w:r w:rsidR="00A76178">
        <w:t>).</w:t>
      </w:r>
    </w:p>
    <w:p w14:paraId="23E6D230" w14:textId="20A3C69E" w:rsidR="004647D1" w:rsidRDefault="004647D1" w:rsidP="004647D1">
      <w:pPr>
        <w:pStyle w:val="ListParagraph"/>
        <w:numPr>
          <w:ilvl w:val="0"/>
          <w:numId w:val="2"/>
        </w:numPr>
      </w:pPr>
      <w:r>
        <w:t>Demand Potential: Increased international demand for cultural tourism and heritage-themed art festivals.</w:t>
      </w:r>
    </w:p>
    <w:p w14:paraId="691A3BA6" w14:textId="77777777" w:rsidR="004647D1" w:rsidRDefault="004647D1" w:rsidP="004647D1">
      <w:pPr>
        <w:pStyle w:val="ListParagraph"/>
        <w:numPr>
          <w:ilvl w:val="0"/>
          <w:numId w:val="2"/>
        </w:numPr>
      </w:pPr>
      <w:r>
        <w:t>Competitive Environment: Competing events in Scotland, Ireland, and Brittany offer indirect competition.</w:t>
      </w:r>
    </w:p>
    <w:p w14:paraId="655DDC68" w14:textId="38134B42" w:rsidR="004647D1" w:rsidRDefault="004647D1" w:rsidP="004647D1">
      <w:pPr>
        <w:pStyle w:val="ListParagraph"/>
        <w:numPr>
          <w:ilvl w:val="0"/>
          <w:numId w:val="2"/>
        </w:numPr>
      </w:pPr>
      <w:r>
        <w:t>Marketing Plan: Online promotions, tourism board collaborations, influencer marketing, and selective media coverage to create maximum global awareness and engagement</w:t>
      </w:r>
      <w:r w:rsidR="00A76178">
        <w:t xml:space="preserve"> (</w:t>
      </w:r>
      <w:r w:rsidR="00A76178" w:rsidRPr="00A76178">
        <w:t>Kilipiri,</w:t>
      </w:r>
      <w:r w:rsidR="00A76178">
        <w:t xml:space="preserve"> </w:t>
      </w:r>
      <w:r w:rsidR="00A76178" w:rsidRPr="00A76178">
        <w:t>Papaioannou, and Kotzaivazoglou, 2023</w:t>
      </w:r>
      <w:r w:rsidR="00A76178">
        <w:t>).</w:t>
      </w:r>
    </w:p>
    <w:p w14:paraId="276624FF" w14:textId="7A01090B" w:rsidR="004647D1" w:rsidRPr="003D24D8" w:rsidRDefault="003D24D8" w:rsidP="004647D1">
      <w:pPr>
        <w:rPr>
          <w:b/>
          <w:bCs/>
        </w:rPr>
      </w:pPr>
      <w:r w:rsidRPr="003D24D8">
        <w:rPr>
          <w:b/>
          <w:bCs/>
        </w:rPr>
        <w:t xml:space="preserve">Notes: </w:t>
      </w:r>
      <w:r>
        <w:rPr>
          <w:b/>
          <w:bCs/>
        </w:rPr>
        <w:t xml:space="preserve"> </w:t>
      </w:r>
    </w:p>
    <w:p w14:paraId="3DE8A3DB" w14:textId="14C4DF10" w:rsidR="003D24D8" w:rsidRDefault="003D24D8" w:rsidP="004647D1">
      <w:r w:rsidRPr="003D24D8">
        <w:t xml:space="preserve">The Celtic Arts Revival festival aims to reach a broad audience that includes foreign art lovers, culture tourists, educational institutions, and members of the media. The increasing demand for cultural tourism and true heritage-based experiences around the globe makes the festival extremely relevant and timely. Although such events are found in other Celtic nations like </w:t>
      </w:r>
      <w:r w:rsidRPr="003D24D8">
        <w:lastRenderedPageBreak/>
        <w:t>Scotland, Ireland, and Brittany, the festival stands out in its exclusive focus on Wales and cross-Celtic cooperation. To achieve maximum outreach, marketing will involve electronic promotions, social media efforts, coalition building with the cultural tourism boards, influencer involvement, and strategic media alliances designed to gain worldwide attention and increased attendance.</w:t>
      </w:r>
      <w:r>
        <w:t xml:space="preserve">  </w:t>
      </w:r>
    </w:p>
    <w:p w14:paraId="3796BC80" w14:textId="77FF3E94" w:rsidR="003D24D8" w:rsidRDefault="003D24D8" w:rsidP="003D24D8">
      <w:pPr>
        <w:pStyle w:val="Heading1"/>
      </w:pPr>
      <w:bookmarkStart w:id="4" w:name="_Toc197788634"/>
      <w:r w:rsidRPr="003D24D8">
        <w:t>Operational Feasibility</w:t>
      </w:r>
      <w:bookmarkEnd w:id="4"/>
      <w:r w:rsidRPr="003D24D8">
        <w:t xml:space="preserve"> </w:t>
      </w:r>
      <w:r>
        <w:t xml:space="preserve"> </w:t>
      </w:r>
      <w:r w:rsidR="00AA4B9B">
        <w:t xml:space="preserve"> </w:t>
      </w:r>
    </w:p>
    <w:p w14:paraId="16822920" w14:textId="1A7399DB" w:rsidR="00AA4B9B" w:rsidRPr="00AA4B9B" w:rsidRDefault="00AA4B9B" w:rsidP="00AA4B9B">
      <w:r w:rsidRPr="00AA4B9B">
        <w:rPr>
          <w:noProof/>
          <w:lang w:val="en-US" w:eastAsia="en-US"/>
        </w:rPr>
        <w:drawing>
          <wp:inline distT="0" distB="0" distL="0" distR="0" wp14:anchorId="1B3C115E" wp14:editId="3D44FB90">
            <wp:extent cx="5731510" cy="3246755"/>
            <wp:effectExtent l="0" t="0" r="0" b="0"/>
            <wp:docPr id="1631224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224573" name=""/>
                    <pic:cNvPicPr/>
                  </pic:nvPicPr>
                  <pic:blipFill>
                    <a:blip r:embed="rId12"/>
                    <a:stretch>
                      <a:fillRect/>
                    </a:stretch>
                  </pic:blipFill>
                  <pic:spPr>
                    <a:xfrm>
                      <a:off x="0" y="0"/>
                      <a:ext cx="5731510" cy="3246755"/>
                    </a:xfrm>
                    <a:prstGeom prst="rect">
                      <a:avLst/>
                    </a:prstGeom>
                  </pic:spPr>
                </pic:pic>
              </a:graphicData>
            </a:graphic>
          </wp:inline>
        </w:drawing>
      </w:r>
      <w:r>
        <w:t xml:space="preserve"> </w:t>
      </w:r>
    </w:p>
    <w:p w14:paraId="1D403CCC" w14:textId="77777777" w:rsidR="003D24D8" w:rsidRDefault="003D24D8" w:rsidP="003D24D8">
      <w:pPr>
        <w:pStyle w:val="ListParagraph"/>
        <w:numPr>
          <w:ilvl w:val="0"/>
          <w:numId w:val="3"/>
        </w:numPr>
      </w:pPr>
      <w:r>
        <w:t>Venue Description: St Fagans is a living museum of Welsh heritage.</w:t>
      </w:r>
    </w:p>
    <w:p w14:paraId="0F5887B5" w14:textId="7C2648D6" w:rsidR="003D24D8" w:rsidRDefault="003D24D8" w:rsidP="003D24D8">
      <w:pPr>
        <w:pStyle w:val="ListParagraph"/>
        <w:numPr>
          <w:ilvl w:val="0"/>
          <w:numId w:val="3"/>
        </w:numPr>
      </w:pPr>
      <w:r>
        <w:t>Availability &amp; Suitability: Suitable for cultural events; large, historically significant, and open to the public</w:t>
      </w:r>
      <w:r w:rsidR="00B43B0F">
        <w:t xml:space="preserve"> (</w:t>
      </w:r>
      <w:r w:rsidR="00B43B0F" w:rsidRPr="00B43B0F">
        <w:t>Purchla, 2022</w:t>
      </w:r>
      <w:r w:rsidR="00B43B0F">
        <w:t>)</w:t>
      </w:r>
    </w:p>
    <w:p w14:paraId="05D80EE8" w14:textId="0C9F87EB" w:rsidR="003D24D8" w:rsidRDefault="003D24D8" w:rsidP="003D24D8">
      <w:pPr>
        <w:pStyle w:val="ListParagraph"/>
        <w:numPr>
          <w:ilvl w:val="0"/>
          <w:numId w:val="3"/>
        </w:numPr>
      </w:pPr>
      <w:r>
        <w:t>Requirements: Sufficient lighting, seating, parking lot, and on-site/out-of-house catering.</w:t>
      </w:r>
    </w:p>
    <w:p w14:paraId="0F5F9388" w14:textId="0BC4310C" w:rsidR="004647D1" w:rsidRDefault="003D24D8" w:rsidP="003D24D8">
      <w:pPr>
        <w:pStyle w:val="ListParagraph"/>
        <w:numPr>
          <w:ilvl w:val="0"/>
          <w:numId w:val="3"/>
        </w:numPr>
      </w:pPr>
      <w:r>
        <w:t>Personnel Requirements: Experienced event coordinators, technical staff, artists, workshop organisers, interpreters, and cultural coordinators for effective implementation</w:t>
      </w:r>
      <w:r w:rsidR="00B43B0F">
        <w:t xml:space="preserve"> (</w:t>
      </w:r>
      <w:r w:rsidR="00B43B0F" w:rsidRPr="00B43B0F">
        <w:t>Allen, Harris</w:t>
      </w:r>
      <w:r w:rsidR="00B43B0F">
        <w:t>,</w:t>
      </w:r>
      <w:r w:rsidR="00B43B0F" w:rsidRPr="00B43B0F">
        <w:t xml:space="preserve"> and Jago, 2022</w:t>
      </w:r>
      <w:r w:rsidR="00B43B0F">
        <w:t>)</w:t>
      </w:r>
      <w:r w:rsidR="00B43B0F" w:rsidRPr="00B43B0F">
        <w:t>.</w:t>
      </w:r>
    </w:p>
    <w:p w14:paraId="0993641E" w14:textId="4F5220D8" w:rsidR="003D24D8" w:rsidRPr="003D24D8" w:rsidRDefault="003D24D8" w:rsidP="003D24D8">
      <w:pPr>
        <w:rPr>
          <w:b/>
          <w:bCs/>
        </w:rPr>
      </w:pPr>
      <w:r w:rsidRPr="003D24D8">
        <w:rPr>
          <w:b/>
          <w:bCs/>
        </w:rPr>
        <w:t xml:space="preserve">Notes: </w:t>
      </w:r>
    </w:p>
    <w:p w14:paraId="7825350F" w14:textId="093D5D3A" w:rsidR="003D24D8" w:rsidRDefault="003D24D8" w:rsidP="003D24D8">
      <w:r w:rsidRPr="003D24D8">
        <w:t xml:space="preserve">St Fagans National Museum of History is a very appropriate location for the Celtic Arts Revival Festival, providing a realistic and engaging environment that is in tandem with the event's cultural theme. The location is large, historically important, and publicly accessible. It is </w:t>
      </w:r>
      <w:r w:rsidRPr="003D24D8">
        <w:lastRenderedPageBreak/>
        <w:t>capable of accommodating the festival's logistical requirements, such as lighting, seating, parking, and catering facilities. Operational success will demand an efficient team, such as qualified event managers, technical support staff, artists, workshop facilitators, and interpreters to communicate with international participants. The availability and infrastructure of the venue render it a perfect site to hold a large-scale, culturally oriented international arts festival.</w:t>
      </w:r>
      <w:r>
        <w:t xml:space="preserve">  </w:t>
      </w:r>
    </w:p>
    <w:p w14:paraId="116B4860" w14:textId="40525DF3" w:rsidR="003D24D8" w:rsidRDefault="003D24D8" w:rsidP="00B43B0F">
      <w:pPr>
        <w:pStyle w:val="Heading1"/>
      </w:pPr>
      <w:bookmarkStart w:id="5" w:name="_Toc197788635"/>
      <w:r>
        <w:t>Financial Feasibility</w:t>
      </w:r>
      <w:bookmarkEnd w:id="5"/>
      <w:r>
        <w:t xml:space="preserve"> </w:t>
      </w:r>
      <w:r w:rsidR="00B43B0F">
        <w:t xml:space="preserve"> </w:t>
      </w:r>
      <w:r w:rsidR="00AA4B9B">
        <w:t xml:space="preserve"> </w:t>
      </w:r>
    </w:p>
    <w:p w14:paraId="7DF8AE5A" w14:textId="59CC83FD" w:rsidR="00AA4B9B" w:rsidRPr="00AA4B9B" w:rsidRDefault="00AA4B9B" w:rsidP="00AA4B9B">
      <w:r w:rsidRPr="00AA4B9B">
        <w:rPr>
          <w:noProof/>
          <w:lang w:val="en-US" w:eastAsia="en-US"/>
        </w:rPr>
        <w:drawing>
          <wp:inline distT="0" distB="0" distL="0" distR="0" wp14:anchorId="6DE348FD" wp14:editId="526DCFDF">
            <wp:extent cx="5731510" cy="3266440"/>
            <wp:effectExtent l="0" t="0" r="0" b="0"/>
            <wp:docPr id="1952739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739523" name=""/>
                    <pic:cNvPicPr/>
                  </pic:nvPicPr>
                  <pic:blipFill>
                    <a:blip r:embed="rId13"/>
                    <a:stretch>
                      <a:fillRect/>
                    </a:stretch>
                  </pic:blipFill>
                  <pic:spPr>
                    <a:xfrm>
                      <a:off x="0" y="0"/>
                      <a:ext cx="5731510" cy="3266440"/>
                    </a:xfrm>
                    <a:prstGeom prst="rect">
                      <a:avLst/>
                    </a:prstGeom>
                  </pic:spPr>
                </pic:pic>
              </a:graphicData>
            </a:graphic>
          </wp:inline>
        </w:drawing>
      </w:r>
      <w:r>
        <w:t xml:space="preserve"> </w:t>
      </w:r>
    </w:p>
    <w:tbl>
      <w:tblPr>
        <w:tblStyle w:val="GridTable4-Accent6"/>
        <w:tblW w:w="9745" w:type="dxa"/>
        <w:tblLook w:val="04A0" w:firstRow="1" w:lastRow="0" w:firstColumn="1" w:lastColumn="0" w:noHBand="0" w:noVBand="1"/>
      </w:tblPr>
      <w:tblGrid>
        <w:gridCol w:w="2347"/>
        <w:gridCol w:w="7398"/>
      </w:tblGrid>
      <w:tr w:rsidR="003D24D8" w:rsidRPr="003D24D8" w14:paraId="7C983B02" w14:textId="77777777" w:rsidTr="00A76967">
        <w:trPr>
          <w:cnfStyle w:val="100000000000" w:firstRow="1" w:lastRow="0" w:firstColumn="0" w:lastColumn="0" w:oddVBand="0" w:evenVBand="0" w:oddHBand="0"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0" w:type="auto"/>
            <w:hideMark/>
          </w:tcPr>
          <w:p w14:paraId="5E5AC8D6" w14:textId="77777777" w:rsidR="003D24D8" w:rsidRPr="003D24D8" w:rsidRDefault="003D24D8" w:rsidP="003D24D8">
            <w:pPr>
              <w:rPr>
                <w:lang w:val="en-GB"/>
              </w:rPr>
            </w:pPr>
            <w:r w:rsidRPr="003D24D8">
              <w:rPr>
                <w:lang w:val="en-GB"/>
              </w:rPr>
              <w:t>Category</w:t>
            </w:r>
          </w:p>
        </w:tc>
        <w:tc>
          <w:tcPr>
            <w:tcW w:w="0" w:type="auto"/>
            <w:hideMark/>
          </w:tcPr>
          <w:p w14:paraId="5BD7B06D" w14:textId="77777777" w:rsidR="003D24D8" w:rsidRPr="003D24D8" w:rsidRDefault="003D24D8" w:rsidP="003D24D8">
            <w:pPr>
              <w:cnfStyle w:val="100000000000" w:firstRow="1" w:lastRow="0" w:firstColumn="0" w:lastColumn="0" w:oddVBand="0" w:evenVBand="0" w:oddHBand="0" w:evenHBand="0" w:firstRowFirstColumn="0" w:firstRowLastColumn="0" w:lastRowFirstColumn="0" w:lastRowLastColumn="0"/>
              <w:rPr>
                <w:lang w:val="en-GB"/>
              </w:rPr>
            </w:pPr>
            <w:r w:rsidRPr="003D24D8">
              <w:rPr>
                <w:lang w:val="en-GB"/>
              </w:rPr>
              <w:t>Details</w:t>
            </w:r>
          </w:p>
        </w:tc>
      </w:tr>
      <w:tr w:rsidR="003D24D8" w:rsidRPr="003D24D8" w14:paraId="04BE633A" w14:textId="77777777" w:rsidTr="00A76967">
        <w:trPr>
          <w:cnfStyle w:val="000000100000" w:firstRow="0" w:lastRow="0" w:firstColumn="0" w:lastColumn="0" w:oddVBand="0" w:evenVBand="0" w:oddHBand="1" w:evenHBand="0" w:firstRowFirstColumn="0" w:firstRowLastColumn="0" w:lastRowFirstColumn="0" w:lastRowLastColumn="0"/>
          <w:trHeight w:val="971"/>
        </w:trPr>
        <w:tc>
          <w:tcPr>
            <w:cnfStyle w:val="001000000000" w:firstRow="0" w:lastRow="0" w:firstColumn="1" w:lastColumn="0" w:oddVBand="0" w:evenVBand="0" w:oddHBand="0" w:evenHBand="0" w:firstRowFirstColumn="0" w:firstRowLastColumn="0" w:lastRowFirstColumn="0" w:lastRowLastColumn="0"/>
            <w:tcW w:w="0" w:type="auto"/>
            <w:hideMark/>
          </w:tcPr>
          <w:p w14:paraId="771CADC4" w14:textId="77777777" w:rsidR="003D24D8" w:rsidRPr="003D24D8" w:rsidRDefault="003D24D8" w:rsidP="003D24D8">
            <w:pPr>
              <w:rPr>
                <w:lang w:val="en-GB"/>
              </w:rPr>
            </w:pPr>
            <w:r w:rsidRPr="003D24D8">
              <w:rPr>
                <w:lang w:val="en-GB"/>
              </w:rPr>
              <w:t>Estimated Budget Overview</w:t>
            </w:r>
          </w:p>
        </w:tc>
        <w:tc>
          <w:tcPr>
            <w:tcW w:w="0" w:type="auto"/>
            <w:hideMark/>
          </w:tcPr>
          <w:p w14:paraId="224323BA" w14:textId="77777777" w:rsidR="003D24D8" w:rsidRPr="003D24D8" w:rsidRDefault="003D24D8" w:rsidP="003D24D8">
            <w:pPr>
              <w:cnfStyle w:val="000000100000" w:firstRow="0" w:lastRow="0" w:firstColumn="0" w:lastColumn="0" w:oddVBand="0" w:evenVBand="0" w:oddHBand="1" w:evenHBand="0" w:firstRowFirstColumn="0" w:firstRowLastColumn="0" w:lastRowFirstColumn="0" w:lastRowLastColumn="0"/>
              <w:rPr>
                <w:lang w:val="en-GB"/>
              </w:rPr>
            </w:pPr>
            <w:r w:rsidRPr="003D24D8">
              <w:rPr>
                <w:lang w:val="en-GB"/>
              </w:rPr>
              <w:t>Total Estimated Cost: £150,000 (including logistics, marketing, staff, etc.)</w:t>
            </w:r>
          </w:p>
        </w:tc>
      </w:tr>
      <w:tr w:rsidR="003D24D8" w:rsidRPr="003D24D8" w14:paraId="03CB51F8" w14:textId="77777777" w:rsidTr="00A76967">
        <w:trPr>
          <w:trHeight w:val="2162"/>
        </w:trPr>
        <w:tc>
          <w:tcPr>
            <w:cnfStyle w:val="001000000000" w:firstRow="0" w:lastRow="0" w:firstColumn="1" w:lastColumn="0" w:oddVBand="0" w:evenVBand="0" w:oddHBand="0" w:evenHBand="0" w:firstRowFirstColumn="0" w:firstRowLastColumn="0" w:lastRowFirstColumn="0" w:lastRowLastColumn="0"/>
            <w:tcW w:w="0" w:type="auto"/>
            <w:hideMark/>
          </w:tcPr>
          <w:p w14:paraId="16F15495" w14:textId="77777777" w:rsidR="003D24D8" w:rsidRPr="003D24D8" w:rsidRDefault="003D24D8" w:rsidP="003D24D8">
            <w:pPr>
              <w:rPr>
                <w:lang w:val="en-GB"/>
              </w:rPr>
            </w:pPr>
            <w:r w:rsidRPr="003D24D8">
              <w:rPr>
                <w:lang w:val="en-GB"/>
              </w:rPr>
              <w:t>Income and Expenditure Table</w:t>
            </w:r>
          </w:p>
        </w:tc>
        <w:tc>
          <w:tcPr>
            <w:tcW w:w="0" w:type="auto"/>
            <w:hideMark/>
          </w:tcPr>
          <w:p w14:paraId="15EBAE17" w14:textId="2DFE2B15" w:rsidR="003D24D8" w:rsidRDefault="003D24D8" w:rsidP="003D24D8">
            <w:pPr>
              <w:cnfStyle w:val="000000000000" w:firstRow="0" w:lastRow="0" w:firstColumn="0" w:lastColumn="0" w:oddVBand="0" w:evenVBand="0" w:oddHBand="0" w:evenHBand="0" w:firstRowFirstColumn="0" w:firstRowLastColumn="0" w:lastRowFirstColumn="0" w:lastRowLastColumn="0"/>
              <w:rPr>
                <w:lang w:val="en-GB"/>
              </w:rPr>
            </w:pPr>
            <w:r w:rsidRPr="003D24D8">
              <w:rPr>
                <w:b/>
                <w:bCs/>
                <w:lang w:val="en-GB"/>
              </w:rPr>
              <w:t>Income:</w:t>
            </w:r>
            <w:r>
              <w:rPr>
                <w:b/>
                <w:bCs/>
                <w:lang w:val="en-GB"/>
              </w:rPr>
              <w:t xml:space="preserve"> </w:t>
            </w:r>
            <w:r w:rsidRPr="003D24D8">
              <w:rPr>
                <w:lang w:val="en-GB"/>
              </w:rPr>
              <w:t>Ticket Sales: £60,000</w:t>
            </w:r>
            <w:r>
              <w:rPr>
                <w:lang w:val="en-GB"/>
              </w:rPr>
              <w:t xml:space="preserve">, </w:t>
            </w:r>
            <w:r w:rsidRPr="003D24D8">
              <w:rPr>
                <w:lang w:val="en-GB"/>
              </w:rPr>
              <w:t>Sponsorships: £40,000</w:t>
            </w:r>
            <w:r>
              <w:rPr>
                <w:lang w:val="en-GB"/>
              </w:rPr>
              <w:t xml:space="preserve">, </w:t>
            </w:r>
            <w:r w:rsidRPr="003D24D8">
              <w:rPr>
                <w:lang w:val="en-GB"/>
              </w:rPr>
              <w:t>Grants: £30,000• Vendor Fees: £20,000</w:t>
            </w:r>
          </w:p>
          <w:p w14:paraId="4346878F" w14:textId="3746D8B8" w:rsidR="003D24D8" w:rsidRPr="003D24D8" w:rsidRDefault="003D24D8" w:rsidP="003D24D8">
            <w:pPr>
              <w:cnfStyle w:val="000000000000" w:firstRow="0" w:lastRow="0" w:firstColumn="0" w:lastColumn="0" w:oddVBand="0" w:evenVBand="0" w:oddHBand="0" w:evenHBand="0" w:firstRowFirstColumn="0" w:firstRowLastColumn="0" w:lastRowFirstColumn="0" w:lastRowLastColumn="0"/>
              <w:rPr>
                <w:lang w:val="en-GB"/>
              </w:rPr>
            </w:pPr>
            <w:r w:rsidRPr="003D24D8">
              <w:rPr>
                <w:b/>
                <w:bCs/>
                <w:lang w:val="en-GB"/>
              </w:rPr>
              <w:t>Expenditure:</w:t>
            </w:r>
            <w:r w:rsidRPr="003D24D8">
              <w:rPr>
                <w:lang w:val="en-GB"/>
              </w:rPr>
              <w:t xml:space="preserve"> Venue &amp; Logistics: £50,000</w:t>
            </w:r>
            <w:r>
              <w:rPr>
                <w:lang w:val="en-GB"/>
              </w:rPr>
              <w:t xml:space="preserve">, </w:t>
            </w:r>
            <w:r w:rsidRPr="003D24D8">
              <w:rPr>
                <w:lang w:val="en-GB"/>
              </w:rPr>
              <w:t>Staff &amp; Talent: £40,000 Marketing: £30,000</w:t>
            </w:r>
            <w:r>
              <w:rPr>
                <w:lang w:val="en-GB"/>
              </w:rPr>
              <w:t xml:space="preserve">, </w:t>
            </w:r>
            <w:r w:rsidRPr="003D24D8">
              <w:rPr>
                <w:lang w:val="en-GB"/>
              </w:rPr>
              <w:t>Materials &amp; Resources: £20,000</w:t>
            </w:r>
            <w:r>
              <w:rPr>
                <w:lang w:val="en-GB"/>
              </w:rPr>
              <w:t xml:space="preserve">, </w:t>
            </w:r>
            <w:r w:rsidRPr="003D24D8">
              <w:rPr>
                <w:lang w:val="en-GB"/>
              </w:rPr>
              <w:t>Miscellaneous: £10,000</w:t>
            </w:r>
          </w:p>
        </w:tc>
      </w:tr>
      <w:tr w:rsidR="003D24D8" w:rsidRPr="003D24D8" w14:paraId="520A3750" w14:textId="77777777" w:rsidTr="00A76967">
        <w:trPr>
          <w:cnfStyle w:val="000000100000" w:firstRow="0" w:lastRow="0" w:firstColumn="0" w:lastColumn="0" w:oddVBand="0" w:evenVBand="0" w:oddHBand="1" w:evenHBand="0" w:firstRowFirstColumn="0" w:firstRowLastColumn="0" w:lastRowFirstColumn="0" w:lastRowLastColumn="0"/>
          <w:trHeight w:val="971"/>
        </w:trPr>
        <w:tc>
          <w:tcPr>
            <w:cnfStyle w:val="001000000000" w:firstRow="0" w:lastRow="0" w:firstColumn="1" w:lastColumn="0" w:oddVBand="0" w:evenVBand="0" w:oddHBand="0" w:evenHBand="0" w:firstRowFirstColumn="0" w:firstRowLastColumn="0" w:lastRowFirstColumn="0" w:lastRowLastColumn="0"/>
            <w:tcW w:w="0" w:type="auto"/>
            <w:hideMark/>
          </w:tcPr>
          <w:p w14:paraId="2A14427B" w14:textId="77777777" w:rsidR="003D24D8" w:rsidRPr="003D24D8" w:rsidRDefault="003D24D8" w:rsidP="003D24D8">
            <w:pPr>
              <w:rPr>
                <w:lang w:val="en-GB"/>
              </w:rPr>
            </w:pPr>
            <w:r w:rsidRPr="003D24D8">
              <w:rPr>
                <w:lang w:val="en-GB"/>
              </w:rPr>
              <w:lastRenderedPageBreak/>
              <w:t>Funding Sources</w:t>
            </w:r>
          </w:p>
        </w:tc>
        <w:tc>
          <w:tcPr>
            <w:tcW w:w="0" w:type="auto"/>
            <w:hideMark/>
          </w:tcPr>
          <w:p w14:paraId="664722AD" w14:textId="6B35E5B3" w:rsidR="003D24D8" w:rsidRPr="003D24D8" w:rsidRDefault="003D24D8" w:rsidP="003D24D8">
            <w:pPr>
              <w:cnfStyle w:val="000000100000" w:firstRow="0" w:lastRow="0" w:firstColumn="0" w:lastColumn="0" w:oddVBand="0" w:evenVBand="0" w:oddHBand="1" w:evenHBand="0" w:firstRowFirstColumn="0" w:firstRowLastColumn="0" w:lastRowFirstColumn="0" w:lastRowLastColumn="0"/>
              <w:rPr>
                <w:lang w:val="en-GB"/>
              </w:rPr>
            </w:pPr>
            <w:r w:rsidRPr="003D24D8">
              <w:rPr>
                <w:lang w:val="en-GB"/>
              </w:rPr>
              <w:t xml:space="preserve">Government cultural grants, private sponsorships, ticket revenue, </w:t>
            </w:r>
            <w:r w:rsidR="00A76967">
              <w:rPr>
                <w:lang w:val="en-GB"/>
              </w:rPr>
              <w:t xml:space="preserve">and </w:t>
            </w:r>
            <w:r w:rsidRPr="003D24D8">
              <w:rPr>
                <w:lang w:val="en-GB"/>
              </w:rPr>
              <w:t>vendor fees</w:t>
            </w:r>
          </w:p>
        </w:tc>
      </w:tr>
      <w:tr w:rsidR="003D24D8" w:rsidRPr="003D24D8" w14:paraId="6EFFFC58" w14:textId="77777777" w:rsidTr="00A76967">
        <w:trPr>
          <w:trHeight w:val="948"/>
        </w:trPr>
        <w:tc>
          <w:tcPr>
            <w:cnfStyle w:val="001000000000" w:firstRow="0" w:lastRow="0" w:firstColumn="1" w:lastColumn="0" w:oddVBand="0" w:evenVBand="0" w:oddHBand="0" w:evenHBand="0" w:firstRowFirstColumn="0" w:firstRowLastColumn="0" w:lastRowFirstColumn="0" w:lastRowLastColumn="0"/>
            <w:tcW w:w="0" w:type="auto"/>
            <w:hideMark/>
          </w:tcPr>
          <w:p w14:paraId="6CF8EA8D" w14:textId="77777777" w:rsidR="003D24D8" w:rsidRPr="003D24D8" w:rsidRDefault="003D24D8" w:rsidP="003D24D8">
            <w:pPr>
              <w:rPr>
                <w:lang w:val="en-GB"/>
              </w:rPr>
            </w:pPr>
            <w:r w:rsidRPr="003D24D8">
              <w:rPr>
                <w:lang w:val="en-GB"/>
              </w:rPr>
              <w:t>Revenue Generation Strategy</w:t>
            </w:r>
          </w:p>
        </w:tc>
        <w:tc>
          <w:tcPr>
            <w:tcW w:w="0" w:type="auto"/>
            <w:hideMark/>
          </w:tcPr>
          <w:p w14:paraId="244B120B" w14:textId="77777777" w:rsidR="003D24D8" w:rsidRPr="003D24D8" w:rsidRDefault="003D24D8" w:rsidP="003D24D8">
            <w:pPr>
              <w:cnfStyle w:val="000000000000" w:firstRow="0" w:lastRow="0" w:firstColumn="0" w:lastColumn="0" w:oddVBand="0" w:evenVBand="0" w:oddHBand="0" w:evenHBand="0" w:firstRowFirstColumn="0" w:firstRowLastColumn="0" w:lastRowFirstColumn="0" w:lastRowLastColumn="0"/>
              <w:rPr>
                <w:lang w:val="en-GB"/>
              </w:rPr>
            </w:pPr>
            <w:r w:rsidRPr="003D24D8">
              <w:rPr>
                <w:lang w:val="en-GB"/>
              </w:rPr>
              <w:t>Tiered ticket pricing, early bird discounts, exclusive art sales, sponsored branding</w:t>
            </w:r>
          </w:p>
        </w:tc>
      </w:tr>
    </w:tbl>
    <w:p w14:paraId="148BE866" w14:textId="77777777" w:rsidR="003D24D8" w:rsidRDefault="003D24D8" w:rsidP="003D24D8">
      <w:pPr>
        <w:rPr>
          <w:lang w:val="en-GB"/>
        </w:rPr>
      </w:pPr>
    </w:p>
    <w:p w14:paraId="4EA00CDE" w14:textId="24FF174F" w:rsidR="00A76967" w:rsidRDefault="00A76967" w:rsidP="003D24D8">
      <w:pPr>
        <w:rPr>
          <w:b/>
          <w:bCs/>
        </w:rPr>
      </w:pPr>
      <w:r w:rsidRPr="00A76967">
        <w:rPr>
          <w:b/>
          <w:bCs/>
        </w:rPr>
        <w:t>Notes:</w:t>
      </w:r>
      <w:r>
        <w:rPr>
          <w:b/>
          <w:bCs/>
        </w:rPr>
        <w:t xml:space="preserve"> </w:t>
      </w:r>
    </w:p>
    <w:p w14:paraId="225E8E45" w14:textId="1D510D93" w:rsidR="00A76967" w:rsidRDefault="00A76967" w:rsidP="00A76967">
      <w:r>
        <w:t xml:space="preserve">The economic viability of the Celtic Arts Revival Festival is assured through a balanced budget and varied revenue streams. The projected total expense is £150,000, allocated to venue arrangements, personnel, advertising, and supplies. Foreseen revenue comprises £60,000 in ticket sales, £40,000 in sponsorship, £30,000 in grants from government cultural funds, and £20,000 in fees from vendors. The festival is intended to stay in the black through strategic revenue streams, including tiered ticket prices, early bird discounts, and sponsored brand exposure. Through proper financial management and robust funding streams, the festival will either break even or be in surplus, providing both economic viability and cultural relevance. </w:t>
      </w:r>
    </w:p>
    <w:p w14:paraId="2CF1ECEB" w14:textId="581AD095" w:rsidR="00A76967" w:rsidRDefault="00A76967">
      <w:pPr>
        <w:spacing w:before="0" w:after="160" w:line="259" w:lineRule="auto"/>
        <w:jc w:val="left"/>
      </w:pPr>
      <w:r>
        <w:br w:type="page"/>
      </w:r>
    </w:p>
    <w:p w14:paraId="17C0BC79" w14:textId="5E65CD4F" w:rsidR="00A76967" w:rsidRDefault="00A76967" w:rsidP="00A76967">
      <w:pPr>
        <w:pStyle w:val="Heading1"/>
      </w:pPr>
      <w:bookmarkStart w:id="6" w:name="_Toc197788636"/>
      <w:r w:rsidRPr="00A76967">
        <w:lastRenderedPageBreak/>
        <w:t>Strategic Importance and Impact</w:t>
      </w:r>
      <w:bookmarkEnd w:id="6"/>
      <w:r>
        <w:t xml:space="preserve"> </w:t>
      </w:r>
      <w:r w:rsidR="0066633C">
        <w:t xml:space="preserve"> </w:t>
      </w:r>
    </w:p>
    <w:p w14:paraId="5947A6D4" w14:textId="5CDB9DCF" w:rsidR="0066633C" w:rsidRPr="0066633C" w:rsidRDefault="0066633C" w:rsidP="0066633C">
      <w:r w:rsidRPr="0066633C">
        <w:rPr>
          <w:noProof/>
          <w:lang w:val="en-US" w:eastAsia="en-US"/>
        </w:rPr>
        <w:drawing>
          <wp:inline distT="0" distB="0" distL="0" distR="0" wp14:anchorId="0CE33F01" wp14:editId="322F54F9">
            <wp:extent cx="5731510" cy="3253105"/>
            <wp:effectExtent l="0" t="0" r="0" b="0"/>
            <wp:docPr id="1191598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598001" name=""/>
                    <pic:cNvPicPr/>
                  </pic:nvPicPr>
                  <pic:blipFill>
                    <a:blip r:embed="rId14"/>
                    <a:stretch>
                      <a:fillRect/>
                    </a:stretch>
                  </pic:blipFill>
                  <pic:spPr>
                    <a:xfrm>
                      <a:off x="0" y="0"/>
                      <a:ext cx="5731510" cy="3253105"/>
                    </a:xfrm>
                    <a:prstGeom prst="rect">
                      <a:avLst/>
                    </a:prstGeom>
                  </pic:spPr>
                </pic:pic>
              </a:graphicData>
            </a:graphic>
          </wp:inline>
        </w:drawing>
      </w:r>
      <w:r>
        <w:t xml:space="preserve"> </w:t>
      </w:r>
    </w:p>
    <w:p w14:paraId="7F93370F" w14:textId="77777777" w:rsidR="003D1866" w:rsidRDefault="003D1866" w:rsidP="003D1866">
      <w:pPr>
        <w:pStyle w:val="ListParagraph"/>
        <w:numPr>
          <w:ilvl w:val="0"/>
          <w:numId w:val="4"/>
        </w:numPr>
      </w:pPr>
      <w:r>
        <w:t>Alignment with Croeso 2025: Aids the initiative by promoting Welsh culture and heritage.</w:t>
      </w:r>
    </w:p>
    <w:p w14:paraId="1809B585" w14:textId="237DA096" w:rsidR="003D1866" w:rsidRDefault="003D1866" w:rsidP="003D1866">
      <w:pPr>
        <w:pStyle w:val="ListParagraph"/>
        <w:numPr>
          <w:ilvl w:val="0"/>
          <w:numId w:val="4"/>
        </w:numPr>
      </w:pPr>
      <w:r>
        <w:t>Cultural Benefits: Enhances Welsh identity and supports international cultural cooperation</w:t>
      </w:r>
      <w:r w:rsidR="00B43B0F">
        <w:t xml:space="preserve"> (</w:t>
      </w:r>
      <w:r w:rsidR="00B43B0F" w:rsidRPr="00B43B0F">
        <w:t xml:space="preserve">Bonfert, </w:t>
      </w:r>
      <w:r w:rsidR="00B43B0F">
        <w:t>2</w:t>
      </w:r>
      <w:r w:rsidR="00B43B0F" w:rsidRPr="00B43B0F">
        <w:t>022</w:t>
      </w:r>
      <w:r w:rsidR="00B43B0F">
        <w:t>).</w:t>
      </w:r>
    </w:p>
    <w:p w14:paraId="67284981" w14:textId="77777777" w:rsidR="003D1866" w:rsidRDefault="003D1866" w:rsidP="003D1866">
      <w:pPr>
        <w:pStyle w:val="ListParagraph"/>
        <w:numPr>
          <w:ilvl w:val="0"/>
          <w:numId w:val="4"/>
        </w:numPr>
      </w:pPr>
      <w:r>
        <w:t>Economic Impact: Increases tourism income, aids local artists, and generates international media interest.</w:t>
      </w:r>
    </w:p>
    <w:p w14:paraId="41F7A51F" w14:textId="27CFA08F" w:rsidR="00A76967" w:rsidRDefault="003D1866" w:rsidP="003D1866">
      <w:pPr>
        <w:pStyle w:val="ListParagraph"/>
        <w:numPr>
          <w:ilvl w:val="0"/>
          <w:numId w:val="4"/>
        </w:numPr>
      </w:pPr>
      <w:r>
        <w:t>Tourism Positioning: Position Wales as a top cultural tourism destination in Europe by engaging with high-profile international parties</w:t>
      </w:r>
      <w:r w:rsidR="00B43B0F">
        <w:t xml:space="preserve"> (</w:t>
      </w:r>
      <w:r w:rsidR="00B43B0F" w:rsidRPr="00B43B0F">
        <w:t>Crowther, Westwood, and Langridge-Thomas, 2021</w:t>
      </w:r>
      <w:r w:rsidR="00B43B0F">
        <w:t>).</w:t>
      </w:r>
    </w:p>
    <w:p w14:paraId="3D278C8B" w14:textId="70818E18" w:rsidR="003D1866" w:rsidRPr="003D1866" w:rsidRDefault="003D1866" w:rsidP="003D1866">
      <w:pPr>
        <w:rPr>
          <w:b/>
          <w:bCs/>
        </w:rPr>
      </w:pPr>
      <w:r w:rsidRPr="003D1866">
        <w:rPr>
          <w:b/>
          <w:bCs/>
        </w:rPr>
        <w:t xml:space="preserve">Notes: </w:t>
      </w:r>
      <w:r>
        <w:rPr>
          <w:b/>
          <w:bCs/>
        </w:rPr>
        <w:t xml:space="preserve"> </w:t>
      </w:r>
    </w:p>
    <w:p w14:paraId="047E2056" w14:textId="60CA7F77" w:rsidR="003D1866" w:rsidRPr="0066633C" w:rsidRDefault="003D1866" w:rsidP="0066633C">
      <w:r>
        <w:t xml:space="preserve">The Celtic Arts Revival Festival has great strategic importance by being highly aligned with the objectives of the Croeso 2025 campaign, which will celebrate and enhance Welsh culture on a global platform. The festival promotes Welsh identity while creating cultural exchange with the other Celtic countries. It provides long-term cultural advantages by bringing more exposure for local artists and promoting international co-operation. Economically, the event will be expected to stimulate cultural tourism, attract media attention, and drive local expenditure. By hosting an international high-profile festival, Wales enhances its reputation as </w:t>
      </w:r>
      <w:r>
        <w:lastRenderedPageBreak/>
        <w:t xml:space="preserve">a major cultural tourism destination in Europe, attracting future events, visitors, and investment. </w:t>
      </w:r>
      <w:r w:rsidR="0066633C">
        <w:t xml:space="preserve"> </w:t>
      </w:r>
    </w:p>
    <w:p w14:paraId="0807EAAD" w14:textId="3D5BD2A7" w:rsidR="003D1866" w:rsidRDefault="003D1866" w:rsidP="003D1866">
      <w:pPr>
        <w:pStyle w:val="Heading1"/>
      </w:pPr>
      <w:bookmarkStart w:id="7" w:name="_Toc197788637"/>
      <w:r>
        <w:t>Risk Assessment Mitigation</w:t>
      </w:r>
      <w:bookmarkEnd w:id="7"/>
      <w:r>
        <w:t xml:space="preserve"> </w:t>
      </w:r>
      <w:r w:rsidR="00B43B0F">
        <w:t xml:space="preserve"> </w:t>
      </w:r>
    </w:p>
    <w:p w14:paraId="3D0AE5FA" w14:textId="34364166" w:rsidR="00B43B0F" w:rsidRPr="00B43B0F" w:rsidRDefault="00AF4C91" w:rsidP="00B43B0F">
      <w:r w:rsidRPr="00AF4C91">
        <w:rPr>
          <w:noProof/>
          <w:lang w:val="en-US" w:eastAsia="en-US"/>
        </w:rPr>
        <w:drawing>
          <wp:inline distT="0" distB="0" distL="0" distR="0" wp14:anchorId="69FE7F10" wp14:editId="057C3D7F">
            <wp:extent cx="5731510" cy="3254375"/>
            <wp:effectExtent l="0" t="0" r="0" b="0"/>
            <wp:docPr id="172123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23921" name=""/>
                    <pic:cNvPicPr/>
                  </pic:nvPicPr>
                  <pic:blipFill>
                    <a:blip r:embed="rId15"/>
                    <a:stretch>
                      <a:fillRect/>
                    </a:stretch>
                  </pic:blipFill>
                  <pic:spPr>
                    <a:xfrm>
                      <a:off x="0" y="0"/>
                      <a:ext cx="5731510" cy="3254375"/>
                    </a:xfrm>
                    <a:prstGeom prst="rect">
                      <a:avLst/>
                    </a:prstGeom>
                  </pic:spPr>
                </pic:pic>
              </a:graphicData>
            </a:graphic>
          </wp:inline>
        </w:drawing>
      </w:r>
      <w:r>
        <w:t xml:space="preserve">  </w:t>
      </w:r>
    </w:p>
    <w:p w14:paraId="158A91C9" w14:textId="62066D9A" w:rsidR="003D1866" w:rsidRDefault="003D1866" w:rsidP="003D1866">
      <w:pPr>
        <w:pStyle w:val="ListParagraph"/>
        <w:numPr>
          <w:ilvl w:val="0"/>
          <w:numId w:val="5"/>
        </w:numPr>
      </w:pPr>
      <w:r>
        <w:t>Key Risks: Weather interferences (since portions of the event take place outside), logistical issues in managing international participants, and fewer-than-projected attendees</w:t>
      </w:r>
      <w:r w:rsidR="00B43B0F">
        <w:t xml:space="preserve"> (</w:t>
      </w:r>
      <w:r w:rsidR="00B43B0F" w:rsidRPr="00B43B0F">
        <w:t>Dounavi</w:t>
      </w:r>
      <w:r w:rsidR="00B43B0F">
        <w:t xml:space="preserve"> et al, 2022). </w:t>
      </w:r>
    </w:p>
    <w:p w14:paraId="3742EEF2" w14:textId="1D83F9D7" w:rsidR="003D1866" w:rsidRDefault="003D1866" w:rsidP="003D1866">
      <w:pPr>
        <w:pStyle w:val="ListParagraph"/>
        <w:numPr>
          <w:ilvl w:val="0"/>
          <w:numId w:val="5"/>
        </w:numPr>
      </w:pPr>
      <w:r>
        <w:t>Contingency Planning: Have backup indoor facilities secured, create a comprehensive logistics timeline, and have flexible ticketing and aggressive pre-event marketing. Real-time communication systems and incident response teams on-site will manage unanticipated concerns effectively during the festival</w:t>
      </w:r>
      <w:r w:rsidR="00B43B0F">
        <w:t xml:space="preserve"> (</w:t>
      </w:r>
      <w:r w:rsidR="00B43B0F" w:rsidRPr="00B43B0F">
        <w:t>Aktepe</w:t>
      </w:r>
      <w:r w:rsidR="00B43B0F">
        <w:t xml:space="preserve"> </w:t>
      </w:r>
      <w:r w:rsidR="00B43B0F" w:rsidRPr="00B43B0F">
        <w:t>and Demirci, 2024</w:t>
      </w:r>
      <w:r w:rsidR="00B43B0F">
        <w:t>).</w:t>
      </w:r>
    </w:p>
    <w:p w14:paraId="2C8459DC" w14:textId="57FA6E98" w:rsidR="003D1866" w:rsidRPr="003D1866" w:rsidRDefault="003D1866" w:rsidP="003D1866">
      <w:pPr>
        <w:rPr>
          <w:b/>
          <w:bCs/>
        </w:rPr>
      </w:pPr>
      <w:r w:rsidRPr="003D1866">
        <w:rPr>
          <w:b/>
          <w:bCs/>
        </w:rPr>
        <w:t xml:space="preserve">Notes: </w:t>
      </w:r>
    </w:p>
    <w:p w14:paraId="2F81999C" w14:textId="262282D6" w:rsidR="00B43B0F" w:rsidRPr="00AF4C91" w:rsidRDefault="003D1866" w:rsidP="00AF4C91">
      <w:r>
        <w:t xml:space="preserve">The Celtic Arts Revival Festival is threatened by several critical risks that can affect its success. Inclement weather interruption, especially to outdoor events, is a potential threat, as are logistical complications in arranging foreign artists and attendees. Furthermore, turnout may lag behind expectations if promotional activities fail to engage the desired market segments. To counter these risks, contingency plans involve making indoor areas backup weather options, having a solid logistics plan in place, and providing flexible tickets. Pre-event promotion will </w:t>
      </w:r>
      <w:r>
        <w:lastRenderedPageBreak/>
        <w:t xml:space="preserve">be increased to drive high turnout, and real-time communication systems and on-site crisis management teams will be available to handle any issues that may develop. </w:t>
      </w:r>
      <w:r w:rsidR="00AF4C91">
        <w:t xml:space="preserve"> </w:t>
      </w:r>
    </w:p>
    <w:p w14:paraId="07B6831F" w14:textId="23819643" w:rsidR="003D1866" w:rsidRDefault="003D1866" w:rsidP="003D1866">
      <w:pPr>
        <w:pStyle w:val="Heading1"/>
      </w:pPr>
      <w:bookmarkStart w:id="8" w:name="_Toc197788638"/>
      <w:r>
        <w:t>Conclusion &amp; recommendations</w:t>
      </w:r>
      <w:bookmarkEnd w:id="8"/>
      <w:r>
        <w:t xml:space="preserve"> </w:t>
      </w:r>
      <w:r w:rsidR="00B43B0F">
        <w:t xml:space="preserve"> </w:t>
      </w:r>
      <w:r w:rsidR="0066633C">
        <w:t xml:space="preserve"> </w:t>
      </w:r>
    </w:p>
    <w:p w14:paraId="4BFECFCF" w14:textId="6B8B66C9" w:rsidR="0066633C" w:rsidRPr="0066633C" w:rsidRDefault="0066633C" w:rsidP="0066633C">
      <w:r w:rsidRPr="0066633C">
        <w:rPr>
          <w:noProof/>
          <w:lang w:val="en-US" w:eastAsia="en-US"/>
        </w:rPr>
        <w:drawing>
          <wp:inline distT="0" distB="0" distL="0" distR="0" wp14:anchorId="54465D9E" wp14:editId="5E367DF7">
            <wp:extent cx="5731510" cy="3208655"/>
            <wp:effectExtent l="0" t="0" r="0" b="0"/>
            <wp:docPr id="1922808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808994" name=""/>
                    <pic:cNvPicPr/>
                  </pic:nvPicPr>
                  <pic:blipFill>
                    <a:blip r:embed="rId16"/>
                    <a:stretch>
                      <a:fillRect/>
                    </a:stretch>
                  </pic:blipFill>
                  <pic:spPr>
                    <a:xfrm>
                      <a:off x="0" y="0"/>
                      <a:ext cx="5731510" cy="3208655"/>
                    </a:xfrm>
                    <a:prstGeom prst="rect">
                      <a:avLst/>
                    </a:prstGeom>
                  </pic:spPr>
                </pic:pic>
              </a:graphicData>
            </a:graphic>
          </wp:inline>
        </w:drawing>
      </w:r>
      <w:r>
        <w:t xml:space="preserve"> </w:t>
      </w:r>
    </w:p>
    <w:p w14:paraId="5432CD80" w14:textId="2D23423E" w:rsidR="003D1866" w:rsidRDefault="003D1866" w:rsidP="003D1866">
      <w:r>
        <w:t xml:space="preserve">The Celtic Arts Revival Festival offers a strong and viable means to promote Welsh cultural heritage on the global platform with cross-Celtic collaboration. The event's strategic alignment with the Croeso 2025 initiative and the potential for promoting both cultural recognition and economic prosperity make it a major cultural benchmark for Wales. The budget estimated, varied sources of funding, and strong revenue-generating strategies in the form of ticket sales, sponsorship, and vendor charges ensure that the festival can be managed financially.   </w:t>
      </w:r>
    </w:p>
    <w:p w14:paraId="4AFFCC0C" w14:textId="77777777" w:rsidR="003D1866" w:rsidRDefault="003D1866" w:rsidP="003D1866">
      <w:r>
        <w:t>Major risks like weather interference and logistical inconvenience can be overcome through contingency planning, and the long-term gains of the expected outcomes of the event—increased international visibility, greater cultural relations, and tourism—will benefit Wales long-term.</w:t>
      </w:r>
    </w:p>
    <w:p w14:paraId="111B5091" w14:textId="63D76A8F" w:rsidR="00B43B0F" w:rsidRPr="0066633C" w:rsidRDefault="003D1866" w:rsidP="0066633C">
      <w:r>
        <w:t xml:space="preserve">Future planning and implementation steps include completing partnerships with sponsors and cultural institutions, obtaining required permits and resources, and launching marketing campaigns. Coordination with vendors, artists, and logistical teams must also be started early </w:t>
      </w:r>
      <w:r>
        <w:lastRenderedPageBreak/>
        <w:t>to enable easy execution. A detailed timeline and risk management plan must be created to ensure the success of the festival.</w:t>
      </w:r>
      <w:r w:rsidR="0066633C">
        <w:t xml:space="preserve"> </w:t>
      </w:r>
    </w:p>
    <w:p w14:paraId="4EA4B29D" w14:textId="6D773439" w:rsidR="003D1866" w:rsidRDefault="003D1866" w:rsidP="003D1866">
      <w:pPr>
        <w:pStyle w:val="Heading1"/>
      </w:pPr>
      <w:bookmarkStart w:id="9" w:name="_Toc197788639"/>
      <w:r>
        <w:t>References</w:t>
      </w:r>
      <w:bookmarkEnd w:id="9"/>
      <w:r>
        <w:t xml:space="preserve"> </w:t>
      </w:r>
    </w:p>
    <w:p w14:paraId="7836391D" w14:textId="52BA85E9" w:rsidR="0066633C" w:rsidRPr="0066633C" w:rsidRDefault="0066633C" w:rsidP="0066633C">
      <w:r w:rsidRPr="0066633C">
        <w:rPr>
          <w:noProof/>
          <w:lang w:val="en-US" w:eastAsia="en-US"/>
        </w:rPr>
        <w:drawing>
          <wp:inline distT="0" distB="0" distL="0" distR="0" wp14:anchorId="23DFE66F" wp14:editId="333D5389">
            <wp:extent cx="5731510" cy="3222625"/>
            <wp:effectExtent l="0" t="0" r="0" b="0"/>
            <wp:docPr id="815570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570063" name=""/>
                    <pic:cNvPicPr/>
                  </pic:nvPicPr>
                  <pic:blipFill>
                    <a:blip r:embed="rId17"/>
                    <a:stretch>
                      <a:fillRect/>
                    </a:stretch>
                  </pic:blipFill>
                  <pic:spPr>
                    <a:xfrm>
                      <a:off x="0" y="0"/>
                      <a:ext cx="5731510" cy="3222625"/>
                    </a:xfrm>
                    <a:prstGeom prst="rect">
                      <a:avLst/>
                    </a:prstGeom>
                  </pic:spPr>
                </pic:pic>
              </a:graphicData>
            </a:graphic>
          </wp:inline>
        </w:drawing>
      </w:r>
      <w:r>
        <w:t xml:space="preserve"> </w:t>
      </w:r>
    </w:p>
    <w:p w14:paraId="61AE230E" w14:textId="1154636E" w:rsidR="00B43B0F" w:rsidRDefault="00B43B0F" w:rsidP="00B43B0F">
      <w:r w:rsidRPr="00B43B0F">
        <w:t xml:space="preserve">Aktepe, B. and Demirci, B., </w:t>
      </w:r>
      <w:r>
        <w:t>(</w:t>
      </w:r>
      <w:r w:rsidRPr="00B43B0F">
        <w:t>2024</w:t>
      </w:r>
      <w:r>
        <w:t>)</w:t>
      </w:r>
      <w:r w:rsidRPr="00B43B0F">
        <w:t>. Emerging technologies in the event industry. </w:t>
      </w:r>
      <w:r w:rsidRPr="00B43B0F">
        <w:rPr>
          <w:i/>
          <w:iCs/>
        </w:rPr>
        <w:t>Worldwide Hospitality and Tourism Themes</w:t>
      </w:r>
      <w:r w:rsidRPr="00B43B0F">
        <w:t>, </w:t>
      </w:r>
      <w:r w:rsidRPr="00B43B0F">
        <w:rPr>
          <w:i/>
          <w:iCs/>
        </w:rPr>
        <w:t>16</w:t>
      </w:r>
      <w:r w:rsidRPr="00B43B0F">
        <w:t>(4), pp.</w:t>
      </w:r>
      <w:r>
        <w:t>1</w:t>
      </w:r>
      <w:r w:rsidRPr="00B43B0F">
        <w:t>-</w:t>
      </w:r>
      <w:r>
        <w:t>1</w:t>
      </w:r>
      <w:r w:rsidRPr="00B43B0F">
        <w:t>8.</w:t>
      </w:r>
      <w:r>
        <w:t xml:space="preserve">  </w:t>
      </w:r>
    </w:p>
    <w:p w14:paraId="7083B024" w14:textId="77777777" w:rsidR="00B43B0F" w:rsidRDefault="00B43B0F" w:rsidP="00B43B0F">
      <w:r w:rsidRPr="00B43B0F">
        <w:t xml:space="preserve">Allen, J., Harris, R. and Jago, L., </w:t>
      </w:r>
      <w:r>
        <w:t>(</w:t>
      </w:r>
      <w:r w:rsidRPr="00B43B0F">
        <w:t>2022</w:t>
      </w:r>
      <w:r>
        <w:t>)</w:t>
      </w:r>
      <w:r w:rsidRPr="00B43B0F">
        <w:t>. </w:t>
      </w:r>
      <w:r w:rsidRPr="00B43B0F">
        <w:rPr>
          <w:i/>
          <w:iCs/>
        </w:rPr>
        <w:t>Festival &amp; special event management</w:t>
      </w:r>
      <w:r w:rsidRPr="00B43B0F">
        <w:t>. John Wiley &amp; Sons.</w:t>
      </w:r>
      <w:r>
        <w:t xml:space="preserve"> </w:t>
      </w:r>
    </w:p>
    <w:p w14:paraId="0709500A" w14:textId="77777777" w:rsidR="00B43B0F" w:rsidRDefault="00B43B0F" w:rsidP="00B43B0F">
      <w:r w:rsidRPr="00A76178">
        <w:t xml:space="preserve">Alnasser, N.S. and Yi, L.J., </w:t>
      </w:r>
      <w:r>
        <w:t>(</w:t>
      </w:r>
      <w:r w:rsidRPr="00A76178">
        <w:t>2023</w:t>
      </w:r>
      <w:r>
        <w:t>)</w:t>
      </w:r>
      <w:r w:rsidRPr="00A76178">
        <w:t>. Strategies applied by different arts and cultural organizations for their audience development: A comparative review. </w:t>
      </w:r>
      <w:r w:rsidRPr="00B43B0F">
        <w:rPr>
          <w:i/>
          <w:iCs/>
        </w:rPr>
        <w:t>Heliyon</w:t>
      </w:r>
      <w:r w:rsidRPr="00A76178">
        <w:t>, </w:t>
      </w:r>
      <w:r w:rsidRPr="00B43B0F">
        <w:rPr>
          <w:i/>
          <w:iCs/>
        </w:rPr>
        <w:t>9</w:t>
      </w:r>
      <w:r w:rsidRPr="00A76178">
        <w:t>(5).</w:t>
      </w:r>
      <w:r>
        <w:t xml:space="preserve"> </w:t>
      </w:r>
    </w:p>
    <w:p w14:paraId="0B5045F6" w14:textId="77777777" w:rsidR="00B43B0F" w:rsidRDefault="00B43B0F" w:rsidP="00B43B0F">
      <w:r w:rsidRPr="00A76178">
        <w:t xml:space="preserve">Beresford, A.T., </w:t>
      </w:r>
      <w:r>
        <w:t>(</w:t>
      </w:r>
      <w:r w:rsidRPr="00A76178">
        <w:t>2023</w:t>
      </w:r>
      <w:r>
        <w:t>)</w:t>
      </w:r>
      <w:r w:rsidRPr="00A76178">
        <w:t>. A pattern language of Celtic traditional music and dance for social, economic, and ecological regeneration.</w:t>
      </w:r>
      <w:r>
        <w:t xml:space="preserve"> </w:t>
      </w:r>
    </w:p>
    <w:p w14:paraId="219895EE" w14:textId="690D46A3" w:rsidR="00B43B0F" w:rsidRDefault="00B43B0F" w:rsidP="00B43B0F">
      <w:r w:rsidRPr="00B43B0F">
        <w:t xml:space="preserve">Bonfert, B., </w:t>
      </w:r>
      <w:r>
        <w:t>(</w:t>
      </w:r>
      <w:r w:rsidRPr="00B43B0F">
        <w:t>2022</w:t>
      </w:r>
      <w:r>
        <w:t>)</w:t>
      </w:r>
      <w:r w:rsidRPr="00B43B0F">
        <w:t>. Community-supported agriculture networks in Wales and Central Germany: Scaling up, out, and deep through local collaboration. </w:t>
      </w:r>
      <w:r w:rsidRPr="00B43B0F">
        <w:rPr>
          <w:i/>
          <w:iCs/>
        </w:rPr>
        <w:t>Sustainability</w:t>
      </w:r>
      <w:r w:rsidRPr="00B43B0F">
        <w:t>, </w:t>
      </w:r>
      <w:r w:rsidRPr="00B43B0F">
        <w:rPr>
          <w:i/>
          <w:iCs/>
        </w:rPr>
        <w:t>14</w:t>
      </w:r>
      <w:r w:rsidRPr="00B43B0F">
        <w:t>(12), p.</w:t>
      </w:r>
      <w:r>
        <w:t>1-</w:t>
      </w:r>
      <w:r w:rsidRPr="00B43B0F">
        <w:t>19</w:t>
      </w:r>
      <w:r>
        <w:t xml:space="preserve">.   </w:t>
      </w:r>
    </w:p>
    <w:p w14:paraId="75BCA1B3" w14:textId="77777777" w:rsidR="00B43B0F" w:rsidRDefault="00B43B0F" w:rsidP="00B43B0F">
      <w:r w:rsidRPr="00B43B0F">
        <w:t xml:space="preserve">Crowther, P., Westwood, C. and Langridge-Thomas, G., </w:t>
      </w:r>
      <w:r>
        <w:t>(</w:t>
      </w:r>
      <w:r w:rsidRPr="00B43B0F">
        <w:t>2021</w:t>
      </w:r>
      <w:r>
        <w:t>)</w:t>
      </w:r>
      <w:r w:rsidRPr="00B43B0F">
        <w:t>. The Royal Welsh Show: the nation's true cauldron. </w:t>
      </w:r>
      <w:r w:rsidRPr="00B43B0F">
        <w:rPr>
          <w:i/>
          <w:iCs/>
        </w:rPr>
        <w:t>Event Management: an international journal</w:t>
      </w:r>
      <w:r w:rsidRPr="00B43B0F">
        <w:t>.</w:t>
      </w:r>
      <w:r>
        <w:t xml:space="preserve"> </w:t>
      </w:r>
    </w:p>
    <w:p w14:paraId="609452DA" w14:textId="77777777" w:rsidR="00B43B0F" w:rsidRDefault="00B43B0F" w:rsidP="00B43B0F">
      <w:r w:rsidRPr="00B43B0F">
        <w:lastRenderedPageBreak/>
        <w:t xml:space="preserve">Dounavi, L.E., Dermitzakis, E., Chatzistelios, G. and Kirytopoulos, K., </w:t>
      </w:r>
      <w:r>
        <w:t>(</w:t>
      </w:r>
      <w:r w:rsidRPr="00B43B0F">
        <w:t>2022</w:t>
      </w:r>
      <w:r>
        <w:t>)</w:t>
      </w:r>
      <w:r w:rsidRPr="00B43B0F">
        <w:t>. Project management for corporate events: A set of tools to manage risk and increase quality outcomes. </w:t>
      </w:r>
      <w:r w:rsidRPr="00B43B0F">
        <w:rPr>
          <w:i/>
          <w:iCs/>
        </w:rPr>
        <w:t>Sustainability</w:t>
      </w:r>
      <w:r w:rsidRPr="00B43B0F">
        <w:t>, </w:t>
      </w:r>
      <w:r w:rsidRPr="00B43B0F">
        <w:rPr>
          <w:i/>
          <w:iCs/>
        </w:rPr>
        <w:t>14</w:t>
      </w:r>
      <w:r w:rsidRPr="00B43B0F">
        <w:t>(4), p.2</w:t>
      </w:r>
      <w:r>
        <w:t>-11</w:t>
      </w:r>
      <w:r w:rsidRPr="00B43B0F">
        <w:t>.</w:t>
      </w:r>
      <w:r>
        <w:t xml:space="preserve"> </w:t>
      </w:r>
    </w:p>
    <w:p w14:paraId="353B54BB" w14:textId="77777777" w:rsidR="00B43B0F" w:rsidRDefault="00B43B0F" w:rsidP="00B43B0F">
      <w:r w:rsidRPr="00A76178">
        <w:t xml:space="preserve">Kilipiri, E., Papaioannou, E. and Kotzaivazoglou, I., </w:t>
      </w:r>
      <w:r>
        <w:t>(</w:t>
      </w:r>
      <w:r w:rsidRPr="00A76178">
        <w:t>2023</w:t>
      </w:r>
      <w:r>
        <w:t>)</w:t>
      </w:r>
      <w:r w:rsidRPr="00A76178">
        <w:t>. Social media and influencer marketing for promoting sustainable tourism destinations: The Instagram case. </w:t>
      </w:r>
      <w:r w:rsidRPr="00B43B0F">
        <w:rPr>
          <w:i/>
          <w:iCs/>
        </w:rPr>
        <w:t>Sustainability</w:t>
      </w:r>
      <w:r w:rsidRPr="00A76178">
        <w:t>, </w:t>
      </w:r>
      <w:r w:rsidRPr="00B43B0F">
        <w:rPr>
          <w:i/>
          <w:iCs/>
        </w:rPr>
        <w:t>15</w:t>
      </w:r>
      <w:r w:rsidRPr="00A76178">
        <w:t>(8), p.</w:t>
      </w:r>
      <w:r>
        <w:t>1-1</w:t>
      </w:r>
      <w:r w:rsidRPr="00A76178">
        <w:t>4.</w:t>
      </w:r>
      <w:r>
        <w:t xml:space="preserve"> </w:t>
      </w:r>
    </w:p>
    <w:p w14:paraId="402E541D" w14:textId="77777777" w:rsidR="00B43B0F" w:rsidRDefault="00B43B0F" w:rsidP="00B43B0F">
      <w:r w:rsidRPr="00B43B0F">
        <w:t xml:space="preserve">Purchla, J., </w:t>
      </w:r>
      <w:r>
        <w:t>(</w:t>
      </w:r>
      <w:r w:rsidRPr="00B43B0F">
        <w:t>2022</w:t>
      </w:r>
      <w:r>
        <w:t>0</w:t>
      </w:r>
      <w:r w:rsidRPr="00B43B0F">
        <w:t>. Heritage and cultural mega-events: backgrounds, approaches and challenges. </w:t>
      </w:r>
      <w:r w:rsidRPr="00B43B0F">
        <w:rPr>
          <w:i/>
          <w:iCs/>
        </w:rPr>
        <w:t>European Planning Studies</w:t>
      </w:r>
      <w:r w:rsidRPr="00B43B0F">
        <w:t>, </w:t>
      </w:r>
      <w:r w:rsidRPr="00B43B0F">
        <w:rPr>
          <w:i/>
          <w:iCs/>
        </w:rPr>
        <w:t>30</w:t>
      </w:r>
      <w:r w:rsidRPr="00B43B0F">
        <w:t>(3), pp.</w:t>
      </w:r>
      <w:r>
        <w:t>1</w:t>
      </w:r>
      <w:r w:rsidRPr="00B43B0F">
        <w:t>-</w:t>
      </w:r>
      <w:r>
        <w:t>1</w:t>
      </w:r>
      <w:r w:rsidRPr="00B43B0F">
        <w:t>2.</w:t>
      </w:r>
      <w:r>
        <w:t xml:space="preserve"> </w:t>
      </w:r>
    </w:p>
    <w:p w14:paraId="4C60E700" w14:textId="77777777" w:rsidR="00A7206D" w:rsidRDefault="00B43B0F" w:rsidP="003D24D8">
      <w:r w:rsidRPr="00A76178">
        <w:t xml:space="preserve">Rhodes, M.A., </w:t>
      </w:r>
      <w:r>
        <w:t>(</w:t>
      </w:r>
      <w:r w:rsidRPr="00A76178">
        <w:t>2021</w:t>
      </w:r>
      <w:r>
        <w:t>)</w:t>
      </w:r>
      <w:r w:rsidRPr="00A76178">
        <w:t>. The nation, the festival, and institutionalized memory: Transoptic landscapes of the Welsh National Eisteddfod. </w:t>
      </w:r>
      <w:r w:rsidRPr="00B43B0F">
        <w:rPr>
          <w:i/>
          <w:iCs/>
        </w:rPr>
        <w:t>GeoHumanities</w:t>
      </w:r>
      <w:r w:rsidRPr="00A76178">
        <w:t>, </w:t>
      </w:r>
      <w:r w:rsidRPr="00B43B0F">
        <w:rPr>
          <w:i/>
          <w:iCs/>
        </w:rPr>
        <w:t>7</w:t>
      </w:r>
      <w:r w:rsidRPr="00A76178">
        <w:t>(2), pp.</w:t>
      </w:r>
      <w:r>
        <w:t>1</w:t>
      </w:r>
      <w:r w:rsidRPr="00A76178">
        <w:t>-</w:t>
      </w:r>
      <w:r>
        <w:t>1</w:t>
      </w:r>
      <w:r w:rsidRPr="00A76178">
        <w:t>3.</w:t>
      </w:r>
      <w:r>
        <w:t xml:space="preserve">  </w:t>
      </w:r>
    </w:p>
    <w:p w14:paraId="346EA99A" w14:textId="77777777" w:rsidR="00A7206D" w:rsidRDefault="00A7206D" w:rsidP="003D24D8"/>
    <w:p w14:paraId="4260EB6E" w14:textId="77777777" w:rsidR="00A7206D" w:rsidRDefault="00A7206D" w:rsidP="003D24D8"/>
    <w:p w14:paraId="51D4D974" w14:textId="77777777" w:rsidR="00A7206D" w:rsidRDefault="00A7206D" w:rsidP="003D24D8"/>
    <w:p w14:paraId="3C1E0C0C" w14:textId="77777777" w:rsidR="00A7206D" w:rsidRDefault="00A7206D" w:rsidP="003D24D8"/>
    <w:p w14:paraId="22189B00" w14:textId="6DA70956" w:rsidR="00A76967" w:rsidRPr="00B43B0F" w:rsidRDefault="00A7206D" w:rsidP="003D24D8">
      <w:r>
        <w:object w:dxaOrig="1520" w:dyaOrig="987" w14:anchorId="139CF3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5pt;height:49.4pt" o:ole="">
            <v:imagedata r:id="rId18" o:title=""/>
          </v:shape>
          <o:OLEObject Type="Embed" ProgID="PowerPoint.Show.12" ShapeID="_x0000_i1025" DrawAspect="Icon" ObjectID="_1811096115" r:id="rId19"/>
        </w:object>
      </w:r>
    </w:p>
    <w:sectPr w:rsidR="00A76967" w:rsidRPr="00B43B0F" w:rsidSect="007C471D">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53427" w14:textId="77777777" w:rsidR="00432031" w:rsidRDefault="00432031" w:rsidP="009A435E">
      <w:pPr>
        <w:spacing w:before="0" w:after="0" w:line="240" w:lineRule="auto"/>
      </w:pPr>
      <w:r>
        <w:separator/>
      </w:r>
    </w:p>
  </w:endnote>
  <w:endnote w:type="continuationSeparator" w:id="0">
    <w:p w14:paraId="28FB32C2" w14:textId="77777777" w:rsidR="00432031" w:rsidRDefault="00432031" w:rsidP="009A435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2214376"/>
      <w:docPartObj>
        <w:docPartGallery w:val="Page Numbers (Bottom of Page)"/>
        <w:docPartUnique/>
      </w:docPartObj>
    </w:sdtPr>
    <w:sdtContent>
      <w:p w14:paraId="4B62A315" w14:textId="1642CA2E" w:rsidR="003D24D8" w:rsidRDefault="003D24D8">
        <w:pPr>
          <w:pStyle w:val="Footer"/>
          <w:jc w:val="right"/>
        </w:pPr>
        <w:r>
          <w:fldChar w:fldCharType="begin"/>
        </w:r>
        <w:r>
          <w:instrText>PAGE   \* MERGEFORMAT</w:instrText>
        </w:r>
        <w:r>
          <w:fldChar w:fldCharType="separate"/>
        </w:r>
        <w:r w:rsidR="00D22C8E" w:rsidRPr="00D22C8E">
          <w:rPr>
            <w:noProof/>
            <w:lang w:val="en-GB"/>
          </w:rPr>
          <w:t>7</w:t>
        </w:r>
        <w:r>
          <w:fldChar w:fldCharType="end"/>
        </w:r>
      </w:p>
    </w:sdtContent>
  </w:sdt>
  <w:p w14:paraId="5B16CAB0" w14:textId="77777777" w:rsidR="003D24D8" w:rsidRDefault="003D2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2681A" w14:textId="77777777" w:rsidR="00432031" w:rsidRDefault="00432031" w:rsidP="009A435E">
      <w:pPr>
        <w:spacing w:before="0" w:after="0" w:line="240" w:lineRule="auto"/>
      </w:pPr>
      <w:r>
        <w:separator/>
      </w:r>
    </w:p>
  </w:footnote>
  <w:footnote w:type="continuationSeparator" w:id="0">
    <w:p w14:paraId="0F8919DE" w14:textId="77777777" w:rsidR="00432031" w:rsidRDefault="00432031" w:rsidP="009A435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EF990" w14:textId="74850817" w:rsidR="009A435E" w:rsidRDefault="009A435E">
    <w:pPr>
      <w:pStyle w:val="Header"/>
    </w:pPr>
    <w:r>
      <w:rPr>
        <w:noProof/>
        <w:lang w:val="en-US" w:eastAsia="en-US"/>
      </w:rPr>
      <w:drawing>
        <wp:inline distT="0" distB="0" distL="0" distR="0" wp14:anchorId="2E945AB6" wp14:editId="76B997AF">
          <wp:extent cx="1943100" cy="792480"/>
          <wp:effectExtent l="0" t="0" r="0" b="0"/>
          <wp:docPr id="2" name="Image 2" descr="UWTSD new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UWTSD new Logo"/>
                  <pic:cNvPicPr>
                    <a:picLocks/>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43100" cy="792480"/>
                  </a:xfrm>
                  <a:prstGeom prst="rect">
                    <a:avLst/>
                  </a:prstGeom>
                </pic:spPr>
              </pic:pic>
            </a:graphicData>
          </a:graphic>
        </wp:inline>
      </w:drawing>
    </w:r>
  </w:p>
  <w:p w14:paraId="2F5DD01D" w14:textId="77777777" w:rsidR="009A435E" w:rsidRDefault="009A43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638A3"/>
    <w:multiLevelType w:val="hybridMultilevel"/>
    <w:tmpl w:val="0FB4EF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E5460F"/>
    <w:multiLevelType w:val="hybridMultilevel"/>
    <w:tmpl w:val="E88844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A12721A"/>
    <w:multiLevelType w:val="hybridMultilevel"/>
    <w:tmpl w:val="35963A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D476E25"/>
    <w:multiLevelType w:val="hybridMultilevel"/>
    <w:tmpl w:val="C61A67FC"/>
    <w:lvl w:ilvl="0" w:tplc="BA42162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51C23B4E"/>
    <w:multiLevelType w:val="hybridMultilevel"/>
    <w:tmpl w:val="AF3AB1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F51353F"/>
    <w:multiLevelType w:val="hybridMultilevel"/>
    <w:tmpl w:val="BE183D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38514B7"/>
    <w:multiLevelType w:val="hybridMultilevel"/>
    <w:tmpl w:val="E2FC9D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84F3FC1"/>
    <w:multiLevelType w:val="hybridMultilevel"/>
    <w:tmpl w:val="F362BE7C"/>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7833685">
    <w:abstractNumId w:val="6"/>
  </w:num>
  <w:num w:numId="2" w16cid:durableId="1342856407">
    <w:abstractNumId w:val="2"/>
  </w:num>
  <w:num w:numId="3" w16cid:durableId="576596427">
    <w:abstractNumId w:val="4"/>
  </w:num>
  <w:num w:numId="4" w16cid:durableId="252201661">
    <w:abstractNumId w:val="1"/>
  </w:num>
  <w:num w:numId="5" w16cid:durableId="452747089">
    <w:abstractNumId w:val="5"/>
  </w:num>
  <w:num w:numId="6" w16cid:durableId="1354649838">
    <w:abstractNumId w:val="0"/>
  </w:num>
  <w:num w:numId="7" w16cid:durableId="1562599469">
    <w:abstractNumId w:val="3"/>
  </w:num>
  <w:num w:numId="8" w16cid:durableId="15869156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35E"/>
    <w:rsid w:val="00011A89"/>
    <w:rsid w:val="000312DE"/>
    <w:rsid w:val="0004550E"/>
    <w:rsid w:val="00047E16"/>
    <w:rsid w:val="00053946"/>
    <w:rsid w:val="000724BB"/>
    <w:rsid w:val="0007662D"/>
    <w:rsid w:val="000817F4"/>
    <w:rsid w:val="000821AE"/>
    <w:rsid w:val="00085FF8"/>
    <w:rsid w:val="00095666"/>
    <w:rsid w:val="0009601E"/>
    <w:rsid w:val="000A4AAF"/>
    <w:rsid w:val="000B002E"/>
    <w:rsid w:val="000C2CB1"/>
    <w:rsid w:val="000C783D"/>
    <w:rsid w:val="000E390C"/>
    <w:rsid w:val="000E3AEF"/>
    <w:rsid w:val="000F2F0C"/>
    <w:rsid w:val="00110F0F"/>
    <w:rsid w:val="00122D07"/>
    <w:rsid w:val="00134371"/>
    <w:rsid w:val="001356C5"/>
    <w:rsid w:val="00143A7D"/>
    <w:rsid w:val="00147D82"/>
    <w:rsid w:val="00151C96"/>
    <w:rsid w:val="001541EF"/>
    <w:rsid w:val="00160F43"/>
    <w:rsid w:val="00163E61"/>
    <w:rsid w:val="001642DB"/>
    <w:rsid w:val="001703D2"/>
    <w:rsid w:val="00176170"/>
    <w:rsid w:val="0018157C"/>
    <w:rsid w:val="00194346"/>
    <w:rsid w:val="00195342"/>
    <w:rsid w:val="001A420C"/>
    <w:rsid w:val="001B1A94"/>
    <w:rsid w:val="001B353F"/>
    <w:rsid w:val="001C220A"/>
    <w:rsid w:val="001E0716"/>
    <w:rsid w:val="001E0D02"/>
    <w:rsid w:val="001E7AC3"/>
    <w:rsid w:val="001F1EA5"/>
    <w:rsid w:val="001F3569"/>
    <w:rsid w:val="001F54EA"/>
    <w:rsid w:val="001F72B3"/>
    <w:rsid w:val="002009EA"/>
    <w:rsid w:val="0020461C"/>
    <w:rsid w:val="002052E4"/>
    <w:rsid w:val="002214AA"/>
    <w:rsid w:val="00222B5C"/>
    <w:rsid w:val="00237ACE"/>
    <w:rsid w:val="002437F6"/>
    <w:rsid w:val="00243F7B"/>
    <w:rsid w:val="00244635"/>
    <w:rsid w:val="00250603"/>
    <w:rsid w:val="00251873"/>
    <w:rsid w:val="00274D58"/>
    <w:rsid w:val="002A0F8C"/>
    <w:rsid w:val="002A116A"/>
    <w:rsid w:val="002B5D30"/>
    <w:rsid w:val="002C7B93"/>
    <w:rsid w:val="002D24A7"/>
    <w:rsid w:val="002E490A"/>
    <w:rsid w:val="002E7F03"/>
    <w:rsid w:val="002F0FB0"/>
    <w:rsid w:val="00300B26"/>
    <w:rsid w:val="00300D15"/>
    <w:rsid w:val="003028C6"/>
    <w:rsid w:val="0030726C"/>
    <w:rsid w:val="003156C7"/>
    <w:rsid w:val="00322A26"/>
    <w:rsid w:val="00322FF4"/>
    <w:rsid w:val="00326638"/>
    <w:rsid w:val="0032797D"/>
    <w:rsid w:val="00327D24"/>
    <w:rsid w:val="00330EA1"/>
    <w:rsid w:val="00334DAD"/>
    <w:rsid w:val="00335023"/>
    <w:rsid w:val="003378C9"/>
    <w:rsid w:val="003519B0"/>
    <w:rsid w:val="0036265E"/>
    <w:rsid w:val="00374209"/>
    <w:rsid w:val="003D1866"/>
    <w:rsid w:val="003D24D8"/>
    <w:rsid w:val="003D26D0"/>
    <w:rsid w:val="003D364B"/>
    <w:rsid w:val="003E14A3"/>
    <w:rsid w:val="003E42C0"/>
    <w:rsid w:val="00410097"/>
    <w:rsid w:val="004168EC"/>
    <w:rsid w:val="0041696C"/>
    <w:rsid w:val="00423B1F"/>
    <w:rsid w:val="00424A93"/>
    <w:rsid w:val="0042623D"/>
    <w:rsid w:val="0043167F"/>
    <w:rsid w:val="00432031"/>
    <w:rsid w:val="00442845"/>
    <w:rsid w:val="00444CDA"/>
    <w:rsid w:val="0045395E"/>
    <w:rsid w:val="00457BAE"/>
    <w:rsid w:val="00460507"/>
    <w:rsid w:val="004647D1"/>
    <w:rsid w:val="004668EE"/>
    <w:rsid w:val="004764B0"/>
    <w:rsid w:val="004861DA"/>
    <w:rsid w:val="004938F1"/>
    <w:rsid w:val="00493C60"/>
    <w:rsid w:val="004B1D7D"/>
    <w:rsid w:val="004F0DC9"/>
    <w:rsid w:val="005012EC"/>
    <w:rsid w:val="00513C1A"/>
    <w:rsid w:val="005145E2"/>
    <w:rsid w:val="00545A90"/>
    <w:rsid w:val="00552806"/>
    <w:rsid w:val="0055610D"/>
    <w:rsid w:val="00556AA9"/>
    <w:rsid w:val="0056076C"/>
    <w:rsid w:val="00566416"/>
    <w:rsid w:val="005B3530"/>
    <w:rsid w:val="005B4CAD"/>
    <w:rsid w:val="005C1D36"/>
    <w:rsid w:val="005C3CBD"/>
    <w:rsid w:val="005C637D"/>
    <w:rsid w:val="005C6A7A"/>
    <w:rsid w:val="005C6CC2"/>
    <w:rsid w:val="005D0CC4"/>
    <w:rsid w:val="005D24CA"/>
    <w:rsid w:val="005D555E"/>
    <w:rsid w:val="005E1EBC"/>
    <w:rsid w:val="005E22A2"/>
    <w:rsid w:val="005E6F1D"/>
    <w:rsid w:val="00600FFB"/>
    <w:rsid w:val="00601EF2"/>
    <w:rsid w:val="00606F1B"/>
    <w:rsid w:val="00614502"/>
    <w:rsid w:val="0061516D"/>
    <w:rsid w:val="006308B9"/>
    <w:rsid w:val="00634382"/>
    <w:rsid w:val="00644F0E"/>
    <w:rsid w:val="0066633C"/>
    <w:rsid w:val="00666E15"/>
    <w:rsid w:val="00672316"/>
    <w:rsid w:val="006732CA"/>
    <w:rsid w:val="00673ECB"/>
    <w:rsid w:val="00673EEB"/>
    <w:rsid w:val="0067649B"/>
    <w:rsid w:val="006771A7"/>
    <w:rsid w:val="00687396"/>
    <w:rsid w:val="00697208"/>
    <w:rsid w:val="00697577"/>
    <w:rsid w:val="00697D36"/>
    <w:rsid w:val="006A1861"/>
    <w:rsid w:val="006D005F"/>
    <w:rsid w:val="006D4480"/>
    <w:rsid w:val="006D79F6"/>
    <w:rsid w:val="006E1D91"/>
    <w:rsid w:val="00707C7B"/>
    <w:rsid w:val="0071541C"/>
    <w:rsid w:val="0071715F"/>
    <w:rsid w:val="00721F4D"/>
    <w:rsid w:val="007271B9"/>
    <w:rsid w:val="00727842"/>
    <w:rsid w:val="0073507A"/>
    <w:rsid w:val="00743D24"/>
    <w:rsid w:val="007546B2"/>
    <w:rsid w:val="00755834"/>
    <w:rsid w:val="007640EF"/>
    <w:rsid w:val="0076724B"/>
    <w:rsid w:val="007677C3"/>
    <w:rsid w:val="00781376"/>
    <w:rsid w:val="0079607A"/>
    <w:rsid w:val="007A007C"/>
    <w:rsid w:val="007A0514"/>
    <w:rsid w:val="007A0551"/>
    <w:rsid w:val="007A63EE"/>
    <w:rsid w:val="007B2D31"/>
    <w:rsid w:val="007B61CF"/>
    <w:rsid w:val="007C471D"/>
    <w:rsid w:val="007E06BB"/>
    <w:rsid w:val="007E08EB"/>
    <w:rsid w:val="007E20D1"/>
    <w:rsid w:val="007E273B"/>
    <w:rsid w:val="007F3080"/>
    <w:rsid w:val="007F323E"/>
    <w:rsid w:val="008025E5"/>
    <w:rsid w:val="00807689"/>
    <w:rsid w:val="00833CB1"/>
    <w:rsid w:val="00840B46"/>
    <w:rsid w:val="008436F7"/>
    <w:rsid w:val="0086736B"/>
    <w:rsid w:val="00873232"/>
    <w:rsid w:val="00876DDC"/>
    <w:rsid w:val="00880BA4"/>
    <w:rsid w:val="00886C9E"/>
    <w:rsid w:val="00890BDD"/>
    <w:rsid w:val="008A7795"/>
    <w:rsid w:val="008B2801"/>
    <w:rsid w:val="008C26FB"/>
    <w:rsid w:val="008C5B02"/>
    <w:rsid w:val="008C7156"/>
    <w:rsid w:val="008D383F"/>
    <w:rsid w:val="008F51F7"/>
    <w:rsid w:val="008F5339"/>
    <w:rsid w:val="00900454"/>
    <w:rsid w:val="00904B9A"/>
    <w:rsid w:val="0092548B"/>
    <w:rsid w:val="00931DE0"/>
    <w:rsid w:val="00931EC1"/>
    <w:rsid w:val="00932D0A"/>
    <w:rsid w:val="00935C98"/>
    <w:rsid w:val="00936B13"/>
    <w:rsid w:val="00941A54"/>
    <w:rsid w:val="00944710"/>
    <w:rsid w:val="00956B46"/>
    <w:rsid w:val="00957AEA"/>
    <w:rsid w:val="00962A22"/>
    <w:rsid w:val="0097098B"/>
    <w:rsid w:val="009805AA"/>
    <w:rsid w:val="00983B64"/>
    <w:rsid w:val="009857E8"/>
    <w:rsid w:val="00993080"/>
    <w:rsid w:val="0099375E"/>
    <w:rsid w:val="009A3205"/>
    <w:rsid w:val="009A435E"/>
    <w:rsid w:val="009B6114"/>
    <w:rsid w:val="009D0D00"/>
    <w:rsid w:val="009D58DD"/>
    <w:rsid w:val="009D5C47"/>
    <w:rsid w:val="009D6BA7"/>
    <w:rsid w:val="00A0053B"/>
    <w:rsid w:val="00A1677D"/>
    <w:rsid w:val="00A321F9"/>
    <w:rsid w:val="00A514F9"/>
    <w:rsid w:val="00A56BE0"/>
    <w:rsid w:val="00A61896"/>
    <w:rsid w:val="00A66A1D"/>
    <w:rsid w:val="00A7206D"/>
    <w:rsid w:val="00A7211B"/>
    <w:rsid w:val="00A74BE4"/>
    <w:rsid w:val="00A76178"/>
    <w:rsid w:val="00A76967"/>
    <w:rsid w:val="00AA1940"/>
    <w:rsid w:val="00AA4B9B"/>
    <w:rsid w:val="00AD73CB"/>
    <w:rsid w:val="00AF025C"/>
    <w:rsid w:val="00AF2486"/>
    <w:rsid w:val="00AF4C91"/>
    <w:rsid w:val="00B02349"/>
    <w:rsid w:val="00B05AA8"/>
    <w:rsid w:val="00B43B0F"/>
    <w:rsid w:val="00B47254"/>
    <w:rsid w:val="00B52A0B"/>
    <w:rsid w:val="00B80AAD"/>
    <w:rsid w:val="00B8454E"/>
    <w:rsid w:val="00B85C89"/>
    <w:rsid w:val="00B92233"/>
    <w:rsid w:val="00BA02D4"/>
    <w:rsid w:val="00BA6860"/>
    <w:rsid w:val="00BB28CC"/>
    <w:rsid w:val="00BB6D2A"/>
    <w:rsid w:val="00BC0F2E"/>
    <w:rsid w:val="00BC3E98"/>
    <w:rsid w:val="00BD37F8"/>
    <w:rsid w:val="00BE14E8"/>
    <w:rsid w:val="00BE5AEA"/>
    <w:rsid w:val="00BF03F8"/>
    <w:rsid w:val="00BF42C5"/>
    <w:rsid w:val="00C000DB"/>
    <w:rsid w:val="00C0373A"/>
    <w:rsid w:val="00C07BBF"/>
    <w:rsid w:val="00C11B84"/>
    <w:rsid w:val="00C27C01"/>
    <w:rsid w:val="00C34D2F"/>
    <w:rsid w:val="00C636A3"/>
    <w:rsid w:val="00C67511"/>
    <w:rsid w:val="00C73652"/>
    <w:rsid w:val="00C73C40"/>
    <w:rsid w:val="00C814EF"/>
    <w:rsid w:val="00C8742C"/>
    <w:rsid w:val="00C91157"/>
    <w:rsid w:val="00C95629"/>
    <w:rsid w:val="00CB4FC2"/>
    <w:rsid w:val="00CC7E8E"/>
    <w:rsid w:val="00CD1D38"/>
    <w:rsid w:val="00CE124C"/>
    <w:rsid w:val="00CE1D53"/>
    <w:rsid w:val="00CE1FA4"/>
    <w:rsid w:val="00CF48DB"/>
    <w:rsid w:val="00CF61FC"/>
    <w:rsid w:val="00CF63A2"/>
    <w:rsid w:val="00D22C8E"/>
    <w:rsid w:val="00D231EC"/>
    <w:rsid w:val="00D27667"/>
    <w:rsid w:val="00D532A4"/>
    <w:rsid w:val="00D5398E"/>
    <w:rsid w:val="00D64A12"/>
    <w:rsid w:val="00D65663"/>
    <w:rsid w:val="00D66DDB"/>
    <w:rsid w:val="00D66F8C"/>
    <w:rsid w:val="00D74C45"/>
    <w:rsid w:val="00D819F1"/>
    <w:rsid w:val="00D87975"/>
    <w:rsid w:val="00D9715C"/>
    <w:rsid w:val="00DB2201"/>
    <w:rsid w:val="00DB5119"/>
    <w:rsid w:val="00DC1A14"/>
    <w:rsid w:val="00DC59CA"/>
    <w:rsid w:val="00DC6E63"/>
    <w:rsid w:val="00DC753E"/>
    <w:rsid w:val="00DD05D0"/>
    <w:rsid w:val="00DF0324"/>
    <w:rsid w:val="00DF39CE"/>
    <w:rsid w:val="00DF47BB"/>
    <w:rsid w:val="00E134B3"/>
    <w:rsid w:val="00E27BC9"/>
    <w:rsid w:val="00E3061E"/>
    <w:rsid w:val="00E46047"/>
    <w:rsid w:val="00E507DC"/>
    <w:rsid w:val="00E53057"/>
    <w:rsid w:val="00E564DB"/>
    <w:rsid w:val="00E723D2"/>
    <w:rsid w:val="00E72878"/>
    <w:rsid w:val="00E808C0"/>
    <w:rsid w:val="00E81CEF"/>
    <w:rsid w:val="00E966D8"/>
    <w:rsid w:val="00EB1290"/>
    <w:rsid w:val="00EB736D"/>
    <w:rsid w:val="00EC53CA"/>
    <w:rsid w:val="00EC79E2"/>
    <w:rsid w:val="00ED1172"/>
    <w:rsid w:val="00ED7ACA"/>
    <w:rsid w:val="00EF10C6"/>
    <w:rsid w:val="00F02EA3"/>
    <w:rsid w:val="00F14761"/>
    <w:rsid w:val="00F23D2B"/>
    <w:rsid w:val="00F64AC6"/>
    <w:rsid w:val="00F67562"/>
    <w:rsid w:val="00F73409"/>
    <w:rsid w:val="00F877DF"/>
    <w:rsid w:val="00FA2A83"/>
    <w:rsid w:val="00FA5BBB"/>
    <w:rsid w:val="00FA77CE"/>
    <w:rsid w:val="00FB506E"/>
    <w:rsid w:val="00FC3045"/>
    <w:rsid w:val="00FD1EB6"/>
    <w:rsid w:val="00FE5E46"/>
    <w:rsid w:val="00FF25B5"/>
    <w:rsid w:val="00FF5A0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BED8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511"/>
    <w:pPr>
      <w:spacing w:before="120" w:after="120" w:line="360" w:lineRule="auto"/>
      <w:jc w:val="both"/>
    </w:pPr>
    <w:rPr>
      <w:rFonts w:ascii="Times New Roman" w:eastAsiaTheme="minorEastAsia" w:hAnsi="Times New Roman"/>
      <w:sz w:val="24"/>
      <w:szCs w:val="24"/>
      <w:lang w:val="en-IN" w:eastAsia="en-IN"/>
    </w:rPr>
  </w:style>
  <w:style w:type="paragraph" w:styleId="Heading1">
    <w:name w:val="heading 1"/>
    <w:basedOn w:val="Normal"/>
    <w:next w:val="Normal"/>
    <w:link w:val="Heading1Char"/>
    <w:autoRedefine/>
    <w:uiPriority w:val="9"/>
    <w:qFormat/>
    <w:rsid w:val="005C3CBD"/>
    <w:pPr>
      <w:keepNext/>
      <w:keepLines/>
      <w:outlineLvl w:val="0"/>
    </w:pPr>
    <w:rPr>
      <w:rFonts w:eastAsiaTheme="majorEastAsia" w:cstheme="majorBidi"/>
      <w:b/>
      <w:sz w:val="36"/>
      <w:szCs w:val="32"/>
    </w:rPr>
  </w:style>
  <w:style w:type="paragraph" w:styleId="Heading2">
    <w:name w:val="heading 2"/>
    <w:basedOn w:val="Normal"/>
    <w:next w:val="Normal"/>
    <w:link w:val="Heading2Char"/>
    <w:autoRedefine/>
    <w:uiPriority w:val="9"/>
    <w:unhideWhenUsed/>
    <w:qFormat/>
    <w:rsid w:val="005C3CBD"/>
    <w:pPr>
      <w:keepNext/>
      <w:keepLines/>
      <w:outlineLvl w:val="1"/>
    </w:pPr>
    <w:rPr>
      <w:rFonts w:eastAsiaTheme="majorEastAsia" w:cstheme="majorBidi"/>
      <w:b/>
      <w:sz w:val="32"/>
      <w:szCs w:val="28"/>
    </w:rPr>
  </w:style>
  <w:style w:type="paragraph" w:styleId="Heading3">
    <w:name w:val="heading 3"/>
    <w:basedOn w:val="Normal"/>
    <w:next w:val="Normal"/>
    <w:link w:val="Heading3Char"/>
    <w:autoRedefine/>
    <w:uiPriority w:val="9"/>
    <w:unhideWhenUsed/>
    <w:qFormat/>
    <w:rsid w:val="005C3CBD"/>
    <w:pPr>
      <w:keepNext/>
      <w:keepLines/>
      <w:outlineLvl w:val="2"/>
    </w:pPr>
    <w:rPr>
      <w:rFonts w:eastAsiaTheme="majorEastAsia" w:cstheme="majorBidi"/>
      <w:b/>
    </w:rPr>
  </w:style>
  <w:style w:type="paragraph" w:styleId="Heading4">
    <w:name w:val="heading 4"/>
    <w:basedOn w:val="Normal"/>
    <w:next w:val="Normal"/>
    <w:link w:val="Heading4Char"/>
    <w:uiPriority w:val="9"/>
    <w:semiHidden/>
    <w:unhideWhenUsed/>
    <w:qFormat/>
    <w:rsid w:val="009A435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A435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A435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A435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A435E"/>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A435E"/>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CBD"/>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5C3CBD"/>
    <w:rPr>
      <w:rFonts w:ascii="Times New Roman" w:eastAsiaTheme="majorEastAsia" w:hAnsi="Times New Roman" w:cstheme="majorBidi"/>
      <w:b/>
      <w:sz w:val="32"/>
      <w:szCs w:val="28"/>
    </w:rPr>
  </w:style>
  <w:style w:type="paragraph" w:styleId="Title">
    <w:name w:val="Title"/>
    <w:basedOn w:val="Normal"/>
    <w:next w:val="Normal"/>
    <w:link w:val="TitleChar"/>
    <w:autoRedefine/>
    <w:uiPriority w:val="10"/>
    <w:qFormat/>
    <w:rsid w:val="001356C5"/>
    <w:pPr>
      <w:spacing w:before="240" w:after="32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356C5"/>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rsid w:val="005C3CBD"/>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9A435E"/>
    <w:rPr>
      <w:rFonts w:eastAsiaTheme="majorEastAsia" w:cstheme="majorBidi"/>
      <w:i/>
      <w:iCs/>
      <w:color w:val="2F5496" w:themeColor="accent1" w:themeShade="BF"/>
      <w:sz w:val="24"/>
      <w:szCs w:val="24"/>
      <w:lang w:val="en-IN" w:eastAsia="en-IN"/>
    </w:rPr>
  </w:style>
  <w:style w:type="character" w:customStyle="1" w:styleId="Heading5Char">
    <w:name w:val="Heading 5 Char"/>
    <w:basedOn w:val="DefaultParagraphFont"/>
    <w:link w:val="Heading5"/>
    <w:uiPriority w:val="9"/>
    <w:semiHidden/>
    <w:rsid w:val="009A435E"/>
    <w:rPr>
      <w:rFonts w:eastAsiaTheme="majorEastAsia" w:cstheme="majorBidi"/>
      <w:color w:val="2F5496" w:themeColor="accent1" w:themeShade="BF"/>
      <w:sz w:val="24"/>
      <w:szCs w:val="24"/>
      <w:lang w:val="en-IN" w:eastAsia="en-IN"/>
    </w:rPr>
  </w:style>
  <w:style w:type="character" w:customStyle="1" w:styleId="Heading6Char">
    <w:name w:val="Heading 6 Char"/>
    <w:basedOn w:val="DefaultParagraphFont"/>
    <w:link w:val="Heading6"/>
    <w:uiPriority w:val="9"/>
    <w:semiHidden/>
    <w:rsid w:val="009A435E"/>
    <w:rPr>
      <w:rFonts w:eastAsiaTheme="majorEastAsia" w:cstheme="majorBidi"/>
      <w:i/>
      <w:iCs/>
      <w:color w:val="595959" w:themeColor="text1" w:themeTint="A6"/>
      <w:sz w:val="24"/>
      <w:szCs w:val="24"/>
      <w:lang w:val="en-IN" w:eastAsia="en-IN"/>
    </w:rPr>
  </w:style>
  <w:style w:type="character" w:customStyle="1" w:styleId="Heading7Char">
    <w:name w:val="Heading 7 Char"/>
    <w:basedOn w:val="DefaultParagraphFont"/>
    <w:link w:val="Heading7"/>
    <w:uiPriority w:val="9"/>
    <w:semiHidden/>
    <w:rsid w:val="009A435E"/>
    <w:rPr>
      <w:rFonts w:eastAsiaTheme="majorEastAsia" w:cstheme="majorBidi"/>
      <w:color w:val="595959" w:themeColor="text1" w:themeTint="A6"/>
      <w:sz w:val="24"/>
      <w:szCs w:val="24"/>
      <w:lang w:val="en-IN" w:eastAsia="en-IN"/>
    </w:rPr>
  </w:style>
  <w:style w:type="character" w:customStyle="1" w:styleId="Heading8Char">
    <w:name w:val="Heading 8 Char"/>
    <w:basedOn w:val="DefaultParagraphFont"/>
    <w:link w:val="Heading8"/>
    <w:uiPriority w:val="9"/>
    <w:semiHidden/>
    <w:rsid w:val="009A435E"/>
    <w:rPr>
      <w:rFonts w:eastAsiaTheme="majorEastAsia" w:cstheme="majorBidi"/>
      <w:i/>
      <w:iCs/>
      <w:color w:val="272727" w:themeColor="text1" w:themeTint="D8"/>
      <w:sz w:val="24"/>
      <w:szCs w:val="24"/>
      <w:lang w:val="en-IN" w:eastAsia="en-IN"/>
    </w:rPr>
  </w:style>
  <w:style w:type="character" w:customStyle="1" w:styleId="Heading9Char">
    <w:name w:val="Heading 9 Char"/>
    <w:basedOn w:val="DefaultParagraphFont"/>
    <w:link w:val="Heading9"/>
    <w:uiPriority w:val="9"/>
    <w:semiHidden/>
    <w:rsid w:val="009A435E"/>
    <w:rPr>
      <w:rFonts w:eastAsiaTheme="majorEastAsia" w:cstheme="majorBidi"/>
      <w:color w:val="272727" w:themeColor="text1" w:themeTint="D8"/>
      <w:sz w:val="24"/>
      <w:szCs w:val="24"/>
      <w:lang w:val="en-IN" w:eastAsia="en-IN"/>
    </w:rPr>
  </w:style>
  <w:style w:type="paragraph" w:styleId="Subtitle">
    <w:name w:val="Subtitle"/>
    <w:basedOn w:val="Normal"/>
    <w:next w:val="Normal"/>
    <w:link w:val="SubtitleChar"/>
    <w:uiPriority w:val="11"/>
    <w:qFormat/>
    <w:rsid w:val="009A435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435E"/>
    <w:rPr>
      <w:rFonts w:eastAsiaTheme="majorEastAsia" w:cstheme="majorBidi"/>
      <w:color w:val="595959" w:themeColor="text1" w:themeTint="A6"/>
      <w:spacing w:val="15"/>
      <w:sz w:val="28"/>
      <w:szCs w:val="28"/>
      <w:lang w:val="en-IN" w:eastAsia="en-IN"/>
    </w:rPr>
  </w:style>
  <w:style w:type="paragraph" w:styleId="Quote">
    <w:name w:val="Quote"/>
    <w:basedOn w:val="Normal"/>
    <w:next w:val="Normal"/>
    <w:link w:val="QuoteChar"/>
    <w:uiPriority w:val="29"/>
    <w:qFormat/>
    <w:rsid w:val="009A435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A435E"/>
    <w:rPr>
      <w:rFonts w:ascii="Times New Roman" w:eastAsiaTheme="minorEastAsia" w:hAnsi="Times New Roman"/>
      <w:i/>
      <w:iCs/>
      <w:color w:val="404040" w:themeColor="text1" w:themeTint="BF"/>
      <w:sz w:val="24"/>
      <w:szCs w:val="24"/>
      <w:lang w:val="en-IN" w:eastAsia="en-IN"/>
    </w:rPr>
  </w:style>
  <w:style w:type="paragraph" w:styleId="ListParagraph">
    <w:name w:val="List Paragraph"/>
    <w:basedOn w:val="Normal"/>
    <w:uiPriority w:val="34"/>
    <w:qFormat/>
    <w:rsid w:val="009A435E"/>
    <w:pPr>
      <w:ind w:left="720"/>
      <w:contextualSpacing/>
    </w:pPr>
  </w:style>
  <w:style w:type="character" w:styleId="IntenseEmphasis">
    <w:name w:val="Intense Emphasis"/>
    <w:basedOn w:val="DefaultParagraphFont"/>
    <w:uiPriority w:val="21"/>
    <w:qFormat/>
    <w:rsid w:val="009A435E"/>
    <w:rPr>
      <w:i/>
      <w:iCs/>
      <w:color w:val="2F5496" w:themeColor="accent1" w:themeShade="BF"/>
    </w:rPr>
  </w:style>
  <w:style w:type="paragraph" w:styleId="IntenseQuote">
    <w:name w:val="Intense Quote"/>
    <w:basedOn w:val="Normal"/>
    <w:next w:val="Normal"/>
    <w:link w:val="IntenseQuoteChar"/>
    <w:uiPriority w:val="30"/>
    <w:qFormat/>
    <w:rsid w:val="009A43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435E"/>
    <w:rPr>
      <w:rFonts w:ascii="Times New Roman" w:eastAsiaTheme="minorEastAsia" w:hAnsi="Times New Roman"/>
      <w:i/>
      <w:iCs/>
      <w:color w:val="2F5496" w:themeColor="accent1" w:themeShade="BF"/>
      <w:sz w:val="24"/>
      <w:szCs w:val="24"/>
      <w:lang w:val="en-IN" w:eastAsia="en-IN"/>
    </w:rPr>
  </w:style>
  <w:style w:type="character" w:styleId="IntenseReference">
    <w:name w:val="Intense Reference"/>
    <w:basedOn w:val="DefaultParagraphFont"/>
    <w:uiPriority w:val="32"/>
    <w:qFormat/>
    <w:rsid w:val="009A435E"/>
    <w:rPr>
      <w:b/>
      <w:bCs/>
      <w:smallCaps/>
      <w:color w:val="2F5496" w:themeColor="accent1" w:themeShade="BF"/>
      <w:spacing w:val="5"/>
    </w:rPr>
  </w:style>
  <w:style w:type="paragraph" w:styleId="Header">
    <w:name w:val="header"/>
    <w:basedOn w:val="Normal"/>
    <w:link w:val="HeaderChar"/>
    <w:uiPriority w:val="99"/>
    <w:unhideWhenUsed/>
    <w:rsid w:val="009A435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A435E"/>
    <w:rPr>
      <w:rFonts w:ascii="Times New Roman" w:eastAsiaTheme="minorEastAsia" w:hAnsi="Times New Roman"/>
      <w:sz w:val="24"/>
      <w:szCs w:val="24"/>
      <w:lang w:val="en-IN" w:eastAsia="en-IN"/>
    </w:rPr>
  </w:style>
  <w:style w:type="paragraph" w:styleId="Footer">
    <w:name w:val="footer"/>
    <w:basedOn w:val="Normal"/>
    <w:link w:val="FooterChar"/>
    <w:uiPriority w:val="99"/>
    <w:unhideWhenUsed/>
    <w:rsid w:val="009A435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A435E"/>
    <w:rPr>
      <w:rFonts w:ascii="Times New Roman" w:eastAsiaTheme="minorEastAsia" w:hAnsi="Times New Roman"/>
      <w:sz w:val="24"/>
      <w:szCs w:val="24"/>
      <w:lang w:val="en-IN" w:eastAsia="en-IN"/>
    </w:rPr>
  </w:style>
  <w:style w:type="table" w:styleId="GridTable4-Accent6">
    <w:name w:val="Grid Table 4 Accent 6"/>
    <w:basedOn w:val="TableNormal"/>
    <w:uiPriority w:val="49"/>
    <w:rsid w:val="003D24D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B43B0F"/>
    <w:pPr>
      <w:spacing w:before="240" w:after="0" w:line="259" w:lineRule="auto"/>
      <w:jc w:val="left"/>
      <w:outlineLvl w:val="9"/>
    </w:pPr>
    <w:rPr>
      <w:rFonts w:asciiTheme="majorHAnsi" w:hAnsiTheme="majorHAnsi"/>
      <w:b w:val="0"/>
      <w:color w:val="2F5496" w:themeColor="accent1" w:themeShade="BF"/>
      <w:kern w:val="0"/>
      <w:sz w:val="32"/>
      <w:lang w:val="en-GB" w:eastAsia="en-GB"/>
    </w:rPr>
  </w:style>
  <w:style w:type="paragraph" w:styleId="TOC1">
    <w:name w:val="toc 1"/>
    <w:basedOn w:val="Normal"/>
    <w:next w:val="Normal"/>
    <w:autoRedefine/>
    <w:uiPriority w:val="39"/>
    <w:unhideWhenUsed/>
    <w:rsid w:val="00B43B0F"/>
    <w:pPr>
      <w:spacing w:after="100"/>
    </w:pPr>
  </w:style>
  <w:style w:type="character" w:styleId="Hyperlink">
    <w:name w:val="Hyperlink"/>
    <w:basedOn w:val="DefaultParagraphFont"/>
    <w:uiPriority w:val="99"/>
    <w:unhideWhenUsed/>
    <w:rsid w:val="00B43B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184912">
      <w:bodyDiv w:val="1"/>
      <w:marLeft w:val="0"/>
      <w:marRight w:val="0"/>
      <w:marTop w:val="0"/>
      <w:marBottom w:val="0"/>
      <w:divBdr>
        <w:top w:val="none" w:sz="0" w:space="0" w:color="auto"/>
        <w:left w:val="none" w:sz="0" w:space="0" w:color="auto"/>
        <w:bottom w:val="none" w:sz="0" w:space="0" w:color="auto"/>
        <w:right w:val="none" w:sz="0" w:space="0" w:color="auto"/>
      </w:divBdr>
    </w:div>
    <w:div w:id="914360479">
      <w:bodyDiv w:val="1"/>
      <w:marLeft w:val="0"/>
      <w:marRight w:val="0"/>
      <w:marTop w:val="0"/>
      <w:marBottom w:val="0"/>
      <w:divBdr>
        <w:top w:val="none" w:sz="0" w:space="0" w:color="auto"/>
        <w:left w:val="none" w:sz="0" w:space="0" w:color="auto"/>
        <w:bottom w:val="none" w:sz="0" w:space="0" w:color="auto"/>
        <w:right w:val="none" w:sz="0" w:space="0" w:color="auto"/>
      </w:divBdr>
    </w:div>
    <w:div w:id="1413161306">
      <w:bodyDiv w:val="1"/>
      <w:marLeft w:val="0"/>
      <w:marRight w:val="0"/>
      <w:marTop w:val="0"/>
      <w:marBottom w:val="0"/>
      <w:divBdr>
        <w:top w:val="none" w:sz="0" w:space="0" w:color="auto"/>
        <w:left w:val="none" w:sz="0" w:space="0" w:color="auto"/>
        <w:bottom w:val="none" w:sz="0" w:space="0" w:color="auto"/>
        <w:right w:val="none" w:sz="0" w:space="0" w:color="auto"/>
      </w:divBdr>
    </w:div>
    <w:div w:id="1534612465">
      <w:bodyDiv w:val="1"/>
      <w:marLeft w:val="0"/>
      <w:marRight w:val="0"/>
      <w:marTop w:val="0"/>
      <w:marBottom w:val="0"/>
      <w:divBdr>
        <w:top w:val="none" w:sz="0" w:space="0" w:color="auto"/>
        <w:left w:val="none" w:sz="0" w:space="0" w:color="auto"/>
        <w:bottom w:val="none" w:sz="0" w:space="0" w:color="auto"/>
        <w:right w:val="none" w:sz="0" w:space="0" w:color="auto"/>
      </w:divBdr>
    </w:div>
    <w:div w:id="1562473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package" Target="embeddings/Microsoft_PowerPoint_Presentation.ppt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E6C5A-5097-4CF1-A391-960C3E00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2253</Words>
  <Characters>12847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2025-06-04T16:39:00Z</dcterms:created>
  <dcterms:modified xsi:type="dcterms:W3CDTF">2025-06-10T20:29:00Z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c4d8b7fe-0a64-4b33-8806-756d4e41d697</vt:lpwstr>
  </property>
</Properties>
</file>