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The United Kingdom's political structure has undergone significant changes due to devolution and constitutional reforms, creating a complex and evolving system of governance. The establishment of devolved legislatures such as the Scottish Parliament, the Welsh Senedd, and the Northern Ireland Assembly has granted varying degrees of legislative and administrative autonomy to these regions, while ultimate authority remains with the UK Parliament in Westminster. This system reflects the UK's status as a unitary state rather than a federal one, as devolved powers can be revoked or amended by central government legislation(Kenny, 2024). The principle of "separation of powers" implies that the cardinal organs of governance should operate with functional autonomy, preventing any single entity from wielding authority across multiple domains. This principle typically delineates three fundamental pillars of state: the executive, tasked with policy implementation; the legislature, responsible for law-making; and the judiciary, entrusted with the interpretation and application of laws ( </w:t>
      </w:r>
      <w:hyperlink r:id="rId4" w:tgtFrame="_blank" w:tooltip="Original URL: https://www.parliament.uk/. Click or tap if you trust this link." w:history="1">
        <w:r w:rsidRPr="00A2181E">
          <w:rPr>
            <w:rFonts w:ascii="Calibri" w:eastAsia="Times New Roman" w:hAnsi="Calibri" w:cs="Calibri"/>
            <w:color w:val="1155CC"/>
            <w:sz w:val="24"/>
            <w:szCs w:val="24"/>
            <w:u w:val="single"/>
          </w:rPr>
          <w:t>https://www.parliament.uk/</w:t>
        </w:r>
      </w:hyperlink>
      <w:r w:rsidRPr="00A2181E">
        <w:rPr>
          <w:rFonts w:ascii="Calibri" w:eastAsia="Times New Roman" w:hAnsi="Calibri" w:cs="Calibri"/>
          <w:color w:val="000000"/>
          <w:sz w:val="24"/>
          <w:szCs w:val="24"/>
        </w:rPr>
        <w:t>, 2025). Taking into consideration the principle of "separation of powers" and the overlapping of powers, in 2003, the Labour administration, under Tony Blair, decided to eliminate the role of Lord Chancellor in the judiciary with an Act of Parliament. This act of Parliament, the Constitutional Reform Act 2005, came as a protection of judicial independence(Wilson et al., 2020). </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Going forward, in the following, the theory of separation of powers will be discussed, including details about the role of powers in the state of United Kingdom, before and after 2005, advantages and disadvantages of the changes brought by Constitutional Reform Act 2005, a proposal for reform and concluding whether the changes made in 2005 are beneficial to separating the powers in the state.</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Prior to the Constitutional Reform Act of 2005, the United Kingdom's highest court was not a separate institution but rather the Appellate Committee of the House of Lords, comprising the Law Lords. This unique arrangement allowed these senior judges to wear two hats: they served as the nation's top jurists while also retaining the right to participate in legislative activities as members of the House of Lords. This dual role created a complex situation where the same individuals could potentially shape laws in Parliament and then interpret those laws in their judicial capacity. While the Law Lords generally refrained from engaging in controversial legislative matters, their presence in both the judiciary and the legislature raised concerns about the separation of powers (Reed, 2021). Before the Constitutional Reform Act of 2005, the Lord Chancellor used to have multiple responsibilities and functions. The Lord Chancellor used to have an exclusive position in the Cabinet and also was in the components of the House of Lords, but, most importantly, the Lord Chancellor was the head of judiciary(Wilson et al., 2020). </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As an immediate result of the Constitutional Reform Act of 2005 the Lord Chancellor’s duty has been reduced in regards to nomination of judges with a settlement of a Judicial Appointments Commision. In October 2009 the Appellate Committee of the House of Lords was changed into the Supreme Court. The Supreme Court has in his structure 12 judges with the highest professional qualifications. Even if the role of the Lord Chancellor has been reduced, he will continue to suggest possible individuals for nomination to the judiciary to the King, on the final level of decision. Even so, the Lord Chancellor will not be anymore involved in the hiring and selection process(Wilson et al., 2020).     </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lastRenderedPageBreak/>
        <w:t>            Another significant change made under section 137 of the Constitutional Reform Act of 2005, building more the theory of separation of powers, was that a full-time member of the judiciary may not sit in either House of Parliament(</w:t>
      </w:r>
      <w:hyperlink r:id="rId5" w:tgtFrame="_blank" w:tooltip="Original URL: https://www.legislation.gov.uk/. Click or tap if you trust this link." w:history="1">
        <w:r w:rsidRPr="00A2181E">
          <w:rPr>
            <w:rFonts w:ascii="Calibri" w:eastAsia="Times New Roman" w:hAnsi="Calibri" w:cs="Calibri"/>
            <w:color w:val="1155CC"/>
            <w:sz w:val="24"/>
            <w:szCs w:val="24"/>
            <w:u w:val="single"/>
          </w:rPr>
          <w:t>https://www.legislation.gov.uk/</w:t>
        </w:r>
      </w:hyperlink>
      <w:r w:rsidRPr="00A2181E">
        <w:rPr>
          <w:rFonts w:ascii="Calibri" w:eastAsia="Times New Roman" w:hAnsi="Calibri" w:cs="Calibri"/>
          <w:color w:val="000000"/>
          <w:sz w:val="24"/>
          <w:szCs w:val="24"/>
        </w:rPr>
        <w:t>, 2025). This has a big advantage on building separation of powers since this rule shows clearly independence from the legislature, since the members are not anymore members of both the judiciary and Parliament(Gillespie and Weare, 2021).</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If we take into consideration independence of the judiciary referring to Courts as rule-makers, being themselves another source of law, then you can say that the Constitutional Reform Act of 2005 has a disadvantage since the judiciary becomes law maker and law applier at the same time( Cownie, Bradney and Burton, 2013)</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The Constitutional Reform Act of 2005 ushered in a new era of enhanced separation of powers in the UK government. This significant change necessitated the development of more structured and formalized processes to manage the interactions between the increasingly distinct governmental branches. The impact of this reform was particularly evident in several key areas of the judicial system. It led to substantial changes in how judges are appointed and how their professional conduct is overseen. Additionally, it brought about new approaches to court administration and the overall governance of the judiciary. While the Act itself directly established some of these new procedures, others evolved organically in the years following its implementation. This gradual development of new systems and protocols reflects the ongoing nature of constitutional reform and the need for governmental structures to adapt over time. The overarching goal of these changes was to create a more transparent and independent judiciary, better aligned with modern principles of governance. By formalizing the relationships between different branches of government, the Act aimed to reduce potential conflicts of interest and enhance public trust in the legal system.</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(Gee et al. 2015). The Constitutional Reform Act 2005 (CRA) brought about significant changes in the relationship between the political and judicial branches of the UK government. Its primary aim was to enhance the formal separation of powers and diminish the executive's involvement in judicial affairs. This reform led to two notable trends: the gradual withdrawal of ministers from judiciary-related matters and the concurrent rise in importance of judicial leadership. As political figures stepped back, the judiciary stepped forward to fill the resulting void. The dynamics of political retreat and judicial advancement have manifested in various ways across different aspects of the legal system. For instance, in areas like judicial discipline, which was previously under the exclusive purview of the Lord Chancellor, new structures and processes emerged to reflect the changing balance of power. This recalibration of responsibilities has reshaped the landscape of judicial governance, creating a more distinct separation between the political and judicial spheres while simultaneously empowering the judiciary to take a more active role in its own administration.</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Going forward, in regards to judiciary as source of law, case-law, it can be mentioned that judicial decisions have the power to initiate significant legal changes. Through the interpretation and application of existing laws to new situations, courts can effectively reshape legal principles and practices. Case-law can lead to legal reform. The landmark case of R v R in 1991(</w:t>
      </w:r>
      <w:hyperlink r:id="rId6" w:tgtFrame="_blank" w:tooltip="Original URL: https://www.lawteacher.net/. Click or tap if you trust this link." w:history="1">
        <w:r w:rsidRPr="00A2181E">
          <w:rPr>
            <w:rFonts w:ascii="Calibri" w:eastAsia="Times New Roman" w:hAnsi="Calibri" w:cs="Calibri"/>
            <w:color w:val="1155CC"/>
            <w:sz w:val="24"/>
            <w:szCs w:val="24"/>
            <w:u w:val="single"/>
          </w:rPr>
          <w:t>https://www.lawteacher.net</w:t>
        </w:r>
      </w:hyperlink>
      <w:r w:rsidRPr="00A2181E">
        <w:rPr>
          <w:rFonts w:ascii="Calibri" w:eastAsia="Times New Roman" w:hAnsi="Calibri" w:cs="Calibri"/>
          <w:color w:val="000000"/>
          <w:sz w:val="24"/>
          <w:szCs w:val="24"/>
        </w:rPr>
        <w:t xml:space="preserve">, 2025) marked a significant turning point in English law regarding marital rape. This House of Lords decision overturned centuries of legal precedent by declaring that a husband could indeed be guilty of raping his wife. Prior to this ruling, the law </w:t>
      </w:r>
      <w:r w:rsidRPr="00A2181E">
        <w:rPr>
          <w:rFonts w:ascii="Calibri" w:eastAsia="Times New Roman" w:hAnsi="Calibri" w:cs="Calibri"/>
          <w:color w:val="000000"/>
          <w:sz w:val="24"/>
          <w:szCs w:val="24"/>
        </w:rPr>
        <w:lastRenderedPageBreak/>
        <w:t>on rape within marriage was based on an outdated 18th-century legal principle. This principle asserted that through marriage, a woman gave irrevocable consent to sexual intercourse with her husband. For many years, this stance was considered increasingly problematic and out of touch with modern values. Although Parliament had the opportunity to address this issue during the debate on the Sexual Offences Act in 1976 (https://www.legislation.gov.uk, 2025), they chose not to make changes at that time. It wasn't until 1991 that the Court of Appeal, followed by the House of Lords, finally ruled that rape within marriage should be recognized as a criminal offense. In delivering the judgment, it was noted that the previous legal position reflected an outdated view of women's status within marriage. The court acknowledged that both the status of women and the nature of marital relationships had undergone significant changes since the original principle was established. The modern perspective of marriage as a partnership of equals meant that the notion of a wife giving permanent, irrevocable consent to sex with her husband was no longer tenable. The court emphasized that the common law had the capacity to evolve in response to societal changes, and it was the judiciary's responsibility to facilitate this evolution. This case demonstrates how judicial decisions can sometimes bring about important legal reforms, particularly when societal values have shifted significantly from those reflected in older legal principles(Elliot and Quinn, 2015).</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r w:rsidRPr="00A2181E">
        <w:rPr>
          <w:rFonts w:ascii="Calibri" w:eastAsia="Times New Roman" w:hAnsi="Calibri" w:cs="Calibri"/>
          <w:color w:val="000000"/>
          <w:sz w:val="24"/>
          <w:szCs w:val="24"/>
        </w:rPr>
        <w:t>            The United Kingdom stands out globally for its uncodified constitution, which results in a unique approach to the separation of powers. Unlike many nations, the UK does not maintain rigid boundaries between its legislative, executive, and judicial branches. Instead, these governmental organs have considerable overlap in their functions and responsibilities(Iyer, 2018).</w:t>
      </w:r>
    </w:p>
    <w:p w:rsidR="00A2181E" w:rsidRPr="00A2181E" w:rsidRDefault="00A2181E" w:rsidP="00A2181E">
      <w:pPr>
        <w:spacing w:after="0" w:line="240" w:lineRule="auto"/>
        <w:textAlignment w:val="baseline"/>
        <w:rPr>
          <w:rFonts w:ascii="Calibri" w:eastAsia="Times New Roman" w:hAnsi="Calibri" w:cs="Calibri"/>
          <w:color w:val="000000"/>
          <w:sz w:val="24"/>
          <w:szCs w:val="24"/>
        </w:rPr>
      </w:pPr>
    </w:p>
    <w:p w:rsidR="00461698" w:rsidRDefault="00A2181E"/>
    <w:sectPr w:rsidR="00461698" w:rsidSect="008F54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A2181E"/>
    <w:rsid w:val="002163C6"/>
    <w:rsid w:val="003E6CB1"/>
    <w:rsid w:val="008F5474"/>
    <w:rsid w:val="00A218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4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181E"/>
    <w:rPr>
      <w:color w:val="0000FF"/>
      <w:u w:val="single"/>
    </w:rPr>
  </w:style>
</w:styles>
</file>

<file path=word/webSettings.xml><?xml version="1.0" encoding="utf-8"?>
<w:webSettings xmlns:r="http://schemas.openxmlformats.org/officeDocument/2006/relationships" xmlns:w="http://schemas.openxmlformats.org/wordprocessingml/2006/main">
  <w:divs>
    <w:div w:id="863903004">
      <w:bodyDiv w:val="1"/>
      <w:marLeft w:val="0"/>
      <w:marRight w:val="0"/>
      <w:marTop w:val="0"/>
      <w:marBottom w:val="0"/>
      <w:divBdr>
        <w:top w:val="none" w:sz="0" w:space="0" w:color="auto"/>
        <w:left w:val="none" w:sz="0" w:space="0" w:color="auto"/>
        <w:bottom w:val="none" w:sz="0" w:space="0" w:color="auto"/>
        <w:right w:val="none" w:sz="0" w:space="0" w:color="auto"/>
      </w:divBdr>
      <w:divsChild>
        <w:div w:id="683362882">
          <w:marLeft w:val="0"/>
          <w:marRight w:val="0"/>
          <w:marTop w:val="0"/>
          <w:marBottom w:val="0"/>
          <w:divBdr>
            <w:top w:val="none" w:sz="0" w:space="0" w:color="auto"/>
            <w:left w:val="none" w:sz="0" w:space="0" w:color="auto"/>
            <w:bottom w:val="none" w:sz="0" w:space="0" w:color="auto"/>
            <w:right w:val="none" w:sz="0" w:space="0" w:color="auto"/>
          </w:divBdr>
        </w:div>
        <w:div w:id="1672025114">
          <w:marLeft w:val="0"/>
          <w:marRight w:val="0"/>
          <w:marTop w:val="0"/>
          <w:marBottom w:val="0"/>
          <w:divBdr>
            <w:top w:val="none" w:sz="0" w:space="0" w:color="auto"/>
            <w:left w:val="none" w:sz="0" w:space="0" w:color="auto"/>
            <w:bottom w:val="none" w:sz="0" w:space="0" w:color="auto"/>
            <w:right w:val="none" w:sz="0" w:space="0" w:color="auto"/>
          </w:divBdr>
        </w:div>
        <w:div w:id="871110059">
          <w:marLeft w:val="0"/>
          <w:marRight w:val="0"/>
          <w:marTop w:val="0"/>
          <w:marBottom w:val="0"/>
          <w:divBdr>
            <w:top w:val="none" w:sz="0" w:space="0" w:color="auto"/>
            <w:left w:val="none" w:sz="0" w:space="0" w:color="auto"/>
            <w:bottom w:val="none" w:sz="0" w:space="0" w:color="auto"/>
            <w:right w:val="none" w:sz="0" w:space="0" w:color="auto"/>
          </w:divBdr>
        </w:div>
        <w:div w:id="1643776850">
          <w:marLeft w:val="0"/>
          <w:marRight w:val="0"/>
          <w:marTop w:val="0"/>
          <w:marBottom w:val="0"/>
          <w:divBdr>
            <w:top w:val="none" w:sz="0" w:space="0" w:color="auto"/>
            <w:left w:val="none" w:sz="0" w:space="0" w:color="auto"/>
            <w:bottom w:val="none" w:sz="0" w:space="0" w:color="auto"/>
            <w:right w:val="none" w:sz="0" w:space="0" w:color="auto"/>
          </w:divBdr>
        </w:div>
        <w:div w:id="1635864829">
          <w:marLeft w:val="0"/>
          <w:marRight w:val="0"/>
          <w:marTop w:val="0"/>
          <w:marBottom w:val="0"/>
          <w:divBdr>
            <w:top w:val="none" w:sz="0" w:space="0" w:color="auto"/>
            <w:left w:val="none" w:sz="0" w:space="0" w:color="auto"/>
            <w:bottom w:val="none" w:sz="0" w:space="0" w:color="auto"/>
            <w:right w:val="none" w:sz="0" w:space="0" w:color="auto"/>
          </w:divBdr>
        </w:div>
        <w:div w:id="197276823">
          <w:marLeft w:val="0"/>
          <w:marRight w:val="0"/>
          <w:marTop w:val="0"/>
          <w:marBottom w:val="0"/>
          <w:divBdr>
            <w:top w:val="none" w:sz="0" w:space="0" w:color="auto"/>
            <w:left w:val="none" w:sz="0" w:space="0" w:color="auto"/>
            <w:bottom w:val="none" w:sz="0" w:space="0" w:color="auto"/>
            <w:right w:val="none" w:sz="0" w:space="0" w:color="auto"/>
          </w:divBdr>
        </w:div>
        <w:div w:id="580407524">
          <w:marLeft w:val="0"/>
          <w:marRight w:val="0"/>
          <w:marTop w:val="0"/>
          <w:marBottom w:val="0"/>
          <w:divBdr>
            <w:top w:val="none" w:sz="0" w:space="0" w:color="auto"/>
            <w:left w:val="none" w:sz="0" w:space="0" w:color="auto"/>
            <w:bottom w:val="none" w:sz="0" w:space="0" w:color="auto"/>
            <w:right w:val="none" w:sz="0" w:space="0" w:color="auto"/>
          </w:divBdr>
        </w:div>
        <w:div w:id="1650161083">
          <w:marLeft w:val="0"/>
          <w:marRight w:val="0"/>
          <w:marTop w:val="0"/>
          <w:marBottom w:val="0"/>
          <w:divBdr>
            <w:top w:val="none" w:sz="0" w:space="0" w:color="auto"/>
            <w:left w:val="none" w:sz="0" w:space="0" w:color="auto"/>
            <w:bottom w:val="none" w:sz="0" w:space="0" w:color="auto"/>
            <w:right w:val="none" w:sz="0" w:space="0" w:color="auto"/>
          </w:divBdr>
        </w:div>
        <w:div w:id="780030610">
          <w:marLeft w:val="0"/>
          <w:marRight w:val="0"/>
          <w:marTop w:val="0"/>
          <w:marBottom w:val="0"/>
          <w:divBdr>
            <w:top w:val="none" w:sz="0" w:space="0" w:color="auto"/>
            <w:left w:val="none" w:sz="0" w:space="0" w:color="auto"/>
            <w:bottom w:val="none" w:sz="0" w:space="0" w:color="auto"/>
            <w:right w:val="none" w:sz="0" w:space="0" w:color="auto"/>
          </w:divBdr>
        </w:div>
        <w:div w:id="1287345644">
          <w:marLeft w:val="0"/>
          <w:marRight w:val="0"/>
          <w:marTop w:val="0"/>
          <w:marBottom w:val="0"/>
          <w:divBdr>
            <w:top w:val="none" w:sz="0" w:space="0" w:color="auto"/>
            <w:left w:val="none" w:sz="0" w:space="0" w:color="auto"/>
            <w:bottom w:val="none" w:sz="0" w:space="0" w:color="auto"/>
            <w:right w:val="none" w:sz="0" w:space="0" w:color="auto"/>
          </w:divBdr>
        </w:div>
        <w:div w:id="1779061125">
          <w:marLeft w:val="0"/>
          <w:marRight w:val="0"/>
          <w:marTop w:val="0"/>
          <w:marBottom w:val="0"/>
          <w:divBdr>
            <w:top w:val="none" w:sz="0" w:space="0" w:color="auto"/>
            <w:left w:val="none" w:sz="0" w:space="0" w:color="auto"/>
            <w:bottom w:val="none" w:sz="0" w:space="0" w:color="auto"/>
            <w:right w:val="none" w:sz="0" w:space="0" w:color="auto"/>
          </w:divBdr>
        </w:div>
        <w:div w:id="2142992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www.lawteacher.net%2F&amp;data=05%7C02%7C2322209%40student.uwtsd.ac.uk%7Cb9a0019dac2b4d3a001008dd5ca1438c%7C4e0f11f9046e45059cb8db2152311e21%7C0%7C0%7C638768569894437825%7CUnknown%7CTWFpbGZsb3d8eyJFbXB0eU1hcGkiOnRydWUsIlYiOiIwLjAuMDAwMCIsIlAiOiJXaW4zMiIsIkFOIjoiTWFpbCIsIldUIjoyfQ%3D%3D%7C0%7C%7C%7C&amp;sdata=Mj%2FGLX76WNEGAJnOAimlANQoGMUng9PSfkFS6oqaSF8%3D&amp;reserved=0" TargetMode="External"/><Relationship Id="rId5" Type="http://schemas.openxmlformats.org/officeDocument/2006/relationships/hyperlink" Target="https://eur01.safelinks.protection.outlook.com/?url=https%3A%2F%2Fwww.legislation.gov.uk%2F&amp;data=05%7C02%7C2322209%40student.uwtsd.ac.uk%7Cb9a0019dac2b4d3a001008dd5ca1438c%7C4e0f11f9046e45059cb8db2152311e21%7C0%7C0%7C638768569894418517%7CUnknown%7CTWFpbGZsb3d8eyJFbXB0eU1hcGkiOnRydWUsIlYiOiIwLjAuMDAwMCIsIlAiOiJXaW4zMiIsIkFOIjoiTWFpbCIsIldUIjoyfQ%3D%3D%7C0%7C%7C%7C&amp;sdata=TMH89UkdZ%2B8UafPMJt9zLLw6s8TfIlAvjIwaLrVY4LE%3D&amp;reserved=0" TargetMode="External"/><Relationship Id="rId4" Type="http://schemas.openxmlformats.org/officeDocument/2006/relationships/hyperlink" Target="https://eur01.safelinks.protection.outlook.com/?url=https%3A%2F%2Fwww.parliament.uk%2F&amp;data=05%7C02%7C2322209%40student.uwtsd.ac.uk%7Cb9a0019dac2b4d3a001008dd5ca1438c%7C4e0f11f9046e45059cb8db2152311e21%7C0%7C0%7C638768569894382020%7CUnknown%7CTWFpbGZsb3d8eyJFbXB0eU1hcGkiOnRydWUsIlYiOiIwLjAuMDAwMCIsIlAiOiJXaW4zMiIsIkFOIjoiTWFpbCIsIldUIjoyfQ%3D%3D%7C0%7C%7C%7C&amp;sdata=rZGAHC3xwRlbHcJ4zu1fmk4ihr6HXPeiDKa8lHBNHZc%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1683</Words>
  <Characters>9595</Characters>
  <Application>Microsoft Office Word</Application>
  <DocSecurity>0</DocSecurity>
  <Lines>79</Lines>
  <Paragraphs>22</Paragraphs>
  <ScaleCrop>false</ScaleCrop>
  <Company/>
  <LinksUpToDate>false</LinksUpToDate>
  <CharactersWithSpaces>11256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1</cp:revision>
  <dcterms:created xsi:type="dcterms:W3CDTF">2025-03-06T11:36:00Z</dcterms:created>
  <dcterms:modified xsi:type="dcterms:W3CDTF">2025-03-06T11:38:00Z</dcterms:modified>
</cp:coreProperties>
</file>