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748C56" w14:textId="4573902B" w:rsidR="0043654A" w:rsidRDefault="00A15B02" w:rsidP="00FA5A87">
      <w:pPr>
        <w:rPr>
          <w:b/>
          <w:sz w:val="32"/>
          <w:szCs w:val="32"/>
        </w:rPr>
      </w:pPr>
      <w:r w:rsidRPr="00A15B02">
        <w:rPr>
          <w:b/>
          <w:noProof/>
          <w:sz w:val="32"/>
          <w:szCs w:val="32"/>
        </w:rPr>
        <w:drawing>
          <wp:inline distT="0" distB="0" distL="0" distR="0" wp14:anchorId="47C1B4E4" wp14:editId="6D45593B">
            <wp:extent cx="2530059" cy="1074513"/>
            <wp:effectExtent l="0" t="0" r="3810" b="0"/>
            <wp:docPr id="8402664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0266438" name=""/>
                    <pic:cNvPicPr/>
                  </pic:nvPicPr>
                  <pic:blipFill>
                    <a:blip r:embed="rId6"/>
                    <a:stretch>
                      <a:fillRect/>
                    </a:stretch>
                  </pic:blipFill>
                  <pic:spPr>
                    <a:xfrm>
                      <a:off x="0" y="0"/>
                      <a:ext cx="2530059" cy="1074513"/>
                    </a:xfrm>
                    <a:prstGeom prst="rect">
                      <a:avLst/>
                    </a:prstGeom>
                  </pic:spPr>
                </pic:pic>
              </a:graphicData>
            </a:graphic>
          </wp:inline>
        </w:drawing>
      </w:r>
    </w:p>
    <w:p w14:paraId="19389EB4" w14:textId="77777777" w:rsidR="0043654A" w:rsidRDefault="0043654A">
      <w:pPr>
        <w:jc w:val="center"/>
        <w:rPr>
          <w:b/>
          <w:sz w:val="32"/>
          <w:szCs w:val="32"/>
        </w:rPr>
      </w:pPr>
    </w:p>
    <w:p w14:paraId="2C2D229A" w14:textId="77777777" w:rsidR="0043654A" w:rsidRDefault="0043654A">
      <w:pPr>
        <w:jc w:val="center"/>
        <w:rPr>
          <w:b/>
          <w:sz w:val="32"/>
          <w:szCs w:val="32"/>
        </w:rPr>
      </w:pPr>
    </w:p>
    <w:p w14:paraId="5A954529" w14:textId="77777777" w:rsidR="0043654A" w:rsidRDefault="0043654A">
      <w:pPr>
        <w:jc w:val="center"/>
        <w:rPr>
          <w:b/>
          <w:sz w:val="32"/>
          <w:szCs w:val="32"/>
        </w:rPr>
      </w:pPr>
    </w:p>
    <w:p w14:paraId="2B8B2038" w14:textId="77777777" w:rsidR="0043654A" w:rsidRDefault="008662AD">
      <w:pPr>
        <w:jc w:val="center"/>
        <w:rPr>
          <w:b/>
          <w:sz w:val="32"/>
          <w:szCs w:val="32"/>
        </w:rPr>
      </w:pPr>
      <w:r>
        <w:rPr>
          <w:b/>
          <w:sz w:val="32"/>
          <w:szCs w:val="32"/>
        </w:rPr>
        <w:t>MODULE CODE: LCBB6001</w:t>
      </w:r>
    </w:p>
    <w:p w14:paraId="135FD485" w14:textId="77777777" w:rsidR="0043654A" w:rsidRDefault="008662AD">
      <w:pPr>
        <w:jc w:val="center"/>
        <w:rPr>
          <w:b/>
          <w:sz w:val="32"/>
          <w:szCs w:val="32"/>
        </w:rPr>
      </w:pPr>
      <w:r>
        <w:rPr>
          <w:b/>
          <w:sz w:val="32"/>
          <w:szCs w:val="32"/>
        </w:rPr>
        <w:t>MODULE TITLE: INTERNATIONAL BUSINESS COMMUNICATIONS</w:t>
      </w:r>
    </w:p>
    <w:p w14:paraId="5E68B36D" w14:textId="77777777" w:rsidR="0043654A" w:rsidRDefault="008662AD">
      <w:pPr>
        <w:jc w:val="center"/>
        <w:rPr>
          <w:b/>
          <w:sz w:val="32"/>
          <w:szCs w:val="32"/>
        </w:rPr>
      </w:pPr>
      <w:r>
        <w:rPr>
          <w:b/>
          <w:sz w:val="32"/>
          <w:szCs w:val="32"/>
        </w:rPr>
        <w:t>ASSIGNMENT TITLE: COMPONENT 1: COURSEWORK:  INDIVIDUAL ESSAY</w:t>
      </w:r>
    </w:p>
    <w:p w14:paraId="71B856E1" w14:textId="77777777" w:rsidR="0043654A" w:rsidRDefault="008662AD">
      <w:pPr>
        <w:jc w:val="center"/>
        <w:rPr>
          <w:b/>
          <w:sz w:val="32"/>
          <w:szCs w:val="32"/>
        </w:rPr>
      </w:pPr>
      <w:r>
        <w:rPr>
          <w:b/>
          <w:sz w:val="32"/>
          <w:szCs w:val="32"/>
        </w:rPr>
        <w:t>STUDENT NAME: DUMITRU CIPRIAN IANCU</w:t>
      </w:r>
    </w:p>
    <w:p w14:paraId="47E9E05C" w14:textId="77777777" w:rsidR="0043654A" w:rsidRDefault="008662AD">
      <w:pPr>
        <w:jc w:val="center"/>
        <w:rPr>
          <w:b/>
          <w:sz w:val="32"/>
          <w:szCs w:val="32"/>
        </w:rPr>
      </w:pPr>
      <w:r>
        <w:rPr>
          <w:b/>
          <w:sz w:val="32"/>
          <w:szCs w:val="32"/>
        </w:rPr>
        <w:t>STUDENT ID: ID:2133738</w:t>
      </w:r>
      <w:r>
        <w:br w:type="page"/>
      </w:r>
    </w:p>
    <w:p w14:paraId="7251158A" w14:textId="77777777" w:rsidR="0043654A" w:rsidRDefault="008662AD">
      <w:pPr>
        <w:jc w:val="center"/>
        <w:rPr>
          <w:b/>
          <w:sz w:val="28"/>
          <w:szCs w:val="28"/>
        </w:rPr>
      </w:pPr>
      <w:r>
        <w:rPr>
          <w:b/>
          <w:sz w:val="28"/>
          <w:szCs w:val="28"/>
        </w:rPr>
        <w:t>Table of contents</w:t>
      </w:r>
    </w:p>
    <w:sdt>
      <w:sdtPr>
        <w:id w:val="-531237041"/>
        <w:docPartObj>
          <w:docPartGallery w:val="Table of Contents"/>
          <w:docPartUnique/>
        </w:docPartObj>
      </w:sdtPr>
      <w:sdtEndPr/>
      <w:sdtContent>
        <w:p w14:paraId="2BB45375" w14:textId="77777777" w:rsidR="0043654A" w:rsidRDefault="0043654A">
          <w:pPr>
            <w:widowControl w:val="0"/>
            <w:tabs>
              <w:tab w:val="right" w:pos="9025"/>
            </w:tabs>
            <w:spacing w:before="60"/>
            <w:rPr>
              <w:color w:val="000000"/>
            </w:rPr>
          </w:pPr>
          <w:r>
            <w:fldChar w:fldCharType="begin"/>
          </w:r>
          <w:r>
            <w:instrText xml:space="preserve"> TOC \h \u \z \t "Heading 1,1,Heading 2,2,Heading 3,3,Heading 4,4,Heading 5,5,Heading 6,6,"</w:instrText>
          </w:r>
          <w:r>
            <w:fldChar w:fldCharType="separate"/>
          </w:r>
          <w:hyperlink w:anchor="_93eyjggedctd">
            <w:r>
              <w:rPr>
                <w:color w:val="000000"/>
              </w:rPr>
              <w:t>Introduction</w:t>
            </w:r>
            <w:r>
              <w:rPr>
                <w:color w:val="000000"/>
              </w:rPr>
              <w:tab/>
            </w:r>
          </w:hyperlink>
          <w:r>
            <w:fldChar w:fldCharType="begin"/>
          </w:r>
          <w:r>
            <w:instrText xml:space="preserve"> PAGEREF _93eyjggedctd \h </w:instrText>
          </w:r>
          <w:r>
            <w:fldChar w:fldCharType="separate"/>
          </w:r>
          <w:r>
            <w:t>3</w:t>
          </w:r>
          <w:r>
            <w:fldChar w:fldCharType="end"/>
          </w:r>
        </w:p>
        <w:p w14:paraId="3FF280F4" w14:textId="77777777" w:rsidR="0043654A" w:rsidRDefault="008662AD">
          <w:pPr>
            <w:widowControl w:val="0"/>
            <w:tabs>
              <w:tab w:val="right" w:pos="9025"/>
            </w:tabs>
            <w:spacing w:before="60"/>
            <w:rPr>
              <w:color w:val="000000"/>
            </w:rPr>
          </w:pPr>
          <w:r>
            <w:t>Main body</w:t>
          </w:r>
          <w:hyperlink w:anchor="_w4fpvkqzsyyc">
            <w:r w:rsidR="0043654A">
              <w:rPr>
                <w:color w:val="000000"/>
              </w:rPr>
              <w:tab/>
            </w:r>
          </w:hyperlink>
          <w:r>
            <w:fldChar w:fldCharType="begin"/>
          </w:r>
          <w:r>
            <w:instrText xml:space="preserve"> PAGEREF _w4fpvkqzsyyc \h </w:instrText>
          </w:r>
          <w:r>
            <w:fldChar w:fldCharType="separate"/>
          </w:r>
          <w:r>
            <w:t>4</w:t>
          </w:r>
          <w:r>
            <w:fldChar w:fldCharType="end"/>
          </w:r>
        </w:p>
        <w:p w14:paraId="5549D520" w14:textId="77777777" w:rsidR="0043654A" w:rsidRDefault="0043654A">
          <w:pPr>
            <w:widowControl w:val="0"/>
            <w:tabs>
              <w:tab w:val="right" w:pos="9025"/>
            </w:tabs>
            <w:spacing w:before="60"/>
            <w:ind w:left="360"/>
            <w:rPr>
              <w:color w:val="000000"/>
            </w:rPr>
          </w:pPr>
          <w:hyperlink w:anchor="_uumchnjbkz2q">
            <w:r>
              <w:rPr>
                <w:color w:val="000000"/>
              </w:rPr>
              <w:t>Cultural context in the UK workplace communication</w:t>
            </w:r>
            <w:r>
              <w:rPr>
                <w:color w:val="000000"/>
              </w:rPr>
              <w:tab/>
            </w:r>
          </w:hyperlink>
          <w:r>
            <w:fldChar w:fldCharType="begin"/>
          </w:r>
          <w:r>
            <w:instrText xml:space="preserve"> PAGEREF _uumchnjbkz2q \h </w:instrText>
          </w:r>
          <w:r>
            <w:fldChar w:fldCharType="separate"/>
          </w:r>
          <w:r>
            <w:t>4</w:t>
          </w:r>
          <w:r>
            <w:fldChar w:fldCharType="end"/>
          </w:r>
        </w:p>
        <w:p w14:paraId="0C820737" w14:textId="77777777" w:rsidR="0043654A" w:rsidRDefault="0043654A">
          <w:pPr>
            <w:widowControl w:val="0"/>
            <w:tabs>
              <w:tab w:val="right" w:pos="9025"/>
            </w:tabs>
            <w:spacing w:before="60"/>
            <w:ind w:left="360"/>
            <w:rPr>
              <w:color w:val="000000"/>
            </w:rPr>
          </w:pPr>
          <w:hyperlink w:anchor="_sbssluqeio00">
            <w:r>
              <w:rPr>
                <w:color w:val="000000"/>
              </w:rPr>
              <w:t>Cultural context of Japanese workplace communication</w:t>
            </w:r>
            <w:r>
              <w:rPr>
                <w:color w:val="000000"/>
              </w:rPr>
              <w:tab/>
            </w:r>
          </w:hyperlink>
          <w:r>
            <w:fldChar w:fldCharType="begin"/>
          </w:r>
          <w:r>
            <w:instrText xml:space="preserve"> PAGEREF _sbssluqeio00 \h </w:instrText>
          </w:r>
          <w:r>
            <w:fldChar w:fldCharType="separate"/>
          </w:r>
          <w:r>
            <w:t>5</w:t>
          </w:r>
          <w:r>
            <w:fldChar w:fldCharType="end"/>
          </w:r>
        </w:p>
        <w:p w14:paraId="735B939B" w14:textId="77777777" w:rsidR="0043654A" w:rsidRDefault="0043654A">
          <w:pPr>
            <w:widowControl w:val="0"/>
            <w:tabs>
              <w:tab w:val="right" w:pos="9025"/>
            </w:tabs>
            <w:spacing w:before="60"/>
            <w:ind w:left="360"/>
            <w:rPr>
              <w:color w:val="000000"/>
            </w:rPr>
          </w:pPr>
          <w:hyperlink w:anchor="_yn9a4heg1jr0">
            <w:r>
              <w:rPr>
                <w:color w:val="000000"/>
              </w:rPr>
              <w:t>Evaluation of the Differences in the UK and Japanese Workplace Communication Styles</w:t>
            </w:r>
            <w:r>
              <w:rPr>
                <w:color w:val="000000"/>
              </w:rPr>
              <w:tab/>
            </w:r>
          </w:hyperlink>
          <w:r>
            <w:fldChar w:fldCharType="begin"/>
          </w:r>
          <w:r>
            <w:instrText xml:space="preserve"> PAGEREF _yn9a4heg1jr0 \h </w:instrText>
          </w:r>
          <w:r>
            <w:fldChar w:fldCharType="separate"/>
          </w:r>
          <w:r>
            <w:t>6</w:t>
          </w:r>
          <w:r>
            <w:fldChar w:fldCharType="end"/>
          </w:r>
        </w:p>
        <w:p w14:paraId="1B3A9E37" w14:textId="77777777" w:rsidR="0043654A" w:rsidRDefault="0043654A">
          <w:pPr>
            <w:widowControl w:val="0"/>
            <w:tabs>
              <w:tab w:val="right" w:pos="9025"/>
            </w:tabs>
            <w:spacing w:before="60"/>
            <w:ind w:left="360"/>
            <w:rPr>
              <w:color w:val="000000"/>
            </w:rPr>
          </w:pPr>
          <w:hyperlink w:anchor="_v98l7xip1ovw">
            <w:r>
              <w:rPr>
                <w:color w:val="000000"/>
              </w:rPr>
              <w:t>Application of cultural dimension theories</w:t>
            </w:r>
            <w:r>
              <w:rPr>
                <w:color w:val="000000"/>
              </w:rPr>
              <w:tab/>
            </w:r>
          </w:hyperlink>
          <w:r>
            <w:fldChar w:fldCharType="begin"/>
          </w:r>
          <w:r>
            <w:instrText xml:space="preserve"> PAGEREF _v98l7xip1ovw \h </w:instrText>
          </w:r>
          <w:r>
            <w:fldChar w:fldCharType="separate"/>
          </w:r>
          <w:r>
            <w:t>6</w:t>
          </w:r>
          <w:r>
            <w:fldChar w:fldCharType="end"/>
          </w:r>
        </w:p>
        <w:p w14:paraId="32D47607" w14:textId="77777777" w:rsidR="0043654A" w:rsidRDefault="0043654A">
          <w:pPr>
            <w:widowControl w:val="0"/>
            <w:tabs>
              <w:tab w:val="right" w:pos="9025"/>
            </w:tabs>
            <w:spacing w:before="60"/>
            <w:ind w:left="360"/>
            <w:rPr>
              <w:color w:val="000000"/>
            </w:rPr>
          </w:pPr>
          <w:hyperlink w:anchor="_rxnzig6br0dk">
            <w:r>
              <w:rPr>
                <w:color w:val="000000"/>
              </w:rPr>
              <w:t>Analysis of international communication techniques depending on cultural  differences</w:t>
            </w:r>
            <w:r>
              <w:rPr>
                <w:color w:val="000000"/>
              </w:rPr>
              <w:tab/>
            </w:r>
          </w:hyperlink>
          <w:r>
            <w:fldChar w:fldCharType="begin"/>
          </w:r>
          <w:r>
            <w:instrText xml:space="preserve"> PAGEREF _rxnzig6br0dk \h </w:instrText>
          </w:r>
          <w:r>
            <w:fldChar w:fldCharType="separate"/>
          </w:r>
          <w:r>
            <w:t>8</w:t>
          </w:r>
          <w:r>
            <w:fldChar w:fldCharType="end"/>
          </w:r>
        </w:p>
        <w:p w14:paraId="1BC0C06A" w14:textId="77777777" w:rsidR="0043654A" w:rsidRDefault="0043654A">
          <w:pPr>
            <w:widowControl w:val="0"/>
            <w:tabs>
              <w:tab w:val="right" w:pos="9025"/>
            </w:tabs>
            <w:spacing w:before="60"/>
            <w:rPr>
              <w:color w:val="000000"/>
            </w:rPr>
          </w:pPr>
          <w:hyperlink w:anchor="_9eegncoz9329">
            <w:r>
              <w:rPr>
                <w:color w:val="000000"/>
              </w:rPr>
              <w:t>Conclusion</w:t>
            </w:r>
            <w:r>
              <w:rPr>
                <w:color w:val="000000"/>
              </w:rPr>
              <w:tab/>
            </w:r>
          </w:hyperlink>
          <w:r>
            <w:fldChar w:fldCharType="begin"/>
          </w:r>
          <w:r>
            <w:instrText xml:space="preserve"> PAGEREF _9eegncoz9329 \h </w:instrText>
          </w:r>
          <w:r>
            <w:fldChar w:fldCharType="separate"/>
          </w:r>
          <w:r>
            <w:t>9</w:t>
          </w:r>
          <w:r>
            <w:fldChar w:fldCharType="end"/>
          </w:r>
        </w:p>
        <w:p w14:paraId="4CA25C21" w14:textId="77777777" w:rsidR="0043654A" w:rsidRDefault="0043654A">
          <w:pPr>
            <w:widowControl w:val="0"/>
            <w:tabs>
              <w:tab w:val="right" w:pos="9025"/>
            </w:tabs>
            <w:spacing w:before="60"/>
            <w:rPr>
              <w:color w:val="000000"/>
            </w:rPr>
          </w:pPr>
          <w:hyperlink w:anchor="_bce1cfordyp3">
            <w:r>
              <w:rPr>
                <w:color w:val="000000"/>
              </w:rPr>
              <w:t>Reference List</w:t>
            </w:r>
            <w:r>
              <w:rPr>
                <w:color w:val="000000"/>
              </w:rPr>
              <w:tab/>
            </w:r>
          </w:hyperlink>
          <w:r>
            <w:fldChar w:fldCharType="begin"/>
          </w:r>
          <w:r>
            <w:instrText xml:space="preserve"> PAGEREF _bce1cfordyp3 \h </w:instrText>
          </w:r>
          <w:r>
            <w:fldChar w:fldCharType="separate"/>
          </w:r>
          <w:r>
            <w:t>10</w:t>
          </w:r>
          <w:r>
            <w:fldChar w:fldCharType="end"/>
          </w:r>
        </w:p>
        <w:p w14:paraId="0BB52B9E" w14:textId="77777777" w:rsidR="0043654A" w:rsidRDefault="0043654A">
          <w:pPr>
            <w:widowControl w:val="0"/>
            <w:tabs>
              <w:tab w:val="right" w:pos="9025"/>
            </w:tabs>
            <w:spacing w:before="60"/>
            <w:rPr>
              <w:color w:val="000000"/>
            </w:rPr>
          </w:pPr>
          <w:hyperlink w:anchor="_h743nah22uid">
            <w:r>
              <w:rPr>
                <w:color w:val="000000"/>
              </w:rPr>
              <w:t>Appendices:</w:t>
            </w:r>
            <w:r>
              <w:rPr>
                <w:color w:val="000000"/>
              </w:rPr>
              <w:tab/>
            </w:r>
          </w:hyperlink>
          <w:r>
            <w:fldChar w:fldCharType="begin"/>
          </w:r>
          <w:r>
            <w:instrText xml:space="preserve"> PAGEREF _h743nah22uid \h </w:instrText>
          </w:r>
          <w:r>
            <w:fldChar w:fldCharType="separate"/>
          </w:r>
          <w:r>
            <w:t>12</w:t>
          </w:r>
          <w:r>
            <w:fldChar w:fldCharType="end"/>
          </w:r>
        </w:p>
        <w:p w14:paraId="405706C5" w14:textId="77777777" w:rsidR="0043654A" w:rsidRDefault="0043654A">
          <w:pPr>
            <w:widowControl w:val="0"/>
            <w:tabs>
              <w:tab w:val="right" w:pos="9025"/>
            </w:tabs>
            <w:spacing w:before="60"/>
            <w:ind w:left="360"/>
            <w:rPr>
              <w:color w:val="000000"/>
            </w:rPr>
          </w:pPr>
          <w:hyperlink w:anchor="_2bb7hqoz83oy">
            <w:r>
              <w:rPr>
                <w:color w:val="000000"/>
              </w:rPr>
              <w:t>Appendix 1: Country Comparison between the UK and Japan</w:t>
            </w:r>
            <w:r>
              <w:rPr>
                <w:color w:val="000000"/>
              </w:rPr>
              <w:tab/>
            </w:r>
          </w:hyperlink>
          <w:r>
            <w:fldChar w:fldCharType="begin"/>
          </w:r>
          <w:r>
            <w:instrText xml:space="preserve"> PAGEREF _2bb7hqoz83oy \h </w:instrText>
          </w:r>
          <w:r>
            <w:fldChar w:fldCharType="separate"/>
          </w:r>
          <w:r>
            <w:t>12</w:t>
          </w:r>
          <w:r>
            <w:fldChar w:fldCharType="end"/>
          </w:r>
          <w:r>
            <w:fldChar w:fldCharType="end"/>
          </w:r>
        </w:p>
      </w:sdtContent>
    </w:sdt>
    <w:p w14:paraId="65AB7A26" w14:textId="77777777" w:rsidR="0043654A" w:rsidRDefault="008662AD">
      <w:pPr>
        <w:jc w:val="center"/>
        <w:rPr>
          <w:b/>
          <w:sz w:val="32"/>
          <w:szCs w:val="32"/>
        </w:rPr>
      </w:pPr>
      <w:r>
        <w:br w:type="page"/>
      </w:r>
    </w:p>
    <w:p w14:paraId="7E79E1B0" w14:textId="77777777" w:rsidR="0043654A" w:rsidRDefault="008662AD">
      <w:pPr>
        <w:pStyle w:val="Heading1"/>
      </w:pPr>
      <w:bookmarkStart w:id="0" w:name="_93eyjggedctd" w:colFirst="0" w:colLast="0"/>
      <w:bookmarkEnd w:id="0"/>
      <w:r>
        <w:t>Introduction</w:t>
      </w:r>
    </w:p>
    <w:p w14:paraId="24D40DA2" w14:textId="77777777" w:rsidR="0043654A" w:rsidRDefault="008662AD">
      <w:r>
        <w:t xml:space="preserve">The effective exchange of innovative business ideas and products that can help foreign business entities understand the cultural differences in a new market can be referred to as international communication for positive workplace communication. This essay delves into the cultural differences between two multinational companies, such as Unilever and Shiseido, that can potentially lead towards workplace miscommunication and thereby reduce organisational productivity. The likely differences between UK and Japanese-based workplace communication processes have also been discussed in this report, which can help organisational workplaces to maintain an open line of communication between employees. </w:t>
      </w:r>
    </w:p>
    <w:p w14:paraId="761BBA84" w14:textId="77777777" w:rsidR="0043654A" w:rsidRDefault="008662AD">
      <w:pPr>
        <w:rPr>
          <w:b/>
          <w:i/>
        </w:rPr>
      </w:pPr>
      <w:r>
        <w:rPr>
          <w:b/>
          <w:i/>
        </w:rPr>
        <w:t>Background on the market and Region</w:t>
      </w:r>
    </w:p>
    <w:p w14:paraId="20CF62C6" w14:textId="77777777" w:rsidR="0043654A" w:rsidRDefault="008662AD">
      <w:r>
        <w:t xml:space="preserve">The increased need for natural and premium skincare products is prevalent among the current population of Japan, which has enabled them to locate moisturising and anti-ageing items for physical wellbeing. In the context of the Japanese marketplace, the overall skincare market is estimated to reach nearly 17.18 billion pounds, which indicates the growing popularity of beauty products among the local population (Statista, 2025). In the fiscal year of 2025, an average Japanese citizen spends nearly 140.87 pounds on a yearly basis for purchasing quality skincare items from the marketplace (Statista, 2025). </w:t>
      </w:r>
    </w:p>
    <w:p w14:paraId="4F0D137B" w14:textId="77777777" w:rsidR="0043654A" w:rsidRDefault="008662AD">
      <w:pPr>
        <w:rPr>
          <w:b/>
          <w:i/>
        </w:rPr>
      </w:pPr>
      <w:r>
        <w:rPr>
          <w:b/>
          <w:i/>
        </w:rPr>
        <w:t>Overview of Unilever</w:t>
      </w:r>
    </w:p>
    <w:p w14:paraId="43B12F73" w14:textId="77777777" w:rsidR="0043654A" w:rsidRDefault="008662AD">
      <w:r>
        <w:t xml:space="preserve">Unilever is a UK-based retail enterprise that currently operates in nearly 190 countries, enabling the organisation to establish an international market presence (Unilever, 2025a).  Almost 3.4 billion of the global population employ Unilever retail items every day, which is a testament towards the strong brand value of the multinational corporation (Unilever, 2025a). In 2024, the UK-based retail company also registered an annual turnover of almost 52.1 billion pounds, allowing the organisation to achieve a sustainable profitability margin (Unilever, 2025a). Despite the global reputation of Unilever, the enterprise lacks quality skincare products made out of sustainable items that can help the organisation to elevate its current global market standing. The existing administration of Unilever is in the process of developing and marketing its new skincare item known as Luméa Moisturising Serum to target customers in the Japanese marketplace. The retail firm is also in the process of developing a collaborative business partnership with a Japanese-based retail firm called Shiseido for maximising local market penetration capabilities. </w:t>
      </w:r>
    </w:p>
    <w:p w14:paraId="7F76197A" w14:textId="77777777" w:rsidR="0043654A" w:rsidRDefault="008662AD">
      <w:pPr>
        <w:rPr>
          <w:b/>
          <w:i/>
        </w:rPr>
      </w:pPr>
      <w:r>
        <w:rPr>
          <w:b/>
          <w:i/>
        </w:rPr>
        <w:t>Background of Shiseido</w:t>
      </w:r>
    </w:p>
    <w:p w14:paraId="70BC6131" w14:textId="77777777" w:rsidR="0043654A" w:rsidRDefault="008662AD">
      <w:r>
        <w:t xml:space="preserve">Shiseido is a Japan-based skincare entity first established in the year 1872 around the capital city of Tokyo for delivering local population with westernised skincare solutions (Shiseido, 2025a). Some of the most popular skincare items marketed by Shiseido are </w:t>
      </w:r>
      <w:r>
        <w:rPr>
          <w:b/>
          <w:i/>
        </w:rPr>
        <w:t>“Urban Environment Oil-Free Sunscreen SPF 42”</w:t>
      </w:r>
      <w:r>
        <w:t xml:space="preserve"> and </w:t>
      </w:r>
      <w:r>
        <w:rPr>
          <w:b/>
          <w:i/>
        </w:rPr>
        <w:t xml:space="preserve">“Future Solution LX Eye and Lip Contour Regenerating Cream” </w:t>
      </w:r>
      <w:r>
        <w:t xml:space="preserve">(Shiseido, 2025a). The Japanese company is currently attempting to build up positive business collaboration with Unilever for generating local public interest for the new and innovative item Luméa Serum through effective inter-organisation communication. </w:t>
      </w:r>
    </w:p>
    <w:p w14:paraId="05E98905" w14:textId="77777777" w:rsidR="0043654A" w:rsidRDefault="008662AD">
      <w:pPr>
        <w:pStyle w:val="Heading1"/>
      </w:pPr>
      <w:bookmarkStart w:id="1" w:name="_w4fpvkqzsyyc" w:colFirst="0" w:colLast="0"/>
      <w:bookmarkEnd w:id="1"/>
      <w:r>
        <w:t>Main body</w:t>
      </w:r>
    </w:p>
    <w:p w14:paraId="6B3A2DCD" w14:textId="77777777" w:rsidR="0043654A" w:rsidRDefault="008662AD">
      <w:pPr>
        <w:pStyle w:val="Heading2"/>
      </w:pPr>
      <w:bookmarkStart w:id="2" w:name="_uumchnjbkz2q" w:colFirst="0" w:colLast="0"/>
      <w:bookmarkEnd w:id="2"/>
      <w:r>
        <w:t>Cultural context in the UK workplace communication</w:t>
      </w:r>
    </w:p>
    <w:p w14:paraId="31FBF906" w14:textId="77777777" w:rsidR="0043654A" w:rsidRDefault="008662AD">
      <w:r>
        <w:t xml:space="preserve">Cultural sensitivity is the main basis of British organisational culture and its communication techniques that allow individual employees to both respect and adhere to the needs of workers from minority communities. The effective teamwork among organisational employees is also an essential part of British workplace culture that enables office groups to maintain open lines of communication between different teammates. In the context of London, UK, almost 37% of its current inhabitants are foreign-born nationals from diverse communities who have been working for prominent British corporations (Hwang and Beauregard, 2022). Apart from that, almost 43,000 Japanese workers have also been working in reputed UK-based organisations that have mentioned the advantages of the local multi-cultural workplace culture (Hwang and Beauregard, 2022). Therefore, increased cultural sensitivity level among UK workers and teamworking capabilities have better diversified the British organisational culture to ensure positive workforce communication. </w:t>
      </w:r>
    </w:p>
    <w:p w14:paraId="2A8D3638" w14:textId="77777777" w:rsidR="0043654A" w:rsidRDefault="008662AD">
      <w:r>
        <w:t xml:space="preserve">In the case of Unilever’s workplace culture, the maintenance of open and transparent workplace communication has helped organisational leadership to gradually build up an optimal trust level with subordinate employees. The current administration of Unilever has also employed multiple feedback channels for its workforce towards sharing personal feedback and queries, and gradually increasing employee engagement levels. On the other hand, the organisation has also established a business integrity office for monitoring daily business processes within the organisational infrastructure and undertaking suitable actions in case of ethics breach.  In 2023, almost 55% of ethics integrity cases were directly registered towards organisational officers, which further indicates heightened workforce trust towards Unilever's corporate hierarchy (Unilever, 2025b). Nearly 39% of vases have also been recorded by Unilever employees on an anonymous basis, which highlights the organisational capability towards preserving the physical well-being of its existing employee base (Unilever, 2025b). Therefore, the preservation of two-way communication and employee anonymity are positive business initiatives undertaken by Unilever for maintaining a collaborative workplace culture and gaining workforce trust. </w:t>
      </w:r>
    </w:p>
    <w:p w14:paraId="0665D06C" w14:textId="77777777" w:rsidR="0043654A" w:rsidRDefault="008662AD">
      <w:pPr>
        <w:pStyle w:val="Heading2"/>
      </w:pPr>
      <w:bookmarkStart w:id="3" w:name="_sbssluqeio00" w:colFirst="0" w:colLast="0"/>
      <w:bookmarkEnd w:id="3"/>
      <w:r>
        <w:t>Cultural context of Japanese workplace communication</w:t>
      </w:r>
    </w:p>
    <w:p w14:paraId="0AF97D0E" w14:textId="77777777" w:rsidR="0043654A" w:rsidRDefault="008662AD">
      <w:r>
        <w:t xml:space="preserve">The implementation of high-context communication is the basis of the Japanese workplace culture that involves non-verbal cues for conveying information from leadership towards subordinate workers. The heightened respect towards organisational leadership is also an integral part of Japanese culture that enables newly integrated workers to show adequate acknowledgement towards senior officers and instigate positive communication. For example, almost 62.5% of employees have mentioned the fact that participating in group tasks has enabled them to increase their workplace engagement level and gain adequate assistance from team leaders (Chen, 2021). Moreover, nearly 75% of workers have also highlighted that workforce engagement and open communication have helped them towards procuring adequate professional knowledge and elevate the current productivity index (Chen, 2021). Therefore, high-context communication and delivering adequate respect towards superior officers have greatly assisted Japanese organisations to cultivate a high-performing work culture and meet daily company targets. </w:t>
      </w:r>
    </w:p>
    <w:p w14:paraId="203F2FF2" w14:textId="77777777" w:rsidR="0043654A" w:rsidRDefault="008662AD">
      <w:r>
        <w:t xml:space="preserve">In the instance of Shiseido, the company administration has cultivated effective DEI policies towards preserving a collaborative workplace culture among employees and mitigating the possibility of workplace discrimination. The flex-time system, remote work and part-time work culture have also been introduced by the organisation, which further signifies open communication channels between organisational workers and optimise individual employee motivation. In 2023, Shiseido and its current management have also delivered "Welcome Back Seminars" for almost 642 existing employees to successfully integrate them into organisational culture and maintain effective communication after an extended leave period (Shiseido, 2025b). Almost 92.3% of Shiseido employees who have returned from childcare leave have also been provided with adequate training for maintaining optimal collaboration with existing and ensuring standardised workplace performance (Shiseido, 2025b). Therefore, the development of "Welcome Back Seminars" and DEI policy integration are effective policies undertaken by Shiseido leadership for gradually increasing the engagement level of employees and developing high-quality products. </w:t>
      </w:r>
    </w:p>
    <w:p w14:paraId="331F10AF" w14:textId="77777777" w:rsidR="0043654A" w:rsidRDefault="008662AD">
      <w:pPr>
        <w:pStyle w:val="Heading2"/>
      </w:pPr>
      <w:bookmarkStart w:id="4" w:name="_yn9a4heg1jr0" w:colFirst="0" w:colLast="0"/>
      <w:bookmarkEnd w:id="4"/>
      <w:r>
        <w:t>Evaluation of the Differences in the UK and Japanese Workplace Communication Styles</w:t>
      </w:r>
    </w:p>
    <w:p w14:paraId="49CFE523" w14:textId="77777777" w:rsidR="0043654A" w:rsidRDefault="008662AD">
      <w:r>
        <w:t xml:space="preserve">In the context of UK organisational culture, the individual workers rely more towards direct communication techniques while expressing their opinions during teamwork settings and maintaining optimal workplace transparency. However, Japanese organisational employees tend to rely more on indirect communication and subtle cues while participating in group discussions and adequately share personal feedback. The joint partnership between Unilever and Shiseido, while establishing the new beauty products, can experience serious miscommunication issues due to different forms of communication tactics employed by regular Japanese and UK workers. For example, almost 5% of employees have acknowledged the fact that the increased differences between warm and cold communication techniques between two separate corporate entities can increase workplace miscommunication instances (Bojadjiev </w:t>
      </w:r>
      <w:r>
        <w:rPr>
          <w:i/>
        </w:rPr>
        <w:t xml:space="preserve">et al. </w:t>
      </w:r>
      <w:r>
        <w:t xml:space="preserve">2023). Therefore, the warm communication technique of UK employees of Unilever and the relatively cold communication of Japanese employees at Shiseido can lead to multiple miscommunication incidents due to differences in interactive culture. </w:t>
      </w:r>
    </w:p>
    <w:p w14:paraId="47964834" w14:textId="77777777" w:rsidR="0043654A" w:rsidRDefault="008662AD">
      <w:r>
        <w:t>The individualistic communication style is another unique cultural aspect of the British workforce that enables the Unilever officials towards increasing the personal responsibility level among employees for understanding individual needs. In the case of Shiseido workers in Japan, the organisational administration tends to inspire increased group collaboration instead of individualistic feedback towards maintaining workplace communication and elevating beauty product quality. For instance, almost 39% of global employees have underscored workplace miscommunication to be a major issue that has greatly reduced their organisational productivity level while participating in group activities (</w:t>
      </w:r>
      <w:r>
        <w:rPr>
          <w:highlight w:val="white"/>
        </w:rPr>
        <w:t>Maneerutt, 2021)</w:t>
      </w:r>
      <w:r>
        <w:t>. On the other hand, almost 43.75% of employees currently working for multinational corporations have emphasised the lack of effective communication tools as a major factor behind increased miscommunication issues in the workplace environment (</w:t>
      </w:r>
      <w:r>
        <w:rPr>
          <w:highlight w:val="white"/>
        </w:rPr>
        <w:t>Maneerutt, 2021)</w:t>
      </w:r>
      <w:r>
        <w:t xml:space="preserve">. Therefore, it is essential for both Shiseido and Unilever leadership to develop an effective communication channel for groups responsible for marketing Luméa Serum on the Japanese marketplace towards cultivating an initial customer base. </w:t>
      </w:r>
    </w:p>
    <w:p w14:paraId="6B5CE095" w14:textId="77777777" w:rsidR="0043654A" w:rsidRDefault="008662AD">
      <w:pPr>
        <w:pStyle w:val="Heading2"/>
      </w:pPr>
      <w:bookmarkStart w:id="5" w:name="_v98l7xip1ovw" w:colFirst="0" w:colLast="0"/>
      <w:bookmarkEnd w:id="5"/>
      <w:r>
        <w:t>Application of cultural dimension theories</w:t>
      </w:r>
    </w:p>
    <w:p w14:paraId="6520B155" w14:textId="1D32E001" w:rsidR="0043654A" w:rsidRDefault="008662AD">
      <w:pPr>
        <w:rPr>
          <w:b/>
        </w:rPr>
      </w:pPr>
      <w:r>
        <w:rPr>
          <w:b/>
        </w:rPr>
        <w:t xml:space="preserve">Hofstede’s </w:t>
      </w:r>
      <w:r w:rsidR="00A3461A">
        <w:rPr>
          <w:b/>
        </w:rPr>
        <w:t>cultural dimensions</w:t>
      </w:r>
    </w:p>
    <w:p w14:paraId="323FF7CD" w14:textId="57858A6D" w:rsidR="0043654A" w:rsidRDefault="008662AD">
      <w:r>
        <w:t>With the help of Hofstede’s approach, both the Unilever and Shiseido workers can gain greater comprehension of cultural diversities in the two separate marketplaces towards developing effective communication policies. In the case of the power distance metric, the United Kingdom and its subsequent industry have registered a score of 35 (</w:t>
      </w:r>
      <w:r>
        <w:rPr>
          <w:highlight w:val="white"/>
        </w:rPr>
        <w:t>The culture factor, 2025)</w:t>
      </w:r>
      <w:r>
        <w:t xml:space="preserve">. It further indicates the mutual understanding between organisational leadership and the workforce towards establishing an inclusive workplace culture. In the Japanese workplace environment, the likely power distance between the organisational workforce and hierarchy is around 54 </w:t>
      </w:r>
      <w:r w:rsidR="007B2EC7">
        <w:t xml:space="preserve">indicating increased loyalty from company officials </w:t>
      </w:r>
      <w:r>
        <w:t>(</w:t>
      </w:r>
      <w:r>
        <w:rPr>
          <w:highlight w:val="white"/>
        </w:rPr>
        <w:t>The culture factor, 2025)</w:t>
      </w:r>
      <w:r>
        <w:t xml:space="preserve">. It potentially signifies that the Unilever workers might experience the extensive hierarchical structure of Shiseido, which can negatively influence inter-organisational communication and slow down executive decision-making processes. Therefore, the Unilever officials need to employ digital communication tools such as ZOOM and Google Meet towards maintaining constant collaboration with its Japanese counterpart for optimising the decision-making approach. </w:t>
      </w:r>
    </w:p>
    <w:p w14:paraId="5B1238DB" w14:textId="77777777" w:rsidR="0043654A" w:rsidRDefault="008662AD">
      <w:r>
        <w:t>For example, almost 36% of international employees have recognised the significance of using digital collaborative tools such as Zoom towards preserving optimal communication with both team leaders and coworkers (Sherif, 2023). Apart from that, based on the individualism aspect, the UK organisation and its subsequent culture have provided a score of 76, further indicating individual decision-making capabilities of workers (</w:t>
      </w:r>
      <w:r>
        <w:rPr>
          <w:highlight w:val="white"/>
        </w:rPr>
        <w:t xml:space="preserve">The culture factor, 2025). The greater individualistic nature among British employees can also help Unilever towards gradually increasing workplace creative thinking for effectively communicating during group sessions. However, both the Japanese society and its workforce have exhibited an individualism score of 62, which further points out workforce loyalty towards leadership that refrains them from sharing personal opinions </w:t>
      </w:r>
      <w:r>
        <w:t>(</w:t>
      </w:r>
      <w:r>
        <w:rPr>
          <w:highlight w:val="white"/>
        </w:rPr>
        <w:t xml:space="preserve">The culture factor, 2025). Therefore, the Unilever officials involved with the Japanese market expansion need to ensure optimal communication with the entire hierarchical order of </w:t>
      </w:r>
      <w:r>
        <w:t>Shiseido for understanding critical business decisions.</w:t>
      </w:r>
    </w:p>
    <w:p w14:paraId="651C0B0A" w14:textId="77777777" w:rsidR="0043654A" w:rsidRDefault="008662AD">
      <w:r>
        <w:t>The workforce's motivation towards organisational success and achievement is another contributing factor for Hofstede’s technique that can help Unilever and Shiseido increase employee engagement and communication levels. In the case of Japanese workers, the score for motivation towards workplace success is around 95, which has enabled organisational officials to maximise personal productivity during group activities (</w:t>
      </w:r>
      <w:r>
        <w:rPr>
          <w:highlight w:val="white"/>
        </w:rPr>
        <w:t>The culture factor, 2025)</w:t>
      </w:r>
      <w:r>
        <w:t>. It can also help Unilever set up an adequate performance-based reward system for maximising its Japanese counterpart’s productivity and ensure open communication regarding market expansion for Luméa Serum. On the other hand, in the British workplace, the motivation towards personal success has accumulated a score of almost 66, which points out an increased employee modesty level (</w:t>
      </w:r>
      <w:r>
        <w:rPr>
          <w:highlight w:val="white"/>
        </w:rPr>
        <w:t>The culture factor, 2025)</w:t>
      </w:r>
      <w:r>
        <w:t xml:space="preserve">. As a result, the existing management of Unilever needs to address the primary needs of its UK workforce, maintaining optimal communication with Shiseido’s Japanese employees to overcome miscommunication problems. </w:t>
      </w:r>
    </w:p>
    <w:p w14:paraId="7FE06488" w14:textId="77777777" w:rsidR="0043654A" w:rsidRDefault="008662AD">
      <w:pPr>
        <w:rPr>
          <w:b/>
        </w:rPr>
      </w:pPr>
      <w:r>
        <w:rPr>
          <w:b/>
        </w:rPr>
        <w:t>Seven Dimensions of Culture (SDC)</w:t>
      </w:r>
    </w:p>
    <w:p w14:paraId="5E7DB6CE" w14:textId="77777777" w:rsidR="0043654A" w:rsidRDefault="008662AD">
      <w:r>
        <w:t xml:space="preserve">With the assistance of the SDC approach, Unilever can better identify the diverse perspective of its target client base in Japan and their skincare regimen towards developing an effective promotional campaign for Luméa Serum. The development of a nuanced communication approach can also be developed by Unilever through the application of SDC processes and gradually build up a stronger workplace association with Shiseido’s Japanese workforce. For example, the effectiveness of organisational teamworking activities has also been credited by almost 76.8% of the global workforce towards ensuring nuanced communication with fellow colleagues and heightening job satisfaction levels (Bella, 2023). Therefore, increased participation in group workshops and teambuilding exercises needs to be employed by both Unilever and Shiseido to increase workforce and successfully advertise Luméa Serum to Japanese customers. </w:t>
      </w:r>
    </w:p>
    <w:p w14:paraId="17DAF15A" w14:textId="77777777" w:rsidR="0043654A" w:rsidRDefault="008662AD">
      <w:r>
        <w:t xml:space="preserve">Apart from that, the understanding of the cultural preferences of Shiseido employees can be easily recognised by Unilever officials towards embracing emotional bonding and directness during inter-office communication. It can also help Unilever employees during business negotiations with Shiseido to understand Japanese customer purchasing intentions through effective interpretation of market information. For instance, almost 60% of business officials have highlighted the benefits of AI-based communication that can procure greater clarity towards the workplace responsibilities of individual workers and elevate company performance (Chowdhury </w:t>
      </w:r>
      <w:r>
        <w:rPr>
          <w:i/>
        </w:rPr>
        <w:t>et al.</w:t>
      </w:r>
      <w:r>
        <w:t xml:space="preserve"> 2022). Hence, the use of AI-based communication and monitoring systems can also help both multinational organisations to deliver quality feedback to employees during group communication and increase firm productivity during Japanese market expansion. </w:t>
      </w:r>
    </w:p>
    <w:p w14:paraId="4569CE7B" w14:textId="75C4033A" w:rsidR="0043654A" w:rsidRDefault="008662AD">
      <w:pPr>
        <w:pStyle w:val="Heading2"/>
      </w:pPr>
      <w:bookmarkStart w:id="6" w:name="_rxnzig6br0dk" w:colFirst="0" w:colLast="0"/>
      <w:bookmarkEnd w:id="6"/>
      <w:r>
        <w:t xml:space="preserve">Analysis of international communication techniques depending on </w:t>
      </w:r>
      <w:r w:rsidR="00A3461A">
        <w:t>cultural differences</w:t>
      </w:r>
    </w:p>
    <w:p w14:paraId="072314C9" w14:textId="77777777" w:rsidR="0043654A" w:rsidRDefault="008662AD">
      <w:r>
        <w:t>The deployment of active listening is a major contributing factor to international communication that can help both Shiseido and Unilever workers to break down cultural barriers of individualism and prevent workplace miscommunication. The improvement of workplace trust and relationships can also be achieved by both company officials through the implementation of a culturally sensitive communication process for maintaining fruitful endorsement of the new Luméa Serum brand. For instance, almost 48.9% of employees have provided their positive affirmation towards horizontal communication in the workplace setting that can help the organisational leadership to make informed business decisions (</w:t>
      </w:r>
      <w:r>
        <w:rPr>
          <w:highlight w:val="white"/>
        </w:rPr>
        <w:t>Kalogiannidis, 2021)</w:t>
      </w:r>
      <w:r>
        <w:t>. Furthermore, nearly 45.6% of business entities have also underscored proper communication with the existing client base to be useful towards undertaking successful business negotiations and elevating brand reputation (</w:t>
      </w:r>
      <w:r>
        <w:rPr>
          <w:highlight w:val="white"/>
        </w:rPr>
        <w:t>Kalogiannidis, 2021)</w:t>
      </w:r>
      <w:r>
        <w:t xml:space="preserve">. As a result, the use of active listening and horizontal communication also needs to be employed by Unilever for cultivating successful negotiations with the client company known as Shiseido, towards promoting Luméa Moisturising Serum. </w:t>
      </w:r>
    </w:p>
    <w:p w14:paraId="67E11D29" w14:textId="77777777" w:rsidR="0043654A" w:rsidRDefault="008662AD">
      <w:r>
        <w:t xml:space="preserve">Apart from that, the workforce adaptability level of Unilever can be greatly elevated with the help of an international communication approach towards instigating positive interactions with its Japanese counterparts. For example, almost 36.5% of employees have mentioned using social media (SM) platforms such as Twitter towards effectively communicate with workforce leadership and deliver adequate feedback (Verhoeven and Madsen, 2022). Hence, with the help of SM platforms, Unilever and Shiseido officials can also maintain continuous collaboration with groups responsible for endorsing Luméa Serum to the international market of Japan and increase brand reputation. </w:t>
      </w:r>
    </w:p>
    <w:p w14:paraId="4228AC4C" w14:textId="77777777" w:rsidR="0043654A" w:rsidRDefault="008662AD">
      <w:pPr>
        <w:pStyle w:val="Heading1"/>
      </w:pPr>
      <w:bookmarkStart w:id="7" w:name="_9eegncoz9329" w:colFirst="0" w:colLast="0"/>
      <w:bookmarkEnd w:id="7"/>
      <w:r>
        <w:t>Conclusion</w:t>
      </w:r>
    </w:p>
    <w:p w14:paraId="2D66C9DC" w14:textId="77777777" w:rsidR="0043654A" w:rsidRDefault="008662AD">
      <w:pPr>
        <w:rPr>
          <w:b/>
        </w:rPr>
      </w:pPr>
      <w:r>
        <w:t xml:space="preserve">Based on the above findings, it can be concluded that Unilever can employ its newly developed sustainable skincare product, such as Luméa Serum, towards expanding operations in the Japanese marketplace. This report also sheds light on the individualism perspective of British workers that can prove to be a major challenge for Unilever and its employee base while acclimating to the cultural perspective of Japanese workers in Shiseido. The likely power dynamics and motivation towards workplace achievement have also been examined in this report, which creates further differences between UK and Japanese workers that potentially threaten Unilever’s new product introduction. Furthermore, the use of digital collaborative tools and active listening has also been suggested in this report towards Unilever officials towards developing optimal trust with Shiseido leadership in Japan and procure adequate market insights. </w:t>
      </w:r>
      <w:r>
        <w:br w:type="page"/>
      </w:r>
    </w:p>
    <w:p w14:paraId="5B5AC620" w14:textId="77777777" w:rsidR="0043654A" w:rsidRDefault="008662AD">
      <w:pPr>
        <w:pStyle w:val="Heading1"/>
      </w:pPr>
      <w:bookmarkStart w:id="8" w:name="_bce1cfordyp3" w:colFirst="0" w:colLast="0"/>
      <w:bookmarkEnd w:id="8"/>
      <w:r>
        <w:t>Reference List</w:t>
      </w:r>
    </w:p>
    <w:p w14:paraId="63120656" w14:textId="77777777" w:rsidR="00A3461A" w:rsidRDefault="00A3461A" w:rsidP="00A3461A">
      <w:pPr>
        <w:spacing w:before="240"/>
        <w:rPr>
          <w:highlight w:val="white"/>
        </w:rPr>
      </w:pPr>
      <w:r>
        <w:rPr>
          <w:highlight w:val="white"/>
        </w:rPr>
        <w:t xml:space="preserve">Bella, K.M.J., (2023) ‘Exploring the impact of workplace relationships and employee job satisfaction’. </w:t>
      </w:r>
      <w:r>
        <w:rPr>
          <w:i/>
          <w:highlight w:val="white"/>
        </w:rPr>
        <w:t>International Journal of Scientific Research in Modern Science and Technology</w:t>
      </w:r>
      <w:r>
        <w:rPr>
          <w:highlight w:val="white"/>
        </w:rPr>
        <w:t xml:space="preserve">, </w:t>
      </w:r>
      <w:r>
        <w:rPr>
          <w:i/>
          <w:highlight w:val="white"/>
        </w:rPr>
        <w:t>2</w:t>
      </w:r>
      <w:r>
        <w:rPr>
          <w:highlight w:val="white"/>
        </w:rPr>
        <w:t>(8), pp.55-62.</w:t>
      </w:r>
    </w:p>
    <w:p w14:paraId="4589F832" w14:textId="77777777" w:rsidR="00A3461A" w:rsidRDefault="00A3461A" w:rsidP="00A3461A">
      <w:pPr>
        <w:spacing w:before="240"/>
        <w:rPr>
          <w:highlight w:val="white"/>
        </w:rPr>
      </w:pPr>
      <w:r>
        <w:rPr>
          <w:highlight w:val="white"/>
        </w:rPr>
        <w:t xml:space="preserve">Bojadjiev, M.I., Vaneva, M., Tomovska Misoska, A., Mileva, I. and Andonova, M., (2023) ‘The ninth dimension of national culture: Unpacking cross-cultural communication styles’. </w:t>
      </w:r>
      <w:r>
        <w:rPr>
          <w:i/>
          <w:highlight w:val="white"/>
        </w:rPr>
        <w:t>Interdisciplinary Description of Complex Systems: INDECS</w:t>
      </w:r>
      <w:r>
        <w:rPr>
          <w:highlight w:val="white"/>
        </w:rPr>
        <w:t xml:space="preserve">, </w:t>
      </w:r>
      <w:r>
        <w:rPr>
          <w:i/>
          <w:highlight w:val="white"/>
        </w:rPr>
        <w:t>21</w:t>
      </w:r>
      <w:r>
        <w:rPr>
          <w:highlight w:val="white"/>
        </w:rPr>
        <w:t>(5), pp.471-494.</w:t>
      </w:r>
    </w:p>
    <w:p w14:paraId="59035FAB" w14:textId="77777777" w:rsidR="00A3461A" w:rsidRDefault="00A3461A" w:rsidP="00A3461A">
      <w:pPr>
        <w:spacing w:before="240"/>
        <w:rPr>
          <w:highlight w:val="white"/>
        </w:rPr>
      </w:pPr>
      <w:r>
        <w:rPr>
          <w:highlight w:val="white"/>
        </w:rPr>
        <w:t xml:space="preserve">Chen, R.H., (2021) ‘Fostering students’ workplace communicative competence and collaborative mindset through an inquiry-based learning design’. </w:t>
      </w:r>
      <w:r>
        <w:rPr>
          <w:i/>
          <w:highlight w:val="white"/>
        </w:rPr>
        <w:t>Education sciences</w:t>
      </w:r>
      <w:r>
        <w:rPr>
          <w:highlight w:val="white"/>
        </w:rPr>
        <w:t xml:space="preserve">, </w:t>
      </w:r>
      <w:r>
        <w:rPr>
          <w:i/>
          <w:highlight w:val="white"/>
        </w:rPr>
        <w:t>11</w:t>
      </w:r>
      <w:r>
        <w:rPr>
          <w:highlight w:val="white"/>
        </w:rPr>
        <w:t>(1), p.17.</w:t>
      </w:r>
    </w:p>
    <w:p w14:paraId="717A043A" w14:textId="77777777" w:rsidR="00A3461A" w:rsidRDefault="00A3461A" w:rsidP="00A3461A">
      <w:pPr>
        <w:spacing w:before="240"/>
        <w:rPr>
          <w:highlight w:val="white"/>
        </w:rPr>
      </w:pPr>
      <w:r>
        <w:rPr>
          <w:highlight w:val="white"/>
        </w:rPr>
        <w:t xml:space="preserve">Chowdhury, S., Budhwar, P., Dey, P.K., Joel-Edgar, S. and Abadie, A., (2022) ‘AI-employee collaboration and business performance: Integrating knowledge-based view, socio-technical systems and organisational socialisation framework’. </w:t>
      </w:r>
      <w:r>
        <w:rPr>
          <w:i/>
          <w:highlight w:val="white"/>
        </w:rPr>
        <w:t>Journal of Business Research</w:t>
      </w:r>
      <w:r>
        <w:rPr>
          <w:highlight w:val="white"/>
        </w:rPr>
        <w:t xml:space="preserve">, </w:t>
      </w:r>
      <w:r>
        <w:rPr>
          <w:i/>
          <w:highlight w:val="white"/>
        </w:rPr>
        <w:t>144</w:t>
      </w:r>
      <w:r>
        <w:rPr>
          <w:highlight w:val="white"/>
        </w:rPr>
        <w:t>, pp.31-49.</w:t>
      </w:r>
    </w:p>
    <w:p w14:paraId="71010E7E" w14:textId="77777777" w:rsidR="00A3461A" w:rsidRDefault="00A3461A" w:rsidP="00A3461A">
      <w:pPr>
        <w:spacing w:before="240"/>
        <w:rPr>
          <w:highlight w:val="white"/>
        </w:rPr>
      </w:pPr>
      <w:r>
        <w:rPr>
          <w:highlight w:val="white"/>
        </w:rPr>
        <w:t xml:space="preserve">Hwang, S. and Beauregard, T.A., (2022) ‘Contextualising intersectionality: A qualitative study of East Asian female migrant workers in the UK’. </w:t>
      </w:r>
      <w:r>
        <w:rPr>
          <w:i/>
          <w:highlight w:val="white"/>
        </w:rPr>
        <w:t>Human Relations</w:t>
      </w:r>
      <w:r>
        <w:rPr>
          <w:highlight w:val="white"/>
        </w:rPr>
        <w:t xml:space="preserve">, </w:t>
      </w:r>
      <w:r>
        <w:rPr>
          <w:i/>
          <w:highlight w:val="white"/>
        </w:rPr>
        <w:t>75</w:t>
      </w:r>
      <w:r>
        <w:rPr>
          <w:highlight w:val="white"/>
        </w:rPr>
        <w:t>(4), pp.609-634.</w:t>
      </w:r>
    </w:p>
    <w:p w14:paraId="5095E77E" w14:textId="77777777" w:rsidR="00A3461A" w:rsidRDefault="00A3461A" w:rsidP="00A3461A">
      <w:pPr>
        <w:spacing w:before="240"/>
        <w:rPr>
          <w:highlight w:val="white"/>
        </w:rPr>
      </w:pPr>
      <w:r>
        <w:rPr>
          <w:highlight w:val="white"/>
        </w:rPr>
        <w:t xml:space="preserve">Kalogiannidis, S., (2021) ‘Business trust and communication as predictors of business growth’. </w:t>
      </w:r>
      <w:r>
        <w:rPr>
          <w:i/>
          <w:highlight w:val="white"/>
        </w:rPr>
        <w:t>WSEAS Transactions on Business and Economics</w:t>
      </w:r>
      <w:r>
        <w:rPr>
          <w:highlight w:val="white"/>
        </w:rPr>
        <w:t xml:space="preserve">, </w:t>
      </w:r>
      <w:r>
        <w:rPr>
          <w:i/>
          <w:highlight w:val="white"/>
        </w:rPr>
        <w:t>18</w:t>
      </w:r>
      <w:r>
        <w:rPr>
          <w:highlight w:val="white"/>
        </w:rPr>
        <w:t>(10), pp.1512-1522.</w:t>
      </w:r>
    </w:p>
    <w:p w14:paraId="21DEA005" w14:textId="77777777" w:rsidR="00A3461A" w:rsidRDefault="00A3461A" w:rsidP="00A3461A">
      <w:pPr>
        <w:spacing w:before="240"/>
        <w:rPr>
          <w:highlight w:val="white"/>
        </w:rPr>
      </w:pPr>
      <w:r>
        <w:rPr>
          <w:highlight w:val="white"/>
        </w:rPr>
        <w:t xml:space="preserve">Maneerutt, G., (2021) ‘Miscommunication at the workplace: Causes and ways to improve Internal communication’. </w:t>
      </w:r>
      <w:r>
        <w:rPr>
          <w:i/>
          <w:highlight w:val="white"/>
        </w:rPr>
        <w:t>AU-GSB e-JOURNAL</w:t>
      </w:r>
      <w:r>
        <w:rPr>
          <w:highlight w:val="white"/>
        </w:rPr>
        <w:t xml:space="preserve">, </w:t>
      </w:r>
      <w:r>
        <w:rPr>
          <w:i/>
          <w:highlight w:val="white"/>
        </w:rPr>
        <w:t>14</w:t>
      </w:r>
      <w:r>
        <w:rPr>
          <w:highlight w:val="white"/>
        </w:rPr>
        <w:t>(2), pp.155-166.</w:t>
      </w:r>
    </w:p>
    <w:p w14:paraId="74ADB216" w14:textId="77777777" w:rsidR="00A3461A" w:rsidRDefault="00A3461A" w:rsidP="00A3461A">
      <w:pPr>
        <w:spacing w:before="240"/>
      </w:pPr>
      <w:r>
        <w:t xml:space="preserve">Sherif A., (2023) </w:t>
      </w:r>
      <w:r>
        <w:rPr>
          <w:i/>
        </w:rPr>
        <w:t>‘Most used collaboration tools used for remote work in the United States in 2020’</w:t>
      </w:r>
      <w:r>
        <w:t xml:space="preserve"> Statista, Available at: https://www.statista.com/statistics/1123023/top-collaboration-tools-for-remote-workers-in-the-us/ (Accessed: 30 June 2025)</w:t>
      </w:r>
    </w:p>
    <w:p w14:paraId="4695E0C4" w14:textId="77777777" w:rsidR="00A3461A" w:rsidRDefault="00A3461A" w:rsidP="00A3461A">
      <w:pPr>
        <w:spacing w:before="240"/>
      </w:pPr>
      <w:r>
        <w:t xml:space="preserve">Shiseido (2025a) </w:t>
      </w:r>
      <w:r>
        <w:rPr>
          <w:i/>
        </w:rPr>
        <w:t>‘150 Years of Japanese Skincare Innovation’</w:t>
      </w:r>
      <w:r>
        <w:t xml:space="preserve"> Shiseido, Available at: https://www.shiseido.com/us/en/150th-anniversary/ (Accessed: 30 June 2025)</w:t>
      </w:r>
    </w:p>
    <w:p w14:paraId="7EDC92E5" w14:textId="77777777" w:rsidR="00A3461A" w:rsidRDefault="00A3461A" w:rsidP="00A3461A">
      <w:pPr>
        <w:spacing w:before="240"/>
      </w:pPr>
      <w:r>
        <w:t xml:space="preserve">Shiseido (2025b) </w:t>
      </w:r>
      <w:r>
        <w:rPr>
          <w:i/>
        </w:rPr>
        <w:t>‘Realizing a Rewarding Workplace’</w:t>
      </w:r>
      <w:r>
        <w:t xml:space="preserve"> Shiseido, Available at: https://corp.shiseido.com/en/sustainability/labor/working.html (Accessed: 30 June 2025)</w:t>
      </w:r>
    </w:p>
    <w:p w14:paraId="6EFC5745" w14:textId="77777777" w:rsidR="00A3461A" w:rsidRDefault="00A3461A" w:rsidP="00A3461A">
      <w:pPr>
        <w:spacing w:before="240"/>
      </w:pPr>
      <w:r>
        <w:t xml:space="preserve">Statista (2025) </w:t>
      </w:r>
      <w:r>
        <w:rPr>
          <w:i/>
        </w:rPr>
        <w:t>‘Skin Care - Japan’</w:t>
      </w:r>
      <w:r>
        <w:t xml:space="preserve"> Statista, Available at: </w:t>
      </w:r>
      <w:hyperlink r:id="rId7">
        <w:r>
          <w:t>https://www.statista.com/outlook/cmo/beauty-personal-care/skin-care/japan</w:t>
        </w:r>
      </w:hyperlink>
      <w:r>
        <w:t xml:space="preserve"> (Accessed: 30 June 2025)</w:t>
      </w:r>
    </w:p>
    <w:p w14:paraId="61ACEA79" w14:textId="77777777" w:rsidR="00A3461A" w:rsidRDefault="00A3461A" w:rsidP="00A3461A">
      <w:pPr>
        <w:spacing w:before="240"/>
      </w:pPr>
      <w:r>
        <w:t xml:space="preserve">The culture factor (2025) </w:t>
      </w:r>
      <w:r>
        <w:rPr>
          <w:i/>
        </w:rPr>
        <w:t>‘Country Comparison tool’</w:t>
      </w:r>
      <w:r>
        <w:t xml:space="preserve"> The culture factor, Available at: https://www.theculturefactor.com/country-comparison-tool?countries=japan%2Cunited+kingdom (Accessed: 30 June 2025)</w:t>
      </w:r>
    </w:p>
    <w:p w14:paraId="41AC2043" w14:textId="77777777" w:rsidR="00A3461A" w:rsidRDefault="00A3461A" w:rsidP="00A3461A">
      <w:pPr>
        <w:spacing w:before="240"/>
      </w:pPr>
      <w:r>
        <w:t xml:space="preserve">Unilever (2025a) </w:t>
      </w:r>
      <w:r>
        <w:rPr>
          <w:i/>
        </w:rPr>
        <w:t>‘Unilever at a glance’</w:t>
      </w:r>
      <w:r>
        <w:t xml:space="preserve"> Unilever, Available at: https://www.unilever.com/our-company/at-a-glance/ (Accessed: 30 June 2025)</w:t>
      </w:r>
    </w:p>
    <w:p w14:paraId="035E914C" w14:textId="77777777" w:rsidR="00A3461A" w:rsidRDefault="00A3461A" w:rsidP="00A3461A">
      <w:pPr>
        <w:spacing w:before="240"/>
      </w:pPr>
      <w:r>
        <w:t xml:space="preserve">Unilever (2025b) </w:t>
      </w:r>
      <w:r>
        <w:rPr>
          <w:i/>
        </w:rPr>
        <w:t>‘Business integrity’</w:t>
      </w:r>
      <w:r>
        <w:t xml:space="preserve"> Unilever, Available at: https://www.unilever.com/sustainability/responsible-business/business-integrity/ (Accessed: 30 June 2025)</w:t>
      </w:r>
    </w:p>
    <w:p w14:paraId="5DF8B3C0" w14:textId="77777777" w:rsidR="00A3461A" w:rsidRDefault="00A3461A" w:rsidP="00A3461A">
      <w:pPr>
        <w:spacing w:before="240"/>
        <w:rPr>
          <w:highlight w:val="white"/>
        </w:rPr>
      </w:pPr>
      <w:r>
        <w:rPr>
          <w:highlight w:val="white"/>
        </w:rPr>
        <w:t xml:space="preserve">WM Verhoeven, J. and Thøis Madsen, V., (2022) ‘Active employee communication roles in organizations: A framework for understanding and discussing communication role expectations’. </w:t>
      </w:r>
      <w:r>
        <w:rPr>
          <w:i/>
          <w:highlight w:val="white"/>
        </w:rPr>
        <w:t>International Journal of Strategic Communication</w:t>
      </w:r>
      <w:r>
        <w:rPr>
          <w:highlight w:val="white"/>
        </w:rPr>
        <w:t xml:space="preserve">, </w:t>
      </w:r>
      <w:r>
        <w:rPr>
          <w:i/>
          <w:highlight w:val="white"/>
        </w:rPr>
        <w:t>16</w:t>
      </w:r>
      <w:r>
        <w:rPr>
          <w:highlight w:val="white"/>
        </w:rPr>
        <w:t>(1), pp.91-110.</w:t>
      </w:r>
      <w:r>
        <w:br w:type="page"/>
      </w:r>
    </w:p>
    <w:p w14:paraId="167A18F9" w14:textId="77777777" w:rsidR="0043654A" w:rsidRDefault="008662AD">
      <w:pPr>
        <w:pStyle w:val="Heading1"/>
      </w:pPr>
      <w:bookmarkStart w:id="9" w:name="_h743nah22uid" w:colFirst="0" w:colLast="0"/>
      <w:bookmarkEnd w:id="9"/>
      <w:r>
        <w:t>Appendices:</w:t>
      </w:r>
    </w:p>
    <w:p w14:paraId="651CB410" w14:textId="77777777" w:rsidR="0043654A" w:rsidRDefault="008662AD">
      <w:pPr>
        <w:pStyle w:val="Heading2"/>
      </w:pPr>
      <w:bookmarkStart w:id="10" w:name="_2bb7hqoz83oy" w:colFirst="0" w:colLast="0"/>
      <w:bookmarkEnd w:id="10"/>
      <w:r>
        <w:t>Appendix 1: Country Comparison between the UK and Japan</w:t>
      </w:r>
    </w:p>
    <w:p w14:paraId="1934BF14" w14:textId="77777777" w:rsidR="0043654A" w:rsidRDefault="008662AD">
      <w:pPr>
        <w:rPr>
          <w:highlight w:val="white"/>
        </w:rPr>
      </w:pPr>
      <w:r>
        <w:rPr>
          <w:noProof/>
          <w:highlight w:val="white"/>
        </w:rPr>
        <w:drawing>
          <wp:inline distT="114300" distB="114300" distL="114300" distR="114300" wp14:anchorId="023FB9FB" wp14:editId="61CE9013">
            <wp:extent cx="5731200" cy="222250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5731200" cy="2222500"/>
                    </a:xfrm>
                    <a:prstGeom prst="rect">
                      <a:avLst/>
                    </a:prstGeom>
                    <a:ln/>
                  </pic:spPr>
                </pic:pic>
              </a:graphicData>
            </a:graphic>
          </wp:inline>
        </w:drawing>
      </w:r>
    </w:p>
    <w:p w14:paraId="17932002" w14:textId="77777777" w:rsidR="0043654A" w:rsidRDefault="008662AD">
      <w:pPr>
        <w:jc w:val="center"/>
        <w:rPr>
          <w:highlight w:val="white"/>
        </w:rPr>
      </w:pPr>
      <w:r>
        <w:rPr>
          <w:highlight w:val="white"/>
        </w:rPr>
        <w:t>(Source: The culture factor, 2025)</w:t>
      </w:r>
    </w:p>
    <w:sectPr w:rsidR="0043654A">
      <w:footerReference w:type="default" r:id="rId9"/>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60F56B" w14:textId="77777777" w:rsidR="00320F64" w:rsidRDefault="00320F64" w:rsidP="004A7AF6">
      <w:pPr>
        <w:spacing w:line="240" w:lineRule="auto"/>
      </w:pPr>
      <w:r>
        <w:separator/>
      </w:r>
    </w:p>
  </w:endnote>
  <w:endnote w:type="continuationSeparator" w:id="0">
    <w:p w14:paraId="3A11675D" w14:textId="77777777" w:rsidR="00320F64" w:rsidRDefault="00320F64" w:rsidP="004A7AF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00617273"/>
      <w:docPartObj>
        <w:docPartGallery w:val="Page Numbers (Bottom of Page)"/>
        <w:docPartUnique/>
      </w:docPartObj>
    </w:sdtPr>
    <w:sdtEndPr>
      <w:rPr>
        <w:noProof/>
      </w:rPr>
    </w:sdtEndPr>
    <w:sdtContent>
      <w:p w14:paraId="0904AAA6" w14:textId="6A1910F2" w:rsidR="00DC3B3C" w:rsidRDefault="00DC3B3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ACE9E03" w14:textId="77777777" w:rsidR="00DC3B3C" w:rsidRDefault="00DC3B3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D198EE" w14:textId="77777777" w:rsidR="00320F64" w:rsidRDefault="00320F64" w:rsidP="004A7AF6">
      <w:pPr>
        <w:spacing w:line="240" w:lineRule="auto"/>
      </w:pPr>
      <w:r>
        <w:separator/>
      </w:r>
    </w:p>
  </w:footnote>
  <w:footnote w:type="continuationSeparator" w:id="0">
    <w:p w14:paraId="143F3689" w14:textId="77777777" w:rsidR="00320F64" w:rsidRDefault="00320F64" w:rsidP="004A7AF6">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removePersonalInformation/>
  <w:removeDateAndTime/>
  <w:revisionView w:inkAnnotations="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3654A"/>
    <w:rsid w:val="0002010F"/>
    <w:rsid w:val="00050D72"/>
    <w:rsid w:val="00294363"/>
    <w:rsid w:val="002C6A6D"/>
    <w:rsid w:val="00320F64"/>
    <w:rsid w:val="0043654A"/>
    <w:rsid w:val="004A7AF6"/>
    <w:rsid w:val="005C70DF"/>
    <w:rsid w:val="00761623"/>
    <w:rsid w:val="007B2EC7"/>
    <w:rsid w:val="008662AD"/>
    <w:rsid w:val="008968EF"/>
    <w:rsid w:val="009728BA"/>
    <w:rsid w:val="00A15B02"/>
    <w:rsid w:val="00A3461A"/>
    <w:rsid w:val="00AE67FC"/>
    <w:rsid w:val="00B36642"/>
    <w:rsid w:val="00D32A8A"/>
    <w:rsid w:val="00DC3B3C"/>
    <w:rsid w:val="00EB6328"/>
    <w:rsid w:val="00FA5A8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1C59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GB"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sz w:val="28"/>
      <w:szCs w:val="28"/>
    </w:rPr>
  </w:style>
  <w:style w:type="paragraph" w:styleId="Heading2">
    <w:name w:val="heading 2"/>
    <w:basedOn w:val="Normal"/>
    <w:next w:val="Normal"/>
    <w:uiPriority w:val="9"/>
    <w:unhideWhenUsed/>
    <w:qFormat/>
    <w:pPr>
      <w:keepNext/>
      <w:keepLines/>
      <w:outlineLvl w:val="1"/>
    </w:pPr>
    <w:rPr>
      <w:b/>
      <w:highlight w:val="white"/>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0" w:type="dxa"/>
        <w:left w:w="0" w:type="dxa"/>
        <w:bottom w:w="0" w:type="dxa"/>
        <w:right w:w="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paragraph" w:styleId="Header">
    <w:name w:val="header"/>
    <w:basedOn w:val="Normal"/>
    <w:link w:val="HeaderChar"/>
    <w:uiPriority w:val="99"/>
    <w:unhideWhenUsed/>
    <w:rsid w:val="004A7AF6"/>
    <w:pPr>
      <w:tabs>
        <w:tab w:val="center" w:pos="4680"/>
        <w:tab w:val="right" w:pos="9360"/>
      </w:tabs>
      <w:spacing w:line="240" w:lineRule="auto"/>
    </w:pPr>
  </w:style>
  <w:style w:type="character" w:customStyle="1" w:styleId="HeaderChar">
    <w:name w:val="Header Char"/>
    <w:basedOn w:val="DefaultParagraphFont"/>
    <w:link w:val="Header"/>
    <w:uiPriority w:val="99"/>
    <w:rsid w:val="004A7AF6"/>
  </w:style>
  <w:style w:type="paragraph" w:styleId="Footer">
    <w:name w:val="footer"/>
    <w:basedOn w:val="Normal"/>
    <w:link w:val="FooterChar"/>
    <w:uiPriority w:val="99"/>
    <w:unhideWhenUsed/>
    <w:rsid w:val="004A7AF6"/>
    <w:pPr>
      <w:tabs>
        <w:tab w:val="center" w:pos="4680"/>
        <w:tab w:val="right" w:pos="9360"/>
      </w:tabs>
      <w:spacing w:line="240" w:lineRule="auto"/>
    </w:pPr>
  </w:style>
  <w:style w:type="character" w:customStyle="1" w:styleId="FooterChar">
    <w:name w:val="Footer Char"/>
    <w:basedOn w:val="DefaultParagraphFont"/>
    <w:link w:val="Footer"/>
    <w:uiPriority w:val="99"/>
    <w:rsid w:val="004A7AF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png" /><Relationship Id="rId3" Type="http://schemas.openxmlformats.org/officeDocument/2006/relationships/webSettings" Target="webSettings.xml" /><Relationship Id="rId7" Type="http://schemas.openxmlformats.org/officeDocument/2006/relationships/hyperlink" Target="https://www.statista.com/outlook/cmo/beauty-personal-care/skin-care/japan" TargetMode="External" /><Relationship Id="rId2" Type="http://schemas.openxmlformats.org/officeDocument/2006/relationships/settings" Target="settings.xml" /><Relationship Id="rId1" Type="http://schemas.openxmlformats.org/officeDocument/2006/relationships/styles" Target="styles.xml" /><Relationship Id="rId6" Type="http://schemas.openxmlformats.org/officeDocument/2006/relationships/image" Target="media/image1.png" /><Relationship Id="rId11" Type="http://schemas.openxmlformats.org/officeDocument/2006/relationships/theme" Target="theme/theme1.xml" /><Relationship Id="rId5" Type="http://schemas.openxmlformats.org/officeDocument/2006/relationships/endnotes" Target="endnotes.xml" /><Relationship Id="rId10" Type="http://schemas.openxmlformats.org/officeDocument/2006/relationships/fontTable" Target="fontTable.xml" /><Relationship Id="rId4" Type="http://schemas.openxmlformats.org/officeDocument/2006/relationships/footnotes" Target="footnotes.xml" /><Relationship Id="rId9" Type="http://schemas.openxmlformats.org/officeDocument/2006/relationships/footer" Target="foot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3450</Words>
  <Characters>19670</Characters>
  <Application>Microsoft Office Word</Application>
  <DocSecurity>0</DocSecurity>
  <Lines>163</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23074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2025-07-24T21:33:00Z</dcterms:created>
  <dcterms:modified xsi:type="dcterms:W3CDTF">2025-07-24T21:33:00Z</dcterms:modified>
</cp:coreProperties>
</file>