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6ECB23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C2F0F">
              <w:rPr>
                <w:rFonts w:ascii="Times New Roman" w:hAnsi="Times New Roman" w:cs="Times New Roman"/>
                <w:b/>
                <w:color w:val="auto"/>
                <w:sz w:val="48"/>
              </w:rPr>
              <w:t>Catrin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4BDCD1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C2F0F">
              <w:rPr>
                <w:rFonts w:ascii="Times New Roman" w:hAnsi="Times New Roman" w:cs="Times New Roman"/>
                <w:b/>
                <w:color w:val="auto"/>
                <w:sz w:val="48"/>
              </w:rPr>
              <w:t xml:space="preserve"> Catwms14@hotmail.com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0F1DAC" w:rsidR="000D104B" w:rsidRDefault="0085230E" w:rsidP="000D104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C2F0F">
              <w:rPr>
                <w:rFonts w:ascii="Times New Roman" w:hAnsi="Times New Roman" w:cs="Times New Roman"/>
                <w:b/>
                <w:color w:val="auto"/>
                <w:sz w:val="48"/>
              </w:rPr>
              <w:t xml:space="preserve"> </w:t>
            </w:r>
          </w:p>
          <w:p w14:paraId="00169096" w14:textId="2E9E9BD3" w:rsidR="000D104B" w:rsidRPr="005D3F07" w:rsidRDefault="000D104B" w:rsidP="000D104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2238729</w:t>
            </w:r>
          </w:p>
          <w:p w14:paraId="609C280B" w14:textId="4218966E" w:rsidR="007C2F0F" w:rsidRPr="005D3F07" w:rsidRDefault="007C2F0F"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137C7C4"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b/>
          <w:bCs/>
          <w:color w:val="auto"/>
          <w:kern w:val="2"/>
          <w:sz w:val="24"/>
          <w:szCs w:val="24"/>
          <w:u w:val="single"/>
          <w:lang w:eastAsia="en-US"/>
          <w14:ligatures w14:val="standardContextual"/>
        </w:rPr>
      </w:pPr>
      <w:r w:rsidRPr="007C2F0F">
        <w:rPr>
          <w:rFonts w:asciiTheme="minorHAnsi" w:eastAsiaTheme="minorHAnsi" w:hAnsiTheme="minorHAnsi" w:cstheme="minorHAnsi"/>
          <w:b/>
          <w:bCs/>
          <w:color w:val="auto"/>
          <w:kern w:val="2"/>
          <w:sz w:val="24"/>
          <w:szCs w:val="24"/>
          <w:u w:val="single"/>
          <w:lang w:eastAsia="en-US"/>
          <w14:ligatures w14:val="standardContextual"/>
        </w:rPr>
        <w:t xml:space="preserve">Reference List – </w:t>
      </w:r>
    </w:p>
    <w:p w14:paraId="13F7750F"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r w:rsidRPr="007C2F0F">
        <w:rPr>
          <w:rFonts w:asciiTheme="minorHAnsi" w:hAnsiTheme="minorHAnsi" w:cstheme="minorHAnsi"/>
          <w:color w:val="0B0C0C"/>
          <w:kern w:val="36"/>
          <w:sz w:val="24"/>
          <w:szCs w:val="24"/>
          <w:lang w:val="en-US" w:eastAsia="en-US"/>
        </w:rPr>
        <w:t>Atherton, H &amp; Crickmore, D. (2011) Learning Disabilities: Towards Inclusion. 6</w:t>
      </w:r>
      <w:r w:rsidRPr="007C2F0F">
        <w:rPr>
          <w:rFonts w:asciiTheme="minorHAnsi" w:hAnsiTheme="minorHAnsi" w:cstheme="minorHAnsi"/>
          <w:color w:val="0B0C0C"/>
          <w:kern w:val="36"/>
          <w:sz w:val="24"/>
          <w:szCs w:val="24"/>
          <w:vertAlign w:val="superscript"/>
          <w:lang w:val="en-US" w:eastAsia="en-US"/>
        </w:rPr>
        <w:t>th</w:t>
      </w:r>
      <w:r w:rsidRPr="007C2F0F">
        <w:rPr>
          <w:rFonts w:asciiTheme="minorHAnsi" w:hAnsiTheme="minorHAnsi" w:cstheme="minorHAnsi"/>
          <w:color w:val="0B0C0C"/>
          <w:kern w:val="36"/>
          <w:sz w:val="24"/>
          <w:szCs w:val="24"/>
          <w:lang w:val="en-US" w:eastAsia="en-US"/>
        </w:rPr>
        <w:t xml:space="preserve"> Ed. Churchill Livingstone. </w:t>
      </w:r>
    </w:p>
    <w:p w14:paraId="17528589"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p>
    <w:p w14:paraId="53D99E61"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C2F0F">
        <w:rPr>
          <w:rFonts w:asciiTheme="minorHAnsi" w:eastAsiaTheme="minorHAnsi" w:hAnsiTheme="minorHAnsi" w:cstheme="minorHAnsi"/>
          <w:color w:val="auto"/>
          <w:kern w:val="2"/>
          <w:sz w:val="24"/>
          <w:szCs w:val="24"/>
          <w:lang w:eastAsia="en-US"/>
          <w14:ligatures w14:val="standardContextual"/>
        </w:rPr>
        <w:t>Borton, T. (1970) Reach Touch and Teach, London: Hutchinson cited in Jasper, M. (2003) Beginning Reflective Practice, Cheltenham: Nelson Thornes</w:t>
      </w:r>
    </w:p>
    <w:p w14:paraId="5E9DBF43"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C2F0F">
        <w:rPr>
          <w:rFonts w:asciiTheme="minorHAnsi" w:eastAsiaTheme="minorHAnsi" w:hAnsiTheme="minorHAnsi" w:cstheme="minorHAnsi"/>
          <w:color w:val="333333"/>
          <w:kern w:val="2"/>
          <w:sz w:val="24"/>
          <w:szCs w:val="24"/>
          <w:shd w:val="clear" w:color="auto" w:fill="FCFCFC"/>
          <w:lang w:val="en-US" w:eastAsia="en-US"/>
          <w14:ligatures w14:val="standardContextual"/>
        </w:rPr>
        <w:t>Rogers, C. R. (1961). </w:t>
      </w:r>
      <w:r w:rsidRPr="007C2F0F">
        <w:rPr>
          <w:rFonts w:asciiTheme="minorHAnsi" w:eastAsiaTheme="minorHAnsi" w:hAnsiTheme="minorHAnsi" w:cstheme="minorHAnsi"/>
          <w:i/>
          <w:iCs/>
          <w:color w:val="333333"/>
          <w:kern w:val="2"/>
          <w:sz w:val="24"/>
          <w:szCs w:val="24"/>
          <w:shd w:val="clear" w:color="auto" w:fill="FCFCFC"/>
          <w:lang w:val="en-US" w:eastAsia="en-US"/>
          <w14:ligatures w14:val="standardContextual"/>
        </w:rPr>
        <w:t>On becoming a person</w:t>
      </w:r>
      <w:r w:rsidRPr="007C2F0F">
        <w:rPr>
          <w:rFonts w:asciiTheme="minorHAnsi" w:eastAsiaTheme="minorHAnsi" w:hAnsiTheme="minorHAnsi" w:cstheme="minorHAnsi"/>
          <w:color w:val="333333"/>
          <w:kern w:val="2"/>
          <w:sz w:val="24"/>
          <w:szCs w:val="24"/>
          <w:shd w:val="clear" w:color="auto" w:fill="FCFCFC"/>
          <w:lang w:val="en-US" w:eastAsia="en-US"/>
          <w14:ligatures w14:val="standardContextual"/>
        </w:rPr>
        <w:t>. Houghton Mifflin.</w:t>
      </w:r>
    </w:p>
    <w:p w14:paraId="64BF46E1"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Jasper, M. (2013). Beginning Reflective Practice. Andover: Cengage Learning</w:t>
      </w:r>
    </w:p>
    <w:p w14:paraId="190F01E7" w14:textId="77777777" w:rsidR="007C2F0F" w:rsidRDefault="007C2F0F" w:rsidP="007C2F0F">
      <w:pPr>
        <w:shd w:val="clear" w:color="auto" w:fill="FFFFFF"/>
        <w:overflowPunct/>
        <w:autoSpaceDE/>
        <w:autoSpaceDN/>
        <w:adjustRightInd/>
        <w:spacing w:before="100" w:beforeAutospacing="1" w:afterAutospacing="1"/>
        <w:textAlignment w:val="auto"/>
        <w:outlineLvl w:val="0"/>
        <w:rPr>
          <w:rFonts w:asciiTheme="minorHAnsi" w:hAnsiTheme="minorHAnsi" w:cstheme="minorHAnsi"/>
          <w:color w:val="0B0C0C"/>
          <w:kern w:val="36"/>
          <w:sz w:val="24"/>
          <w:szCs w:val="24"/>
          <w:lang w:val="en-US" w:eastAsia="en-US"/>
        </w:rPr>
      </w:pPr>
      <w:r w:rsidRPr="007C2F0F">
        <w:rPr>
          <w:rFonts w:asciiTheme="minorHAnsi" w:hAnsiTheme="minorHAnsi" w:cstheme="minorHAnsi"/>
          <w:color w:val="0B0C0C"/>
          <w:kern w:val="36"/>
          <w:sz w:val="24"/>
          <w:szCs w:val="24"/>
          <w:lang w:val="en-US" w:eastAsia="en-US"/>
        </w:rPr>
        <w:t>Kolb, D. A, (1984) Experiential Learning: Experience as the source of learning and development. Englewood Cliffs, NJ: Prentice-Hall.</w:t>
      </w:r>
    </w:p>
    <w:p w14:paraId="652F860C" w14:textId="77777777" w:rsidR="00110B12" w:rsidRPr="007C2F0F" w:rsidRDefault="00110B12" w:rsidP="007C2F0F">
      <w:pPr>
        <w:shd w:val="clear" w:color="auto" w:fill="FFFFFF"/>
        <w:overflowPunct/>
        <w:autoSpaceDE/>
        <w:autoSpaceDN/>
        <w:adjustRightInd/>
        <w:spacing w:before="100" w:beforeAutospacing="1" w:afterAutospacing="1"/>
        <w:textAlignment w:val="auto"/>
        <w:outlineLvl w:val="0"/>
        <w:rPr>
          <w:rFonts w:asciiTheme="minorHAnsi" w:hAnsiTheme="minorHAnsi" w:cstheme="minorHAnsi"/>
          <w:color w:val="0B0C0C"/>
          <w:kern w:val="36"/>
          <w:sz w:val="24"/>
          <w:szCs w:val="24"/>
          <w:lang w:val="en-US" w:eastAsia="en-US"/>
        </w:rPr>
      </w:pPr>
    </w:p>
    <w:p w14:paraId="6FC8BE6D"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r w:rsidRPr="007C2F0F">
        <w:rPr>
          <w:rFonts w:asciiTheme="minorHAnsi" w:hAnsiTheme="minorHAnsi" w:cstheme="minorHAnsi"/>
          <w:color w:val="0B0C0C"/>
          <w:kern w:val="36"/>
          <w:sz w:val="24"/>
          <w:szCs w:val="24"/>
          <w:lang w:val="en-US" w:eastAsia="en-US"/>
        </w:rPr>
        <w:t xml:space="preserve">Government. (2024). Department of Health: Summary of the Winterbourne View, 2012. (Online) Available at: </w:t>
      </w:r>
      <w:hyperlink r:id="rId11" w:history="1">
        <w:r w:rsidRPr="007C2F0F">
          <w:rPr>
            <w:rFonts w:asciiTheme="minorHAnsi" w:hAnsiTheme="minorHAnsi" w:cstheme="minorHAnsi"/>
            <w:b/>
            <w:bCs/>
            <w:color w:val="0563C1" w:themeColor="hyperlink"/>
            <w:kern w:val="36"/>
            <w:sz w:val="24"/>
            <w:szCs w:val="24"/>
            <w:u w:val="single"/>
            <w:lang w:val="en-US" w:eastAsia="en-US"/>
          </w:rPr>
          <w:t>https://assets.publishing.service.gov.uk/government/uploads/system/uploads/attachment_data/file/213221/4-page-summary.pdf</w:t>
        </w:r>
      </w:hyperlink>
      <w:r w:rsidRPr="007C2F0F">
        <w:rPr>
          <w:rFonts w:asciiTheme="minorHAnsi" w:hAnsiTheme="minorHAnsi" w:cstheme="minorHAnsi"/>
          <w:color w:val="0B0C0C"/>
          <w:kern w:val="36"/>
          <w:sz w:val="24"/>
          <w:szCs w:val="24"/>
          <w:lang w:val="en-US" w:eastAsia="en-US"/>
        </w:rPr>
        <w:t xml:space="preserve"> Accessed 24 January, 2024. </w:t>
      </w:r>
    </w:p>
    <w:p w14:paraId="033E4EB1"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p>
    <w:p w14:paraId="085D8FC8"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r w:rsidRPr="007C2F0F">
        <w:rPr>
          <w:rFonts w:asciiTheme="minorHAnsi" w:hAnsiTheme="minorHAnsi" w:cstheme="minorHAnsi"/>
          <w:color w:val="auto"/>
          <w:kern w:val="36"/>
          <w:sz w:val="24"/>
          <w:szCs w:val="24"/>
          <w:lang w:eastAsia="en-US"/>
        </w:rPr>
        <w:t xml:space="preserve">Government. (2024). </w:t>
      </w:r>
      <w:r w:rsidRPr="007C2F0F">
        <w:rPr>
          <w:rFonts w:asciiTheme="minorHAnsi" w:hAnsiTheme="minorHAnsi" w:cstheme="minorHAnsi"/>
          <w:color w:val="0B0C0C"/>
          <w:kern w:val="36"/>
          <w:sz w:val="24"/>
          <w:szCs w:val="24"/>
          <w:lang w:val="en-US" w:eastAsia="en-US"/>
        </w:rPr>
        <w:t xml:space="preserve">Human Rights: The UK’s international human rights obligations (2022) (Online) Available at: </w:t>
      </w:r>
      <w:hyperlink r:id="rId12" w:history="1">
        <w:r w:rsidRPr="007C2F0F">
          <w:rPr>
            <w:rFonts w:asciiTheme="minorHAnsi" w:hAnsiTheme="minorHAnsi" w:cstheme="minorHAnsi"/>
            <w:b/>
            <w:bCs/>
            <w:color w:val="0563C1" w:themeColor="hyperlink"/>
            <w:kern w:val="36"/>
            <w:sz w:val="24"/>
            <w:szCs w:val="24"/>
            <w:u w:val="single"/>
            <w:lang w:val="en-US" w:eastAsia="en-US"/>
          </w:rPr>
          <w:t>https://www.gov.uk/government/collections/human-rights-the-uks-international-human-rights-obligations</w:t>
        </w:r>
      </w:hyperlink>
      <w:r w:rsidRPr="007C2F0F">
        <w:rPr>
          <w:rFonts w:asciiTheme="minorHAnsi" w:hAnsiTheme="minorHAnsi" w:cstheme="minorHAnsi"/>
          <w:color w:val="0B0C0C"/>
          <w:kern w:val="36"/>
          <w:sz w:val="24"/>
          <w:szCs w:val="24"/>
          <w:lang w:val="en-US" w:eastAsia="en-US"/>
        </w:rPr>
        <w:t xml:space="preserve"> Accessed 25 January, 2024. </w:t>
      </w:r>
    </w:p>
    <w:p w14:paraId="086196F9"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p>
    <w:p w14:paraId="22E9721E" w14:textId="29D18C24"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0B0C0C"/>
          <w:kern w:val="2"/>
          <w:sz w:val="24"/>
          <w:szCs w:val="24"/>
          <w:lang w:val="en-US" w:eastAsia="en-US"/>
          <w14:ligatures w14:val="standardContextual"/>
        </w:rPr>
      </w:pPr>
      <w:r w:rsidRPr="007C2F0F">
        <w:rPr>
          <w:rFonts w:asciiTheme="minorHAnsi" w:eastAsiaTheme="minorHAnsi" w:hAnsiTheme="minorHAnsi" w:cstheme="minorHAnsi"/>
          <w:color w:val="0B0C0C"/>
          <w:kern w:val="2"/>
          <w:sz w:val="24"/>
          <w:szCs w:val="24"/>
          <w:lang w:val="en-US" w:eastAsia="en-US"/>
          <w14:ligatures w14:val="standardContextual"/>
        </w:rPr>
        <w:t>Government. (2024).</w:t>
      </w:r>
      <w:r w:rsidRPr="007C2F0F">
        <w:rPr>
          <w:rFonts w:asciiTheme="minorHAnsi" w:eastAsiaTheme="minorHAnsi" w:hAnsiTheme="minorHAnsi" w:cstheme="minorHAnsi"/>
          <w:color w:val="505A5F"/>
          <w:kern w:val="2"/>
          <w:sz w:val="24"/>
          <w:szCs w:val="24"/>
          <w:shd w:val="clear" w:color="auto" w:fill="FFFFFF"/>
          <w:lang w:val="en-US" w:eastAsia="en-US"/>
          <w14:ligatures w14:val="standardContextual"/>
        </w:rPr>
        <w:t xml:space="preserve"> </w:t>
      </w:r>
      <w:r w:rsidRPr="007C2F0F">
        <w:rPr>
          <w:rFonts w:asciiTheme="minorHAnsi" w:hAnsiTheme="minorHAnsi" w:cstheme="minorHAnsi"/>
          <w:color w:val="505A5F"/>
          <w:sz w:val="24"/>
          <w:szCs w:val="24"/>
          <w:shd w:val="clear" w:color="auto" w:fill="FFFFFF"/>
          <w:lang w:val="en-US" w:eastAsia="en-US"/>
        </w:rPr>
        <w:t>Independent report</w:t>
      </w:r>
      <w:r w:rsidRPr="007C2F0F">
        <w:rPr>
          <w:rFonts w:asciiTheme="minorHAnsi" w:hAnsiTheme="minorHAnsi" w:cstheme="minorHAnsi"/>
          <w:color w:val="auto"/>
          <w:sz w:val="24"/>
          <w:szCs w:val="24"/>
          <w:lang w:val="en-US" w:eastAsia="en-US"/>
        </w:rPr>
        <w:t xml:space="preserve">; </w:t>
      </w:r>
      <w:r w:rsidRPr="007C2F0F">
        <w:rPr>
          <w:rFonts w:asciiTheme="minorHAnsi" w:hAnsiTheme="minorHAnsi" w:cstheme="minorHAnsi"/>
          <w:color w:val="0B0C0C"/>
          <w:kern w:val="36"/>
          <w:sz w:val="24"/>
          <w:szCs w:val="24"/>
          <w:lang w:val="en-US" w:eastAsia="en-US"/>
        </w:rPr>
        <w:t xml:space="preserve">Munro review of child protection: a child-centered system </w:t>
      </w:r>
      <w:r w:rsidRPr="007C2F0F">
        <w:rPr>
          <w:rFonts w:asciiTheme="minorHAnsi" w:eastAsiaTheme="minorHAnsi" w:hAnsiTheme="minorHAnsi" w:cstheme="minorHAnsi"/>
          <w:color w:val="0B0C0C"/>
          <w:kern w:val="2"/>
          <w:sz w:val="24"/>
          <w:szCs w:val="24"/>
          <w:lang w:val="en-US" w:eastAsia="en-US"/>
          <w14:ligatures w14:val="standardContextual"/>
        </w:rPr>
        <w:t xml:space="preserve">(Online) Available at: </w:t>
      </w:r>
      <w:hyperlink r:id="rId13" w:history="1">
        <w:r w:rsidR="00110B12" w:rsidRPr="00E972CC">
          <w:rPr>
            <w:rStyle w:val="Hyperlink"/>
            <w:rFonts w:asciiTheme="minorHAnsi" w:eastAsiaTheme="minorHAnsi" w:hAnsiTheme="minorHAnsi" w:cstheme="minorHAnsi"/>
            <w:kern w:val="2"/>
            <w:sz w:val="24"/>
            <w:szCs w:val="24"/>
            <w:lang w:val="en-US" w:eastAsia="en-US"/>
            <w14:ligatures w14:val="standardContextual"/>
          </w:rPr>
          <w:t>https://assets.publishing.service.gov.uk/government/uploads/system/uploads/attachment_data/file/213221/4-page-summary.pdf</w:t>
        </w:r>
      </w:hyperlink>
      <w:r w:rsidRPr="007C2F0F">
        <w:rPr>
          <w:rFonts w:asciiTheme="minorHAnsi" w:eastAsiaTheme="minorHAnsi" w:hAnsiTheme="minorHAnsi" w:cstheme="minorHAnsi"/>
          <w:color w:val="0B0C0C"/>
          <w:kern w:val="2"/>
          <w:sz w:val="24"/>
          <w:szCs w:val="24"/>
          <w:lang w:val="en-US" w:eastAsia="en-US"/>
          <w14:ligatures w14:val="standardContextual"/>
        </w:rPr>
        <w:t xml:space="preserve">  Accessed 24 January, 2024.</w:t>
      </w:r>
    </w:p>
    <w:p w14:paraId="70CB9ECC" w14:textId="77777777" w:rsidR="007C2F0F" w:rsidRPr="007C2F0F" w:rsidRDefault="007C2F0F" w:rsidP="007C2F0F">
      <w:pPr>
        <w:overflowPunct/>
        <w:autoSpaceDE/>
        <w:autoSpaceDN/>
        <w:adjustRightInd/>
        <w:spacing w:after="160" w:line="259" w:lineRule="auto"/>
        <w:textAlignment w:val="auto"/>
        <w:rPr>
          <w:rFonts w:asciiTheme="minorHAnsi" w:hAnsiTheme="minorHAnsi" w:cstheme="minorHAnsi"/>
          <w:color w:val="auto"/>
          <w:sz w:val="24"/>
          <w:szCs w:val="24"/>
          <w:lang w:val="en-US" w:eastAsia="en-US"/>
        </w:rPr>
      </w:pPr>
      <w:r w:rsidRPr="007C2F0F">
        <w:rPr>
          <w:rFonts w:asciiTheme="minorHAnsi" w:hAnsiTheme="minorHAnsi" w:cstheme="minorHAnsi"/>
          <w:color w:val="auto"/>
          <w:sz w:val="24"/>
          <w:szCs w:val="24"/>
          <w:lang w:val="en-US" w:eastAsia="en-US"/>
        </w:rPr>
        <w:t xml:space="preserve">Government. (2024). United Nations Convention on the Rights of the Child, 2010 (UNCRC): (Online) Available at:  </w:t>
      </w:r>
      <w:hyperlink r:id="rId14" w:history="1">
        <w:r w:rsidRPr="007C2F0F">
          <w:rPr>
            <w:rFonts w:asciiTheme="minorHAnsi" w:eastAsiaTheme="minorHAnsi" w:hAnsiTheme="minorHAnsi" w:cstheme="minorHAnsi"/>
            <w:color w:val="0563C1" w:themeColor="hyperlink"/>
            <w:sz w:val="24"/>
            <w:szCs w:val="24"/>
            <w:u w:val="single"/>
            <w:lang w:val="en-US" w:eastAsia="en-US"/>
            <w14:ligatures w14:val="standardContextual"/>
          </w:rPr>
          <w:t>https://www.gov.uk/government/publications/united-nations-convention-on-the-rights-of-the-child-uncrc-how-legislation-underpins-implementation-in-england</w:t>
        </w:r>
      </w:hyperlink>
      <w:r w:rsidRPr="007C2F0F">
        <w:rPr>
          <w:rFonts w:asciiTheme="minorHAnsi" w:hAnsiTheme="minorHAnsi" w:cstheme="minorHAnsi"/>
          <w:color w:val="auto"/>
          <w:sz w:val="24"/>
          <w:szCs w:val="24"/>
          <w:lang w:val="en-US" w:eastAsia="en-US"/>
        </w:rPr>
        <w:t xml:space="preserve"> Accessed 25 January, 2024. </w:t>
      </w:r>
    </w:p>
    <w:p w14:paraId="4E97F05E" w14:textId="77777777" w:rsidR="007C2F0F" w:rsidRPr="007C2F0F" w:rsidRDefault="007C2F0F" w:rsidP="007C2F0F">
      <w:pPr>
        <w:overflowPunct/>
        <w:autoSpaceDE/>
        <w:autoSpaceDN/>
        <w:adjustRightInd/>
        <w:spacing w:after="160" w:line="259" w:lineRule="auto"/>
        <w:textAlignment w:val="auto"/>
        <w:rPr>
          <w:rFonts w:asciiTheme="minorHAnsi" w:hAnsiTheme="minorHAnsi" w:cstheme="minorHAnsi"/>
          <w:color w:val="auto"/>
          <w:sz w:val="24"/>
          <w:szCs w:val="24"/>
          <w:lang w:val="en-US" w:eastAsia="en-US"/>
        </w:rPr>
      </w:pPr>
      <w:r w:rsidRPr="007C2F0F">
        <w:rPr>
          <w:rFonts w:asciiTheme="minorHAnsi" w:hAnsiTheme="minorHAnsi" w:cstheme="minorHAnsi"/>
          <w:color w:val="auto"/>
          <w:sz w:val="24"/>
          <w:szCs w:val="24"/>
          <w:lang w:val="en-US" w:eastAsia="en-US"/>
        </w:rPr>
        <w:t xml:space="preserve">Legislation. (2024). Children Act, 1989. (Online) Available at: </w:t>
      </w:r>
      <w:hyperlink r:id="rId15" w:history="1">
        <w:r w:rsidRPr="007C2F0F">
          <w:rPr>
            <w:rFonts w:asciiTheme="minorHAnsi" w:eastAsiaTheme="minorHAnsi" w:hAnsiTheme="minorHAnsi" w:cstheme="minorHAnsi"/>
            <w:color w:val="0563C1" w:themeColor="hyperlink"/>
            <w:sz w:val="24"/>
            <w:szCs w:val="24"/>
            <w:u w:val="single"/>
            <w:lang w:val="en-US" w:eastAsia="en-US"/>
            <w14:ligatures w14:val="standardContextual"/>
          </w:rPr>
          <w:t>https://www.legislation.gov.uk/ukpga/1989/41/contents</w:t>
        </w:r>
      </w:hyperlink>
      <w:r w:rsidRPr="007C2F0F">
        <w:rPr>
          <w:rFonts w:asciiTheme="minorHAnsi" w:hAnsiTheme="minorHAnsi" w:cstheme="minorHAnsi"/>
          <w:color w:val="auto"/>
          <w:sz w:val="24"/>
          <w:szCs w:val="24"/>
          <w:lang w:val="en-US" w:eastAsia="en-US"/>
        </w:rPr>
        <w:t xml:space="preserve"> Accessed 26 January, 2024</w:t>
      </w:r>
    </w:p>
    <w:p w14:paraId="35ED3485" w14:textId="77777777" w:rsidR="007C2F0F" w:rsidRPr="007C2F0F" w:rsidRDefault="007C2F0F" w:rsidP="007C2F0F">
      <w:pPr>
        <w:overflowPunct/>
        <w:autoSpaceDE/>
        <w:autoSpaceDN/>
        <w:adjustRightInd/>
        <w:spacing w:after="160" w:line="259" w:lineRule="auto"/>
        <w:textAlignment w:val="auto"/>
        <w:rPr>
          <w:rFonts w:asciiTheme="minorHAnsi" w:hAnsiTheme="minorHAnsi" w:cstheme="minorHAnsi"/>
          <w:color w:val="auto"/>
          <w:sz w:val="24"/>
          <w:szCs w:val="24"/>
          <w:lang w:val="en-US" w:eastAsia="en-US"/>
        </w:rPr>
      </w:pPr>
      <w:r w:rsidRPr="007C2F0F">
        <w:rPr>
          <w:rFonts w:asciiTheme="minorHAnsi" w:hAnsiTheme="minorHAnsi" w:cstheme="minorHAnsi"/>
          <w:color w:val="auto"/>
          <w:sz w:val="24"/>
          <w:szCs w:val="24"/>
          <w:lang w:val="en-US" w:eastAsia="en-US"/>
        </w:rPr>
        <w:t xml:space="preserve">Legislation. (2024). National Health Service and Community Care Act, 1990. (Online) Available at: </w:t>
      </w:r>
      <w:hyperlink r:id="rId16" w:history="1">
        <w:r w:rsidRPr="007C2F0F">
          <w:rPr>
            <w:rFonts w:asciiTheme="minorHAnsi" w:hAnsiTheme="minorHAnsi" w:cstheme="minorHAnsi"/>
            <w:color w:val="0563C1" w:themeColor="hyperlink"/>
            <w:sz w:val="24"/>
            <w:szCs w:val="24"/>
            <w:u w:val="single"/>
            <w:lang w:val="en-US" w:eastAsia="en-US"/>
          </w:rPr>
          <w:t>https://www.legislation.gov.uk/ukpga/1990/19/contents</w:t>
        </w:r>
      </w:hyperlink>
      <w:r w:rsidRPr="007C2F0F">
        <w:rPr>
          <w:rFonts w:asciiTheme="minorHAnsi" w:hAnsiTheme="minorHAnsi" w:cstheme="minorHAnsi"/>
          <w:color w:val="auto"/>
          <w:sz w:val="24"/>
          <w:szCs w:val="24"/>
          <w:lang w:val="en-US" w:eastAsia="en-US"/>
        </w:rPr>
        <w:t xml:space="preserve"> Accessed 26 January, 2024</w:t>
      </w:r>
    </w:p>
    <w:p w14:paraId="68049B25"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r w:rsidRPr="007C2F0F">
        <w:rPr>
          <w:rFonts w:asciiTheme="minorHAnsi" w:hAnsiTheme="minorHAnsi" w:cstheme="minorHAnsi"/>
          <w:color w:val="0B0C0C"/>
          <w:kern w:val="36"/>
          <w:sz w:val="24"/>
          <w:szCs w:val="24"/>
          <w:lang w:val="en-US" w:eastAsia="en-US"/>
        </w:rPr>
        <w:lastRenderedPageBreak/>
        <w:t xml:space="preserve">Legislation. (2024). Data Protection Act, 2018. (Online) Available at: </w:t>
      </w:r>
      <w:hyperlink r:id="rId17" w:history="1">
        <w:r w:rsidRPr="007C2F0F">
          <w:rPr>
            <w:rFonts w:asciiTheme="minorHAnsi" w:hAnsiTheme="minorHAnsi" w:cstheme="minorHAnsi"/>
            <w:b/>
            <w:bCs/>
            <w:color w:val="0563C1" w:themeColor="hyperlink"/>
            <w:kern w:val="36"/>
            <w:sz w:val="24"/>
            <w:szCs w:val="24"/>
            <w:u w:val="single"/>
            <w:lang w:val="en-US" w:eastAsia="en-US"/>
          </w:rPr>
          <w:t>https://www.legislation.gov.uk/ukpga/2018/12/contents/enacted</w:t>
        </w:r>
      </w:hyperlink>
      <w:r w:rsidRPr="007C2F0F">
        <w:rPr>
          <w:rFonts w:asciiTheme="minorHAnsi" w:hAnsiTheme="minorHAnsi" w:cstheme="minorHAnsi"/>
          <w:color w:val="0B0C0C"/>
          <w:kern w:val="36"/>
          <w:sz w:val="24"/>
          <w:szCs w:val="24"/>
          <w:lang w:val="en-US" w:eastAsia="en-US"/>
        </w:rPr>
        <w:t xml:space="preserve">  Accessed 24 January, 2024</w:t>
      </w:r>
    </w:p>
    <w:p w14:paraId="13C0C990" w14:textId="77777777" w:rsidR="007C2F0F" w:rsidRPr="007C2F0F" w:rsidRDefault="007C2F0F" w:rsidP="007C2F0F">
      <w:pPr>
        <w:shd w:val="clear" w:color="auto" w:fill="FFFFFF"/>
        <w:overflowPunct/>
        <w:autoSpaceDE/>
        <w:autoSpaceDN/>
        <w:adjustRightInd/>
        <w:textAlignment w:val="auto"/>
        <w:outlineLvl w:val="0"/>
        <w:rPr>
          <w:rFonts w:asciiTheme="minorHAnsi" w:hAnsiTheme="minorHAnsi" w:cstheme="minorHAnsi"/>
          <w:color w:val="0B0C0C"/>
          <w:kern w:val="36"/>
          <w:sz w:val="24"/>
          <w:szCs w:val="24"/>
          <w:lang w:val="en-US" w:eastAsia="en-US"/>
        </w:rPr>
      </w:pPr>
    </w:p>
    <w:p w14:paraId="66015B19"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Legislation. (2024). Equality Act, 2010 (Online) Available at: </w:t>
      </w:r>
      <w:hyperlink r:id="rId18"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https://www.legislation.gov.uk/ukpga/2010/15/contents</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18 January, 2024)</w:t>
      </w:r>
    </w:p>
    <w:p w14:paraId="5D10BA5A"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Legislation. (2024). Human Rights Act, 1998 (Online) Available at:  </w:t>
      </w:r>
      <w:hyperlink r:id="rId19"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https://www.legislation.gov.uk/ukpga/1998/42/contents</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18 January, 2024)</w:t>
      </w:r>
    </w:p>
    <w:p w14:paraId="65C9FA97"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C2F0F">
        <w:rPr>
          <w:rFonts w:asciiTheme="minorHAnsi" w:eastAsiaTheme="minorHAnsi" w:hAnsiTheme="minorHAnsi" w:cstheme="minorHAnsi"/>
          <w:color w:val="auto"/>
          <w:kern w:val="2"/>
          <w:sz w:val="24"/>
          <w:szCs w:val="24"/>
          <w:lang w:eastAsia="en-US"/>
          <w14:ligatures w14:val="standardContextual"/>
        </w:rPr>
        <w:t xml:space="preserve">Legislation. (2024). Mental Capacity Act, 2005. (Online) Available at:  </w:t>
      </w:r>
      <w:hyperlink r:id="rId20" w:history="1">
        <w:r w:rsidRPr="007C2F0F">
          <w:rPr>
            <w:rFonts w:asciiTheme="minorHAnsi" w:eastAsiaTheme="minorHAnsi" w:hAnsiTheme="minorHAnsi" w:cstheme="minorHAnsi"/>
            <w:color w:val="0563C1" w:themeColor="hyperlink"/>
            <w:kern w:val="2"/>
            <w:sz w:val="24"/>
            <w:szCs w:val="24"/>
            <w:u w:val="single"/>
            <w:lang w:eastAsia="en-US"/>
            <w14:ligatures w14:val="standardContextual"/>
          </w:rPr>
          <w:t>https://www.legislation.gov.uk/ukpga/2005/9/contents</w:t>
        </w:r>
      </w:hyperlink>
      <w:r w:rsidRPr="007C2F0F">
        <w:rPr>
          <w:rFonts w:asciiTheme="minorHAnsi" w:eastAsiaTheme="minorHAnsi" w:hAnsiTheme="minorHAnsi" w:cstheme="minorHAnsi"/>
          <w:color w:val="auto"/>
          <w:kern w:val="2"/>
          <w:sz w:val="24"/>
          <w:szCs w:val="24"/>
          <w:lang w:eastAsia="en-US"/>
          <w14:ligatures w14:val="standardContextual"/>
        </w:rPr>
        <w:t xml:space="preserve"> (Accessed 8 January, 2024)</w:t>
      </w:r>
    </w:p>
    <w:p w14:paraId="109F6247"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auto"/>
          <w:kern w:val="2"/>
          <w:sz w:val="24"/>
          <w:szCs w:val="24"/>
          <w:lang w:eastAsia="en-US"/>
          <w14:ligatures w14:val="standardContextual"/>
        </w:rPr>
      </w:pPr>
      <w:r w:rsidRPr="007C2F0F">
        <w:rPr>
          <w:rFonts w:asciiTheme="minorHAnsi" w:eastAsiaTheme="minorHAnsi" w:hAnsiTheme="minorHAnsi" w:cstheme="minorHAnsi"/>
          <w:color w:val="auto"/>
          <w:kern w:val="2"/>
          <w:sz w:val="24"/>
          <w:szCs w:val="24"/>
          <w:lang w:eastAsia="en-US"/>
          <w14:ligatures w14:val="standardContextual"/>
        </w:rPr>
        <w:t>Legislation. (2024). Social Services &amp; Wellbeing (Wales) Act, 2014. (Online) Available at: https://www.legislation.gov.uk/anaw/2014/4/contents (Accessed 8 January, 2024)</w:t>
      </w:r>
    </w:p>
    <w:p w14:paraId="4D89F517"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Legislation. (2024). Welsh Language Measure, 2011 (Online) Available at:  </w:t>
      </w:r>
      <w:hyperlink r:id="rId21"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https://www.legislation.gov.uk/mwa/2011/1/contents/enacted</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18 January, 2024)</w:t>
      </w:r>
    </w:p>
    <w:p w14:paraId="408C4F25" w14:textId="77777777" w:rsid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National Health Service (2024) Accessible Information Standard, 2016 (Online) Available at - https://www.england.nhs.uk/about/equality/equality-hub/patient-equalities-programme/equality-frameworks-and-information-standards/accessibleinfo/ - (Accessed 5 February, 2024)</w:t>
      </w:r>
    </w:p>
    <w:p w14:paraId="4D92BC4A" w14:textId="0942E687" w:rsidR="00253D86" w:rsidRDefault="00253D86"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Pr>
          <w:rFonts w:asciiTheme="minorHAnsi" w:eastAsiaTheme="minorHAnsi" w:hAnsiTheme="minorHAnsi" w:cstheme="minorHAnsi"/>
          <w:color w:val="333333"/>
          <w:kern w:val="2"/>
          <w:sz w:val="24"/>
          <w:szCs w:val="24"/>
          <w:shd w:val="clear" w:color="auto" w:fill="FFFFFF"/>
          <w:lang w:val="en-US" w:eastAsia="en-US"/>
          <w14:ligatures w14:val="standardContextual"/>
        </w:rPr>
        <w:t>NSPCC</w:t>
      </w:r>
      <w:r w:rsidR="007E2526">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Learning (2022). Gillick Competency and Fraser Guidelines, 2022. (Online) </w:t>
      </w:r>
      <w:hyperlink r:id="rId22" w:history="1">
        <w:r w:rsidR="00FC7B81" w:rsidRPr="00012FFF">
          <w:rPr>
            <w:rStyle w:val="Hyperlink"/>
            <w:rFonts w:asciiTheme="minorHAnsi" w:eastAsiaTheme="minorHAnsi" w:hAnsiTheme="minorHAnsi" w:cstheme="minorHAnsi"/>
            <w:kern w:val="2"/>
            <w:sz w:val="24"/>
            <w:szCs w:val="24"/>
            <w:shd w:val="clear" w:color="auto" w:fill="FFFFFF"/>
            <w:lang w:val="en-US" w:eastAsia="en-US"/>
            <w14:ligatures w14:val="standardContextual"/>
          </w:rPr>
          <w:t>https://learning.nspcc.org.uk/child-protection-system/gillick-competence-fraser-guidelines#skip-to-content</w:t>
        </w:r>
      </w:hyperlink>
      <w:r w:rsidR="00FC7B81">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w:t>
      </w:r>
      <w:r w:rsidR="00143F03">
        <w:rPr>
          <w:rFonts w:asciiTheme="minorHAnsi" w:eastAsiaTheme="minorHAnsi" w:hAnsiTheme="minorHAnsi" w:cstheme="minorHAnsi"/>
          <w:color w:val="333333"/>
          <w:kern w:val="2"/>
          <w:sz w:val="24"/>
          <w:szCs w:val="24"/>
          <w:shd w:val="clear" w:color="auto" w:fill="FFFFFF"/>
          <w:lang w:val="en-US" w:eastAsia="en-US"/>
          <w14:ligatures w14:val="standardContextual"/>
        </w:rPr>
        <w:t>7</w:t>
      </w:r>
      <w:r w:rsidR="00143F03" w:rsidRPr="00143F03">
        <w:rPr>
          <w:rFonts w:asciiTheme="minorHAnsi" w:eastAsiaTheme="minorHAnsi" w:hAnsiTheme="minorHAnsi" w:cstheme="minorHAnsi"/>
          <w:color w:val="333333"/>
          <w:kern w:val="2"/>
          <w:sz w:val="24"/>
          <w:szCs w:val="24"/>
          <w:shd w:val="clear" w:color="auto" w:fill="FFFFFF"/>
          <w:vertAlign w:val="superscript"/>
          <w:lang w:val="en-US" w:eastAsia="en-US"/>
          <w14:ligatures w14:val="standardContextual"/>
        </w:rPr>
        <w:t>th</w:t>
      </w:r>
      <w:r w:rsidR="00143F03">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of February, 2024)</w:t>
      </w:r>
    </w:p>
    <w:p w14:paraId="1E3BC615" w14:textId="6ABCE10E" w:rsidR="00F00C41" w:rsidRPr="007C2F0F" w:rsidRDefault="00F00C41"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Office </w:t>
      </w:r>
      <w:r w:rsidR="00A12E24">
        <w:rPr>
          <w:rFonts w:asciiTheme="minorHAnsi" w:eastAsiaTheme="minorHAnsi" w:hAnsiTheme="minorHAnsi" w:cstheme="minorHAnsi"/>
          <w:color w:val="333333"/>
          <w:kern w:val="2"/>
          <w:sz w:val="24"/>
          <w:szCs w:val="24"/>
          <w:shd w:val="clear" w:color="auto" w:fill="FFFFFF"/>
          <w:lang w:val="en-US" w:eastAsia="en-US"/>
          <w14:ligatures w14:val="standardContextual"/>
        </w:rPr>
        <w:t>for</w:t>
      </w:r>
      <w:r>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National Statistics (2019). </w:t>
      </w:r>
      <w:r w:rsidR="00A12E24">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Disability and Crime, UK:2019. (Online) Available at - </w:t>
      </w:r>
      <w:hyperlink r:id="rId23" w:history="1">
        <w:r w:rsidR="004A5807" w:rsidRPr="00404390">
          <w:rPr>
            <w:rStyle w:val="Hyperlink"/>
            <w:rFonts w:asciiTheme="minorHAnsi" w:eastAsiaTheme="minorHAnsi" w:hAnsiTheme="minorHAnsi" w:cstheme="minorHAnsi"/>
            <w:kern w:val="2"/>
            <w:sz w:val="24"/>
            <w:szCs w:val="24"/>
            <w:shd w:val="clear" w:color="auto" w:fill="FFFFFF"/>
            <w:lang w:val="en-US" w:eastAsia="en-US"/>
            <w14:ligatures w14:val="standardContextual"/>
          </w:rPr>
          <w:t>https://www.ons.gov.uk/peoplepopulationandcommunity/healthandsocialcare/disability/bulletins/disabilityandcrimeuk/2019</w:t>
        </w:r>
      </w:hyperlink>
      <w:r w:rsidR="004A5807">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 </w:t>
      </w:r>
      <w:r w:rsidR="00D33F3A">
        <w:rPr>
          <w:rFonts w:asciiTheme="minorHAnsi" w:eastAsiaTheme="minorHAnsi" w:hAnsiTheme="minorHAnsi" w:cstheme="minorHAnsi"/>
          <w:color w:val="333333"/>
          <w:kern w:val="2"/>
          <w:sz w:val="24"/>
          <w:szCs w:val="24"/>
          <w:shd w:val="clear" w:color="auto" w:fill="FFFFFF"/>
          <w:lang w:val="en-US" w:eastAsia="en-US"/>
          <w14:ligatures w14:val="standardContextual"/>
        </w:rPr>
        <w:t>(</w:t>
      </w:r>
      <w:r w:rsidR="004A5807">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Accessed </w:t>
      </w:r>
      <w:r w:rsidR="00D33F3A">
        <w:rPr>
          <w:rFonts w:asciiTheme="minorHAnsi" w:eastAsiaTheme="minorHAnsi" w:hAnsiTheme="minorHAnsi" w:cstheme="minorHAnsi"/>
          <w:color w:val="333333"/>
          <w:kern w:val="2"/>
          <w:sz w:val="24"/>
          <w:szCs w:val="24"/>
          <w:shd w:val="clear" w:color="auto" w:fill="FFFFFF"/>
          <w:lang w:val="en-US" w:eastAsia="en-US"/>
          <w14:ligatures w14:val="standardContextual"/>
        </w:rPr>
        <w:t>10th of February, 2024)</w:t>
      </w:r>
    </w:p>
    <w:p w14:paraId="61C50579"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Royal College of Speech &amp; Language Therapists, 2013 (Online) Available at:  </w:t>
      </w:r>
      <w:hyperlink r:id="rId24"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https://www.rcslt.org/wp-content/uploads/media/Project/RCSLT/good-comm-standards.pdf</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5 February, 2024) </w:t>
      </w:r>
    </w:p>
    <w:p w14:paraId="5E6FD44A"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Social Care Wales (2024). Code of Professional Practice for Social Care (2019) (Online) Available at - </w:t>
      </w:r>
      <w:hyperlink r:id="rId25"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https://socialcare.wales/cms-assets/documents/Code-of-Professional-Practice-for-Social-Care-web-version.pdf</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17 January, 2024</w:t>
      </w:r>
    </w:p>
    <w:p w14:paraId="032FF2DA"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Social Care Wales (2024). The Social Worker: Code of Professional Practice (2019) (Online) Available at -</w:t>
      </w:r>
      <w:r w:rsidRPr="007C2F0F">
        <w:rPr>
          <w:rFonts w:asciiTheme="minorHAnsi" w:eastAsiaTheme="minorHAnsi" w:hAnsiTheme="minorHAnsi" w:cstheme="minorBidi"/>
          <w:color w:val="auto"/>
          <w:kern w:val="2"/>
          <w:sz w:val="22"/>
          <w:szCs w:val="22"/>
          <w:lang w:val="en-US" w:eastAsia="en-US"/>
          <w14:ligatures w14:val="standardContextual"/>
        </w:rPr>
        <w:t xml:space="preserve"> </w:t>
      </w:r>
      <w:hyperlink r:id="rId26"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https://socialcare.wales/cms-assets/documents/Practice-guidance-social-workers.pdf</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17 January, 2024</w:t>
      </w:r>
    </w:p>
    <w:p w14:paraId="6184521C" w14:textId="77777777" w:rsid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Social Care Wales. (2024). Wales Safeguarding Procedures: Responding to a report of an adult at risk of abuse and / or neglect. (Online) Accessed at - </w:t>
      </w:r>
      <w:hyperlink r:id="rId27"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https://safeguarding.wales/en/adu-i/adu-i-a3pt1/a3pt1-p6/</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16</w:t>
      </w:r>
      <w:r w:rsidRPr="007C2F0F">
        <w:rPr>
          <w:rFonts w:asciiTheme="minorHAnsi" w:eastAsiaTheme="minorHAnsi" w:hAnsiTheme="minorHAnsi" w:cstheme="minorHAnsi"/>
          <w:color w:val="333333"/>
          <w:kern w:val="2"/>
          <w:sz w:val="24"/>
          <w:szCs w:val="24"/>
          <w:shd w:val="clear" w:color="auto" w:fill="FFFFFF"/>
          <w:vertAlign w:val="superscript"/>
          <w:lang w:val="en-US" w:eastAsia="en-US"/>
          <w14:ligatures w14:val="standardContextual"/>
        </w:rPr>
        <w:t xml:space="preserve"> </w:t>
      </w: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January, 2024) </w:t>
      </w:r>
    </w:p>
    <w:p w14:paraId="45119E7F" w14:textId="04BFC0B0" w:rsidR="009337E7" w:rsidRDefault="009337E7" w:rsidP="007C2F0F">
      <w:pPr>
        <w:overflowPunct/>
        <w:autoSpaceDE/>
        <w:autoSpaceDN/>
        <w:adjustRightInd/>
        <w:spacing w:after="160" w:line="259" w:lineRule="auto"/>
        <w:textAlignment w:val="auto"/>
        <w:rPr>
          <w:sz w:val="22"/>
          <w:szCs w:val="22"/>
        </w:rPr>
      </w:pPr>
      <w:r w:rsidRPr="00AF7F1D">
        <w:rPr>
          <w:rFonts w:eastAsiaTheme="minorHAnsi"/>
          <w:color w:val="333333"/>
          <w:kern w:val="2"/>
          <w:sz w:val="22"/>
          <w:szCs w:val="22"/>
          <w:shd w:val="clear" w:color="auto" w:fill="FFFFFF"/>
          <w:lang w:val="en-US" w:eastAsia="en-US"/>
          <w14:ligatures w14:val="standardContextual"/>
        </w:rPr>
        <w:t>The Health</w:t>
      </w:r>
      <w:r w:rsidR="00765068" w:rsidRPr="00AF7F1D">
        <w:rPr>
          <w:rFonts w:eastAsiaTheme="minorHAnsi"/>
          <w:color w:val="333333"/>
          <w:kern w:val="2"/>
          <w:sz w:val="22"/>
          <w:szCs w:val="22"/>
          <w:shd w:val="clear" w:color="auto" w:fill="FFFFFF"/>
          <w:lang w:val="en-US" w:eastAsia="en-US"/>
          <w14:ligatures w14:val="standardContextual"/>
        </w:rPr>
        <w:t xml:space="preserve"> Foundation (2016). </w:t>
      </w:r>
      <w:r w:rsidR="00765068" w:rsidRPr="00AF7F1D">
        <w:rPr>
          <w:sz w:val="22"/>
          <w:szCs w:val="22"/>
        </w:rPr>
        <w:t xml:space="preserve">Person-centred care made simple What everyone should know about person-centred care. (Online) Accessed at - </w:t>
      </w:r>
      <w:hyperlink r:id="rId28" w:history="1">
        <w:r w:rsidR="005D5F7A" w:rsidRPr="00AF7F1D">
          <w:rPr>
            <w:rStyle w:val="Hyperlink"/>
            <w:sz w:val="22"/>
            <w:szCs w:val="22"/>
          </w:rPr>
          <w:t>https://www.health.org.uk/sites/default/files/PersonCentredCareMadeSimple.pdf</w:t>
        </w:r>
      </w:hyperlink>
      <w:r w:rsidR="005D5F7A" w:rsidRPr="00AF7F1D">
        <w:rPr>
          <w:sz w:val="22"/>
          <w:szCs w:val="22"/>
        </w:rPr>
        <w:t xml:space="preserve"> (Accessed </w:t>
      </w:r>
      <w:r w:rsidR="00AF7F1D" w:rsidRPr="00AF7F1D">
        <w:rPr>
          <w:sz w:val="22"/>
          <w:szCs w:val="22"/>
        </w:rPr>
        <w:t>9th February, 2024)</w:t>
      </w:r>
    </w:p>
    <w:p w14:paraId="7446626E" w14:textId="74F1BC7D" w:rsidR="00B87433" w:rsidRPr="00586188" w:rsidRDefault="00B87433" w:rsidP="00B87433">
      <w:pPr>
        <w:pStyle w:val="Heading1"/>
        <w:shd w:val="clear" w:color="auto" w:fill="FFFFFF"/>
        <w:spacing w:before="0" w:after="0"/>
        <w:rPr>
          <w:rFonts w:asciiTheme="minorHAnsi" w:hAnsiTheme="minorHAnsi" w:cstheme="minorHAnsi"/>
          <w:b w:val="0"/>
          <w:color w:val="111111"/>
          <w:sz w:val="22"/>
          <w:szCs w:val="22"/>
        </w:rPr>
      </w:pPr>
      <w:r w:rsidRPr="00586188">
        <w:rPr>
          <w:rFonts w:asciiTheme="minorHAnsi" w:hAnsiTheme="minorHAnsi" w:cstheme="minorHAnsi"/>
          <w:b w:val="0"/>
          <w:bCs/>
          <w:color w:val="111111"/>
          <w:sz w:val="22"/>
          <w:szCs w:val="22"/>
        </w:rPr>
        <w:t>Lee, V. and Charles, C. (2008).</w:t>
      </w:r>
      <w:r w:rsidR="00750D5C" w:rsidRPr="00586188">
        <w:rPr>
          <w:rFonts w:asciiTheme="minorHAnsi" w:hAnsiTheme="minorHAnsi" w:cstheme="minorHAnsi"/>
          <w:b w:val="0"/>
          <w:bCs/>
          <w:color w:val="111111"/>
          <w:sz w:val="22"/>
          <w:szCs w:val="22"/>
        </w:rPr>
        <w:t xml:space="preserve"> </w:t>
      </w:r>
      <w:r w:rsidR="00315950" w:rsidRPr="00586188">
        <w:rPr>
          <w:rFonts w:asciiTheme="minorHAnsi" w:hAnsiTheme="minorHAnsi" w:cstheme="minorHAnsi"/>
          <w:b w:val="0"/>
          <w:bCs/>
          <w:color w:val="111111"/>
          <w:sz w:val="22"/>
          <w:szCs w:val="22"/>
        </w:rPr>
        <w:t xml:space="preserve">Research into CPS decision-making in cases involving victims </w:t>
      </w:r>
      <w:r w:rsidR="00946A86" w:rsidRPr="00586188">
        <w:rPr>
          <w:rFonts w:asciiTheme="minorHAnsi" w:hAnsiTheme="minorHAnsi" w:cstheme="minorHAnsi"/>
          <w:b w:val="0"/>
          <w:bCs/>
          <w:color w:val="111111"/>
          <w:sz w:val="22"/>
          <w:szCs w:val="22"/>
        </w:rPr>
        <w:t>and key witnesses in mental health and /or learning disabilities. (Online). Available at:</w:t>
      </w:r>
      <w:r w:rsidR="00CA534E" w:rsidRPr="00586188">
        <w:rPr>
          <w:rFonts w:asciiTheme="minorHAnsi" w:hAnsiTheme="minorHAnsi" w:cstheme="minorHAnsi"/>
          <w:b w:val="0"/>
          <w:bCs/>
          <w:color w:val="111111"/>
          <w:sz w:val="22"/>
          <w:szCs w:val="22"/>
        </w:rPr>
        <w:t xml:space="preserve"> </w:t>
      </w:r>
      <w:hyperlink r:id="rId29" w:history="1">
        <w:r w:rsidR="00CA534E" w:rsidRPr="00586188">
          <w:rPr>
            <w:rStyle w:val="Hyperlink"/>
            <w:rFonts w:asciiTheme="minorHAnsi" w:hAnsiTheme="minorHAnsi" w:cstheme="minorHAnsi"/>
            <w:b w:val="0"/>
            <w:bCs/>
            <w:sz w:val="22"/>
            <w:szCs w:val="22"/>
          </w:rPr>
          <w:t>https://www.researchgate.net/publication/310448087_Lee_V_and_Charles_C_2008_Research_into_CPS_decision-making_in_cases_involving_victims_and_key_witnesses_with_mental_health_problems_andor_learning_disabilities_London_Crown_Prosecution_Service</w:t>
        </w:r>
      </w:hyperlink>
      <w:r w:rsidR="00CA534E" w:rsidRPr="00586188">
        <w:rPr>
          <w:rFonts w:asciiTheme="minorHAnsi" w:hAnsiTheme="minorHAnsi" w:cstheme="minorHAnsi"/>
          <w:b w:val="0"/>
          <w:bCs/>
          <w:color w:val="111111"/>
          <w:sz w:val="22"/>
          <w:szCs w:val="22"/>
        </w:rPr>
        <w:t xml:space="preserve"> (Accessed 19th January, 2024</w:t>
      </w:r>
      <w:r w:rsidR="00586188" w:rsidRPr="00586188">
        <w:rPr>
          <w:rFonts w:asciiTheme="minorHAnsi" w:hAnsiTheme="minorHAnsi" w:cstheme="minorHAnsi"/>
          <w:b w:val="0"/>
          <w:bCs/>
          <w:color w:val="111111"/>
          <w:sz w:val="22"/>
          <w:szCs w:val="22"/>
        </w:rPr>
        <w:t>)</w:t>
      </w:r>
    </w:p>
    <w:p w14:paraId="1D8B3A08" w14:textId="77777777" w:rsidR="00B87433" w:rsidRPr="00AF7F1D" w:rsidRDefault="00B87433" w:rsidP="007C2F0F">
      <w:pPr>
        <w:overflowPunct/>
        <w:autoSpaceDE/>
        <w:autoSpaceDN/>
        <w:adjustRightInd/>
        <w:spacing w:after="160" w:line="259" w:lineRule="auto"/>
        <w:textAlignment w:val="auto"/>
        <w:rPr>
          <w:rFonts w:eastAsiaTheme="minorHAnsi"/>
          <w:color w:val="333333"/>
          <w:kern w:val="2"/>
          <w:sz w:val="22"/>
          <w:szCs w:val="22"/>
          <w:shd w:val="clear" w:color="auto" w:fill="FFFFFF"/>
          <w:lang w:val="en-US" w:eastAsia="en-US"/>
          <w14:ligatures w14:val="standardContextual"/>
        </w:rPr>
      </w:pPr>
    </w:p>
    <w:p w14:paraId="2C4EEFDD"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Welsh Government (2024). Census of Population, 2021 (Online) Available at: </w:t>
      </w:r>
      <w:hyperlink r:id="rId30"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https://www.gov.wales/ethnic-group-national-identity-language-and-religion-wales-census-2021-html</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18 January, 2024)</w:t>
      </w:r>
    </w:p>
    <w:p w14:paraId="6B54CD25"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Welsh Government (2024). Delivering the Active Offer Information Pack (2012) (Online) Available at: </w:t>
      </w:r>
      <w:hyperlink r:id="rId31"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https://www.gov.wales/sites/default/files/publications/2019-04/delivering-the-active-offer-information-pack-social-services-and-social-care.pdf</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16 January, 2024) </w:t>
      </w:r>
    </w:p>
    <w:p w14:paraId="2F4EF8CE" w14:textId="77777777" w:rsidR="007C2F0F" w:rsidRPr="007C2F0F" w:rsidRDefault="007C2F0F" w:rsidP="007C2F0F">
      <w:pPr>
        <w:overflowPunct/>
        <w:autoSpaceDE/>
        <w:autoSpaceDN/>
        <w:adjustRightInd/>
        <w:spacing w:after="160" w:line="259" w:lineRule="auto"/>
        <w:textAlignment w:val="auto"/>
        <w:rPr>
          <w:rFonts w:asciiTheme="minorHAnsi" w:eastAsiaTheme="minorHAnsi" w:hAnsiTheme="minorHAnsi" w:cstheme="minorHAnsi"/>
          <w:color w:val="333333"/>
          <w:kern w:val="2"/>
          <w:sz w:val="24"/>
          <w:szCs w:val="24"/>
          <w:shd w:val="clear" w:color="auto" w:fill="FFFFFF"/>
          <w:lang w:val="en-US" w:eastAsia="en-US"/>
          <w14:ligatures w14:val="standardContextual"/>
        </w:rPr>
      </w:pPr>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Welsh Government (2024). Volume 6 – Working together to safeguard people: Code of Safeguarding Practice (2022) (Online) Available at: </w:t>
      </w:r>
      <w:hyperlink r:id="rId32" w:history="1">
        <w:r w:rsidRPr="007C2F0F">
          <w:rPr>
            <w:rFonts w:asciiTheme="minorHAnsi" w:eastAsiaTheme="minorHAnsi" w:hAnsiTheme="minorHAnsi" w:cstheme="minorHAnsi"/>
            <w:color w:val="0563C1" w:themeColor="hyperlink"/>
            <w:kern w:val="2"/>
            <w:sz w:val="24"/>
            <w:szCs w:val="24"/>
            <w:u w:val="single"/>
            <w:shd w:val="clear" w:color="auto" w:fill="FFFFFF"/>
            <w:lang w:val="en-US" w:eastAsia="en-US"/>
            <w14:ligatures w14:val="standardContextual"/>
          </w:rPr>
          <w:t>https://www.gov.wales/sites/default/files/publications/2022-01/working-together-to-safeguard-people--code-of-safeguarding-practice_0.pdf</w:t>
        </w:r>
      </w:hyperlink>
      <w:r w:rsidRPr="007C2F0F">
        <w:rPr>
          <w:rFonts w:asciiTheme="minorHAnsi" w:eastAsiaTheme="minorHAnsi" w:hAnsiTheme="minorHAnsi" w:cstheme="minorHAnsi"/>
          <w:color w:val="333333"/>
          <w:kern w:val="2"/>
          <w:sz w:val="24"/>
          <w:szCs w:val="24"/>
          <w:shd w:val="clear" w:color="auto" w:fill="FFFFFF"/>
          <w:lang w:val="en-US" w:eastAsia="en-US"/>
          <w14:ligatures w14:val="standardContextual"/>
        </w:rPr>
        <w:t xml:space="preserve">  Accessed 18 January, 2024</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58CC7A1B" w14:textId="77777777" w:rsidR="007C2F0F" w:rsidRDefault="007C2F0F" w:rsidP="00EE5BC3">
      <w:pPr>
        <w:jc w:val="center"/>
        <w:rPr>
          <w:b/>
          <w:sz w:val="28"/>
          <w:szCs w:val="28"/>
        </w:rPr>
      </w:pPr>
    </w:p>
    <w:p w14:paraId="2B2E03A0" w14:textId="77777777" w:rsidR="007C2F0F" w:rsidRDefault="007C2F0F" w:rsidP="00EE5BC3">
      <w:pPr>
        <w:jc w:val="center"/>
        <w:rPr>
          <w:b/>
          <w:sz w:val="28"/>
          <w:szCs w:val="28"/>
        </w:rPr>
      </w:pPr>
    </w:p>
    <w:p w14:paraId="0B6135B9" w14:textId="77777777" w:rsidR="007C2F0F" w:rsidRDefault="007C2F0F" w:rsidP="00EE5BC3">
      <w:pPr>
        <w:jc w:val="center"/>
        <w:rPr>
          <w:b/>
          <w:sz w:val="28"/>
          <w:szCs w:val="28"/>
        </w:rPr>
      </w:pPr>
    </w:p>
    <w:p w14:paraId="3AB8DD10" w14:textId="77777777" w:rsidR="007C2F0F" w:rsidRDefault="007C2F0F" w:rsidP="00EE5BC3">
      <w:pPr>
        <w:jc w:val="center"/>
        <w:rPr>
          <w:b/>
          <w:sz w:val="28"/>
          <w:szCs w:val="28"/>
        </w:rPr>
      </w:pPr>
    </w:p>
    <w:p w14:paraId="291F4575" w14:textId="77777777" w:rsidR="007C2F0F" w:rsidRDefault="007C2F0F" w:rsidP="00EE5BC3">
      <w:pPr>
        <w:jc w:val="center"/>
        <w:rPr>
          <w:b/>
          <w:sz w:val="28"/>
          <w:szCs w:val="28"/>
        </w:rPr>
      </w:pPr>
    </w:p>
    <w:p w14:paraId="7047BA81" w14:textId="61057325"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69D96F8" w:rsidR="00E559CE" w:rsidRPr="00B17FA0" w:rsidRDefault="007C2F0F" w:rsidP="00B94443">
            <w:pPr>
              <w:jc w:val="both"/>
              <w:rPr>
                <w:sz w:val="24"/>
                <w:szCs w:val="24"/>
              </w:rPr>
            </w:pPr>
            <w:r>
              <w:rPr>
                <w:sz w:val="24"/>
                <w:szCs w:val="24"/>
              </w:rPr>
              <w:t>11.4.23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55F91E2" w:rsidR="00E559CE" w:rsidRPr="00B17FA0" w:rsidRDefault="007C2F0F" w:rsidP="00B94443">
            <w:pPr>
              <w:jc w:val="both"/>
              <w:rPr>
                <w:sz w:val="24"/>
                <w:szCs w:val="24"/>
              </w:rPr>
            </w:pPr>
            <w:r>
              <w:rPr>
                <w:sz w:val="24"/>
                <w:szCs w:val="24"/>
              </w:rPr>
              <w:t>16.6.23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C127F44" w:rsidR="00E559CE" w:rsidRPr="00B17FA0" w:rsidRDefault="007C2F0F" w:rsidP="00B94443">
            <w:pPr>
              <w:jc w:val="both"/>
              <w:rPr>
                <w:sz w:val="24"/>
                <w:szCs w:val="24"/>
              </w:rPr>
            </w:pPr>
            <w:r>
              <w:rPr>
                <w:sz w:val="24"/>
                <w:szCs w:val="24"/>
              </w:rPr>
              <w:t>12.9.23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34BC8D3" w:rsidR="00E559CE" w:rsidRPr="00B17FA0" w:rsidRDefault="007C2F0F" w:rsidP="00B94443">
            <w:pPr>
              <w:jc w:val="both"/>
              <w:rPr>
                <w:sz w:val="24"/>
                <w:szCs w:val="24"/>
              </w:rPr>
            </w:pPr>
            <w:r>
              <w:rPr>
                <w:sz w:val="24"/>
                <w:szCs w:val="24"/>
              </w:rPr>
              <w:t>14.11.23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A8B71FD" w14:textId="28550327" w:rsidR="00FC0334" w:rsidRDefault="00941421" w:rsidP="005D4F72">
            <w:pPr>
              <w:jc w:val="both"/>
              <w:rPr>
                <w:color w:val="auto"/>
                <w:sz w:val="24"/>
                <w:szCs w:val="24"/>
              </w:rPr>
            </w:pPr>
            <w:r>
              <w:rPr>
                <w:color w:val="auto"/>
                <w:sz w:val="24"/>
                <w:szCs w:val="24"/>
              </w:rPr>
              <w:lastRenderedPageBreak/>
              <w:t xml:space="preserve">Since mentoring and line managing Catrin through her first year in practice I have seen a development in her confidence and ability to reflect on her practice, where she will reflect and openly develop her learning, knowledge and skills to meet her role within the learning disability team. Catrin’s background prior to working for the learning disability team was children based, so this has been more apparent when comparing Catrin’s practice at the beginning to where it is now. </w:t>
            </w:r>
          </w:p>
          <w:p w14:paraId="52A0ECEC" w14:textId="77777777" w:rsidR="00FC0334" w:rsidRDefault="00FC0334" w:rsidP="005D4F72">
            <w:pPr>
              <w:jc w:val="both"/>
              <w:rPr>
                <w:color w:val="auto"/>
                <w:sz w:val="24"/>
                <w:szCs w:val="24"/>
              </w:rPr>
            </w:pPr>
          </w:p>
          <w:p w14:paraId="02ADF6E0" w14:textId="57FA07AC" w:rsidR="00FC0334" w:rsidRDefault="00941421" w:rsidP="005D4F72">
            <w:pPr>
              <w:jc w:val="both"/>
              <w:rPr>
                <w:color w:val="auto"/>
                <w:sz w:val="24"/>
                <w:szCs w:val="24"/>
              </w:rPr>
            </w:pPr>
            <w:r>
              <w:rPr>
                <w:color w:val="auto"/>
                <w:sz w:val="24"/>
                <w:szCs w:val="24"/>
              </w:rPr>
              <w:t xml:space="preserve">I have observed Catrin’s analytical skills develop, where she is more confident to deep dive in gathering information and then using that information to analyse and make sense of the situation each citizen, she assesses face. She is more confident in asking additional questions, which can at times be in difficult situations to ensure she has all the appropriate information available for her to make a decision on how to proceed. Catrin’s ability to weigh up information, and consider how to progress with decision making has improved, where she is more confident in the eligibility for the learning disability diagnosis, eligibility for care and support and for adult at risk. </w:t>
            </w:r>
          </w:p>
          <w:p w14:paraId="66E49A62" w14:textId="77777777" w:rsidR="00FC0334" w:rsidRDefault="00FC0334" w:rsidP="005D4F72">
            <w:pPr>
              <w:jc w:val="both"/>
              <w:rPr>
                <w:color w:val="auto"/>
                <w:sz w:val="24"/>
                <w:szCs w:val="24"/>
              </w:rPr>
            </w:pPr>
          </w:p>
          <w:p w14:paraId="0124B566" w14:textId="1BEF395E" w:rsidR="00FC0334" w:rsidRDefault="00941421" w:rsidP="005D4F72">
            <w:pPr>
              <w:jc w:val="both"/>
              <w:rPr>
                <w:color w:val="auto"/>
                <w:sz w:val="24"/>
                <w:szCs w:val="24"/>
              </w:rPr>
            </w:pPr>
            <w:r>
              <w:rPr>
                <w:color w:val="auto"/>
                <w:sz w:val="24"/>
                <w:szCs w:val="24"/>
              </w:rPr>
              <w:t xml:space="preserve">Catrin did initially struggle to challenge other professional’s decision, especially when models and theory of </w:t>
            </w:r>
            <w:r w:rsidR="00446E5E">
              <w:rPr>
                <w:color w:val="auto"/>
                <w:sz w:val="24"/>
                <w:szCs w:val="24"/>
              </w:rPr>
              <w:t>multi-agency</w:t>
            </w:r>
            <w:r>
              <w:rPr>
                <w:color w:val="auto"/>
                <w:sz w:val="24"/>
                <w:szCs w:val="24"/>
              </w:rPr>
              <w:t xml:space="preserve"> professionals clash </w:t>
            </w:r>
            <w:r w:rsidR="00446E5E">
              <w:rPr>
                <w:color w:val="auto"/>
                <w:sz w:val="24"/>
                <w:szCs w:val="24"/>
              </w:rPr>
              <w:t xml:space="preserve">but her ability to put her point across and give a rationale to her thoughts and opinion on a situation is clear and coherent, both verbally and in writing. Catrin a keen advocate for the citizen’s she works with, and this is portrayed well in those multi agency arena where there can be a difference of opinion for the situation and the area of need for ongoing support and responsibility. Catrin has reflected well on this, and acknowledges how this debate can be healthy to ensure all professions, including her, involved in an MDT is acting in the citizen’s best interest. </w:t>
            </w:r>
          </w:p>
          <w:p w14:paraId="784FCB50" w14:textId="77777777" w:rsidR="00FC0334" w:rsidRDefault="00FC0334" w:rsidP="005D4F72">
            <w:pPr>
              <w:jc w:val="both"/>
              <w:rPr>
                <w:color w:val="auto"/>
                <w:sz w:val="24"/>
                <w:szCs w:val="24"/>
              </w:rPr>
            </w:pPr>
          </w:p>
          <w:p w14:paraId="0028CE1B" w14:textId="5B6F5143" w:rsidR="00446E5E" w:rsidRDefault="00446E5E" w:rsidP="005D4F72">
            <w:pPr>
              <w:jc w:val="both"/>
              <w:rPr>
                <w:color w:val="auto"/>
                <w:sz w:val="24"/>
                <w:szCs w:val="24"/>
              </w:rPr>
            </w:pPr>
            <w:r>
              <w:rPr>
                <w:color w:val="auto"/>
                <w:sz w:val="24"/>
                <w:szCs w:val="24"/>
              </w:rPr>
              <w:t xml:space="preserve">Catrin has been honest in task 1 (a) and task 1 (b) and validates the need for ongoing professional development for her skills and confidence in social work to continue to grow. Supervision is a key arena to monitor and support that ongoing development, with Catrin referring to the use of supervision often in her piece of work. Catrin will utilize the session to reflect on her practice and consider where necessary how to develop further, be it through training, observation, research etc. </w:t>
            </w:r>
          </w:p>
          <w:p w14:paraId="188F75CB" w14:textId="77777777" w:rsidR="00446E5E" w:rsidRDefault="00446E5E" w:rsidP="005D4F72">
            <w:pPr>
              <w:jc w:val="both"/>
              <w:rPr>
                <w:color w:val="auto"/>
                <w:sz w:val="24"/>
                <w:szCs w:val="24"/>
              </w:rPr>
            </w:pPr>
          </w:p>
          <w:p w14:paraId="5C69275F" w14:textId="0D1AA2AE" w:rsidR="00446E5E" w:rsidRDefault="00446E5E" w:rsidP="005D4F72">
            <w:pPr>
              <w:jc w:val="both"/>
              <w:rPr>
                <w:color w:val="auto"/>
                <w:sz w:val="24"/>
                <w:szCs w:val="24"/>
              </w:rPr>
            </w:pPr>
            <w:r>
              <w:rPr>
                <w:color w:val="auto"/>
                <w:sz w:val="24"/>
                <w:szCs w:val="24"/>
              </w:rPr>
              <w:t xml:space="preserve">The use of communication is a key skill for working in the adult with learning disability field. Not one communication skill fits all, there is a need to consider Speech and language assessment recommendations and to utilize the recommendations into </w:t>
            </w:r>
            <w:r w:rsidR="000B38A5">
              <w:rPr>
                <w:color w:val="auto"/>
                <w:sz w:val="24"/>
                <w:szCs w:val="24"/>
              </w:rPr>
              <w:t>day-to-day</w:t>
            </w:r>
            <w:r>
              <w:rPr>
                <w:color w:val="auto"/>
                <w:sz w:val="24"/>
                <w:szCs w:val="24"/>
              </w:rPr>
              <w:t xml:space="preserve"> practice, which can be more time consuming where there is a need to prepare for interventions and possible multiple sessions to ensure best practice. Catrin’s confidence to use communication tools is day to day practice for her by now. She has developed this skill and can be seen confidently using visual aids, talking mats and other communication skills to formulate her intervention on a </w:t>
            </w:r>
            <w:r w:rsidR="000B38A5">
              <w:rPr>
                <w:color w:val="auto"/>
                <w:sz w:val="24"/>
                <w:szCs w:val="24"/>
              </w:rPr>
              <w:t>day-to-day</w:t>
            </w:r>
            <w:r>
              <w:rPr>
                <w:color w:val="auto"/>
                <w:sz w:val="24"/>
                <w:szCs w:val="24"/>
              </w:rPr>
              <w:t xml:space="preserve"> basis. She will take time to prepare how she is going to formulate questions for assessments for care and support, 126 enquiries and capacity assessments to ensure the person’s involvement is maximised. </w:t>
            </w:r>
          </w:p>
          <w:p w14:paraId="2837C449" w14:textId="77777777" w:rsidR="00FC0334" w:rsidRDefault="00FC0334" w:rsidP="005D4F72">
            <w:pPr>
              <w:jc w:val="both"/>
              <w:rPr>
                <w:color w:val="auto"/>
                <w:sz w:val="24"/>
                <w:szCs w:val="24"/>
              </w:rPr>
            </w:pPr>
          </w:p>
          <w:p w14:paraId="7E7AA069" w14:textId="77777777" w:rsidR="000B38A5" w:rsidRDefault="000B38A5" w:rsidP="005D4F72">
            <w:pPr>
              <w:jc w:val="both"/>
              <w:rPr>
                <w:color w:val="auto"/>
                <w:sz w:val="24"/>
                <w:szCs w:val="24"/>
              </w:rPr>
            </w:pPr>
            <w:r>
              <w:rPr>
                <w:color w:val="auto"/>
                <w:sz w:val="24"/>
                <w:szCs w:val="24"/>
              </w:rPr>
              <w:t xml:space="preserve">Catrin will always consider values in practice, and this is evidence within this portfolio. She is particularly interested in power imbalance and injustice where someone with a learning disability is possibly treated differently to others because of their diagnosis. Catrin reflects in </w:t>
            </w:r>
            <w:r>
              <w:rPr>
                <w:color w:val="auto"/>
                <w:sz w:val="24"/>
                <w:szCs w:val="24"/>
              </w:rPr>
              <w:lastRenderedPageBreak/>
              <w:t xml:space="preserve">task 1(a) and (b) how working collaboratively with those with a diagnosis of learning disability and their carers compares to her previous social care experience in children services, and how capacity plays a key role in how the intervention can progress. </w:t>
            </w:r>
          </w:p>
          <w:p w14:paraId="6FC5C979" w14:textId="77777777" w:rsidR="000B38A5" w:rsidRDefault="000B38A5" w:rsidP="005D4F72">
            <w:pPr>
              <w:jc w:val="both"/>
              <w:rPr>
                <w:color w:val="auto"/>
                <w:sz w:val="24"/>
                <w:szCs w:val="24"/>
              </w:rPr>
            </w:pPr>
          </w:p>
          <w:p w14:paraId="0955866F" w14:textId="3098C95E" w:rsidR="000B38A5" w:rsidRPr="000B38A5" w:rsidRDefault="000B38A5" w:rsidP="005D4F72">
            <w:pPr>
              <w:jc w:val="both"/>
              <w:rPr>
                <w:color w:val="auto"/>
                <w:sz w:val="24"/>
                <w:szCs w:val="24"/>
              </w:rPr>
            </w:pPr>
            <w:r w:rsidRPr="000B38A5">
              <w:rPr>
                <w:color w:val="auto"/>
                <w:sz w:val="24"/>
                <w:szCs w:val="24"/>
              </w:rPr>
              <w:t>Catrin will benefit from ongoing personal development to continue to build on the positive progressions she has already developed. It has been a pleasure to support Catrin through her first year of practice, and its rewarding to see the development flourish throughout the Consolidation</w:t>
            </w:r>
            <w:r>
              <w:rPr>
                <w:color w:val="auto"/>
                <w:sz w:val="24"/>
                <w:szCs w:val="24"/>
              </w:rPr>
              <w:t>.</w:t>
            </w:r>
            <w:r w:rsidRPr="000B38A5">
              <w:rPr>
                <w:color w:val="auto"/>
                <w:sz w:val="24"/>
                <w:szCs w:val="24"/>
              </w:rPr>
              <w:t xml:space="preserve">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6D6CD2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C2F0F">
        <w:rPr>
          <w:b/>
          <w:sz w:val="24"/>
          <w:szCs w:val="24"/>
        </w:rPr>
        <w:t xml:space="preserve"> Catrin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2084C6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C2F0F">
        <w:rPr>
          <w:b/>
          <w:sz w:val="24"/>
          <w:szCs w:val="24"/>
        </w:rPr>
        <w:t xml:space="preserve"> 2238729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3553F193" w:rsidR="004923DA" w:rsidRPr="008B28E7" w:rsidRDefault="007C2F0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27 Belmont Avenue, Bangor, Gwynedd LL57 2HT</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AE959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C2F0F">
        <w:rPr>
          <w:b/>
          <w:sz w:val="24"/>
          <w:szCs w:val="24"/>
        </w:rPr>
        <w:t xml:space="preserve"> 07584667164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70BA9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C2F0F">
        <w:rPr>
          <w:b/>
          <w:sz w:val="24"/>
          <w:szCs w:val="24"/>
        </w:rPr>
        <w:t xml:space="preserve"> Catwms14@hotmail.com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10C25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C2F0F">
        <w:rPr>
          <w:b/>
          <w:sz w:val="24"/>
          <w:szCs w:val="24"/>
        </w:rPr>
        <w:t xml:space="preserve"> </w:t>
      </w:r>
      <w:r w:rsidR="007C6616">
        <w:rPr>
          <w:b/>
          <w:sz w:val="24"/>
          <w:szCs w:val="24"/>
        </w:rPr>
        <w:t>31.12.21 (Open University Certificate)</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7BC65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C6616">
        <w:rPr>
          <w:b/>
          <w:sz w:val="24"/>
          <w:szCs w:val="24"/>
        </w:rPr>
        <w:t xml:space="preserve"> 6.6.22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269DC7F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7C6616">
        <w:rPr>
          <w:b/>
          <w:sz w:val="24"/>
          <w:szCs w:val="24"/>
        </w:rPr>
        <w:t xml:space="preserve"> – Isle of Anglesey County Council, Ynys Mon, LL77 7TW</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8D299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C6616">
        <w:rPr>
          <w:b/>
          <w:sz w:val="24"/>
          <w:szCs w:val="24"/>
        </w:rPr>
        <w:t xml:space="preserve"> </w:t>
      </w:r>
      <w:r w:rsidR="007C6616" w:rsidRPr="007C6616">
        <w:rPr>
          <w:b/>
          <w:sz w:val="24"/>
          <w:szCs w:val="24"/>
        </w:rPr>
        <w:t>Isle of Anglesey County Council, Ynys Mon, LL77 7TW</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4EAB2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C6616">
        <w:rPr>
          <w:b/>
          <w:sz w:val="24"/>
          <w:szCs w:val="24"/>
        </w:rPr>
        <w:t xml:space="preserve"> Anglesey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0DEB167" w14:textId="77777777" w:rsidR="007C6616" w:rsidRDefault="007C6616" w:rsidP="00FF7EBB">
      <w:pPr>
        <w:pBdr>
          <w:top w:val="single" w:sz="6" w:space="1" w:color="auto"/>
          <w:left w:val="single" w:sz="6" w:space="1" w:color="auto"/>
          <w:bottom w:val="single" w:sz="6" w:space="1" w:color="auto"/>
          <w:right w:val="single" w:sz="6" w:space="1" w:color="auto"/>
        </w:pBdr>
        <w:jc w:val="both"/>
        <w:rPr>
          <w:b/>
          <w:sz w:val="24"/>
          <w:szCs w:val="24"/>
        </w:rPr>
      </w:pPr>
    </w:p>
    <w:p w14:paraId="442472BB" w14:textId="0A854DF8" w:rsidR="004923DA" w:rsidRDefault="007C6616" w:rsidP="00FF7EBB">
      <w:pPr>
        <w:pBdr>
          <w:top w:val="single" w:sz="6" w:space="1" w:color="auto"/>
          <w:left w:val="single" w:sz="6" w:space="1" w:color="auto"/>
          <w:bottom w:val="single" w:sz="6" w:space="1" w:color="auto"/>
          <w:right w:val="single" w:sz="6" w:space="1" w:color="auto"/>
        </w:pBdr>
        <w:jc w:val="both"/>
        <w:rPr>
          <w:b/>
          <w:sz w:val="24"/>
          <w:szCs w:val="24"/>
        </w:rPr>
      </w:pPr>
      <w:r w:rsidRPr="007C6616">
        <w:rPr>
          <w:b/>
          <w:sz w:val="24"/>
          <w:szCs w:val="24"/>
        </w:rPr>
        <w:t xml:space="preserve">Isle of Anglesey County Council, </w:t>
      </w:r>
      <w:r>
        <w:rPr>
          <w:b/>
          <w:sz w:val="24"/>
          <w:szCs w:val="24"/>
        </w:rPr>
        <w:t xml:space="preserve">Llangefni, </w:t>
      </w:r>
      <w:r w:rsidRPr="007C6616">
        <w:rPr>
          <w:b/>
          <w:sz w:val="24"/>
          <w:szCs w:val="24"/>
        </w:rPr>
        <w:t>Ynys Mon, LL77 7TW</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90EE4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C6616">
        <w:rPr>
          <w:b/>
          <w:sz w:val="24"/>
          <w:szCs w:val="24"/>
        </w:rPr>
        <w:t xml:space="preserve"> 01248 752059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E9C0CE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33" w:history="1">
        <w:r w:rsidR="007C6616" w:rsidRPr="00155F2B">
          <w:rPr>
            <w:rStyle w:val="Hyperlink"/>
            <w:b/>
            <w:sz w:val="24"/>
            <w:szCs w:val="24"/>
          </w:rPr>
          <w:t>MariaJones@ynysmon.gov.uk</w:t>
        </w:r>
      </w:hyperlink>
      <w:r w:rsidR="007C6616">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56B6C2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7C6616">
        <w:rPr>
          <w:b/>
          <w:sz w:val="24"/>
          <w:szCs w:val="24"/>
          <w:highlight w:val="yellow"/>
        </w:rPr>
        <w:t xml:space="preserve">English only </w:t>
      </w:r>
      <w:r w:rsidR="007C6616" w:rsidRPr="007C6616">
        <w:rPr>
          <w:b/>
          <w:sz w:val="24"/>
          <w:szCs w:val="24"/>
          <w:highlight w:val="yellow"/>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48A3A9D6"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r w:rsidR="007C6616">
        <w:rPr>
          <w:b/>
          <w:sz w:val="24"/>
          <w:szCs w:val="24"/>
        </w:rPr>
        <w:t>– Ffion Parry</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7351EE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C6616">
        <w:rPr>
          <w:b/>
          <w:sz w:val="24"/>
          <w:szCs w:val="24"/>
        </w:rPr>
        <w:t xml:space="preserve"> Ffion Parry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CC0D1FF" w14:textId="1C44F888" w:rsidR="007C6616" w:rsidRDefault="007C661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14:paraId="4D0420C7" w14:textId="326A4DB5" w:rsidR="007C6616" w:rsidRPr="008B28E7" w:rsidRDefault="007C6616" w:rsidP="00FF7EBB">
      <w:pPr>
        <w:pBdr>
          <w:top w:val="single" w:sz="6" w:space="1" w:color="auto"/>
          <w:left w:val="single" w:sz="6" w:space="1" w:color="auto"/>
          <w:bottom w:val="single" w:sz="6" w:space="1" w:color="auto"/>
          <w:right w:val="single" w:sz="6" w:space="1" w:color="auto"/>
        </w:pBdr>
        <w:jc w:val="both"/>
        <w:rPr>
          <w:b/>
          <w:sz w:val="24"/>
          <w:szCs w:val="24"/>
        </w:rPr>
      </w:pPr>
      <w:r w:rsidRPr="007C6616">
        <w:rPr>
          <w:b/>
          <w:sz w:val="24"/>
          <w:szCs w:val="24"/>
        </w:rPr>
        <w:t>Isle of Anglesey County Council, Ynys Mon, LL77 7TW</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26C1D8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C6616">
        <w:rPr>
          <w:b/>
          <w:sz w:val="24"/>
          <w:szCs w:val="24"/>
        </w:rPr>
        <w:t xml:space="preserve"> </w:t>
      </w:r>
      <w:r w:rsidR="003E3D2D">
        <w:rPr>
          <w:b/>
          <w:sz w:val="24"/>
          <w:szCs w:val="24"/>
        </w:rPr>
        <w:t>01248 752059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DD53F4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E2428">
        <w:rPr>
          <w:b/>
          <w:sz w:val="24"/>
          <w:szCs w:val="24"/>
        </w:rPr>
        <w:t xml:space="preserve"> </w:t>
      </w:r>
      <w:hyperlink r:id="rId34" w:history="1">
        <w:r w:rsidR="00EE2428" w:rsidRPr="00C61B69">
          <w:rPr>
            <w:rStyle w:val="Hyperlink"/>
            <w:b/>
            <w:sz w:val="24"/>
            <w:szCs w:val="24"/>
          </w:rPr>
          <w:t>FfionParry@ynysmon.llyw.cymru</w:t>
        </w:r>
      </w:hyperlink>
      <w:r w:rsidR="00EE2428">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58DB475" w:rsidR="004923DA" w:rsidRDefault="004923DA" w:rsidP="00FF7EBB">
            <w:pPr>
              <w:jc w:val="both"/>
              <w:rPr>
                <w:b/>
                <w:sz w:val="24"/>
                <w:szCs w:val="24"/>
              </w:rPr>
            </w:pPr>
            <w:r w:rsidRPr="008B28E7">
              <w:rPr>
                <w:b/>
                <w:sz w:val="24"/>
                <w:szCs w:val="24"/>
              </w:rPr>
              <w:t>Name:</w:t>
            </w:r>
            <w:r w:rsidR="003E3D2D">
              <w:rPr>
                <w:b/>
                <w:sz w:val="24"/>
                <w:szCs w:val="24"/>
              </w:rPr>
              <w:t xml:space="preserve"> Ffion Parry </w:t>
            </w:r>
          </w:p>
          <w:p w14:paraId="4EF4A770" w14:textId="77777777" w:rsidR="004923DA" w:rsidRPr="008B28E7" w:rsidRDefault="004923DA" w:rsidP="00FF7EBB">
            <w:pPr>
              <w:jc w:val="both"/>
              <w:rPr>
                <w:b/>
                <w:sz w:val="24"/>
                <w:szCs w:val="24"/>
              </w:rPr>
            </w:pPr>
          </w:p>
          <w:p w14:paraId="1AC8522D" w14:textId="799FD479" w:rsidR="004923DA" w:rsidRDefault="004923DA" w:rsidP="00FF7EBB">
            <w:pPr>
              <w:jc w:val="both"/>
              <w:rPr>
                <w:b/>
                <w:sz w:val="24"/>
                <w:szCs w:val="24"/>
              </w:rPr>
            </w:pPr>
            <w:r w:rsidRPr="008B28E7">
              <w:rPr>
                <w:b/>
                <w:sz w:val="24"/>
                <w:szCs w:val="24"/>
              </w:rPr>
              <w:t xml:space="preserve">Work Address: </w:t>
            </w:r>
            <w:r w:rsidR="003E3D2D" w:rsidRPr="003E3D2D">
              <w:rPr>
                <w:b/>
                <w:sz w:val="24"/>
                <w:szCs w:val="24"/>
              </w:rPr>
              <w:t>Isle of Anglesey County Council, Ynys Mon, LL77 7TW</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113E39F2" w:rsidR="004923DA" w:rsidRPr="008B28E7" w:rsidRDefault="004923DA" w:rsidP="00FF7EBB">
            <w:pPr>
              <w:jc w:val="both"/>
              <w:rPr>
                <w:b/>
                <w:sz w:val="24"/>
                <w:szCs w:val="24"/>
              </w:rPr>
            </w:pPr>
            <w:r w:rsidRPr="008B28E7">
              <w:rPr>
                <w:b/>
                <w:sz w:val="24"/>
                <w:szCs w:val="24"/>
              </w:rPr>
              <w:t>Professional Qualification and date of qualification:</w:t>
            </w:r>
            <w:r w:rsidR="003E3D2D">
              <w:rPr>
                <w:b/>
                <w:sz w:val="24"/>
                <w:szCs w:val="24"/>
              </w:rPr>
              <w:t xml:space="preserve"> Masters in Social Work, 20.11.2015</w:t>
            </w:r>
          </w:p>
          <w:p w14:paraId="5F68A3CF" w14:textId="77777777" w:rsidR="004923DA" w:rsidRDefault="004923DA" w:rsidP="00FF7EBB">
            <w:pPr>
              <w:jc w:val="both"/>
              <w:rPr>
                <w:b/>
                <w:sz w:val="24"/>
                <w:szCs w:val="24"/>
              </w:rPr>
            </w:pPr>
          </w:p>
          <w:p w14:paraId="4C6113F1" w14:textId="05ACDF1F" w:rsidR="004923DA" w:rsidRDefault="009D59C2" w:rsidP="00FF7EBB">
            <w:pPr>
              <w:jc w:val="both"/>
              <w:rPr>
                <w:b/>
                <w:sz w:val="24"/>
                <w:szCs w:val="24"/>
              </w:rPr>
            </w:pPr>
            <w:r>
              <w:rPr>
                <w:b/>
                <w:sz w:val="24"/>
                <w:szCs w:val="24"/>
              </w:rPr>
              <w:t>T</w:t>
            </w:r>
            <w:r w:rsidR="004923DA" w:rsidRPr="008B28E7">
              <w:rPr>
                <w:b/>
                <w:sz w:val="24"/>
                <w:szCs w:val="24"/>
              </w:rPr>
              <w:t>elephone number:</w:t>
            </w:r>
            <w:r w:rsidR="003E3D2D">
              <w:rPr>
                <w:b/>
                <w:sz w:val="24"/>
                <w:szCs w:val="24"/>
              </w:rPr>
              <w:t xml:space="preserve"> 01248 752059</w:t>
            </w:r>
          </w:p>
          <w:p w14:paraId="0BB87919" w14:textId="548A11EF" w:rsidR="009D59C2" w:rsidRDefault="009D59C2" w:rsidP="00FF7EBB">
            <w:pPr>
              <w:jc w:val="both"/>
              <w:rPr>
                <w:b/>
                <w:sz w:val="24"/>
                <w:szCs w:val="24"/>
              </w:rPr>
            </w:pPr>
          </w:p>
          <w:p w14:paraId="4FDEE73F" w14:textId="2A38A50A" w:rsidR="009D59C2" w:rsidRPr="008B28E7" w:rsidRDefault="009D59C2" w:rsidP="00FF7EBB">
            <w:pPr>
              <w:jc w:val="both"/>
              <w:rPr>
                <w:b/>
                <w:sz w:val="24"/>
                <w:szCs w:val="24"/>
              </w:rPr>
            </w:pPr>
            <w:r>
              <w:rPr>
                <w:b/>
                <w:sz w:val="24"/>
                <w:szCs w:val="24"/>
              </w:rPr>
              <w:t>Email address:</w:t>
            </w:r>
            <w:r w:rsidR="003E3D2D">
              <w:rPr>
                <w:b/>
                <w:sz w:val="24"/>
                <w:szCs w:val="24"/>
              </w:rPr>
              <w:t xml:space="preserve"> </w:t>
            </w:r>
            <w:hyperlink r:id="rId35" w:history="1">
              <w:r w:rsidR="00EE2428" w:rsidRPr="00C61B69">
                <w:rPr>
                  <w:rStyle w:val="Hyperlink"/>
                  <w:b/>
                  <w:sz w:val="24"/>
                  <w:szCs w:val="24"/>
                </w:rPr>
                <w:t>ffionparry@ynysmon.l</w:t>
              </w:r>
              <w:r w:rsidR="00EE2428" w:rsidRPr="00C61B69">
                <w:rPr>
                  <w:rStyle w:val="Hyperlink"/>
                </w:rPr>
                <w:t>lyw</w:t>
              </w:r>
            </w:hyperlink>
            <w:r w:rsidR="00EE2428">
              <w:rPr>
                <w:rStyle w:val="Hyperlink"/>
                <w:b/>
                <w:sz w:val="24"/>
                <w:szCs w:val="24"/>
              </w:rPr>
              <w:t>.cymru</w:t>
            </w:r>
            <w:r w:rsidR="003E3D2D">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615F6D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3E3D2D">
        <w:rPr>
          <w:sz w:val="24"/>
          <w:szCs w:val="24"/>
        </w:rPr>
        <w:t>C.Williams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A93282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E3D2D">
        <w:rPr>
          <w:sz w:val="24"/>
          <w:szCs w:val="24"/>
        </w:rPr>
        <w:t>6.2.2024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ECBE8B7" w14:textId="4312678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EE2428">
        <w:rPr>
          <w:noProof/>
          <w:sz w:val="24"/>
          <w:szCs w:val="24"/>
        </w:rPr>
        <w:drawing>
          <wp:inline distT="0" distB="0" distL="0" distR="0" wp14:anchorId="7AF77C82" wp14:editId="037082A3">
            <wp:extent cx="603556" cy="249958"/>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6">
                      <a:extLst>
                        <a:ext uri="{28A0092B-C50C-407E-A947-70E740481C1C}">
                          <a14:useLocalDpi xmlns:a14="http://schemas.microsoft.com/office/drawing/2010/main" val="0"/>
                        </a:ext>
                      </a:extLst>
                    </a:blip>
                    <a:stretch>
                      <a:fillRect/>
                    </a:stretch>
                  </pic:blipFill>
                  <pic:spPr>
                    <a:xfrm>
                      <a:off x="0" y="0"/>
                      <a:ext cx="603556" cy="249958"/>
                    </a:xfrm>
                    <a:prstGeom prst="rect">
                      <a:avLst/>
                    </a:prstGeom>
                  </pic:spPr>
                </pic:pic>
              </a:graphicData>
            </a:graphic>
          </wp:inline>
        </w:drawing>
      </w:r>
      <w:r w:rsidR="00B577D3">
        <w:rPr>
          <w:sz w:val="24"/>
          <w:szCs w:val="24"/>
        </w:rPr>
        <w:t xml:space="preserve"> _ _ _</w:t>
      </w:r>
      <w:r w:rsidR="00EE2428">
        <w:rPr>
          <w:sz w:val="24"/>
          <w:szCs w:val="24"/>
        </w:rPr>
        <w:t xml:space="preserve"> </w:t>
      </w:r>
      <w:r w:rsidR="00B577D3">
        <w:rPr>
          <w:sz w:val="24"/>
          <w:szCs w:val="24"/>
        </w:rPr>
        <w:t xml:space="preserve">_ </w:t>
      </w:r>
      <w:r w:rsidRPr="008B28E7">
        <w:rPr>
          <w:sz w:val="24"/>
          <w:szCs w:val="24"/>
        </w:rPr>
        <w:t>(</w:t>
      </w:r>
      <w:r>
        <w:rPr>
          <w:sz w:val="24"/>
          <w:szCs w:val="24"/>
        </w:rPr>
        <w:t>Observer</w:t>
      </w:r>
      <w:r w:rsidR="00EE2428">
        <w:rPr>
          <w:sz w:val="24"/>
          <w:szCs w:val="24"/>
        </w:rPr>
        <w:t>)</w:t>
      </w:r>
    </w:p>
    <w:p w14:paraId="4681F987" w14:textId="77777777" w:rsidR="00EE2428" w:rsidRDefault="00EE2428"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83EB35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3C1F45">
        <w:rPr>
          <w:sz w:val="24"/>
          <w:szCs w:val="24"/>
        </w:rPr>
        <w:t>7.2.24</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55E12E0" w:rsidR="00335C41" w:rsidRPr="00D3203C" w:rsidRDefault="00335C41" w:rsidP="00335C41">
            <w:pPr>
              <w:ind w:right="180"/>
              <w:jc w:val="both"/>
              <w:rPr>
                <w:sz w:val="24"/>
                <w:szCs w:val="24"/>
              </w:rPr>
            </w:pPr>
            <w:r w:rsidRPr="00D3203C">
              <w:rPr>
                <w:sz w:val="24"/>
                <w:szCs w:val="24"/>
              </w:rPr>
              <w:t>Signed____</w:t>
            </w:r>
            <w:r w:rsidR="00EE2428">
              <w:rPr>
                <w:noProof/>
                <w:sz w:val="24"/>
                <w:szCs w:val="24"/>
              </w:rPr>
              <w:drawing>
                <wp:inline distT="0" distB="0" distL="0" distR="0" wp14:anchorId="05869A18" wp14:editId="681FC081">
                  <wp:extent cx="603556" cy="24995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6">
                            <a:extLst>
                              <a:ext uri="{28A0092B-C50C-407E-A947-70E740481C1C}">
                                <a14:useLocalDpi xmlns:a14="http://schemas.microsoft.com/office/drawing/2010/main" val="0"/>
                              </a:ext>
                            </a:extLst>
                          </a:blip>
                          <a:stretch>
                            <a:fillRect/>
                          </a:stretch>
                        </pic:blipFill>
                        <pic:spPr>
                          <a:xfrm>
                            <a:off x="0" y="0"/>
                            <a:ext cx="603556" cy="249958"/>
                          </a:xfrm>
                          <a:prstGeom prst="rect">
                            <a:avLst/>
                          </a:prstGeom>
                        </pic:spPr>
                      </pic:pic>
                    </a:graphicData>
                  </a:graphic>
                </wp:inline>
              </w:drawing>
            </w:r>
            <w:r w:rsidRPr="00D3203C">
              <w:rPr>
                <w:sz w:val="24"/>
                <w:szCs w:val="24"/>
              </w:rPr>
              <w:t>_________ (Mentor)</w:t>
            </w:r>
          </w:p>
          <w:p w14:paraId="5D3F0767" w14:textId="77777777" w:rsidR="00335C41" w:rsidRPr="00D3203C" w:rsidRDefault="00335C41" w:rsidP="00335C41">
            <w:pPr>
              <w:ind w:right="180"/>
              <w:jc w:val="both"/>
              <w:rPr>
                <w:sz w:val="24"/>
                <w:szCs w:val="24"/>
              </w:rPr>
            </w:pPr>
          </w:p>
          <w:p w14:paraId="24E1B8A5" w14:textId="31BF5CF6" w:rsidR="00335C41" w:rsidRPr="00D3203C" w:rsidRDefault="00335C41" w:rsidP="00335C41">
            <w:pPr>
              <w:ind w:right="180"/>
              <w:jc w:val="both"/>
              <w:rPr>
                <w:sz w:val="24"/>
                <w:szCs w:val="24"/>
              </w:rPr>
            </w:pPr>
            <w:r w:rsidRPr="00D3203C">
              <w:rPr>
                <w:sz w:val="24"/>
                <w:szCs w:val="24"/>
              </w:rPr>
              <w:t>Date ____</w:t>
            </w:r>
            <w:r w:rsidR="00EE2428">
              <w:rPr>
                <w:sz w:val="24"/>
                <w:szCs w:val="24"/>
              </w:rPr>
              <w:t>0</w:t>
            </w:r>
            <w:r w:rsidR="00EE2428">
              <w:t>7.02.2024</w:t>
            </w:r>
            <w:r w:rsidRPr="00D3203C">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464264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EE2428">
        <w:rPr>
          <w:caps/>
          <w:sz w:val="24"/>
          <w:szCs w:val="24"/>
        </w:rPr>
        <w:t>FFION WYN PARRY</w:t>
      </w:r>
      <w:r w:rsidR="00B577D3">
        <w:rPr>
          <w:caps/>
          <w:sz w:val="24"/>
          <w:szCs w:val="24"/>
        </w:rPr>
        <w:t>_ _</w:t>
      </w:r>
    </w:p>
    <w:p w14:paraId="7C11F360" w14:textId="69ACC55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EE2428">
        <w:rPr>
          <w:noProof/>
          <w:sz w:val="24"/>
          <w:szCs w:val="24"/>
        </w:rPr>
        <w:drawing>
          <wp:inline distT="0" distB="0" distL="0" distR="0" wp14:anchorId="6BD5FA86" wp14:editId="473AA0DE">
            <wp:extent cx="603556" cy="249958"/>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6">
                      <a:extLst>
                        <a:ext uri="{28A0092B-C50C-407E-A947-70E740481C1C}">
                          <a14:useLocalDpi xmlns:a14="http://schemas.microsoft.com/office/drawing/2010/main" val="0"/>
                        </a:ext>
                      </a:extLst>
                    </a:blip>
                    <a:stretch>
                      <a:fillRect/>
                    </a:stretch>
                  </pic:blipFill>
                  <pic:spPr>
                    <a:xfrm>
                      <a:off x="0" y="0"/>
                      <a:ext cx="603556" cy="249958"/>
                    </a:xfrm>
                    <a:prstGeom prst="rect">
                      <a:avLst/>
                    </a:prstGeom>
                  </pic:spPr>
                </pic:pic>
              </a:graphicData>
            </a:graphic>
          </wp:inline>
        </w:drawing>
      </w:r>
      <w:r w:rsidR="00B577D3" w:rsidRPr="00B577D3">
        <w:rPr>
          <w:sz w:val="24"/>
          <w:szCs w:val="24"/>
        </w:rPr>
        <w:t>_ _ _</w:t>
      </w:r>
    </w:p>
    <w:p w14:paraId="57B2A00A" w14:textId="713D846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EE2428">
        <w:rPr>
          <w:sz w:val="24"/>
          <w:szCs w:val="24"/>
        </w:rPr>
        <w:t>07/02/2024</w:t>
      </w:r>
      <w:r w:rsidR="00B577D3" w:rsidRPr="00B577D3">
        <w:rPr>
          <w:sz w:val="24"/>
          <w:szCs w:val="24"/>
        </w:rPr>
        <w:t>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2A8A01ED" w:rsidR="00986C0B" w:rsidRPr="00DA5682" w:rsidRDefault="003E3D2D">
            <w:pPr>
              <w:rPr>
                <w:sz w:val="24"/>
                <w:szCs w:val="24"/>
              </w:rPr>
            </w:pPr>
            <w:r>
              <w:rPr>
                <w:sz w:val="24"/>
                <w:szCs w:val="24"/>
              </w:rPr>
              <w:t>Catrin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F89228D" w:rsidR="00986C0B" w:rsidRPr="00DA5682" w:rsidRDefault="003E3D2D">
            <w:pPr>
              <w:rPr>
                <w:sz w:val="24"/>
                <w:szCs w:val="24"/>
              </w:rPr>
            </w:pPr>
            <w:r>
              <w:rPr>
                <w:sz w:val="24"/>
                <w:szCs w:val="24"/>
              </w:rPr>
              <w:t xml:space="preserve">Isle of Anglesey Council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7077AF5" w:rsidR="00986C0B" w:rsidRPr="00DA5682" w:rsidRDefault="003E3D2D">
            <w:pPr>
              <w:rPr>
                <w:sz w:val="24"/>
                <w:szCs w:val="24"/>
              </w:rPr>
            </w:pPr>
            <w:r>
              <w:rPr>
                <w:sz w:val="24"/>
                <w:szCs w:val="24"/>
              </w:rPr>
              <w:t xml:space="preserve">Ffion Parry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0B2B7C4" w:rsidR="00986C0B" w:rsidRPr="00DA5682" w:rsidRDefault="003E3D2D">
            <w:pPr>
              <w:rPr>
                <w:sz w:val="24"/>
                <w:szCs w:val="24"/>
              </w:rPr>
            </w:pPr>
            <w:r>
              <w:rPr>
                <w:sz w:val="24"/>
                <w:szCs w:val="24"/>
              </w:rPr>
              <w:t>Ffion Parry</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r w:rsidRPr="00DA5682">
        <w:rPr>
          <w:sz w:val="24"/>
          <w:szCs w:val="24"/>
        </w:rPr>
        <w:t xml:space="preserve">Signed:……………………….. Print Name:…………………………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2AA85C1" w:rsidR="00986C0B" w:rsidRPr="00DA5682" w:rsidRDefault="00986C0B" w:rsidP="00986C0B">
      <w:pPr>
        <w:rPr>
          <w:sz w:val="24"/>
          <w:szCs w:val="24"/>
        </w:rPr>
      </w:pPr>
      <w:r w:rsidRPr="00DA5682">
        <w:rPr>
          <w:sz w:val="24"/>
          <w:szCs w:val="24"/>
        </w:rPr>
        <w:t>Signed:……</w:t>
      </w:r>
      <w:r w:rsidR="00EE2428">
        <w:rPr>
          <w:noProof/>
          <w:sz w:val="24"/>
          <w:szCs w:val="24"/>
        </w:rPr>
        <w:drawing>
          <wp:inline distT="0" distB="0" distL="0" distR="0" wp14:anchorId="2076003D" wp14:editId="3F6740CC">
            <wp:extent cx="603556" cy="249958"/>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6">
                      <a:extLst>
                        <a:ext uri="{28A0092B-C50C-407E-A947-70E740481C1C}">
                          <a14:useLocalDpi xmlns:a14="http://schemas.microsoft.com/office/drawing/2010/main" val="0"/>
                        </a:ext>
                      </a:extLst>
                    </a:blip>
                    <a:stretch>
                      <a:fillRect/>
                    </a:stretch>
                  </pic:blipFill>
                  <pic:spPr>
                    <a:xfrm>
                      <a:off x="0" y="0"/>
                      <a:ext cx="603556" cy="249958"/>
                    </a:xfrm>
                    <a:prstGeom prst="rect">
                      <a:avLst/>
                    </a:prstGeom>
                  </pic:spPr>
                </pic:pic>
              </a:graphicData>
            </a:graphic>
          </wp:inline>
        </w:drawing>
      </w:r>
      <w:r w:rsidR="00EE2428" w:rsidRPr="00DA5682">
        <w:rPr>
          <w:sz w:val="24"/>
          <w:szCs w:val="24"/>
        </w:rPr>
        <w:t xml:space="preserve"> </w:t>
      </w:r>
      <w:r w:rsidRPr="00DA5682">
        <w:rPr>
          <w:sz w:val="24"/>
          <w:szCs w:val="24"/>
        </w:rPr>
        <w:t>….. Print Name:…</w:t>
      </w:r>
      <w:r w:rsidR="00EE2428">
        <w:rPr>
          <w:sz w:val="24"/>
          <w:szCs w:val="24"/>
        </w:rPr>
        <w:t>FFION PARRY</w:t>
      </w:r>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7"/>
      <w:footerReference w:type="default" r:id="rId3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3A81F" w14:textId="77777777" w:rsidR="009D2BE4" w:rsidRDefault="009D2BE4">
      <w:r>
        <w:separator/>
      </w:r>
    </w:p>
  </w:endnote>
  <w:endnote w:type="continuationSeparator" w:id="0">
    <w:p w14:paraId="7A63D1A2" w14:textId="77777777" w:rsidR="009D2BE4" w:rsidRDefault="009D2B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9F22B" w14:textId="77777777" w:rsidR="009D2BE4" w:rsidRDefault="009D2BE4">
      <w:r>
        <w:separator/>
      </w:r>
    </w:p>
  </w:footnote>
  <w:footnote w:type="continuationSeparator" w:id="0">
    <w:p w14:paraId="0CE7DA43" w14:textId="77777777" w:rsidR="009D2BE4" w:rsidRDefault="009D2B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38A5"/>
    <w:rsid w:val="000C378F"/>
    <w:rsid w:val="000C6892"/>
    <w:rsid w:val="000C6FFE"/>
    <w:rsid w:val="000D0BB6"/>
    <w:rsid w:val="000D104B"/>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B12"/>
    <w:rsid w:val="00112391"/>
    <w:rsid w:val="00114F52"/>
    <w:rsid w:val="00130119"/>
    <w:rsid w:val="00132812"/>
    <w:rsid w:val="001347F8"/>
    <w:rsid w:val="001359EE"/>
    <w:rsid w:val="00137BB5"/>
    <w:rsid w:val="00137E05"/>
    <w:rsid w:val="00143F03"/>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3D86"/>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5950"/>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1F45"/>
    <w:rsid w:val="003C3C67"/>
    <w:rsid w:val="003C4186"/>
    <w:rsid w:val="003C6185"/>
    <w:rsid w:val="003D0D2D"/>
    <w:rsid w:val="003D1885"/>
    <w:rsid w:val="003D1BC0"/>
    <w:rsid w:val="003D20F1"/>
    <w:rsid w:val="003D4710"/>
    <w:rsid w:val="003E16D7"/>
    <w:rsid w:val="003E197E"/>
    <w:rsid w:val="003E3D2D"/>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6E5E"/>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807"/>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188"/>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5F7A"/>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0D5C"/>
    <w:rsid w:val="00751263"/>
    <w:rsid w:val="007544FC"/>
    <w:rsid w:val="00755427"/>
    <w:rsid w:val="00756548"/>
    <w:rsid w:val="0075673A"/>
    <w:rsid w:val="0075704F"/>
    <w:rsid w:val="00763B2D"/>
    <w:rsid w:val="00764C84"/>
    <w:rsid w:val="00765068"/>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2F0F"/>
    <w:rsid w:val="007C556F"/>
    <w:rsid w:val="007C5ABE"/>
    <w:rsid w:val="007C6616"/>
    <w:rsid w:val="007C6A87"/>
    <w:rsid w:val="007D0A07"/>
    <w:rsid w:val="007D0F11"/>
    <w:rsid w:val="007D133D"/>
    <w:rsid w:val="007D3EB4"/>
    <w:rsid w:val="007D3F16"/>
    <w:rsid w:val="007E252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37E7"/>
    <w:rsid w:val="00941421"/>
    <w:rsid w:val="0094495F"/>
    <w:rsid w:val="00946A86"/>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2BE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E24"/>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F1D"/>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7433"/>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BFE"/>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34E"/>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3F3A"/>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428"/>
    <w:rsid w:val="00EE39D6"/>
    <w:rsid w:val="00EE52AD"/>
    <w:rsid w:val="00EE5BC3"/>
    <w:rsid w:val="00EE6FAB"/>
    <w:rsid w:val="00EF328C"/>
    <w:rsid w:val="00EF68BB"/>
    <w:rsid w:val="00F00C41"/>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B81"/>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7C66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566597">
      <w:bodyDiv w:val="1"/>
      <w:marLeft w:val="0"/>
      <w:marRight w:val="0"/>
      <w:marTop w:val="0"/>
      <w:marBottom w:val="0"/>
      <w:divBdr>
        <w:top w:val="none" w:sz="0" w:space="0" w:color="auto"/>
        <w:left w:val="none" w:sz="0" w:space="0" w:color="auto"/>
        <w:bottom w:val="none" w:sz="0" w:space="0" w:color="auto"/>
        <w:right w:val="none" w:sz="0" w:space="0" w:color="auto"/>
      </w:divBdr>
    </w:div>
    <w:div w:id="55523734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18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213221/4-page-summary.pdf" TargetMode="External"/><Relationship Id="rId18" Type="http://schemas.openxmlformats.org/officeDocument/2006/relationships/hyperlink" Target="https://www.legislation.gov.uk/ukpga/2010/15/contents" TargetMode="External"/><Relationship Id="rId26" Type="http://schemas.openxmlformats.org/officeDocument/2006/relationships/hyperlink" Target="https://socialcare.wales/cms-assets/documents/Practice-guidance-social-workers.pdf" TargetMode="External"/><Relationship Id="rId39" Type="http://schemas.openxmlformats.org/officeDocument/2006/relationships/fontTable" Target="fontTable.xml"/><Relationship Id="rId21" Type="http://schemas.openxmlformats.org/officeDocument/2006/relationships/hyperlink" Target="https://www.legislation.gov.uk/mwa/2011/1/contents/enacted" TargetMode="External"/><Relationship Id="rId34" Type="http://schemas.openxmlformats.org/officeDocument/2006/relationships/hyperlink" Target="mailto:FfionParry@ynysmon.llyw.cymru" TargetMode="External"/><Relationship Id="rId7" Type="http://schemas.openxmlformats.org/officeDocument/2006/relationships/webSettings" Target="webSettings.xml"/><Relationship Id="rId12" Type="http://schemas.openxmlformats.org/officeDocument/2006/relationships/hyperlink" Target="https://www.gov.uk/government/collections/human-rights-the-uks-international-human-rights-obligations" TargetMode="External"/><Relationship Id="rId17" Type="http://schemas.openxmlformats.org/officeDocument/2006/relationships/hyperlink" Target="https://www.legislation.gov.uk/ukpga/2018/12/contents/enacted"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mailto:MariaJones@ynysmon.gov.uk"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1990/19/contents" TargetMode="External"/><Relationship Id="rId20" Type="http://schemas.openxmlformats.org/officeDocument/2006/relationships/hyperlink" Target="https://www.legislation.gov.uk/ukpga/2005/9/contents" TargetMode="External"/><Relationship Id="rId29" Type="http://schemas.openxmlformats.org/officeDocument/2006/relationships/hyperlink" Target="https://www.researchgate.net/publication/310448087_Lee_V_and_Charles_C_2008_Research_into_CPS_decision-making_in_cases_involving_victims_and_key_witnesses_with_mental_health_problems_andor_learning_disabilities_London_Crown_Prosecution_Serv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213221/4-page-summary.pdf" TargetMode="External"/><Relationship Id="rId24" Type="http://schemas.openxmlformats.org/officeDocument/2006/relationships/hyperlink" Target="https://www.rcslt.org/wp-content/uploads/media/Project/RCSLT/good-comm-standards.pdf" TargetMode="External"/><Relationship Id="rId32" Type="http://schemas.openxmlformats.org/officeDocument/2006/relationships/hyperlink" Target="https://www.gov.wales/sites/default/files/publications/2022-01/working-together-to-safeguard-people--code-of-safeguarding-practice_0.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gislation.gov.uk/ukpga/1989/41/contents" TargetMode="External"/><Relationship Id="rId23" Type="http://schemas.openxmlformats.org/officeDocument/2006/relationships/hyperlink" Target="https://www.ons.gov.uk/peoplepopulationandcommunity/healthandsocialcare/disability/bulletins/disabilityandcrimeuk/2019" TargetMode="External"/><Relationship Id="rId28" Type="http://schemas.openxmlformats.org/officeDocument/2006/relationships/hyperlink" Target="https://www.health.org.uk/sites/default/files/PersonCentredCareMadeSimple.pdf" TargetMode="External"/><Relationship Id="rId36"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yperlink" Target="https://www.legislation.gov.uk/ukpga/1998/42/contents" TargetMode="External"/><Relationship Id="rId31" Type="http://schemas.openxmlformats.org/officeDocument/2006/relationships/hyperlink" Target="https://www.gov.wales/sites/default/files/publications/2019-04/delivering-the-active-offer-information-pack-social-services-and-social-car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united-nations-convention-on-the-rights-of-the-child-uncrc-how-legislation-underpins-implementation-in-england" TargetMode="External"/><Relationship Id="rId22" Type="http://schemas.openxmlformats.org/officeDocument/2006/relationships/hyperlink" Target="https://learning.nspcc.org.uk/child-protection-system/gillick-competence-fraser-guidelines#skip-to-content" TargetMode="External"/><Relationship Id="rId27" Type="http://schemas.openxmlformats.org/officeDocument/2006/relationships/hyperlink" Target="https://safeguarding.wales/en/adu-i/adu-i-a3pt1/a3pt1-p6/" TargetMode="External"/><Relationship Id="rId30" Type="http://schemas.openxmlformats.org/officeDocument/2006/relationships/hyperlink" Target="https://www.gov.wales/ethnic-group-national-identity-language-and-religion-wales-census-2021-html" TargetMode="External"/><Relationship Id="rId35" Type="http://schemas.openxmlformats.org/officeDocument/2006/relationships/hyperlink" Target="mailto:ffionparry@ynysmon.llyw"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3380</Words>
  <Characters>23848</Characters>
  <Application>Microsoft Office Word</Application>
  <DocSecurity>0</DocSecurity>
  <Lines>198</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Williams</cp:lastModifiedBy>
  <cp:revision>22</cp:revision>
  <cp:lastPrinted>2020-02-11T19:20:00Z</cp:lastPrinted>
  <dcterms:created xsi:type="dcterms:W3CDTF">2024-02-08T10:28:00Z</dcterms:created>
  <dcterms:modified xsi:type="dcterms:W3CDTF">2024-02-11T16:27:00Z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